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jc w:val="center"/>
        <w:rPr>
          <w:b/>
          <w:sz w:val="60"/>
        </w:rPr>
      </w:pPr>
    </w:p>
    <w:p>
      <w:pPr>
        <w:snapToGrid w:val="0"/>
        <w:spacing w:after="120"/>
        <w:jc w:val="center"/>
        <w:rPr>
          <w:b/>
          <w:sz w:val="60"/>
        </w:rPr>
      </w:pPr>
    </w:p>
    <w:p>
      <w:pPr>
        <w:snapToGrid w:val="0"/>
        <w:spacing w:after="120"/>
        <w:jc w:val="center"/>
        <w:rPr>
          <w:b/>
          <w:sz w:val="72"/>
          <w:szCs w:val="72"/>
        </w:rPr>
      </w:pPr>
      <w:r>
        <w:rPr>
          <w:b/>
          <w:sz w:val="72"/>
          <w:szCs w:val="72"/>
        </w:rPr>
        <w:t>建设项目环境影响报告表</w:t>
      </w:r>
    </w:p>
    <w:p>
      <w:pPr>
        <w:snapToGrid w:val="0"/>
        <w:jc w:val="center"/>
        <w:rPr>
          <w:sz w:val="32"/>
        </w:rPr>
      </w:pPr>
    </w:p>
    <w:p>
      <w:pPr>
        <w:snapToGrid w:val="0"/>
        <w:jc w:val="center"/>
        <w:rPr>
          <w:sz w:val="32"/>
        </w:rPr>
      </w:pPr>
    </w:p>
    <w:p>
      <w:pPr>
        <w:snapToGrid w:val="0"/>
        <w:jc w:val="center"/>
        <w:rPr>
          <w:sz w:val="32"/>
        </w:rPr>
      </w:pPr>
    </w:p>
    <w:p>
      <w:pPr>
        <w:snapToGrid w:val="0"/>
        <w:jc w:val="center"/>
        <w:rPr>
          <w:sz w:val="32"/>
        </w:rPr>
      </w:pPr>
    </w:p>
    <w:p>
      <w:pPr>
        <w:snapToGrid w:val="0"/>
        <w:jc w:val="center"/>
        <w:rPr>
          <w:sz w:val="32"/>
        </w:rPr>
      </w:pPr>
    </w:p>
    <w:p>
      <w:pPr>
        <w:snapToGrid w:val="0"/>
        <w:jc w:val="center"/>
        <w:rPr>
          <w:sz w:val="32"/>
        </w:rPr>
      </w:pPr>
    </w:p>
    <w:p>
      <w:pPr>
        <w:snapToGrid w:val="0"/>
        <w:jc w:val="center"/>
        <w:rPr>
          <w:sz w:val="32"/>
          <w:szCs w:val="32"/>
        </w:rPr>
      </w:pPr>
    </w:p>
    <w:p>
      <w:pPr>
        <w:snapToGrid w:val="0"/>
        <w:spacing w:line="480" w:lineRule="auto"/>
        <w:rPr>
          <w:b/>
          <w:sz w:val="32"/>
          <w:szCs w:val="32"/>
          <w:u w:val="single"/>
        </w:rPr>
      </w:pPr>
      <w:r>
        <w:rPr>
          <w:b/>
          <w:sz w:val="32"/>
          <w:szCs w:val="32"/>
        </w:rPr>
        <w:t>项</w:t>
      </w:r>
      <w:r>
        <w:rPr>
          <w:rFonts w:hint="eastAsia"/>
          <w:b/>
          <w:sz w:val="32"/>
          <w:szCs w:val="32"/>
        </w:rPr>
        <w:t xml:space="preserve"> </w:t>
      </w:r>
      <w:r>
        <w:rPr>
          <w:b/>
          <w:sz w:val="32"/>
          <w:szCs w:val="32"/>
        </w:rPr>
        <w:t>目</w:t>
      </w:r>
      <w:r>
        <w:rPr>
          <w:rFonts w:hint="eastAsia"/>
          <w:b/>
          <w:sz w:val="32"/>
          <w:szCs w:val="32"/>
        </w:rPr>
        <w:t xml:space="preserve"> </w:t>
      </w:r>
      <w:r>
        <w:rPr>
          <w:b/>
          <w:sz w:val="32"/>
          <w:szCs w:val="32"/>
        </w:rPr>
        <w:t>名</w:t>
      </w:r>
      <w:r>
        <w:rPr>
          <w:rFonts w:hint="eastAsia"/>
          <w:b/>
          <w:sz w:val="32"/>
          <w:szCs w:val="32"/>
        </w:rPr>
        <w:t xml:space="preserve">  </w:t>
      </w:r>
      <w:r>
        <w:rPr>
          <w:b/>
          <w:sz w:val="32"/>
          <w:szCs w:val="32"/>
        </w:rPr>
        <w:t>称：</w:t>
      </w:r>
      <w:r>
        <w:rPr>
          <w:rFonts w:hint="eastAsia"/>
          <w:b/>
          <w:sz w:val="32"/>
          <w:szCs w:val="32"/>
          <w:u w:val="single"/>
        </w:rPr>
        <w:t xml:space="preserve">  </w:t>
      </w:r>
      <w:r>
        <w:rPr>
          <w:b/>
          <w:sz w:val="32"/>
          <w:szCs w:val="32"/>
          <w:u w:val="single"/>
        </w:rPr>
        <w:t>年产100套矿用掘进临时支护系统项目</w:t>
      </w:r>
      <w:r>
        <w:rPr>
          <w:rFonts w:hint="eastAsia"/>
          <w:b/>
          <w:sz w:val="32"/>
          <w:szCs w:val="32"/>
          <w:u w:val="single"/>
        </w:rPr>
        <w:t xml:space="preserve"> </w:t>
      </w:r>
      <w:r>
        <w:rPr>
          <w:rFonts w:hint="eastAsia"/>
          <w:b/>
          <w:sz w:val="32"/>
          <w:szCs w:val="32"/>
          <w:u w:val="single"/>
        </w:rPr>
        <w:tab/>
      </w:r>
      <w:r>
        <w:rPr>
          <w:rFonts w:hint="eastAsia"/>
          <w:b/>
          <w:sz w:val="32"/>
          <w:szCs w:val="32"/>
          <w:u w:val="single"/>
        </w:rPr>
        <w:t xml:space="preserve">  </w:t>
      </w:r>
    </w:p>
    <w:p>
      <w:pPr>
        <w:snapToGrid w:val="0"/>
        <w:spacing w:line="480" w:lineRule="auto"/>
        <w:rPr>
          <w:b/>
          <w:sz w:val="32"/>
          <w:szCs w:val="32"/>
          <w:u w:val="single"/>
        </w:rPr>
      </w:pPr>
      <w:r>
        <w:rPr>
          <w:b/>
          <w:sz w:val="32"/>
          <w:szCs w:val="32"/>
        </w:rPr>
        <w:t>建设单位(盖章)：</w:t>
      </w:r>
      <w:r>
        <w:rPr>
          <w:b/>
          <w:sz w:val="32"/>
          <w:szCs w:val="32"/>
          <w:u w:val="single"/>
        </w:rPr>
        <w:t xml:space="preserve">  </w:t>
      </w:r>
      <w:r>
        <w:rPr>
          <w:rFonts w:hint="eastAsia"/>
          <w:b/>
          <w:sz w:val="32"/>
          <w:szCs w:val="32"/>
          <w:u w:val="single"/>
        </w:rPr>
        <w:t xml:space="preserve">    </w:t>
      </w:r>
      <w:r>
        <w:rPr>
          <w:b/>
          <w:sz w:val="32"/>
          <w:szCs w:val="32"/>
          <w:u w:val="single"/>
        </w:rPr>
        <w:t>安徽创立煤矿机械有限公司</w:t>
      </w:r>
      <w:r>
        <w:rPr>
          <w:rFonts w:hint="eastAsia"/>
          <w:b/>
          <w:sz w:val="32"/>
          <w:szCs w:val="32"/>
          <w:u w:val="single"/>
        </w:rPr>
        <w:t xml:space="preserve">      </w:t>
      </w:r>
      <w:r>
        <w:rPr>
          <w:rFonts w:hint="eastAsia"/>
          <w:b/>
          <w:sz w:val="32"/>
          <w:szCs w:val="32"/>
          <w:u w:val="single"/>
        </w:rPr>
        <w:tab/>
      </w:r>
      <w:r>
        <w:rPr>
          <w:rFonts w:hint="eastAsia"/>
          <w:b/>
          <w:sz w:val="32"/>
          <w:szCs w:val="32"/>
          <w:u w:val="single"/>
        </w:rPr>
        <w:t xml:space="preserve">          </w:t>
      </w:r>
    </w:p>
    <w:p>
      <w:pPr>
        <w:snapToGrid w:val="0"/>
        <w:spacing w:line="480" w:lineRule="auto"/>
        <w:jc w:val="center"/>
        <w:rPr>
          <w:sz w:val="32"/>
        </w:rPr>
      </w:pPr>
    </w:p>
    <w:p>
      <w:pPr>
        <w:snapToGrid w:val="0"/>
        <w:spacing w:line="480" w:lineRule="auto"/>
        <w:jc w:val="center"/>
        <w:rPr>
          <w:sz w:val="32"/>
        </w:rPr>
      </w:pPr>
    </w:p>
    <w:p>
      <w:pPr>
        <w:snapToGrid w:val="0"/>
        <w:spacing w:line="480" w:lineRule="auto"/>
        <w:jc w:val="center"/>
        <w:rPr>
          <w:sz w:val="32"/>
        </w:rPr>
      </w:pPr>
    </w:p>
    <w:p>
      <w:pPr>
        <w:snapToGrid w:val="0"/>
        <w:spacing w:line="480" w:lineRule="auto"/>
        <w:jc w:val="center"/>
        <w:rPr>
          <w:sz w:val="32"/>
        </w:rPr>
      </w:pPr>
    </w:p>
    <w:p>
      <w:pPr>
        <w:snapToGrid w:val="0"/>
        <w:spacing w:line="480" w:lineRule="auto"/>
        <w:jc w:val="center"/>
        <w:rPr>
          <w:sz w:val="32"/>
        </w:rPr>
      </w:pPr>
    </w:p>
    <w:p>
      <w:pPr>
        <w:snapToGrid w:val="0"/>
        <w:spacing w:line="480" w:lineRule="auto"/>
        <w:jc w:val="center"/>
        <w:rPr>
          <w:sz w:val="32"/>
        </w:rPr>
      </w:pPr>
    </w:p>
    <w:p>
      <w:pPr>
        <w:snapToGrid w:val="0"/>
        <w:spacing w:line="480" w:lineRule="auto"/>
        <w:jc w:val="center"/>
        <w:rPr>
          <w:b/>
          <w:sz w:val="36"/>
        </w:rPr>
      </w:pPr>
      <w:r>
        <w:rPr>
          <w:b/>
          <w:sz w:val="36"/>
        </w:rPr>
        <w:t>国家</w:t>
      </w:r>
      <w:r>
        <w:rPr>
          <w:rFonts w:hint="eastAsia"/>
          <w:b/>
          <w:sz w:val="36"/>
        </w:rPr>
        <w:t>生态环境</w:t>
      </w:r>
      <w:r>
        <w:rPr>
          <w:b/>
          <w:sz w:val="36"/>
        </w:rPr>
        <w:t>部制</w:t>
      </w:r>
    </w:p>
    <w:p>
      <w:pPr>
        <w:widowControl/>
        <w:jc w:val="center"/>
        <w:rPr>
          <w:rFonts w:ascii="宋体" w:hAnsi="宋体" w:cs="宋体"/>
          <w:kern w:val="0"/>
          <w:sz w:val="24"/>
          <w:szCs w:val="24"/>
        </w:rPr>
      </w:pPr>
      <w:r>
        <w:rPr>
          <w:b/>
          <w:sz w:val="36"/>
        </w:rPr>
        <w:t>编制日期：20</w:t>
      </w:r>
      <w:r>
        <w:rPr>
          <w:rFonts w:hint="eastAsia"/>
          <w:b/>
          <w:sz w:val="36"/>
        </w:rPr>
        <w:t>20</w:t>
      </w:r>
      <w:r>
        <w:rPr>
          <w:b/>
          <w:sz w:val="36"/>
        </w:rPr>
        <w:t>年</w:t>
      </w:r>
      <w:r>
        <w:rPr>
          <w:rFonts w:hint="eastAsia"/>
          <w:b/>
          <w:sz w:val="36"/>
          <w:lang w:val="en-US" w:eastAsia="zh-CN"/>
        </w:rPr>
        <w:t>8</w:t>
      </w:r>
      <w:r>
        <w:rPr>
          <w:b/>
          <w:sz w:val="36"/>
        </w:rPr>
        <w:t>月</w:t>
      </w:r>
    </w:p>
    <w:p>
      <w:pPr>
        <w:snapToGrid w:val="0"/>
        <w:spacing w:line="480" w:lineRule="auto"/>
        <w:jc w:val="center"/>
        <w:rPr>
          <w:b/>
          <w:sz w:val="28"/>
        </w:rPr>
      </w:pPr>
    </w:p>
    <w:p>
      <w:pPr>
        <w:snapToGrid w:val="0"/>
        <w:spacing w:line="480" w:lineRule="auto"/>
        <w:jc w:val="center"/>
        <w:rPr>
          <w:b/>
          <w:sz w:val="36"/>
        </w:rPr>
        <w:sectPr>
          <w:headerReference r:id="rId3" w:type="default"/>
          <w:footerReference r:id="rId4" w:type="default"/>
          <w:footerReference r:id="rId5" w:type="even"/>
          <w:pgSz w:w="11906" w:h="16838"/>
          <w:pgMar w:top="1247" w:right="1588" w:bottom="1247" w:left="1588" w:header="1021" w:footer="1134" w:gutter="284"/>
          <w:cols w:space="720" w:num="1"/>
          <w:docGrid w:type="lines" w:linePitch="312" w:charSpace="0"/>
        </w:sectPr>
      </w:pPr>
      <w:bookmarkStart w:id="2" w:name="_GoBack"/>
      <w:bookmarkEnd w:id="2"/>
    </w:p>
    <w:p>
      <w:pPr>
        <w:tabs>
          <w:tab w:val="center" w:pos="4223"/>
        </w:tabs>
        <w:spacing w:before="240" w:after="240"/>
        <w:jc w:val="center"/>
        <w:outlineLvl w:val="0"/>
        <w:rPr>
          <w:b/>
          <w:sz w:val="28"/>
        </w:rPr>
      </w:pPr>
      <w:r>
        <w:rPr>
          <w:b/>
          <w:sz w:val="28"/>
        </w:rPr>
        <w:t>《建设项目环境影响报告表》编制说明</w:t>
      </w:r>
    </w:p>
    <w:p>
      <w:pPr>
        <w:spacing w:line="360" w:lineRule="auto"/>
        <w:rPr>
          <w:sz w:val="28"/>
        </w:rPr>
      </w:pPr>
      <w:r>
        <w:rPr>
          <w:sz w:val="28"/>
        </w:rPr>
        <w:t>《建设项目环境影响报告表》由具有从事环境影响评价工作资质的单位编制。</w:t>
      </w:r>
    </w:p>
    <w:p>
      <w:pPr>
        <w:pStyle w:val="13"/>
        <w:ind w:firstLine="560"/>
        <w:rPr>
          <w:rFonts w:ascii="Times New Roman" w:hAnsi="Times New Roman"/>
          <w:kern w:val="2"/>
          <w:sz w:val="28"/>
          <w:szCs w:val="20"/>
        </w:rPr>
      </w:pPr>
      <w:r>
        <w:rPr>
          <w:rFonts w:ascii="Times New Roman" w:hAnsi="Times New Roman"/>
          <w:kern w:val="2"/>
          <w:sz w:val="28"/>
          <w:szCs w:val="20"/>
        </w:rPr>
        <w:t>1、项目名称——指项目立项批复时的名称，应不超过30个字（两个英文字段作一个汉字）。</w:t>
      </w:r>
    </w:p>
    <w:p>
      <w:pPr>
        <w:pStyle w:val="13"/>
        <w:ind w:firstLine="560"/>
        <w:rPr>
          <w:rFonts w:ascii="Times New Roman" w:hAnsi="Times New Roman"/>
          <w:kern w:val="2"/>
          <w:sz w:val="28"/>
          <w:szCs w:val="20"/>
        </w:rPr>
      </w:pPr>
      <w:r>
        <w:rPr>
          <w:rFonts w:ascii="Times New Roman" w:hAnsi="Times New Roman"/>
          <w:kern w:val="2"/>
          <w:sz w:val="28"/>
          <w:szCs w:val="20"/>
        </w:rPr>
        <w:t>2、建设地点——指项目所在地详细地址，公路、铁路应填写起止地点。</w:t>
      </w:r>
    </w:p>
    <w:p>
      <w:pPr>
        <w:pStyle w:val="13"/>
        <w:ind w:firstLine="560"/>
        <w:rPr>
          <w:rFonts w:ascii="Times New Roman" w:hAnsi="Times New Roman"/>
          <w:kern w:val="2"/>
          <w:sz w:val="28"/>
          <w:szCs w:val="20"/>
        </w:rPr>
      </w:pPr>
      <w:r>
        <w:rPr>
          <w:rFonts w:ascii="Times New Roman" w:hAnsi="Times New Roman"/>
          <w:kern w:val="2"/>
          <w:sz w:val="28"/>
          <w:szCs w:val="20"/>
        </w:rPr>
        <w:t>3、行业类别——按国标填写。</w:t>
      </w:r>
    </w:p>
    <w:p>
      <w:pPr>
        <w:pStyle w:val="13"/>
        <w:ind w:firstLine="560"/>
        <w:rPr>
          <w:rFonts w:ascii="Times New Roman" w:hAnsi="Times New Roman"/>
          <w:kern w:val="2"/>
          <w:sz w:val="28"/>
          <w:szCs w:val="20"/>
        </w:rPr>
      </w:pPr>
      <w:r>
        <w:rPr>
          <w:rFonts w:ascii="Times New Roman" w:hAnsi="Times New Roman"/>
          <w:kern w:val="2"/>
          <w:sz w:val="28"/>
          <w:szCs w:val="20"/>
        </w:rPr>
        <w:t>4、总投资——指项目投资总额。</w:t>
      </w:r>
    </w:p>
    <w:p>
      <w:pPr>
        <w:pStyle w:val="13"/>
        <w:ind w:firstLine="560"/>
        <w:rPr>
          <w:rFonts w:ascii="Times New Roman" w:hAnsi="Times New Roman"/>
          <w:kern w:val="2"/>
          <w:sz w:val="28"/>
          <w:szCs w:val="20"/>
        </w:rPr>
      </w:pPr>
      <w:r>
        <w:rPr>
          <w:rFonts w:ascii="Times New Roman" w:hAnsi="Times New Roman"/>
          <w:kern w:val="2"/>
          <w:sz w:val="28"/>
          <w:szCs w:val="20"/>
        </w:rPr>
        <w:t>5、主要环境保护目标——指项目区周围一定范围内集中居民住宅区、学校、医院、保护文物、风景名胜区、水源地和生态敏感点等，应尽可能给出保护目标、性质、规模和距厂界距离等。</w:t>
      </w:r>
    </w:p>
    <w:p>
      <w:pPr>
        <w:pStyle w:val="13"/>
        <w:ind w:firstLine="560"/>
        <w:rPr>
          <w:sz w:val="28"/>
        </w:rPr>
      </w:pPr>
      <w:r>
        <w:rPr>
          <w:rFonts w:ascii="Times New Roman" w:hAnsi="Times New Roman"/>
          <w:kern w:val="2"/>
          <w:sz w:val="28"/>
          <w:szCs w:val="20"/>
        </w:rPr>
        <w:t>6、结论与建议——给出本项目清洁生产、达标排放和总量控制的分析结论，确定污染防治措施的有效性，说明本项目对环境造成的影响，给出建设项目环境可行性的明确结论。同时提出减少环境影响的其他建议。</w:t>
      </w:r>
    </w:p>
    <w:p>
      <w:pPr>
        <w:spacing w:line="360" w:lineRule="auto"/>
        <w:ind w:firstLine="560" w:firstLineChars="200"/>
        <w:rPr>
          <w:sz w:val="28"/>
        </w:rPr>
      </w:pPr>
      <w:r>
        <w:rPr>
          <w:sz w:val="28"/>
        </w:rPr>
        <w:t>7、预审意见——由行业主管部门填写答复意见，无主管部门项目，可不填。</w:t>
      </w:r>
    </w:p>
    <w:p>
      <w:pPr>
        <w:spacing w:line="360" w:lineRule="auto"/>
        <w:ind w:firstLine="560" w:firstLineChars="200"/>
        <w:rPr>
          <w:sz w:val="28"/>
        </w:rPr>
        <w:sectPr>
          <w:pgSz w:w="11906" w:h="16838"/>
          <w:pgMar w:top="1247" w:right="1588" w:bottom="1247" w:left="1588" w:header="1021" w:footer="1134" w:gutter="284"/>
          <w:cols w:space="720" w:num="1"/>
          <w:docGrid w:type="lines" w:linePitch="312" w:charSpace="0"/>
        </w:sectPr>
      </w:pPr>
      <w:r>
        <w:rPr>
          <w:sz w:val="28"/>
        </w:rPr>
        <w:t>8、审批意见——由负责审批该项目的环境保护行政主管部门批复。</w:t>
      </w:r>
    </w:p>
    <w:p>
      <w:pPr>
        <w:ind w:firstLine="26"/>
        <w:rPr>
          <w:b/>
          <w:sz w:val="30"/>
          <w:szCs w:val="30"/>
        </w:rPr>
      </w:pPr>
      <w:r>
        <w:rPr>
          <w:b/>
          <w:sz w:val="30"/>
          <w:szCs w:val="30"/>
        </w:rPr>
        <w:t>建设项目基本情况</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98"/>
        <w:gridCol w:w="368"/>
        <w:gridCol w:w="674"/>
        <w:gridCol w:w="226"/>
        <w:gridCol w:w="124"/>
        <w:gridCol w:w="845"/>
        <w:gridCol w:w="663"/>
        <w:gridCol w:w="528"/>
        <w:gridCol w:w="948"/>
        <w:gridCol w:w="25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ind w:left="-14"/>
              <w:jc w:val="center"/>
              <w:rPr>
                <w:sz w:val="24"/>
                <w:szCs w:val="24"/>
              </w:rPr>
            </w:pPr>
            <w:r>
              <w:rPr>
                <w:rFonts w:hAnsi="宋体"/>
                <w:sz w:val="24"/>
                <w:szCs w:val="24"/>
              </w:rPr>
              <w:t>项目名称</w:t>
            </w:r>
          </w:p>
        </w:tc>
        <w:tc>
          <w:tcPr>
            <w:tcW w:w="7720" w:type="dxa"/>
            <w:gridSpan w:val="11"/>
            <w:vAlign w:val="center"/>
          </w:tcPr>
          <w:p>
            <w:pPr>
              <w:spacing w:line="400" w:lineRule="exact"/>
              <w:jc w:val="center"/>
            </w:pPr>
            <w:r>
              <w:rPr>
                <w:rFonts w:hint="eastAsia" w:hAnsi="宋体"/>
                <w:kern w:val="0"/>
                <w:sz w:val="24"/>
                <w:szCs w:val="24"/>
              </w:rPr>
              <w:t>年产100套矿用掘进临时支护系统项目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ind w:left="-14"/>
              <w:jc w:val="center"/>
              <w:rPr>
                <w:sz w:val="24"/>
                <w:szCs w:val="24"/>
              </w:rPr>
            </w:pPr>
            <w:r>
              <w:rPr>
                <w:rFonts w:hAnsi="宋体"/>
                <w:sz w:val="24"/>
                <w:szCs w:val="24"/>
              </w:rPr>
              <w:t>建设单位</w:t>
            </w:r>
          </w:p>
        </w:tc>
        <w:tc>
          <w:tcPr>
            <w:tcW w:w="7720" w:type="dxa"/>
            <w:gridSpan w:val="11"/>
            <w:vAlign w:val="center"/>
          </w:tcPr>
          <w:p>
            <w:pPr>
              <w:spacing w:line="400" w:lineRule="exact"/>
              <w:jc w:val="center"/>
            </w:pPr>
            <w:r>
              <w:rPr>
                <w:rFonts w:hint="eastAsia" w:hAnsi="宋体"/>
                <w:kern w:val="0"/>
                <w:sz w:val="24"/>
                <w:szCs w:val="24"/>
              </w:rPr>
              <w:t>安徽创立煤矿机械有限公司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ind w:left="-14"/>
              <w:jc w:val="center"/>
              <w:rPr>
                <w:sz w:val="24"/>
                <w:szCs w:val="24"/>
              </w:rPr>
            </w:pPr>
            <w:r>
              <w:rPr>
                <w:rFonts w:hAnsi="宋体"/>
                <w:sz w:val="24"/>
                <w:szCs w:val="24"/>
              </w:rPr>
              <w:t>法人代表</w:t>
            </w:r>
          </w:p>
        </w:tc>
        <w:tc>
          <w:tcPr>
            <w:tcW w:w="2740" w:type="dxa"/>
            <w:gridSpan w:val="3"/>
            <w:vAlign w:val="center"/>
          </w:tcPr>
          <w:p>
            <w:pPr>
              <w:pStyle w:val="83"/>
              <w:spacing w:before="0" w:after="0" w:line="400" w:lineRule="exact"/>
            </w:pPr>
            <w:r>
              <w:rPr>
                <w:rFonts w:hint="eastAsia"/>
              </w:rPr>
              <w:t>江晓峰</w:t>
            </w:r>
          </w:p>
        </w:tc>
        <w:tc>
          <w:tcPr>
            <w:tcW w:w="1195" w:type="dxa"/>
            <w:gridSpan w:val="3"/>
            <w:vAlign w:val="center"/>
          </w:tcPr>
          <w:p>
            <w:pPr>
              <w:spacing w:line="400" w:lineRule="exact"/>
              <w:jc w:val="center"/>
              <w:rPr>
                <w:rFonts w:hAnsi="宋体"/>
                <w:kern w:val="0"/>
                <w:sz w:val="24"/>
              </w:rPr>
            </w:pPr>
            <w:r>
              <w:rPr>
                <w:rFonts w:hAnsi="宋体"/>
                <w:kern w:val="0"/>
                <w:sz w:val="24"/>
              </w:rPr>
              <w:t>联系人</w:t>
            </w:r>
          </w:p>
        </w:tc>
        <w:tc>
          <w:tcPr>
            <w:tcW w:w="3785" w:type="dxa"/>
            <w:gridSpan w:val="5"/>
            <w:vAlign w:val="center"/>
          </w:tcPr>
          <w:p>
            <w:pPr>
              <w:pStyle w:val="83"/>
              <w:spacing w:before="0" w:after="0" w:line="400" w:lineRule="exact"/>
            </w:pPr>
            <w:r>
              <w:rPr>
                <w:rFonts w:hint="eastAsia"/>
              </w:rPr>
              <w:t>陈国芳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ind w:left="-14"/>
              <w:jc w:val="center"/>
              <w:rPr>
                <w:sz w:val="24"/>
                <w:szCs w:val="24"/>
              </w:rPr>
            </w:pPr>
            <w:r>
              <w:rPr>
                <w:rFonts w:hAnsi="宋体"/>
                <w:sz w:val="24"/>
                <w:szCs w:val="24"/>
              </w:rPr>
              <w:t>通讯地址</w:t>
            </w:r>
          </w:p>
        </w:tc>
        <w:tc>
          <w:tcPr>
            <w:tcW w:w="7720" w:type="dxa"/>
            <w:gridSpan w:val="11"/>
            <w:vAlign w:val="center"/>
          </w:tcPr>
          <w:p>
            <w:pPr>
              <w:spacing w:line="400" w:lineRule="exact"/>
              <w:jc w:val="center"/>
              <w:rPr>
                <w:kern w:val="0"/>
                <w:sz w:val="24"/>
                <w:szCs w:val="24"/>
              </w:rPr>
            </w:pPr>
            <w:r>
              <w:rPr>
                <w:rFonts w:hint="eastAsia" w:hAnsi="宋体"/>
                <w:kern w:val="0"/>
                <w:sz w:val="24"/>
                <w:szCs w:val="24"/>
              </w:rPr>
              <w:t>淮南市大通区康宝路北侧大通工业聚集区标准化厂房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pStyle w:val="83"/>
              <w:spacing w:before="0" w:after="0" w:line="400" w:lineRule="exact"/>
              <w:rPr>
                <w:rFonts w:ascii="Times New Roman" w:hAnsi="Times New Roman"/>
              </w:rPr>
            </w:pPr>
            <w:r>
              <w:rPr>
                <w:rFonts w:ascii="Times New Roman" w:hAnsi="Times New Roman"/>
              </w:rPr>
              <w:t>联系电话</w:t>
            </w:r>
          </w:p>
        </w:tc>
        <w:tc>
          <w:tcPr>
            <w:tcW w:w="2066" w:type="dxa"/>
            <w:gridSpan w:val="2"/>
            <w:vAlign w:val="center"/>
          </w:tcPr>
          <w:p>
            <w:pPr>
              <w:pStyle w:val="83"/>
              <w:spacing w:before="0" w:after="0" w:line="400" w:lineRule="exact"/>
              <w:rPr>
                <w:rFonts w:ascii="Times New Roman" w:hAnsi="Times New Roman"/>
              </w:rPr>
            </w:pPr>
            <w:r>
              <w:rPr>
                <w:rFonts w:ascii="Times New Roman" w:hAnsi="Times New Roman"/>
              </w:rPr>
              <w:t>15055909688</w:t>
            </w:r>
          </w:p>
        </w:tc>
        <w:tc>
          <w:tcPr>
            <w:tcW w:w="900" w:type="dxa"/>
            <w:gridSpan w:val="2"/>
            <w:vAlign w:val="center"/>
          </w:tcPr>
          <w:p>
            <w:pPr>
              <w:spacing w:line="400" w:lineRule="exact"/>
              <w:jc w:val="center"/>
              <w:rPr>
                <w:kern w:val="0"/>
                <w:sz w:val="24"/>
                <w:szCs w:val="24"/>
              </w:rPr>
            </w:pPr>
            <w:r>
              <w:rPr>
                <w:kern w:val="0"/>
                <w:sz w:val="24"/>
                <w:szCs w:val="24"/>
              </w:rPr>
              <w:t>传真</w:t>
            </w:r>
          </w:p>
        </w:tc>
        <w:tc>
          <w:tcPr>
            <w:tcW w:w="2160" w:type="dxa"/>
            <w:gridSpan w:val="4"/>
            <w:vAlign w:val="center"/>
          </w:tcPr>
          <w:p>
            <w:pPr>
              <w:pStyle w:val="19"/>
              <w:spacing w:after="0" w:line="400" w:lineRule="exact"/>
              <w:rPr>
                <w:kern w:val="0"/>
                <w:sz w:val="24"/>
                <w:szCs w:val="24"/>
              </w:rPr>
            </w:pPr>
            <w:r>
              <w:rPr>
                <w:kern w:val="0"/>
                <w:sz w:val="24"/>
                <w:szCs w:val="24"/>
              </w:rPr>
              <w:t>/</w:t>
            </w:r>
          </w:p>
        </w:tc>
        <w:tc>
          <w:tcPr>
            <w:tcW w:w="1204" w:type="dxa"/>
            <w:gridSpan w:val="2"/>
            <w:vAlign w:val="center"/>
          </w:tcPr>
          <w:p>
            <w:pPr>
              <w:spacing w:line="400" w:lineRule="exact"/>
              <w:jc w:val="center"/>
              <w:rPr>
                <w:kern w:val="0"/>
                <w:sz w:val="24"/>
              </w:rPr>
            </w:pPr>
            <w:r>
              <w:rPr>
                <w:kern w:val="0"/>
                <w:sz w:val="24"/>
              </w:rPr>
              <w:t>邮政编码</w:t>
            </w:r>
          </w:p>
        </w:tc>
        <w:tc>
          <w:tcPr>
            <w:tcW w:w="1390" w:type="dxa"/>
            <w:vAlign w:val="center"/>
          </w:tcPr>
          <w:p>
            <w:pPr>
              <w:pStyle w:val="83"/>
              <w:spacing w:before="0" w:after="0" w:line="400" w:lineRule="exact"/>
              <w:rPr>
                <w:rFonts w:ascii="Times New Roman" w:hAnsi="Times New Roman"/>
              </w:rPr>
            </w:pPr>
            <w:r>
              <w:rPr>
                <w:rFonts w:ascii="Times New Roman" w:hAnsi="Times New Roman"/>
              </w:rPr>
              <w:t>23</w:t>
            </w:r>
            <w:r>
              <w:rPr>
                <w:rFonts w:hint="eastAsia" w:ascii="Times New Roman" w:hAnsi="Times New Roma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642" w:type="dxa"/>
            <w:vAlign w:val="center"/>
          </w:tcPr>
          <w:p>
            <w:pPr>
              <w:ind w:left="-14"/>
              <w:jc w:val="center"/>
              <w:rPr>
                <w:sz w:val="24"/>
                <w:szCs w:val="24"/>
              </w:rPr>
            </w:pPr>
            <w:r>
              <w:rPr>
                <w:rFonts w:hAnsi="宋体"/>
                <w:sz w:val="24"/>
                <w:szCs w:val="24"/>
              </w:rPr>
              <w:t>建设地点</w:t>
            </w:r>
          </w:p>
        </w:tc>
        <w:tc>
          <w:tcPr>
            <w:tcW w:w="7720" w:type="dxa"/>
            <w:gridSpan w:val="11"/>
            <w:vAlign w:val="center"/>
          </w:tcPr>
          <w:p>
            <w:pPr>
              <w:widowControl/>
              <w:spacing w:line="400" w:lineRule="exact"/>
              <w:jc w:val="center"/>
              <w:rPr>
                <w:kern w:val="0"/>
                <w:sz w:val="24"/>
                <w:szCs w:val="24"/>
              </w:rPr>
            </w:pPr>
            <w:r>
              <w:rPr>
                <w:rFonts w:hint="eastAsia"/>
                <w:kern w:val="0"/>
                <w:sz w:val="24"/>
                <w:szCs w:val="24"/>
              </w:rPr>
              <w:t>淮南市大通区康宝路北侧大通工业聚集区标准化厂房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42" w:type="dxa"/>
            <w:vAlign w:val="center"/>
          </w:tcPr>
          <w:p>
            <w:pPr>
              <w:jc w:val="center"/>
              <w:rPr>
                <w:sz w:val="24"/>
                <w:szCs w:val="24"/>
              </w:rPr>
            </w:pPr>
            <w:r>
              <w:rPr>
                <w:rFonts w:hAnsi="宋体"/>
                <w:sz w:val="24"/>
                <w:szCs w:val="24"/>
              </w:rPr>
              <w:t>立项审批部门</w:t>
            </w:r>
          </w:p>
        </w:tc>
        <w:tc>
          <w:tcPr>
            <w:tcW w:w="3090" w:type="dxa"/>
            <w:gridSpan w:val="5"/>
            <w:vAlign w:val="center"/>
          </w:tcPr>
          <w:p>
            <w:pPr>
              <w:pStyle w:val="104"/>
              <w:widowControl/>
              <w:autoSpaceDE/>
              <w:autoSpaceDN/>
              <w:snapToGrid/>
              <w:spacing w:before="0" w:line="400" w:lineRule="exact"/>
              <w:rPr>
                <w:rFonts w:eastAsia="宋体"/>
                <w:kern w:val="0"/>
                <w:sz w:val="24"/>
              </w:rPr>
            </w:pPr>
            <w:r>
              <w:rPr>
                <w:rFonts w:hint="eastAsia" w:eastAsia="宋体"/>
                <w:kern w:val="0"/>
                <w:sz w:val="24"/>
              </w:rPr>
              <w:t>淮南市大通区发展和改革委员会</w:t>
            </w:r>
          </w:p>
        </w:tc>
        <w:tc>
          <w:tcPr>
            <w:tcW w:w="1508" w:type="dxa"/>
            <w:gridSpan w:val="2"/>
            <w:vAlign w:val="center"/>
          </w:tcPr>
          <w:p>
            <w:pPr>
              <w:spacing w:line="400" w:lineRule="exact"/>
              <w:jc w:val="center"/>
              <w:rPr>
                <w:kern w:val="0"/>
                <w:sz w:val="24"/>
              </w:rPr>
            </w:pPr>
            <w:r>
              <w:rPr>
                <w:kern w:val="0"/>
                <w:sz w:val="24"/>
              </w:rPr>
              <w:t>批准文号</w:t>
            </w:r>
          </w:p>
        </w:tc>
        <w:tc>
          <w:tcPr>
            <w:tcW w:w="3122" w:type="dxa"/>
            <w:gridSpan w:val="4"/>
            <w:vAlign w:val="center"/>
          </w:tcPr>
          <w:p>
            <w:pPr>
              <w:pStyle w:val="83"/>
              <w:spacing w:before="0" w:after="0" w:line="400" w:lineRule="exact"/>
              <w:rPr>
                <w:rFonts w:ascii="Times New Roman" w:hAnsi="Times New Roman"/>
              </w:rPr>
            </w:pPr>
            <w:r>
              <w:rPr>
                <w:rFonts w:hint="eastAsia" w:ascii="Times New Roman" w:hAnsi="Times New Roman"/>
              </w:rPr>
              <w:t>2020-340402-35-03-001177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642" w:type="dxa"/>
            <w:vAlign w:val="center"/>
          </w:tcPr>
          <w:p>
            <w:pPr>
              <w:jc w:val="center"/>
              <w:rPr>
                <w:sz w:val="24"/>
                <w:szCs w:val="24"/>
              </w:rPr>
            </w:pPr>
            <w:r>
              <w:rPr>
                <w:rFonts w:hAnsi="宋体"/>
                <w:sz w:val="24"/>
                <w:szCs w:val="24"/>
              </w:rPr>
              <w:t>建设性质</w:t>
            </w:r>
          </w:p>
        </w:tc>
        <w:tc>
          <w:tcPr>
            <w:tcW w:w="3090" w:type="dxa"/>
            <w:gridSpan w:val="5"/>
            <w:vAlign w:val="center"/>
          </w:tcPr>
          <w:p>
            <w:pPr>
              <w:pStyle w:val="83"/>
              <w:spacing w:before="0" w:after="0" w:line="400" w:lineRule="exact"/>
              <w:rPr>
                <w:rFonts w:ascii="Times New Roman" w:hAnsi="Times New Roman"/>
              </w:rPr>
            </w:pPr>
            <w:r>
              <w:rPr>
                <w:rFonts w:hint="eastAsia" w:ascii="Times New Roman"/>
              </w:rPr>
              <w:t>新建</w:t>
            </w:r>
          </w:p>
        </w:tc>
        <w:tc>
          <w:tcPr>
            <w:tcW w:w="1508" w:type="dxa"/>
            <w:gridSpan w:val="2"/>
            <w:vAlign w:val="center"/>
          </w:tcPr>
          <w:p>
            <w:pPr>
              <w:spacing w:line="400" w:lineRule="exact"/>
              <w:jc w:val="center"/>
              <w:rPr>
                <w:sz w:val="24"/>
              </w:rPr>
            </w:pPr>
            <w:r>
              <w:rPr>
                <w:sz w:val="24"/>
              </w:rPr>
              <w:t>行业类别及</w:t>
            </w:r>
          </w:p>
          <w:p>
            <w:pPr>
              <w:spacing w:line="400" w:lineRule="exact"/>
              <w:jc w:val="center"/>
              <w:rPr>
                <w:sz w:val="24"/>
              </w:rPr>
            </w:pPr>
            <w:r>
              <w:rPr>
                <w:sz w:val="24"/>
              </w:rPr>
              <w:t>代码</w:t>
            </w:r>
          </w:p>
        </w:tc>
        <w:tc>
          <w:tcPr>
            <w:tcW w:w="3122" w:type="dxa"/>
            <w:gridSpan w:val="4"/>
            <w:vAlign w:val="center"/>
          </w:tcPr>
          <w:p>
            <w:pPr>
              <w:jc w:val="center"/>
            </w:pPr>
            <w:r>
              <w:rPr>
                <w:sz w:val="24"/>
                <w:szCs w:val="24"/>
              </w:rPr>
              <w:t>C</w:t>
            </w:r>
            <w:r>
              <w:rPr>
                <w:rFonts w:hint="eastAsia"/>
                <w:sz w:val="24"/>
                <w:szCs w:val="24"/>
              </w:rPr>
              <w:t>3511矿山机械制造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642" w:type="dxa"/>
            <w:vAlign w:val="center"/>
          </w:tcPr>
          <w:p>
            <w:pPr>
              <w:jc w:val="center"/>
              <w:rPr>
                <w:sz w:val="24"/>
                <w:szCs w:val="24"/>
              </w:rPr>
            </w:pPr>
            <w:r>
              <w:rPr>
                <w:rFonts w:hAnsi="宋体"/>
                <w:sz w:val="24"/>
                <w:szCs w:val="24"/>
              </w:rPr>
              <w:t>占地面积</w:t>
            </w:r>
          </w:p>
          <w:p>
            <w:pPr>
              <w:jc w:val="center"/>
              <w:rPr>
                <w:sz w:val="24"/>
                <w:szCs w:val="24"/>
              </w:rPr>
            </w:pPr>
            <w:r>
              <w:rPr>
                <w:rFonts w:hAnsi="宋体"/>
                <w:sz w:val="24"/>
                <w:szCs w:val="24"/>
              </w:rPr>
              <w:t>（平方米）</w:t>
            </w:r>
          </w:p>
        </w:tc>
        <w:tc>
          <w:tcPr>
            <w:tcW w:w="3090" w:type="dxa"/>
            <w:gridSpan w:val="5"/>
            <w:vAlign w:val="center"/>
          </w:tcPr>
          <w:p>
            <w:pPr>
              <w:spacing w:line="360" w:lineRule="auto"/>
              <w:jc w:val="center"/>
            </w:pPr>
            <w:r>
              <w:rPr>
                <w:rFonts w:hint="eastAsia"/>
                <w:sz w:val="24"/>
                <w:szCs w:val="24"/>
              </w:rPr>
              <w:t>2000</w:t>
            </w:r>
          </w:p>
        </w:tc>
        <w:tc>
          <w:tcPr>
            <w:tcW w:w="1508" w:type="dxa"/>
            <w:gridSpan w:val="2"/>
            <w:vAlign w:val="center"/>
          </w:tcPr>
          <w:p>
            <w:pPr>
              <w:spacing w:line="400" w:lineRule="exact"/>
              <w:jc w:val="center"/>
              <w:rPr>
                <w:sz w:val="24"/>
              </w:rPr>
            </w:pPr>
            <w:r>
              <w:rPr>
                <w:sz w:val="24"/>
              </w:rPr>
              <w:t>绿化面积</w:t>
            </w:r>
          </w:p>
          <w:p>
            <w:pPr>
              <w:spacing w:line="400" w:lineRule="exact"/>
              <w:jc w:val="center"/>
              <w:rPr>
                <w:sz w:val="24"/>
              </w:rPr>
            </w:pPr>
            <w:r>
              <w:rPr>
                <w:sz w:val="24"/>
              </w:rPr>
              <w:t>（平方米）</w:t>
            </w:r>
          </w:p>
        </w:tc>
        <w:tc>
          <w:tcPr>
            <w:tcW w:w="3122" w:type="dxa"/>
            <w:gridSpan w:val="4"/>
            <w:vAlign w:val="center"/>
          </w:tcPr>
          <w:p>
            <w:pPr>
              <w:pStyle w:val="83"/>
              <w:spacing w:before="0" w:after="0" w:line="400" w:lineRule="exact"/>
              <w:rPr>
                <w:rFonts w:ascii="Times New Roman" w:hAnsi="Times New Roman"/>
              </w:rPr>
            </w:pPr>
            <w:r>
              <w:rPr>
                <w:rFonts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1642" w:type="dxa"/>
            <w:vAlign w:val="center"/>
          </w:tcPr>
          <w:p>
            <w:pPr>
              <w:jc w:val="center"/>
              <w:rPr>
                <w:sz w:val="24"/>
                <w:szCs w:val="24"/>
              </w:rPr>
            </w:pPr>
            <w:r>
              <w:rPr>
                <w:rFonts w:hAnsi="宋体"/>
                <w:sz w:val="24"/>
                <w:szCs w:val="24"/>
              </w:rPr>
              <w:t>总投资</w:t>
            </w:r>
          </w:p>
          <w:p>
            <w:pPr>
              <w:jc w:val="center"/>
              <w:rPr>
                <w:sz w:val="24"/>
                <w:szCs w:val="24"/>
              </w:rPr>
            </w:pPr>
            <w:r>
              <w:rPr>
                <w:rFonts w:hAnsi="宋体"/>
                <w:sz w:val="24"/>
                <w:szCs w:val="24"/>
              </w:rPr>
              <w:t>（万元）</w:t>
            </w:r>
          </w:p>
        </w:tc>
        <w:tc>
          <w:tcPr>
            <w:tcW w:w="1698" w:type="dxa"/>
            <w:vAlign w:val="center"/>
          </w:tcPr>
          <w:p>
            <w:pPr>
              <w:pStyle w:val="83"/>
              <w:spacing w:before="0" w:after="0" w:line="400" w:lineRule="exact"/>
              <w:rPr>
                <w:rFonts w:ascii="Times New Roman" w:hAnsi="Times New Roman"/>
              </w:rPr>
            </w:pPr>
            <w:r>
              <w:rPr>
                <w:rFonts w:hint="eastAsia" w:ascii="Times New Roman" w:hAnsi="Times New Roman"/>
              </w:rPr>
              <w:t>2000</w:t>
            </w:r>
          </w:p>
        </w:tc>
        <w:tc>
          <w:tcPr>
            <w:tcW w:w="1392" w:type="dxa"/>
            <w:gridSpan w:val="4"/>
            <w:vAlign w:val="center"/>
          </w:tcPr>
          <w:p>
            <w:pPr>
              <w:spacing w:line="300" w:lineRule="exact"/>
              <w:jc w:val="center"/>
              <w:rPr>
                <w:sz w:val="24"/>
              </w:rPr>
            </w:pPr>
            <w:r>
              <w:rPr>
                <w:sz w:val="24"/>
              </w:rPr>
              <w:t>其中：环保投资（万元）</w:t>
            </w:r>
          </w:p>
        </w:tc>
        <w:tc>
          <w:tcPr>
            <w:tcW w:w="1508" w:type="dxa"/>
            <w:gridSpan w:val="2"/>
            <w:vAlign w:val="center"/>
          </w:tcPr>
          <w:p>
            <w:pPr>
              <w:pStyle w:val="83"/>
              <w:spacing w:before="0" w:after="0" w:line="400" w:lineRule="exact"/>
              <w:rPr>
                <w:rFonts w:ascii="Times New Roman" w:hAnsi="Times New Roman"/>
              </w:rPr>
            </w:pPr>
            <w:r>
              <w:rPr>
                <w:rFonts w:hint="eastAsia" w:ascii="Times New Roman" w:hAnsi="Times New Roman"/>
              </w:rPr>
              <w:t>15</w:t>
            </w:r>
          </w:p>
        </w:tc>
        <w:tc>
          <w:tcPr>
            <w:tcW w:w="1476" w:type="dxa"/>
            <w:gridSpan w:val="2"/>
            <w:vAlign w:val="center"/>
          </w:tcPr>
          <w:p>
            <w:pPr>
              <w:ind w:left="2"/>
              <w:jc w:val="center"/>
              <w:rPr>
                <w:sz w:val="24"/>
                <w:szCs w:val="24"/>
              </w:rPr>
            </w:pPr>
            <w:r>
              <w:rPr>
                <w:sz w:val="24"/>
                <w:szCs w:val="24"/>
              </w:rPr>
              <w:t>环保投资占</w:t>
            </w:r>
          </w:p>
          <w:p>
            <w:pPr>
              <w:ind w:left="2"/>
              <w:jc w:val="center"/>
              <w:rPr>
                <w:sz w:val="24"/>
                <w:szCs w:val="24"/>
              </w:rPr>
            </w:pPr>
            <w:r>
              <w:rPr>
                <w:sz w:val="24"/>
                <w:szCs w:val="24"/>
              </w:rPr>
              <w:t>总投资比例</w:t>
            </w:r>
          </w:p>
        </w:tc>
        <w:tc>
          <w:tcPr>
            <w:tcW w:w="1646" w:type="dxa"/>
            <w:gridSpan w:val="2"/>
            <w:vAlign w:val="center"/>
          </w:tcPr>
          <w:p>
            <w:pPr>
              <w:rPr>
                <w:sz w:val="24"/>
                <w:szCs w:val="24"/>
              </w:rPr>
            </w:pPr>
            <w:r>
              <w:rPr>
                <w:rFonts w:hint="eastAsia"/>
                <w:sz w:val="24"/>
                <w:szCs w:val="24"/>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642" w:type="dxa"/>
            <w:vAlign w:val="center"/>
          </w:tcPr>
          <w:p>
            <w:pPr>
              <w:jc w:val="center"/>
              <w:rPr>
                <w:sz w:val="24"/>
                <w:szCs w:val="24"/>
              </w:rPr>
            </w:pPr>
            <w:r>
              <w:rPr>
                <w:rFonts w:hAnsi="宋体"/>
                <w:sz w:val="24"/>
                <w:szCs w:val="24"/>
              </w:rPr>
              <w:t>评价经费</w:t>
            </w:r>
          </w:p>
          <w:p>
            <w:pPr>
              <w:jc w:val="center"/>
              <w:rPr>
                <w:sz w:val="24"/>
                <w:szCs w:val="24"/>
              </w:rPr>
            </w:pPr>
            <w:r>
              <w:rPr>
                <w:rFonts w:hAnsi="宋体"/>
                <w:sz w:val="24"/>
                <w:szCs w:val="24"/>
              </w:rPr>
              <w:t>（万元）</w:t>
            </w:r>
          </w:p>
        </w:tc>
        <w:tc>
          <w:tcPr>
            <w:tcW w:w="1698" w:type="dxa"/>
            <w:vAlign w:val="center"/>
          </w:tcPr>
          <w:p>
            <w:pPr>
              <w:pStyle w:val="83"/>
              <w:spacing w:before="0" w:after="0" w:line="400" w:lineRule="exact"/>
              <w:rPr>
                <w:rFonts w:ascii="Times New Roman" w:hAnsi="Times New Roman"/>
              </w:rPr>
            </w:pPr>
          </w:p>
        </w:tc>
        <w:tc>
          <w:tcPr>
            <w:tcW w:w="1392" w:type="dxa"/>
            <w:gridSpan w:val="4"/>
            <w:vAlign w:val="center"/>
          </w:tcPr>
          <w:p>
            <w:pPr>
              <w:spacing w:line="400" w:lineRule="exact"/>
              <w:jc w:val="center"/>
              <w:rPr>
                <w:sz w:val="24"/>
              </w:rPr>
            </w:pPr>
            <w:r>
              <w:rPr>
                <w:rFonts w:hint="eastAsia"/>
                <w:sz w:val="24"/>
              </w:rPr>
              <w:t>投产</w:t>
            </w:r>
            <w:r>
              <w:rPr>
                <w:sz w:val="24"/>
              </w:rPr>
              <w:t>日期</w:t>
            </w:r>
          </w:p>
        </w:tc>
        <w:tc>
          <w:tcPr>
            <w:tcW w:w="4630" w:type="dxa"/>
            <w:gridSpan w:val="6"/>
            <w:vAlign w:val="center"/>
          </w:tcPr>
          <w:p>
            <w:pPr>
              <w:pStyle w:val="83"/>
              <w:spacing w:before="0" w:after="0" w:line="400" w:lineRule="exact"/>
              <w:rPr>
                <w:rFonts w:ascii="Times New Roman" w:hAnsi="Times New Roman"/>
              </w:rPr>
            </w:pPr>
            <w:r>
              <w:rPr>
                <w:rFonts w:ascii="Times New Roman" w:hAnsi="Times New Roman"/>
              </w:rPr>
              <w:t>20</w:t>
            </w:r>
            <w:r>
              <w:rPr>
                <w:rFonts w:hint="eastAsia" w:ascii="Times New Roman" w:hAnsi="Times New Roman"/>
              </w:rPr>
              <w:t>20</w:t>
            </w:r>
            <w:r>
              <w:rPr>
                <w:rFonts w:ascii="Times New Roman"/>
              </w:rPr>
              <w:t>年</w:t>
            </w:r>
            <w:r>
              <w:rPr>
                <w:rFonts w:hint="eastAsia" w:ascii="Times New Roman" w:hAnsi="Times New Roman"/>
              </w:rPr>
              <w:t>6</w:t>
            </w:r>
            <w:r>
              <w:rPr>
                <w:rFonts w:ascii="Times New Roma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9362" w:type="dxa"/>
            <w:gridSpan w:val="12"/>
          </w:tcPr>
          <w:p>
            <w:pPr>
              <w:rPr>
                <w:b/>
                <w:bCs/>
                <w:sz w:val="30"/>
                <w:szCs w:val="30"/>
              </w:rPr>
            </w:pPr>
            <w:r>
              <w:rPr>
                <w:rFonts w:hAnsi="宋体"/>
                <w:b/>
                <w:bCs/>
                <w:sz w:val="30"/>
                <w:szCs w:val="30"/>
              </w:rPr>
              <w:t>工程内容及规模：</w:t>
            </w:r>
          </w:p>
          <w:p>
            <w:pPr>
              <w:adjustRightInd w:val="0"/>
              <w:snapToGrid w:val="0"/>
              <w:spacing w:line="360" w:lineRule="auto"/>
              <w:rPr>
                <w:b/>
                <w:sz w:val="24"/>
                <w:szCs w:val="24"/>
              </w:rPr>
            </w:pPr>
            <w:r>
              <w:rPr>
                <w:rFonts w:hint="eastAsia"/>
                <w:b/>
                <w:sz w:val="24"/>
                <w:szCs w:val="24"/>
              </w:rPr>
              <w:t>1、</w:t>
            </w:r>
            <w:r>
              <w:rPr>
                <w:b/>
                <w:sz w:val="24"/>
                <w:szCs w:val="24"/>
              </w:rPr>
              <w:t>项目的由来</w:t>
            </w:r>
          </w:p>
          <w:p>
            <w:pPr>
              <w:adjustRightInd w:val="0"/>
              <w:snapToGrid w:val="0"/>
              <w:spacing w:line="360" w:lineRule="auto"/>
              <w:ind w:firstLine="360" w:firstLineChars="150"/>
              <w:rPr>
                <w:rFonts w:hAnsi="宋体"/>
                <w:kern w:val="0"/>
                <w:sz w:val="24"/>
                <w:szCs w:val="24"/>
              </w:rPr>
            </w:pPr>
            <w:r>
              <w:rPr>
                <w:rFonts w:hAnsi="宋体"/>
                <w:kern w:val="0"/>
                <w:sz w:val="24"/>
                <w:szCs w:val="24"/>
              </w:rPr>
              <w:t>根据市场发展需要，</w:t>
            </w:r>
            <w:r>
              <w:rPr>
                <w:rFonts w:hint="eastAsia" w:hAnsi="宋体"/>
                <w:kern w:val="0"/>
                <w:sz w:val="24"/>
                <w:szCs w:val="24"/>
              </w:rPr>
              <w:t>安徽创立煤矿机械有限公司</w:t>
            </w:r>
            <w:r>
              <w:rPr>
                <w:rFonts w:hAnsi="宋体"/>
                <w:kern w:val="0"/>
                <w:sz w:val="24"/>
                <w:szCs w:val="24"/>
              </w:rPr>
              <w:t>拟投资</w:t>
            </w:r>
            <w:r>
              <w:rPr>
                <w:rFonts w:hint="eastAsia" w:hAnsi="宋体"/>
                <w:kern w:val="0"/>
                <w:sz w:val="24"/>
                <w:szCs w:val="24"/>
              </w:rPr>
              <w:t>2000万元租赁大通工业聚集区位于大通区康宝路北侧标准化厂房，建设年产100套矿用掘进临时支护系统项目。</w:t>
            </w:r>
            <w:r>
              <w:rPr>
                <w:rFonts w:hAnsi="宋体"/>
                <w:kern w:val="0"/>
                <w:sz w:val="24"/>
                <w:szCs w:val="24"/>
              </w:rPr>
              <w:t>项目已于20</w:t>
            </w:r>
            <w:r>
              <w:rPr>
                <w:rFonts w:hint="eastAsia" w:hAnsi="宋体"/>
                <w:kern w:val="0"/>
                <w:sz w:val="24"/>
                <w:szCs w:val="24"/>
              </w:rPr>
              <w:t>20</w:t>
            </w:r>
            <w:r>
              <w:rPr>
                <w:rFonts w:hAnsi="宋体"/>
                <w:kern w:val="0"/>
                <w:sz w:val="24"/>
                <w:szCs w:val="24"/>
              </w:rPr>
              <w:t>年</w:t>
            </w:r>
            <w:r>
              <w:rPr>
                <w:rFonts w:hint="eastAsia" w:hAnsi="宋体"/>
                <w:kern w:val="0"/>
                <w:sz w:val="24"/>
                <w:szCs w:val="24"/>
              </w:rPr>
              <w:t>1</w:t>
            </w:r>
            <w:r>
              <w:rPr>
                <w:rFonts w:hAnsi="宋体"/>
                <w:kern w:val="0"/>
                <w:sz w:val="24"/>
                <w:szCs w:val="24"/>
              </w:rPr>
              <w:t>月</w:t>
            </w:r>
            <w:r>
              <w:rPr>
                <w:rFonts w:hint="eastAsia" w:hAnsi="宋体"/>
                <w:kern w:val="0"/>
                <w:sz w:val="24"/>
                <w:szCs w:val="24"/>
              </w:rPr>
              <w:t>15</w:t>
            </w:r>
            <w:r>
              <w:rPr>
                <w:rFonts w:hAnsi="宋体"/>
                <w:kern w:val="0"/>
                <w:sz w:val="24"/>
                <w:szCs w:val="24"/>
              </w:rPr>
              <w:t>日由</w:t>
            </w:r>
            <w:r>
              <w:rPr>
                <w:rFonts w:hint="eastAsia" w:hAnsi="宋体"/>
                <w:kern w:val="0"/>
                <w:sz w:val="24"/>
                <w:szCs w:val="24"/>
              </w:rPr>
              <w:t>淮南市大通区发展和改革委员会</w:t>
            </w:r>
            <w:r>
              <w:rPr>
                <w:rFonts w:hAnsi="宋体"/>
                <w:kern w:val="0"/>
                <w:sz w:val="24"/>
                <w:szCs w:val="24"/>
              </w:rPr>
              <w:t>（项目代码</w:t>
            </w:r>
            <w:r>
              <w:rPr>
                <w:rFonts w:hint="eastAsia" w:hAnsi="宋体"/>
                <w:kern w:val="0"/>
                <w:sz w:val="24"/>
                <w:szCs w:val="24"/>
              </w:rPr>
              <w:t>2020-340402-35-03-001177</w:t>
            </w:r>
            <w:r>
              <w:rPr>
                <w:rFonts w:hAnsi="宋体"/>
                <w:kern w:val="0"/>
                <w:sz w:val="24"/>
                <w:szCs w:val="24"/>
              </w:rPr>
              <w:t>）备案。</w:t>
            </w:r>
          </w:p>
          <w:p>
            <w:pPr>
              <w:snapToGrid w:val="0"/>
              <w:spacing w:line="360" w:lineRule="auto"/>
              <w:ind w:firstLine="480" w:firstLineChars="200"/>
              <w:rPr>
                <w:rFonts w:hAnsi="宋体"/>
                <w:sz w:val="24"/>
                <w:szCs w:val="24"/>
              </w:rPr>
            </w:pPr>
            <w:r>
              <w:rPr>
                <w:rFonts w:hAnsi="宋体"/>
                <w:sz w:val="24"/>
                <w:szCs w:val="24"/>
              </w:rPr>
              <w:t>按照《中华人民共和国环境保护法》、《中华人民共和国环境影响评价法》、《建设项目环境保护管理条例》</w:t>
            </w:r>
            <w:r>
              <w:rPr>
                <w:rFonts w:hint="eastAsia" w:hAnsi="宋体"/>
                <w:sz w:val="24"/>
                <w:szCs w:val="24"/>
              </w:rPr>
              <w:t>（国令第682号）</w:t>
            </w:r>
            <w:r>
              <w:rPr>
                <w:rFonts w:hAnsi="宋体"/>
                <w:sz w:val="24"/>
                <w:szCs w:val="24"/>
              </w:rPr>
              <w:t>等法规文件</w:t>
            </w:r>
            <w:r>
              <w:rPr>
                <w:rFonts w:hint="eastAsia" w:hAnsi="宋体"/>
                <w:sz w:val="24"/>
                <w:szCs w:val="24"/>
              </w:rPr>
              <w:t>，本项目属于二十四类专业设备制造业中第70项专用设备制造及维修中其他（仅组装的除外），需编制环境影响评价报告表</w:t>
            </w:r>
            <w:r>
              <w:rPr>
                <w:rFonts w:hAnsi="宋体"/>
                <w:sz w:val="24"/>
                <w:szCs w:val="24"/>
              </w:rPr>
              <w:t>。因此建设</w:t>
            </w:r>
            <w:r>
              <w:rPr>
                <w:rFonts w:hint="eastAsia" w:hAnsi="宋体"/>
                <w:sz w:val="24"/>
                <w:szCs w:val="24"/>
              </w:rPr>
              <w:t>单位安徽创立煤矿机械有限公司</w:t>
            </w:r>
            <w:r>
              <w:rPr>
                <w:rFonts w:hAnsi="宋体"/>
                <w:sz w:val="24"/>
                <w:szCs w:val="24"/>
              </w:rPr>
              <w:t>委托</w:t>
            </w:r>
            <w:r>
              <w:rPr>
                <w:rFonts w:hint="eastAsia" w:hAnsi="宋体"/>
                <w:sz w:val="24"/>
                <w:szCs w:val="24"/>
              </w:rPr>
              <w:t>江西展航环保科技有限公司</w:t>
            </w:r>
            <w:r>
              <w:rPr>
                <w:rFonts w:hAnsi="宋体"/>
                <w:sz w:val="24"/>
                <w:szCs w:val="24"/>
              </w:rPr>
              <w:t>承担本项目环境影响报告表的编制工作。接受委托后，我单位有关工程技术人员对本项目进行了的详细的现场踏勘、资料收集工作，在对本项目工程有关环境现状和可能造成的环境影响进行分析后，依照环境影响评价技术导则的要求编制了环境影响报告表。</w:t>
            </w:r>
          </w:p>
          <w:p>
            <w:pPr>
              <w:adjustRightInd w:val="0"/>
              <w:snapToGrid w:val="0"/>
              <w:spacing w:line="360" w:lineRule="auto"/>
              <w:rPr>
                <w:b/>
                <w:sz w:val="24"/>
                <w:szCs w:val="24"/>
              </w:rPr>
            </w:pPr>
            <w:r>
              <w:rPr>
                <w:rFonts w:hint="eastAsia"/>
                <w:b/>
                <w:sz w:val="24"/>
                <w:szCs w:val="24"/>
              </w:rPr>
              <w:t>2</w:t>
            </w:r>
            <w:r>
              <w:rPr>
                <w:b/>
                <w:sz w:val="24"/>
                <w:szCs w:val="24"/>
              </w:rPr>
              <w:t>、</w:t>
            </w:r>
            <w:r>
              <w:rPr>
                <w:rFonts w:hint="eastAsia"/>
                <w:b/>
                <w:sz w:val="24"/>
                <w:szCs w:val="24"/>
              </w:rPr>
              <w:t>拟建项目建设内容及生产规模</w:t>
            </w:r>
          </w:p>
          <w:p>
            <w:pPr>
              <w:snapToGrid w:val="0"/>
              <w:spacing w:line="360" w:lineRule="auto"/>
              <w:ind w:firstLine="480" w:firstLineChars="200"/>
              <w:rPr>
                <w:sz w:val="24"/>
                <w:szCs w:val="24"/>
              </w:rPr>
            </w:pPr>
            <w:r>
              <w:rPr>
                <w:rFonts w:hint="eastAsia"/>
                <w:sz w:val="24"/>
                <w:szCs w:val="24"/>
              </w:rPr>
              <w:t>拟建项目投资2000万元，租赁</w:t>
            </w:r>
            <w:r>
              <w:rPr>
                <w:rFonts w:hint="eastAsia" w:hAnsi="宋体"/>
                <w:kern w:val="0"/>
                <w:sz w:val="24"/>
                <w:szCs w:val="24"/>
              </w:rPr>
              <w:t>大通工业聚集区位于大通区康宝路北侧标准化厂房，租赁厂房面积2000m</w:t>
            </w:r>
            <w:r>
              <w:rPr>
                <w:rFonts w:hint="eastAsia" w:hAnsi="宋体"/>
                <w:kern w:val="0"/>
                <w:sz w:val="24"/>
                <w:szCs w:val="24"/>
                <w:vertAlign w:val="superscript"/>
              </w:rPr>
              <w:t>2</w:t>
            </w:r>
            <w:r>
              <w:rPr>
                <w:rFonts w:hint="eastAsia" w:hAnsi="宋体"/>
                <w:kern w:val="0"/>
                <w:sz w:val="24"/>
                <w:szCs w:val="24"/>
              </w:rPr>
              <w:t>，购置</w:t>
            </w:r>
            <w:r>
              <w:rPr>
                <w:rFonts w:hint="eastAsia"/>
                <w:sz w:val="24"/>
                <w:szCs w:val="24"/>
              </w:rPr>
              <w:t>数控车床、数控加工中心、激光切割机、车床、滚齿机、磨床</w:t>
            </w:r>
            <w:r>
              <w:rPr>
                <w:rFonts w:hint="eastAsia" w:hAnsi="宋体"/>
                <w:kern w:val="0"/>
                <w:sz w:val="24"/>
                <w:szCs w:val="24"/>
              </w:rPr>
              <w:t>等生产设备进行生产</w:t>
            </w:r>
            <w:r>
              <w:rPr>
                <w:rFonts w:hint="eastAsia"/>
                <w:sz w:val="24"/>
                <w:szCs w:val="24"/>
              </w:rPr>
              <w:t>。</w:t>
            </w:r>
            <w:r>
              <w:rPr>
                <w:rFonts w:hint="eastAsia" w:hAnsi="宋体"/>
                <w:kern w:val="0"/>
                <w:sz w:val="24"/>
                <w:szCs w:val="24"/>
              </w:rPr>
              <w:t>项目建成后将形成年产矿用掘进临时支护系统100套的生产能力。</w:t>
            </w:r>
            <w:r>
              <w:rPr>
                <w:rFonts w:hint="eastAsia"/>
                <w:sz w:val="24"/>
                <w:szCs w:val="24"/>
              </w:rPr>
              <w:t>拟建项目</w:t>
            </w:r>
            <w:r>
              <w:rPr>
                <w:sz w:val="24"/>
                <w:szCs w:val="24"/>
              </w:rPr>
              <w:t>建设组成详见表</w:t>
            </w:r>
            <w:r>
              <w:rPr>
                <w:rFonts w:hint="eastAsia"/>
                <w:sz w:val="24"/>
                <w:szCs w:val="24"/>
              </w:rPr>
              <w:t>1：</w:t>
            </w:r>
          </w:p>
          <w:p>
            <w:pPr>
              <w:jc w:val="center"/>
              <w:rPr>
                <w:b/>
                <w:szCs w:val="21"/>
              </w:rPr>
            </w:pPr>
            <w:r>
              <w:rPr>
                <w:b/>
                <w:szCs w:val="21"/>
              </w:rPr>
              <w:t>表</w:t>
            </w:r>
            <w:r>
              <w:rPr>
                <w:rFonts w:hint="eastAsia"/>
                <w:b/>
                <w:szCs w:val="21"/>
              </w:rPr>
              <w:t>1拟建项目</w:t>
            </w:r>
            <w:r>
              <w:rPr>
                <w:b/>
                <w:szCs w:val="21"/>
              </w:rPr>
              <w:t>组成一览表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062"/>
              <w:gridCol w:w="1488"/>
              <w:gridCol w:w="3375"/>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adjustRightInd w:val="0"/>
                    <w:jc w:val="center"/>
                    <w:rPr>
                      <w:szCs w:val="21"/>
                    </w:rPr>
                  </w:pPr>
                  <w:r>
                    <w:rPr>
                      <w:szCs w:val="21"/>
                    </w:rPr>
                    <w:t>序号</w:t>
                  </w:r>
                </w:p>
              </w:tc>
              <w:tc>
                <w:tcPr>
                  <w:tcW w:w="1062" w:type="dxa"/>
                  <w:vAlign w:val="center"/>
                </w:tcPr>
                <w:p>
                  <w:pPr>
                    <w:adjustRightInd w:val="0"/>
                    <w:jc w:val="center"/>
                    <w:rPr>
                      <w:szCs w:val="21"/>
                    </w:rPr>
                  </w:pPr>
                  <w:r>
                    <w:rPr>
                      <w:szCs w:val="21"/>
                    </w:rPr>
                    <w:t>工程类别</w:t>
                  </w:r>
                </w:p>
              </w:tc>
              <w:tc>
                <w:tcPr>
                  <w:tcW w:w="1488" w:type="dxa"/>
                  <w:vAlign w:val="center"/>
                </w:tcPr>
                <w:p>
                  <w:pPr>
                    <w:adjustRightInd w:val="0"/>
                    <w:jc w:val="center"/>
                    <w:rPr>
                      <w:szCs w:val="21"/>
                    </w:rPr>
                  </w:pPr>
                  <w:r>
                    <w:rPr>
                      <w:szCs w:val="21"/>
                    </w:rPr>
                    <w:t>单项工程名称</w:t>
                  </w:r>
                </w:p>
              </w:tc>
              <w:tc>
                <w:tcPr>
                  <w:tcW w:w="3375" w:type="dxa"/>
                  <w:vAlign w:val="center"/>
                </w:tcPr>
                <w:p>
                  <w:pPr>
                    <w:adjustRightInd w:val="0"/>
                    <w:jc w:val="center"/>
                    <w:rPr>
                      <w:szCs w:val="21"/>
                    </w:rPr>
                  </w:pPr>
                  <w:r>
                    <w:rPr>
                      <w:szCs w:val="21"/>
                    </w:rPr>
                    <w:t>工程内容</w:t>
                  </w:r>
                </w:p>
              </w:tc>
              <w:tc>
                <w:tcPr>
                  <w:tcW w:w="2478" w:type="dxa"/>
                  <w:vAlign w:val="center"/>
                </w:tcPr>
                <w:p>
                  <w:pPr>
                    <w:adjustRightInd w:val="0"/>
                    <w:jc w:val="center"/>
                    <w:rPr>
                      <w:szCs w:val="21"/>
                    </w:rPr>
                  </w:pPr>
                  <w:r>
                    <w:rPr>
                      <w:szCs w:val="21"/>
                    </w:rPr>
                    <w:t>工程规模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adjustRightInd w:val="0"/>
                    <w:jc w:val="center"/>
                    <w:rPr>
                      <w:szCs w:val="21"/>
                    </w:rPr>
                  </w:pPr>
                  <w:r>
                    <w:rPr>
                      <w:szCs w:val="21"/>
                    </w:rPr>
                    <w:t>1</w:t>
                  </w:r>
                </w:p>
              </w:tc>
              <w:tc>
                <w:tcPr>
                  <w:tcW w:w="1062" w:type="dxa"/>
                  <w:vAlign w:val="center"/>
                </w:tcPr>
                <w:p>
                  <w:pPr>
                    <w:adjustRightInd w:val="0"/>
                    <w:jc w:val="center"/>
                    <w:rPr>
                      <w:szCs w:val="21"/>
                    </w:rPr>
                  </w:pPr>
                  <w:r>
                    <w:rPr>
                      <w:szCs w:val="21"/>
                    </w:rPr>
                    <w:t>主体工程</w:t>
                  </w:r>
                </w:p>
              </w:tc>
              <w:tc>
                <w:tcPr>
                  <w:tcW w:w="1488" w:type="dxa"/>
                  <w:vAlign w:val="center"/>
                </w:tcPr>
                <w:p>
                  <w:pPr>
                    <w:adjustRightInd w:val="0"/>
                    <w:jc w:val="center"/>
                    <w:rPr>
                      <w:szCs w:val="21"/>
                    </w:rPr>
                  </w:pPr>
                  <w:r>
                    <w:rPr>
                      <w:rFonts w:hint="eastAsia"/>
                      <w:szCs w:val="21"/>
                    </w:rPr>
                    <w:t>生产区</w:t>
                  </w:r>
                </w:p>
              </w:tc>
              <w:tc>
                <w:tcPr>
                  <w:tcW w:w="3375" w:type="dxa"/>
                  <w:vAlign w:val="center"/>
                </w:tcPr>
                <w:p>
                  <w:pPr>
                    <w:adjustRightInd w:val="0"/>
                    <w:jc w:val="center"/>
                    <w:rPr>
                      <w:szCs w:val="21"/>
                    </w:rPr>
                  </w:pPr>
                  <w:r>
                    <w:rPr>
                      <w:szCs w:val="21"/>
                    </w:rPr>
                    <w:t>设置</w:t>
                  </w:r>
                  <w:r>
                    <w:rPr>
                      <w:rFonts w:hint="eastAsia"/>
                      <w:szCs w:val="21"/>
                    </w:rPr>
                    <w:t>3台数控车床、2台数控加工中心、1台激光数控切割机、2台普通车床、1台滚齿机、1外圆磨床、1套工具磨床、1台万能铣床、1台剪板机、2台自动焊接、2台电焊机、2台台钻、1台摇臂钻床、1台单柱万能液压机、1台空压机、1台滤油机、2台力值传感器、1台压力变送器</w:t>
                  </w:r>
                </w:p>
              </w:tc>
              <w:tc>
                <w:tcPr>
                  <w:tcW w:w="2478" w:type="dxa"/>
                  <w:vAlign w:val="center"/>
                </w:tcPr>
                <w:p>
                  <w:pPr>
                    <w:adjustRightInd w:val="0"/>
                    <w:jc w:val="center"/>
                    <w:rPr>
                      <w:szCs w:val="21"/>
                    </w:rPr>
                  </w:pPr>
                  <w:r>
                    <w:rPr>
                      <w:rFonts w:hint="eastAsia"/>
                      <w:szCs w:val="21"/>
                    </w:rPr>
                    <w:t>建筑面积1900m</w:t>
                  </w:r>
                  <w:r>
                    <w:rPr>
                      <w:rFonts w:hint="eastAsia"/>
                      <w:szCs w:val="21"/>
                      <w:vertAlign w:val="superscript"/>
                    </w:rPr>
                    <w:t>2</w:t>
                  </w:r>
                  <w:r>
                    <w:rPr>
                      <w:rFonts w:hint="eastAsia"/>
                      <w:szCs w:val="21"/>
                    </w:rPr>
                    <w:t>，年产矿用掘进临时支护系统100套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Align w:val="center"/>
                </w:tcPr>
                <w:p>
                  <w:pPr>
                    <w:adjustRightInd w:val="0"/>
                    <w:jc w:val="center"/>
                    <w:rPr>
                      <w:szCs w:val="21"/>
                    </w:rPr>
                  </w:pPr>
                  <w:r>
                    <w:rPr>
                      <w:szCs w:val="21"/>
                    </w:rPr>
                    <w:t>2</w:t>
                  </w:r>
                </w:p>
              </w:tc>
              <w:tc>
                <w:tcPr>
                  <w:tcW w:w="1062" w:type="dxa"/>
                  <w:vAlign w:val="center"/>
                </w:tcPr>
                <w:p>
                  <w:pPr>
                    <w:adjustRightInd w:val="0"/>
                    <w:jc w:val="center"/>
                    <w:rPr>
                      <w:szCs w:val="21"/>
                    </w:rPr>
                  </w:pPr>
                  <w:r>
                    <w:rPr>
                      <w:szCs w:val="21"/>
                    </w:rPr>
                    <w:t>辅助工程</w:t>
                  </w:r>
                </w:p>
              </w:tc>
              <w:tc>
                <w:tcPr>
                  <w:tcW w:w="1488" w:type="dxa"/>
                  <w:vAlign w:val="center"/>
                </w:tcPr>
                <w:p>
                  <w:pPr>
                    <w:adjustRightInd w:val="0"/>
                    <w:jc w:val="center"/>
                    <w:rPr>
                      <w:szCs w:val="21"/>
                    </w:rPr>
                  </w:pPr>
                  <w:r>
                    <w:rPr>
                      <w:rFonts w:hint="eastAsia"/>
                      <w:szCs w:val="21"/>
                    </w:rPr>
                    <w:t>办公室</w:t>
                  </w:r>
                </w:p>
              </w:tc>
              <w:tc>
                <w:tcPr>
                  <w:tcW w:w="3375" w:type="dxa"/>
                  <w:vAlign w:val="center"/>
                </w:tcPr>
                <w:p>
                  <w:pPr>
                    <w:adjustRightInd w:val="0"/>
                    <w:jc w:val="center"/>
                    <w:rPr>
                      <w:szCs w:val="21"/>
                    </w:rPr>
                  </w:pPr>
                  <w:r>
                    <w:rPr>
                      <w:rFonts w:hint="eastAsia"/>
                      <w:szCs w:val="21"/>
                    </w:rPr>
                    <w:t>办公、接待</w:t>
                  </w:r>
                </w:p>
              </w:tc>
              <w:tc>
                <w:tcPr>
                  <w:tcW w:w="2478" w:type="dxa"/>
                  <w:vAlign w:val="center"/>
                </w:tcPr>
                <w:p>
                  <w:pPr>
                    <w:adjustRightInd w:val="0"/>
                    <w:jc w:val="center"/>
                    <w:rPr>
                      <w:szCs w:val="21"/>
                    </w:rPr>
                  </w:pPr>
                  <w:r>
                    <w:rPr>
                      <w:rFonts w:hint="eastAsia"/>
                      <w:szCs w:val="21"/>
                    </w:rPr>
                    <w:t>建筑面积70m</w:t>
                  </w:r>
                  <w:r>
                    <w:rPr>
                      <w:rFonts w:hint="eastAsia"/>
                      <w:szCs w:val="21"/>
                      <w:vertAlign w:val="superscript"/>
                    </w:rPr>
                    <w:t>2</w:t>
                  </w:r>
                  <w:r>
                    <w:rPr>
                      <w:rFonts w:hint="eastAsia"/>
                      <w:szCs w:val="21"/>
                    </w:rPr>
                    <w:t>，位于生产车间南侧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restart"/>
                  <w:vAlign w:val="center"/>
                </w:tcPr>
                <w:p>
                  <w:pPr>
                    <w:adjustRightInd w:val="0"/>
                    <w:jc w:val="center"/>
                    <w:rPr>
                      <w:szCs w:val="21"/>
                    </w:rPr>
                  </w:pPr>
                  <w:r>
                    <w:rPr>
                      <w:szCs w:val="21"/>
                    </w:rPr>
                    <w:t>3</w:t>
                  </w:r>
                </w:p>
              </w:tc>
              <w:tc>
                <w:tcPr>
                  <w:tcW w:w="1062" w:type="dxa"/>
                  <w:vMerge w:val="restart"/>
                  <w:vAlign w:val="center"/>
                </w:tcPr>
                <w:p>
                  <w:pPr>
                    <w:adjustRightInd w:val="0"/>
                    <w:jc w:val="center"/>
                    <w:rPr>
                      <w:szCs w:val="21"/>
                    </w:rPr>
                  </w:pPr>
                  <w:r>
                    <w:rPr>
                      <w:szCs w:val="21"/>
                    </w:rPr>
                    <w:t>储运工程</w:t>
                  </w:r>
                </w:p>
              </w:tc>
              <w:tc>
                <w:tcPr>
                  <w:tcW w:w="1488" w:type="dxa"/>
                  <w:vAlign w:val="center"/>
                </w:tcPr>
                <w:p>
                  <w:pPr>
                    <w:adjustRightInd w:val="0"/>
                    <w:jc w:val="center"/>
                    <w:rPr>
                      <w:szCs w:val="21"/>
                    </w:rPr>
                  </w:pPr>
                  <w:r>
                    <w:rPr>
                      <w:rFonts w:hint="eastAsia"/>
                      <w:szCs w:val="21"/>
                    </w:rPr>
                    <w:t>原材料区</w:t>
                  </w:r>
                </w:p>
              </w:tc>
              <w:tc>
                <w:tcPr>
                  <w:tcW w:w="5853" w:type="dxa"/>
                  <w:gridSpan w:val="2"/>
                  <w:vAlign w:val="center"/>
                </w:tcPr>
                <w:p>
                  <w:pPr>
                    <w:adjustRightInd w:val="0"/>
                    <w:jc w:val="center"/>
                    <w:rPr>
                      <w:szCs w:val="21"/>
                    </w:rPr>
                  </w:pPr>
                  <w:r>
                    <w:rPr>
                      <w:rFonts w:hint="eastAsia"/>
                      <w:szCs w:val="21"/>
                    </w:rPr>
                    <w:t>位于车间东南侧，钢材</w:t>
                  </w:r>
                  <w:r>
                    <w:rPr>
                      <w:szCs w:val="21"/>
                    </w:rPr>
                    <w:t>仓储量约</w:t>
                  </w:r>
                  <w:r>
                    <w:rPr>
                      <w:rFonts w:hint="eastAsia"/>
                      <w:szCs w:val="21"/>
                    </w:rPr>
                    <w:t>42t</w:t>
                  </w:r>
                  <w:r>
                    <w:rPr>
                      <w:szCs w:val="21"/>
                    </w:rPr>
                    <w:t>，周转周期1个月；</w:t>
                  </w:r>
                  <w:r>
                    <w:rPr>
                      <w:rFonts w:hint="eastAsia"/>
                      <w:szCs w:val="21"/>
                    </w:rPr>
                    <w:t>液压件</w:t>
                  </w:r>
                  <w:r>
                    <w:rPr>
                      <w:szCs w:val="21"/>
                    </w:rPr>
                    <w:t>仓储量约</w:t>
                  </w:r>
                  <w:r>
                    <w:rPr>
                      <w:rFonts w:hint="eastAsia"/>
                      <w:szCs w:val="21"/>
                    </w:rPr>
                    <w:t>11件</w:t>
                  </w:r>
                  <w:r>
                    <w:rPr>
                      <w:szCs w:val="21"/>
                    </w:rPr>
                    <w:t>，周转周期1个月；</w:t>
                  </w:r>
                  <w:r>
                    <w:rPr>
                      <w:rFonts w:hint="eastAsia"/>
                      <w:szCs w:val="21"/>
                    </w:rPr>
                    <w:t>胶管</w:t>
                  </w:r>
                  <w:r>
                    <w:rPr>
                      <w:szCs w:val="21"/>
                    </w:rPr>
                    <w:t>仓储量约</w:t>
                  </w:r>
                  <w:r>
                    <w:rPr>
                      <w:rFonts w:hint="eastAsia"/>
                      <w:szCs w:val="21"/>
                    </w:rPr>
                    <w:t>100米</w:t>
                  </w:r>
                  <w:r>
                    <w:rPr>
                      <w:szCs w:val="21"/>
                    </w:rPr>
                    <w:t>，周转周期1个月</w:t>
                  </w:r>
                  <w:r>
                    <w:rPr>
                      <w:rFonts w:hint="eastAsia"/>
                      <w:szCs w:val="21"/>
                    </w:rPr>
                    <w:t>、单体支柱</w:t>
                  </w:r>
                  <w:r>
                    <w:rPr>
                      <w:szCs w:val="21"/>
                    </w:rPr>
                    <w:t>仓储量约</w:t>
                  </w:r>
                  <w:r>
                    <w:rPr>
                      <w:rFonts w:hint="eastAsia"/>
                      <w:szCs w:val="21"/>
                    </w:rPr>
                    <w:t>33个，</w:t>
                  </w:r>
                  <w:r>
                    <w:rPr>
                      <w:szCs w:val="21"/>
                    </w:rPr>
                    <w:t>周转周期1个月</w:t>
                  </w:r>
                  <w:r>
                    <w:rPr>
                      <w:rFonts w:hint="eastAsia"/>
                      <w:szCs w:val="21"/>
                    </w:rPr>
                    <w:t>，油缸</w:t>
                  </w:r>
                  <w:r>
                    <w:rPr>
                      <w:szCs w:val="21"/>
                    </w:rPr>
                    <w:t>仓储量约</w:t>
                  </w:r>
                  <w:r>
                    <w:rPr>
                      <w:rFonts w:hint="eastAsia"/>
                      <w:szCs w:val="21"/>
                    </w:rPr>
                    <w:t>25只，</w:t>
                  </w:r>
                  <w:r>
                    <w:rPr>
                      <w:szCs w:val="21"/>
                    </w:rPr>
                    <w:t>周转周期1个月</w:t>
                  </w:r>
                  <w:r>
                    <w:rPr>
                      <w:rFonts w:hint="eastAsia"/>
                      <w:szCs w:val="21"/>
                    </w:rPr>
                    <w:t>；智能控制板</w:t>
                  </w:r>
                  <w:r>
                    <w:rPr>
                      <w:szCs w:val="21"/>
                    </w:rPr>
                    <w:t>仓储量约</w:t>
                  </w:r>
                  <w:r>
                    <w:rPr>
                      <w:rFonts w:hint="eastAsia"/>
                      <w:szCs w:val="21"/>
                    </w:rPr>
                    <w:t>10只，液晶显示屏</w:t>
                  </w:r>
                  <w:r>
                    <w:rPr>
                      <w:szCs w:val="21"/>
                    </w:rPr>
                    <w:t>仓储量约</w:t>
                  </w:r>
                  <w:r>
                    <w:rPr>
                      <w:rFonts w:hint="eastAsia"/>
                      <w:szCs w:val="21"/>
                    </w:rPr>
                    <w:t>10只，</w:t>
                  </w:r>
                  <w:r>
                    <w:rPr>
                      <w:szCs w:val="21"/>
                    </w:rPr>
                    <w:t>周转周期</w:t>
                  </w:r>
                  <w:r>
                    <w:rPr>
                      <w:rFonts w:hint="eastAsia"/>
                      <w:szCs w:val="21"/>
                    </w:rPr>
                    <w:t>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Cs w:val="21"/>
                    </w:rPr>
                  </w:pPr>
                </w:p>
              </w:tc>
              <w:tc>
                <w:tcPr>
                  <w:tcW w:w="1062" w:type="dxa"/>
                  <w:vMerge w:val="continue"/>
                  <w:vAlign w:val="center"/>
                </w:tcPr>
                <w:p>
                  <w:pPr>
                    <w:adjustRightInd w:val="0"/>
                    <w:jc w:val="center"/>
                    <w:rPr>
                      <w:szCs w:val="21"/>
                    </w:rPr>
                  </w:pPr>
                </w:p>
              </w:tc>
              <w:tc>
                <w:tcPr>
                  <w:tcW w:w="1488" w:type="dxa"/>
                  <w:vAlign w:val="center"/>
                </w:tcPr>
                <w:p>
                  <w:pPr>
                    <w:adjustRightInd w:val="0"/>
                    <w:jc w:val="center"/>
                    <w:rPr>
                      <w:szCs w:val="21"/>
                    </w:rPr>
                  </w:pPr>
                  <w:r>
                    <w:rPr>
                      <w:rFonts w:hint="eastAsia"/>
                      <w:szCs w:val="21"/>
                    </w:rPr>
                    <w:t>成品区</w:t>
                  </w:r>
                </w:p>
              </w:tc>
              <w:tc>
                <w:tcPr>
                  <w:tcW w:w="3375" w:type="dxa"/>
                  <w:vAlign w:val="center"/>
                </w:tcPr>
                <w:p>
                  <w:pPr>
                    <w:adjustRightInd w:val="0"/>
                    <w:jc w:val="center"/>
                    <w:rPr>
                      <w:szCs w:val="21"/>
                    </w:rPr>
                  </w:pPr>
                  <w:r>
                    <w:rPr>
                      <w:rFonts w:hint="eastAsia"/>
                      <w:szCs w:val="21"/>
                    </w:rPr>
                    <w:t>成品临时仓储</w:t>
                  </w:r>
                </w:p>
              </w:tc>
              <w:tc>
                <w:tcPr>
                  <w:tcW w:w="2478" w:type="dxa"/>
                  <w:vAlign w:val="center"/>
                </w:tcPr>
                <w:p>
                  <w:pPr>
                    <w:adjustRightInd w:val="0"/>
                    <w:jc w:val="center"/>
                    <w:rPr>
                      <w:szCs w:val="21"/>
                    </w:rPr>
                  </w:pPr>
                  <w:r>
                    <w:rPr>
                      <w:rFonts w:hint="eastAsia"/>
                      <w:szCs w:val="21"/>
                    </w:rPr>
                    <w:t>位于生产车间东北侧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Cs w:val="21"/>
                    </w:rPr>
                  </w:pPr>
                </w:p>
              </w:tc>
              <w:tc>
                <w:tcPr>
                  <w:tcW w:w="1062" w:type="dxa"/>
                  <w:vMerge w:val="continue"/>
                  <w:vAlign w:val="center"/>
                </w:tcPr>
                <w:p>
                  <w:pPr>
                    <w:adjustRightInd w:val="0"/>
                    <w:jc w:val="center"/>
                    <w:rPr>
                      <w:szCs w:val="21"/>
                    </w:rPr>
                  </w:pPr>
                </w:p>
              </w:tc>
              <w:tc>
                <w:tcPr>
                  <w:tcW w:w="1488" w:type="dxa"/>
                  <w:vAlign w:val="center"/>
                </w:tcPr>
                <w:p>
                  <w:pPr>
                    <w:adjustRightInd w:val="0"/>
                    <w:jc w:val="center"/>
                    <w:rPr>
                      <w:szCs w:val="21"/>
                    </w:rPr>
                  </w:pPr>
                  <w:r>
                    <w:rPr>
                      <w:rFonts w:hint="eastAsia"/>
                      <w:szCs w:val="21"/>
                    </w:rPr>
                    <w:t>运输系统</w:t>
                  </w:r>
                </w:p>
              </w:tc>
              <w:tc>
                <w:tcPr>
                  <w:tcW w:w="3375" w:type="dxa"/>
                  <w:vAlign w:val="center"/>
                </w:tcPr>
                <w:p>
                  <w:pPr>
                    <w:adjustRightInd w:val="0"/>
                    <w:jc w:val="center"/>
                    <w:rPr>
                      <w:szCs w:val="21"/>
                    </w:rPr>
                  </w:pPr>
                  <w:r>
                    <w:rPr>
                      <w:rFonts w:hint="eastAsia"/>
                      <w:szCs w:val="21"/>
                    </w:rPr>
                    <w:t>原材料采用汽车运输</w:t>
                  </w:r>
                </w:p>
              </w:tc>
              <w:tc>
                <w:tcPr>
                  <w:tcW w:w="2478" w:type="dxa"/>
                  <w:vAlign w:val="center"/>
                </w:tcPr>
                <w:p>
                  <w:pPr>
                    <w:adjustRightInd w:val="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restart"/>
                  <w:vAlign w:val="center"/>
                </w:tcPr>
                <w:p>
                  <w:pPr>
                    <w:adjustRightInd w:val="0"/>
                    <w:jc w:val="center"/>
                    <w:rPr>
                      <w:i/>
                      <w:szCs w:val="21"/>
                    </w:rPr>
                  </w:pPr>
                  <w:r>
                    <w:rPr>
                      <w:i/>
                      <w:szCs w:val="21"/>
                    </w:rPr>
                    <w:t>4</w:t>
                  </w:r>
                </w:p>
              </w:tc>
              <w:tc>
                <w:tcPr>
                  <w:tcW w:w="1062" w:type="dxa"/>
                  <w:vMerge w:val="restart"/>
                  <w:vAlign w:val="center"/>
                </w:tcPr>
                <w:p>
                  <w:pPr>
                    <w:adjustRightInd w:val="0"/>
                    <w:jc w:val="center"/>
                    <w:rPr>
                      <w:i/>
                      <w:szCs w:val="21"/>
                    </w:rPr>
                  </w:pPr>
                  <w:r>
                    <w:rPr>
                      <w:i/>
                      <w:szCs w:val="21"/>
                    </w:rPr>
                    <w:t>公用工程</w:t>
                  </w:r>
                </w:p>
              </w:tc>
              <w:tc>
                <w:tcPr>
                  <w:tcW w:w="1488" w:type="dxa"/>
                  <w:vAlign w:val="center"/>
                </w:tcPr>
                <w:p>
                  <w:pPr>
                    <w:adjustRightInd w:val="0"/>
                    <w:jc w:val="center"/>
                    <w:rPr>
                      <w:szCs w:val="21"/>
                    </w:rPr>
                  </w:pPr>
                  <w:r>
                    <w:rPr>
                      <w:szCs w:val="21"/>
                    </w:rPr>
                    <w:t>给水</w:t>
                  </w:r>
                </w:p>
              </w:tc>
              <w:tc>
                <w:tcPr>
                  <w:tcW w:w="3375" w:type="dxa"/>
                  <w:vAlign w:val="center"/>
                </w:tcPr>
                <w:p>
                  <w:pPr>
                    <w:jc w:val="center"/>
                    <w:rPr>
                      <w:szCs w:val="21"/>
                    </w:rPr>
                  </w:pPr>
                  <w:r>
                    <w:rPr>
                      <w:rFonts w:hint="eastAsia"/>
                      <w:szCs w:val="21"/>
                    </w:rPr>
                    <w:t>采用</w:t>
                  </w:r>
                  <w:r>
                    <w:rPr>
                      <w:szCs w:val="21"/>
                    </w:rPr>
                    <w:t>大通工业聚集区</w:t>
                  </w:r>
                  <w:r>
                    <w:rPr>
                      <w:rFonts w:hint="eastAsia"/>
                      <w:szCs w:val="21"/>
                    </w:rPr>
                    <w:t>供水管网</w:t>
                  </w:r>
                </w:p>
              </w:tc>
              <w:tc>
                <w:tcPr>
                  <w:tcW w:w="2478" w:type="dxa"/>
                  <w:vAlign w:val="center"/>
                </w:tcPr>
                <w:p>
                  <w:pPr>
                    <w:adjustRightInd w:val="0"/>
                    <w:jc w:val="center"/>
                    <w:rPr>
                      <w:szCs w:val="21"/>
                    </w:rPr>
                  </w:pPr>
                  <w:r>
                    <w:rPr>
                      <w:szCs w:val="21"/>
                    </w:rPr>
                    <w:t>用水量</w:t>
                  </w:r>
                  <w:r>
                    <w:rPr>
                      <w:rFonts w:hint="eastAsia" w:hAnsi="宋体"/>
                      <w:szCs w:val="21"/>
                    </w:rPr>
                    <w:t>750m</w:t>
                  </w:r>
                  <w:r>
                    <w:rPr>
                      <w:rFonts w:hint="eastAsia"/>
                      <w:szCs w:val="21"/>
                      <w:vertAlign w:val="superscript"/>
                    </w:rPr>
                    <w:t>3</w:t>
                  </w:r>
                  <w:r>
                    <w:rPr>
                      <w:rFonts w:hint="eastAsia"/>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i/>
                      <w:szCs w:val="21"/>
                    </w:rPr>
                  </w:pPr>
                </w:p>
              </w:tc>
              <w:tc>
                <w:tcPr>
                  <w:tcW w:w="1062" w:type="dxa"/>
                  <w:vMerge w:val="continue"/>
                  <w:vAlign w:val="center"/>
                </w:tcPr>
                <w:p>
                  <w:pPr>
                    <w:adjustRightInd w:val="0"/>
                    <w:jc w:val="center"/>
                    <w:rPr>
                      <w:i/>
                      <w:szCs w:val="21"/>
                    </w:rPr>
                  </w:pPr>
                </w:p>
              </w:tc>
              <w:tc>
                <w:tcPr>
                  <w:tcW w:w="1488" w:type="dxa"/>
                  <w:vAlign w:val="center"/>
                </w:tcPr>
                <w:p>
                  <w:pPr>
                    <w:adjustRightInd w:val="0"/>
                    <w:jc w:val="center"/>
                    <w:rPr>
                      <w:color w:val="FF0000"/>
                      <w:szCs w:val="21"/>
                    </w:rPr>
                  </w:pPr>
                  <w:r>
                    <w:rPr>
                      <w:color w:val="FF0000"/>
                      <w:szCs w:val="21"/>
                    </w:rPr>
                    <w:t>排水</w:t>
                  </w:r>
                </w:p>
              </w:tc>
              <w:tc>
                <w:tcPr>
                  <w:tcW w:w="3375" w:type="dxa"/>
                  <w:vAlign w:val="center"/>
                </w:tcPr>
                <w:p>
                  <w:pPr>
                    <w:jc w:val="center"/>
                    <w:rPr>
                      <w:color w:val="FF0000"/>
                      <w:szCs w:val="21"/>
                    </w:rPr>
                  </w:pPr>
                  <w:r>
                    <w:rPr>
                      <w:rFonts w:hint="eastAsia"/>
                      <w:color w:val="FF0000"/>
                      <w:szCs w:val="21"/>
                    </w:rPr>
                    <w:t>项目不产生的生产废水，仅产生少量的生活污水，产生的生活污水经厂区现有化粪池预处理后排入园区污水管网，最后进入淮南首创第一污水处理厂处理。</w:t>
                  </w:r>
                </w:p>
              </w:tc>
              <w:tc>
                <w:tcPr>
                  <w:tcW w:w="2478" w:type="dxa"/>
                  <w:vAlign w:val="center"/>
                </w:tcPr>
                <w:p>
                  <w:pPr>
                    <w:adjustRightInd w:val="0"/>
                    <w:jc w:val="center"/>
                    <w:rPr>
                      <w:color w:val="FF0000"/>
                      <w:szCs w:val="21"/>
                    </w:rPr>
                  </w:pPr>
                  <w:r>
                    <w:rPr>
                      <w:color w:val="FF0000"/>
                      <w:szCs w:val="21"/>
                    </w:rPr>
                    <w:t>排水量</w:t>
                  </w:r>
                  <w:r>
                    <w:rPr>
                      <w:rFonts w:hint="eastAsia"/>
                      <w:color w:val="FF0000"/>
                      <w:szCs w:val="21"/>
                    </w:rPr>
                    <w:t>600m</w:t>
                  </w:r>
                  <w:r>
                    <w:rPr>
                      <w:rFonts w:hint="eastAsia"/>
                      <w:color w:val="FF0000"/>
                      <w:szCs w:val="21"/>
                      <w:vertAlign w:val="superscript"/>
                    </w:rPr>
                    <w:t>3</w:t>
                  </w:r>
                  <w:r>
                    <w:rPr>
                      <w:rFonts w:hint="eastAsia"/>
                      <w:color w:val="FF0000"/>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i/>
                      <w:szCs w:val="21"/>
                    </w:rPr>
                  </w:pPr>
                </w:p>
              </w:tc>
              <w:tc>
                <w:tcPr>
                  <w:tcW w:w="1062" w:type="dxa"/>
                  <w:vMerge w:val="continue"/>
                  <w:vAlign w:val="center"/>
                </w:tcPr>
                <w:p>
                  <w:pPr>
                    <w:adjustRightInd w:val="0"/>
                    <w:jc w:val="center"/>
                    <w:rPr>
                      <w:i/>
                      <w:szCs w:val="21"/>
                    </w:rPr>
                  </w:pPr>
                </w:p>
              </w:tc>
              <w:tc>
                <w:tcPr>
                  <w:tcW w:w="1488" w:type="dxa"/>
                  <w:vAlign w:val="center"/>
                </w:tcPr>
                <w:p>
                  <w:pPr>
                    <w:adjustRightInd w:val="0"/>
                    <w:jc w:val="center"/>
                    <w:rPr>
                      <w:szCs w:val="21"/>
                    </w:rPr>
                  </w:pPr>
                  <w:r>
                    <w:rPr>
                      <w:szCs w:val="21"/>
                    </w:rPr>
                    <w:t>供电</w:t>
                  </w:r>
                </w:p>
              </w:tc>
              <w:tc>
                <w:tcPr>
                  <w:tcW w:w="3375" w:type="dxa"/>
                  <w:vAlign w:val="center"/>
                </w:tcPr>
                <w:p>
                  <w:pPr>
                    <w:adjustRightInd w:val="0"/>
                    <w:jc w:val="center"/>
                    <w:rPr>
                      <w:szCs w:val="21"/>
                    </w:rPr>
                  </w:pPr>
                  <w:r>
                    <w:rPr>
                      <w:rFonts w:hint="eastAsia"/>
                      <w:szCs w:val="21"/>
                    </w:rPr>
                    <w:t>市政</w:t>
                  </w:r>
                  <w:r>
                    <w:rPr>
                      <w:szCs w:val="21"/>
                    </w:rPr>
                    <w:t>电网</w:t>
                  </w:r>
                </w:p>
              </w:tc>
              <w:tc>
                <w:tcPr>
                  <w:tcW w:w="2478" w:type="dxa"/>
                  <w:vAlign w:val="center"/>
                </w:tcPr>
                <w:p>
                  <w:pPr>
                    <w:adjustRightInd w:val="0"/>
                    <w:jc w:val="center"/>
                    <w:rPr>
                      <w:szCs w:val="21"/>
                    </w:rPr>
                  </w:pPr>
                  <w:r>
                    <w:rPr>
                      <w:rFonts w:hint="eastAsia"/>
                      <w:szCs w:val="21"/>
                    </w:rPr>
                    <w:t>年用电量为8.6万度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i/>
                      <w:szCs w:val="21"/>
                    </w:rPr>
                  </w:pPr>
                </w:p>
              </w:tc>
              <w:tc>
                <w:tcPr>
                  <w:tcW w:w="1062" w:type="dxa"/>
                  <w:vMerge w:val="continue"/>
                  <w:vAlign w:val="center"/>
                </w:tcPr>
                <w:p>
                  <w:pPr>
                    <w:adjustRightInd w:val="0"/>
                    <w:jc w:val="center"/>
                    <w:rPr>
                      <w:i/>
                      <w:szCs w:val="21"/>
                    </w:rPr>
                  </w:pPr>
                </w:p>
              </w:tc>
              <w:tc>
                <w:tcPr>
                  <w:tcW w:w="1488" w:type="dxa"/>
                  <w:vAlign w:val="center"/>
                </w:tcPr>
                <w:p>
                  <w:pPr>
                    <w:jc w:val="center"/>
                    <w:rPr>
                      <w:szCs w:val="21"/>
                    </w:rPr>
                  </w:pPr>
                  <w:r>
                    <w:rPr>
                      <w:szCs w:val="21"/>
                    </w:rPr>
                    <w:t>消防系统</w:t>
                  </w:r>
                </w:p>
              </w:tc>
              <w:tc>
                <w:tcPr>
                  <w:tcW w:w="5853" w:type="dxa"/>
                  <w:gridSpan w:val="2"/>
                  <w:vAlign w:val="center"/>
                </w:tcPr>
                <w:p>
                  <w:pPr>
                    <w:jc w:val="center"/>
                    <w:rPr>
                      <w:szCs w:val="21"/>
                    </w:rPr>
                  </w:pPr>
                  <w:r>
                    <w:rPr>
                      <w:szCs w:val="21"/>
                    </w:rPr>
                    <w:t>符合《建筑设计防火规范》（GB50016-</w:t>
                  </w:r>
                  <w:r>
                    <w:rPr>
                      <w:rFonts w:hint="eastAsia"/>
                      <w:szCs w:val="21"/>
                    </w:rPr>
                    <w:t>2014</w:t>
                  </w:r>
                  <w:r>
                    <w:rPr>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restart"/>
                  <w:vAlign w:val="center"/>
                </w:tcPr>
                <w:p>
                  <w:pPr>
                    <w:adjustRightInd w:val="0"/>
                    <w:jc w:val="center"/>
                    <w:rPr>
                      <w:szCs w:val="21"/>
                    </w:rPr>
                  </w:pPr>
                  <w:r>
                    <w:rPr>
                      <w:szCs w:val="21"/>
                    </w:rPr>
                    <w:t>5</w:t>
                  </w:r>
                </w:p>
              </w:tc>
              <w:tc>
                <w:tcPr>
                  <w:tcW w:w="1062" w:type="dxa"/>
                  <w:vMerge w:val="restart"/>
                  <w:vAlign w:val="center"/>
                </w:tcPr>
                <w:p>
                  <w:pPr>
                    <w:adjustRightInd w:val="0"/>
                    <w:jc w:val="center"/>
                    <w:rPr>
                      <w:szCs w:val="21"/>
                    </w:rPr>
                  </w:pPr>
                  <w:r>
                    <w:rPr>
                      <w:szCs w:val="21"/>
                    </w:rPr>
                    <w:t>环保工程</w:t>
                  </w:r>
                </w:p>
              </w:tc>
              <w:tc>
                <w:tcPr>
                  <w:tcW w:w="1488" w:type="dxa"/>
                  <w:vAlign w:val="center"/>
                </w:tcPr>
                <w:p>
                  <w:pPr>
                    <w:jc w:val="center"/>
                    <w:rPr>
                      <w:szCs w:val="21"/>
                    </w:rPr>
                  </w:pPr>
                  <w:r>
                    <w:rPr>
                      <w:rFonts w:hint="eastAsia"/>
                      <w:szCs w:val="21"/>
                    </w:rPr>
                    <w:t>废水治理工程</w:t>
                  </w:r>
                </w:p>
              </w:tc>
              <w:tc>
                <w:tcPr>
                  <w:tcW w:w="5853" w:type="dxa"/>
                  <w:gridSpan w:val="2"/>
                  <w:vAlign w:val="center"/>
                </w:tcPr>
                <w:p>
                  <w:pPr>
                    <w:jc w:val="center"/>
                    <w:rPr>
                      <w:szCs w:val="21"/>
                    </w:rPr>
                  </w:pPr>
                  <w:r>
                    <w:rPr>
                      <w:rFonts w:hint="eastAsia"/>
                      <w:szCs w:val="21"/>
                    </w:rPr>
                    <w:t>依托租赁厂房现有的雨污管网及化粪池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Cs w:val="21"/>
                    </w:rPr>
                  </w:pPr>
                </w:p>
              </w:tc>
              <w:tc>
                <w:tcPr>
                  <w:tcW w:w="1062" w:type="dxa"/>
                  <w:vMerge w:val="continue"/>
                  <w:vAlign w:val="center"/>
                </w:tcPr>
                <w:p>
                  <w:pPr>
                    <w:adjustRightInd w:val="0"/>
                    <w:jc w:val="center"/>
                    <w:rPr>
                      <w:szCs w:val="21"/>
                    </w:rPr>
                  </w:pPr>
                </w:p>
              </w:tc>
              <w:tc>
                <w:tcPr>
                  <w:tcW w:w="1488" w:type="dxa"/>
                  <w:vAlign w:val="center"/>
                </w:tcPr>
                <w:p>
                  <w:pPr>
                    <w:jc w:val="center"/>
                    <w:rPr>
                      <w:szCs w:val="21"/>
                    </w:rPr>
                  </w:pPr>
                  <w:r>
                    <w:rPr>
                      <w:rFonts w:hint="eastAsia"/>
                      <w:szCs w:val="21"/>
                    </w:rPr>
                    <w:t>废气治理工程</w:t>
                  </w:r>
                </w:p>
              </w:tc>
              <w:tc>
                <w:tcPr>
                  <w:tcW w:w="5853" w:type="dxa"/>
                  <w:gridSpan w:val="2"/>
                  <w:vAlign w:val="center"/>
                </w:tcPr>
                <w:p>
                  <w:pPr>
                    <w:rPr>
                      <w:szCs w:val="21"/>
                    </w:rPr>
                  </w:pPr>
                  <w:r>
                    <w:rPr>
                      <w:rFonts w:hint="eastAsia"/>
                      <w:b/>
                      <w:szCs w:val="21"/>
                    </w:rPr>
                    <w:t>激光切割机下料烟尘：</w:t>
                  </w:r>
                  <w:r>
                    <w:rPr>
                      <w:rFonts w:hint="eastAsia"/>
                      <w:szCs w:val="21"/>
                    </w:rPr>
                    <w:t>经移动式焊烟净化器（单臂）收集处理后以无组织形式排放</w:t>
                  </w:r>
                </w:p>
                <w:p>
                  <w:pPr>
                    <w:rPr>
                      <w:szCs w:val="21"/>
                    </w:rPr>
                  </w:pPr>
                  <w:r>
                    <w:rPr>
                      <w:rFonts w:hint="eastAsia"/>
                      <w:b/>
                      <w:szCs w:val="21"/>
                    </w:rPr>
                    <w:t>焊接烟尘：</w:t>
                  </w:r>
                  <w:r>
                    <w:rPr>
                      <w:rFonts w:hint="eastAsia"/>
                      <w:szCs w:val="21"/>
                    </w:rPr>
                    <w:t>经移动式焊烟净化器（双臂）收集处理后以无组织形式排放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Cs w:val="21"/>
                    </w:rPr>
                  </w:pPr>
                </w:p>
              </w:tc>
              <w:tc>
                <w:tcPr>
                  <w:tcW w:w="1062" w:type="dxa"/>
                  <w:vMerge w:val="continue"/>
                  <w:vAlign w:val="center"/>
                </w:tcPr>
                <w:p>
                  <w:pPr>
                    <w:adjustRightInd w:val="0"/>
                    <w:jc w:val="center"/>
                    <w:rPr>
                      <w:szCs w:val="21"/>
                    </w:rPr>
                  </w:pPr>
                </w:p>
              </w:tc>
              <w:tc>
                <w:tcPr>
                  <w:tcW w:w="1488" w:type="dxa"/>
                  <w:vAlign w:val="center"/>
                </w:tcPr>
                <w:p>
                  <w:pPr>
                    <w:jc w:val="center"/>
                    <w:rPr>
                      <w:szCs w:val="21"/>
                    </w:rPr>
                  </w:pPr>
                  <w:r>
                    <w:rPr>
                      <w:rFonts w:hint="eastAsia"/>
                      <w:szCs w:val="21"/>
                    </w:rPr>
                    <w:t>噪声治理工程</w:t>
                  </w:r>
                </w:p>
              </w:tc>
              <w:tc>
                <w:tcPr>
                  <w:tcW w:w="5853" w:type="dxa"/>
                  <w:gridSpan w:val="2"/>
                  <w:vAlign w:val="center"/>
                </w:tcPr>
                <w:p>
                  <w:pPr>
                    <w:jc w:val="center"/>
                    <w:rPr>
                      <w:szCs w:val="21"/>
                    </w:rPr>
                  </w:pPr>
                  <w:r>
                    <w:rPr>
                      <w:rFonts w:hint="eastAsia"/>
                      <w:szCs w:val="21"/>
                    </w:rPr>
                    <w:t>厂房隔声、安装减震垫、降噪减震设施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vMerge w:val="continue"/>
                  <w:vAlign w:val="center"/>
                </w:tcPr>
                <w:p>
                  <w:pPr>
                    <w:adjustRightInd w:val="0"/>
                    <w:jc w:val="center"/>
                    <w:rPr>
                      <w:szCs w:val="21"/>
                    </w:rPr>
                  </w:pPr>
                </w:p>
              </w:tc>
              <w:tc>
                <w:tcPr>
                  <w:tcW w:w="1062" w:type="dxa"/>
                  <w:vMerge w:val="continue"/>
                  <w:vAlign w:val="center"/>
                </w:tcPr>
                <w:p>
                  <w:pPr>
                    <w:adjustRightInd w:val="0"/>
                    <w:jc w:val="center"/>
                    <w:rPr>
                      <w:szCs w:val="21"/>
                    </w:rPr>
                  </w:pPr>
                </w:p>
              </w:tc>
              <w:tc>
                <w:tcPr>
                  <w:tcW w:w="1488" w:type="dxa"/>
                  <w:vAlign w:val="center"/>
                </w:tcPr>
                <w:p>
                  <w:pPr>
                    <w:jc w:val="center"/>
                    <w:rPr>
                      <w:szCs w:val="21"/>
                    </w:rPr>
                  </w:pPr>
                  <w:r>
                    <w:rPr>
                      <w:rFonts w:hint="eastAsia"/>
                      <w:szCs w:val="21"/>
                    </w:rPr>
                    <w:t>固废收集</w:t>
                  </w:r>
                </w:p>
              </w:tc>
              <w:tc>
                <w:tcPr>
                  <w:tcW w:w="5853" w:type="dxa"/>
                  <w:gridSpan w:val="2"/>
                  <w:vAlign w:val="center"/>
                </w:tcPr>
                <w:p>
                  <w:pPr>
                    <w:jc w:val="center"/>
                    <w:rPr>
                      <w:szCs w:val="21"/>
                    </w:rPr>
                  </w:pPr>
                  <w:r>
                    <w:rPr>
                      <w:rFonts w:hint="eastAsia"/>
                      <w:szCs w:val="21"/>
                    </w:rPr>
                    <w:t>生活垃圾分类收集后，定期由环卫部门处理；</w:t>
                  </w:r>
                  <w:r>
                    <w:rPr>
                      <w:szCs w:val="21"/>
                    </w:rPr>
                    <w:t>一般工业固废放置于</w:t>
                  </w:r>
                  <w:r>
                    <w:rPr>
                      <w:rFonts w:hint="eastAsia"/>
                      <w:szCs w:val="21"/>
                    </w:rPr>
                    <w:t>车间西南角</w:t>
                  </w:r>
                  <w:r>
                    <w:rPr>
                      <w:szCs w:val="21"/>
                    </w:rPr>
                    <w:t>，占地面积</w:t>
                  </w:r>
                  <w:r>
                    <w:rPr>
                      <w:rFonts w:hint="eastAsia"/>
                      <w:szCs w:val="21"/>
                    </w:rPr>
                    <w:t>2</w:t>
                  </w:r>
                  <w:r>
                    <w:rPr>
                      <w:szCs w:val="21"/>
                    </w:rPr>
                    <w:t>0m</w:t>
                  </w:r>
                  <w:r>
                    <w:rPr>
                      <w:szCs w:val="21"/>
                      <w:vertAlign w:val="superscript"/>
                    </w:rPr>
                    <w:t>2</w:t>
                  </w:r>
                  <w:r>
                    <w:rPr>
                      <w:rFonts w:hint="eastAsia"/>
                      <w:szCs w:val="21"/>
                    </w:rPr>
                    <w:t>，危废暂存库位于车间西南角，地面采用环氧树脂，做好防雨防渗，危废暂存占地面积约10</w:t>
                  </w:r>
                  <w:r>
                    <w:rPr>
                      <w:szCs w:val="21"/>
                    </w:rPr>
                    <w:t xml:space="preserve"> m</w:t>
                  </w:r>
                  <w:r>
                    <w:rPr>
                      <w:szCs w:val="21"/>
                      <w:vertAlign w:val="superscript"/>
                    </w:rPr>
                    <w:t>2</w:t>
                  </w:r>
                  <w:r>
                    <w:rPr>
                      <w:rFonts w:hint="eastAsia"/>
                      <w:szCs w:val="21"/>
                    </w:rPr>
                    <w:t>。</w:t>
                  </w:r>
                </w:p>
              </w:tc>
            </w:tr>
          </w:tbl>
          <w:p>
            <w:pPr>
              <w:adjustRightInd w:val="0"/>
              <w:snapToGrid w:val="0"/>
              <w:rPr>
                <w:b/>
                <w:sz w:val="24"/>
                <w:szCs w:val="24"/>
              </w:rPr>
            </w:pPr>
            <w:r>
              <w:rPr>
                <w:rFonts w:hint="eastAsia"/>
                <w:b/>
                <w:sz w:val="24"/>
                <w:szCs w:val="24"/>
              </w:rPr>
              <w:t>3、</w:t>
            </w:r>
            <w:r>
              <w:rPr>
                <w:b/>
                <w:sz w:val="24"/>
                <w:szCs w:val="24"/>
              </w:rPr>
              <w:t>主要设备</w:t>
            </w:r>
          </w:p>
          <w:p>
            <w:pPr>
              <w:spacing w:line="500" w:lineRule="exact"/>
              <w:ind w:firstLine="480" w:firstLineChars="200"/>
              <w:rPr>
                <w:sz w:val="24"/>
              </w:rPr>
            </w:pPr>
            <w:r>
              <w:rPr>
                <w:sz w:val="24"/>
              </w:rPr>
              <w:t>项目使用的主要设备情况见下表</w:t>
            </w:r>
            <w:r>
              <w:rPr>
                <w:rFonts w:hint="eastAsia"/>
                <w:sz w:val="24"/>
              </w:rPr>
              <w:t>：</w:t>
            </w:r>
          </w:p>
          <w:p>
            <w:pPr>
              <w:jc w:val="center"/>
              <w:rPr>
                <w:b/>
                <w:szCs w:val="21"/>
              </w:rPr>
            </w:pPr>
            <w:r>
              <w:rPr>
                <w:b/>
                <w:szCs w:val="21"/>
              </w:rPr>
              <w:t>表</w:t>
            </w:r>
            <w:r>
              <w:rPr>
                <w:rFonts w:hint="eastAsia"/>
                <w:b/>
                <w:szCs w:val="21"/>
              </w:rPr>
              <w:t>2</w:t>
            </w:r>
            <w:r>
              <w:rPr>
                <w:b/>
                <w:szCs w:val="21"/>
              </w:rPr>
              <w:t>主要设备一览表</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3126"/>
              <w:gridCol w:w="2398"/>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序号</w:t>
                  </w:r>
                </w:p>
              </w:tc>
              <w:tc>
                <w:tcPr>
                  <w:tcW w:w="3126" w:type="dxa"/>
                  <w:vAlign w:val="center"/>
                </w:tcPr>
                <w:p>
                  <w:pPr>
                    <w:jc w:val="center"/>
                    <w:rPr>
                      <w:szCs w:val="21"/>
                    </w:rPr>
                  </w:pPr>
                  <w:r>
                    <w:rPr>
                      <w:rFonts w:hint="eastAsia"/>
                      <w:szCs w:val="21"/>
                    </w:rPr>
                    <w:t>名称</w:t>
                  </w:r>
                </w:p>
              </w:tc>
              <w:tc>
                <w:tcPr>
                  <w:tcW w:w="2398" w:type="dxa"/>
                  <w:vAlign w:val="center"/>
                </w:tcPr>
                <w:p>
                  <w:pPr>
                    <w:jc w:val="center"/>
                    <w:rPr>
                      <w:szCs w:val="21"/>
                    </w:rPr>
                  </w:pPr>
                  <w:r>
                    <w:rPr>
                      <w:rFonts w:hint="eastAsia"/>
                      <w:szCs w:val="21"/>
                    </w:rPr>
                    <w:t>单位</w:t>
                  </w:r>
                </w:p>
              </w:tc>
              <w:tc>
                <w:tcPr>
                  <w:tcW w:w="1921" w:type="dxa"/>
                  <w:vAlign w:val="center"/>
                </w:tcPr>
                <w:p>
                  <w:pPr>
                    <w:jc w:val="center"/>
                    <w:rPr>
                      <w:szCs w:val="21"/>
                    </w:rPr>
                  </w:pPr>
                  <w:r>
                    <w:rPr>
                      <w:rFonts w:hint="eastAsia"/>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1</w:t>
                  </w:r>
                </w:p>
              </w:tc>
              <w:tc>
                <w:tcPr>
                  <w:tcW w:w="3126" w:type="dxa"/>
                  <w:vAlign w:val="center"/>
                </w:tcPr>
                <w:p>
                  <w:pPr>
                    <w:adjustRightInd w:val="0"/>
                    <w:snapToGrid w:val="0"/>
                    <w:jc w:val="center"/>
                    <w:rPr>
                      <w:szCs w:val="21"/>
                    </w:rPr>
                  </w:pPr>
                  <w:r>
                    <w:rPr>
                      <w:bCs/>
                      <w:szCs w:val="21"/>
                    </w:rPr>
                    <w:t>数控车床</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2</w:t>
                  </w:r>
                </w:p>
              </w:tc>
              <w:tc>
                <w:tcPr>
                  <w:tcW w:w="3126" w:type="dxa"/>
                  <w:vAlign w:val="center"/>
                </w:tcPr>
                <w:p>
                  <w:pPr>
                    <w:adjustRightInd w:val="0"/>
                    <w:snapToGrid w:val="0"/>
                    <w:jc w:val="center"/>
                    <w:rPr>
                      <w:szCs w:val="21"/>
                    </w:rPr>
                  </w:pPr>
                  <w:r>
                    <w:rPr>
                      <w:bCs/>
                      <w:szCs w:val="21"/>
                    </w:rPr>
                    <w:t>数控加工中心</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3</w:t>
                  </w:r>
                </w:p>
              </w:tc>
              <w:tc>
                <w:tcPr>
                  <w:tcW w:w="3126" w:type="dxa"/>
                  <w:vAlign w:val="center"/>
                </w:tcPr>
                <w:p>
                  <w:pPr>
                    <w:adjustRightInd w:val="0"/>
                    <w:snapToGrid w:val="0"/>
                    <w:jc w:val="center"/>
                    <w:rPr>
                      <w:szCs w:val="21"/>
                    </w:rPr>
                  </w:pPr>
                  <w:r>
                    <w:rPr>
                      <w:bCs/>
                      <w:szCs w:val="21"/>
                    </w:rPr>
                    <w:t>激光数控切割机</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4</w:t>
                  </w:r>
                </w:p>
              </w:tc>
              <w:tc>
                <w:tcPr>
                  <w:tcW w:w="3126" w:type="dxa"/>
                  <w:vAlign w:val="center"/>
                </w:tcPr>
                <w:p>
                  <w:pPr>
                    <w:adjustRightInd w:val="0"/>
                    <w:snapToGrid w:val="0"/>
                    <w:jc w:val="center"/>
                    <w:rPr>
                      <w:szCs w:val="21"/>
                    </w:rPr>
                  </w:pPr>
                  <w:r>
                    <w:rPr>
                      <w:bCs/>
                      <w:szCs w:val="21"/>
                    </w:rPr>
                    <w:t>普通车床</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5</w:t>
                  </w:r>
                </w:p>
              </w:tc>
              <w:tc>
                <w:tcPr>
                  <w:tcW w:w="3126" w:type="dxa"/>
                  <w:vAlign w:val="center"/>
                </w:tcPr>
                <w:p>
                  <w:pPr>
                    <w:adjustRightInd w:val="0"/>
                    <w:snapToGrid w:val="0"/>
                    <w:jc w:val="center"/>
                    <w:rPr>
                      <w:szCs w:val="21"/>
                    </w:rPr>
                  </w:pPr>
                  <w:r>
                    <w:rPr>
                      <w:bCs/>
                      <w:szCs w:val="21"/>
                    </w:rPr>
                    <w:t>滚齿机</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6</w:t>
                  </w:r>
                </w:p>
              </w:tc>
              <w:tc>
                <w:tcPr>
                  <w:tcW w:w="3126" w:type="dxa"/>
                  <w:vAlign w:val="center"/>
                </w:tcPr>
                <w:p>
                  <w:pPr>
                    <w:adjustRightInd w:val="0"/>
                    <w:snapToGrid w:val="0"/>
                    <w:jc w:val="center"/>
                    <w:rPr>
                      <w:szCs w:val="21"/>
                    </w:rPr>
                  </w:pPr>
                  <w:r>
                    <w:rPr>
                      <w:bCs/>
                      <w:szCs w:val="21"/>
                    </w:rPr>
                    <w:t>外圆磨床</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7</w:t>
                  </w:r>
                </w:p>
              </w:tc>
              <w:tc>
                <w:tcPr>
                  <w:tcW w:w="3126" w:type="dxa"/>
                  <w:vAlign w:val="center"/>
                </w:tcPr>
                <w:p>
                  <w:pPr>
                    <w:adjustRightInd w:val="0"/>
                    <w:snapToGrid w:val="0"/>
                    <w:jc w:val="center"/>
                    <w:rPr>
                      <w:szCs w:val="21"/>
                    </w:rPr>
                  </w:pPr>
                  <w:r>
                    <w:rPr>
                      <w:bCs/>
                      <w:szCs w:val="21"/>
                    </w:rPr>
                    <w:t>工具磨床</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8</w:t>
                  </w:r>
                </w:p>
              </w:tc>
              <w:tc>
                <w:tcPr>
                  <w:tcW w:w="3126" w:type="dxa"/>
                  <w:vAlign w:val="center"/>
                </w:tcPr>
                <w:p>
                  <w:pPr>
                    <w:adjustRightInd w:val="0"/>
                    <w:snapToGrid w:val="0"/>
                    <w:jc w:val="center"/>
                    <w:rPr>
                      <w:szCs w:val="21"/>
                    </w:rPr>
                  </w:pPr>
                  <w:r>
                    <w:rPr>
                      <w:bCs/>
                      <w:szCs w:val="21"/>
                    </w:rPr>
                    <w:t>万能铣床</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9</w:t>
                  </w:r>
                </w:p>
              </w:tc>
              <w:tc>
                <w:tcPr>
                  <w:tcW w:w="3126" w:type="dxa"/>
                  <w:vAlign w:val="center"/>
                </w:tcPr>
                <w:p>
                  <w:pPr>
                    <w:adjustRightInd w:val="0"/>
                    <w:snapToGrid w:val="0"/>
                    <w:jc w:val="center"/>
                    <w:rPr>
                      <w:szCs w:val="21"/>
                    </w:rPr>
                  </w:pPr>
                  <w:r>
                    <w:rPr>
                      <w:bCs/>
                      <w:szCs w:val="21"/>
                    </w:rPr>
                    <w:t>剪板机</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10</w:t>
                  </w:r>
                </w:p>
              </w:tc>
              <w:tc>
                <w:tcPr>
                  <w:tcW w:w="3126" w:type="dxa"/>
                  <w:vAlign w:val="center"/>
                </w:tcPr>
                <w:p>
                  <w:pPr>
                    <w:adjustRightInd w:val="0"/>
                    <w:snapToGrid w:val="0"/>
                    <w:jc w:val="center"/>
                    <w:rPr>
                      <w:szCs w:val="21"/>
                    </w:rPr>
                  </w:pPr>
                  <w:r>
                    <w:rPr>
                      <w:bCs/>
                      <w:szCs w:val="21"/>
                    </w:rPr>
                    <w:t>自动焊机</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11</w:t>
                  </w:r>
                </w:p>
              </w:tc>
              <w:tc>
                <w:tcPr>
                  <w:tcW w:w="3126" w:type="dxa"/>
                  <w:vAlign w:val="center"/>
                </w:tcPr>
                <w:p>
                  <w:pPr>
                    <w:adjustRightInd w:val="0"/>
                    <w:snapToGrid w:val="0"/>
                    <w:jc w:val="center"/>
                    <w:rPr>
                      <w:szCs w:val="21"/>
                    </w:rPr>
                  </w:pPr>
                  <w:r>
                    <w:rPr>
                      <w:bCs/>
                      <w:szCs w:val="21"/>
                    </w:rPr>
                    <w:t>电焊机</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12</w:t>
                  </w:r>
                </w:p>
              </w:tc>
              <w:tc>
                <w:tcPr>
                  <w:tcW w:w="3126" w:type="dxa"/>
                  <w:vAlign w:val="center"/>
                </w:tcPr>
                <w:p>
                  <w:pPr>
                    <w:adjustRightInd w:val="0"/>
                    <w:snapToGrid w:val="0"/>
                    <w:jc w:val="center"/>
                    <w:rPr>
                      <w:szCs w:val="21"/>
                    </w:rPr>
                  </w:pPr>
                  <w:r>
                    <w:rPr>
                      <w:bCs/>
                      <w:szCs w:val="21"/>
                    </w:rPr>
                    <w:t>台钻</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13</w:t>
                  </w:r>
                </w:p>
              </w:tc>
              <w:tc>
                <w:tcPr>
                  <w:tcW w:w="3126" w:type="dxa"/>
                  <w:vAlign w:val="center"/>
                </w:tcPr>
                <w:p>
                  <w:pPr>
                    <w:adjustRightInd w:val="0"/>
                    <w:snapToGrid w:val="0"/>
                    <w:jc w:val="center"/>
                    <w:rPr>
                      <w:szCs w:val="21"/>
                    </w:rPr>
                  </w:pPr>
                  <w:r>
                    <w:rPr>
                      <w:bCs/>
                      <w:szCs w:val="21"/>
                    </w:rPr>
                    <w:t>摇臂钻床</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14</w:t>
                  </w:r>
                </w:p>
              </w:tc>
              <w:tc>
                <w:tcPr>
                  <w:tcW w:w="3126" w:type="dxa"/>
                  <w:vAlign w:val="center"/>
                </w:tcPr>
                <w:p>
                  <w:pPr>
                    <w:adjustRightInd w:val="0"/>
                    <w:snapToGrid w:val="0"/>
                    <w:jc w:val="center"/>
                    <w:rPr>
                      <w:szCs w:val="21"/>
                    </w:rPr>
                  </w:pPr>
                  <w:r>
                    <w:rPr>
                      <w:bCs/>
                      <w:szCs w:val="21"/>
                    </w:rPr>
                    <w:t>单柱万能液压机</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15</w:t>
                  </w:r>
                </w:p>
              </w:tc>
              <w:tc>
                <w:tcPr>
                  <w:tcW w:w="3126" w:type="dxa"/>
                  <w:vAlign w:val="center"/>
                </w:tcPr>
                <w:p>
                  <w:pPr>
                    <w:adjustRightInd w:val="0"/>
                    <w:snapToGrid w:val="0"/>
                    <w:jc w:val="center"/>
                    <w:rPr>
                      <w:szCs w:val="21"/>
                    </w:rPr>
                  </w:pPr>
                  <w:r>
                    <w:rPr>
                      <w:bCs/>
                      <w:szCs w:val="21"/>
                    </w:rPr>
                    <w:t>空压机</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16</w:t>
                  </w:r>
                </w:p>
              </w:tc>
              <w:tc>
                <w:tcPr>
                  <w:tcW w:w="3126" w:type="dxa"/>
                  <w:vAlign w:val="center"/>
                </w:tcPr>
                <w:p>
                  <w:pPr>
                    <w:adjustRightInd w:val="0"/>
                    <w:snapToGrid w:val="0"/>
                    <w:jc w:val="center"/>
                    <w:rPr>
                      <w:szCs w:val="21"/>
                    </w:rPr>
                  </w:pPr>
                  <w:r>
                    <w:rPr>
                      <w:bCs/>
                      <w:szCs w:val="21"/>
                    </w:rPr>
                    <w:t>滤油机</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17</w:t>
                  </w:r>
                </w:p>
              </w:tc>
              <w:tc>
                <w:tcPr>
                  <w:tcW w:w="3126" w:type="dxa"/>
                  <w:vAlign w:val="center"/>
                </w:tcPr>
                <w:p>
                  <w:pPr>
                    <w:adjustRightInd w:val="0"/>
                    <w:snapToGrid w:val="0"/>
                    <w:jc w:val="center"/>
                    <w:rPr>
                      <w:szCs w:val="21"/>
                    </w:rPr>
                  </w:pPr>
                  <w:r>
                    <w:rPr>
                      <w:color w:val="000000"/>
                      <w:kern w:val="0"/>
                      <w:szCs w:val="21"/>
                    </w:rPr>
                    <w:t>力值传感器</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1" w:type="dxa"/>
                  <w:vAlign w:val="center"/>
                </w:tcPr>
                <w:p>
                  <w:pPr>
                    <w:jc w:val="center"/>
                    <w:rPr>
                      <w:szCs w:val="21"/>
                    </w:rPr>
                  </w:pPr>
                  <w:r>
                    <w:rPr>
                      <w:rFonts w:hint="eastAsia"/>
                      <w:szCs w:val="21"/>
                    </w:rPr>
                    <w:t>18</w:t>
                  </w:r>
                </w:p>
              </w:tc>
              <w:tc>
                <w:tcPr>
                  <w:tcW w:w="3126" w:type="dxa"/>
                  <w:vAlign w:val="center"/>
                </w:tcPr>
                <w:p>
                  <w:pPr>
                    <w:adjustRightInd w:val="0"/>
                    <w:snapToGrid w:val="0"/>
                    <w:jc w:val="center"/>
                    <w:rPr>
                      <w:szCs w:val="21"/>
                    </w:rPr>
                  </w:pPr>
                  <w:r>
                    <w:rPr>
                      <w:color w:val="000000"/>
                      <w:kern w:val="0"/>
                      <w:szCs w:val="21"/>
                    </w:rPr>
                    <w:t>压力变送器</w:t>
                  </w:r>
                </w:p>
              </w:tc>
              <w:tc>
                <w:tcPr>
                  <w:tcW w:w="2398" w:type="dxa"/>
                  <w:vAlign w:val="center"/>
                </w:tcPr>
                <w:p>
                  <w:pPr>
                    <w:jc w:val="center"/>
                    <w:rPr>
                      <w:szCs w:val="21"/>
                    </w:rPr>
                  </w:pPr>
                  <w:r>
                    <w:rPr>
                      <w:szCs w:val="21"/>
                    </w:rPr>
                    <w:t>台</w:t>
                  </w:r>
                </w:p>
              </w:tc>
              <w:tc>
                <w:tcPr>
                  <w:tcW w:w="1921" w:type="dxa"/>
                  <w:vAlign w:val="center"/>
                </w:tcPr>
                <w:p>
                  <w:pPr>
                    <w:adjustRightInd w:val="0"/>
                    <w:snapToGrid w:val="0"/>
                    <w:jc w:val="center"/>
                    <w:rPr>
                      <w:szCs w:val="21"/>
                    </w:rPr>
                  </w:pPr>
                  <w:r>
                    <w:rPr>
                      <w:szCs w:val="21"/>
                    </w:rPr>
                    <w:t>1</w:t>
                  </w:r>
                </w:p>
              </w:tc>
            </w:tr>
          </w:tbl>
          <w:p>
            <w:pPr>
              <w:adjustRightInd w:val="0"/>
              <w:snapToGrid w:val="0"/>
              <w:rPr>
                <w:b/>
                <w:bCs/>
                <w:sz w:val="24"/>
                <w:szCs w:val="24"/>
              </w:rPr>
            </w:pPr>
            <w:r>
              <w:rPr>
                <w:rFonts w:hint="eastAsia"/>
                <w:b/>
                <w:bCs/>
                <w:szCs w:val="21"/>
              </w:rPr>
              <w:t>注：根据《高耗能落后机电设备（产品）淘汰目录》，本项目生产用的生产设备不属于落后淘汰设备</w:t>
            </w:r>
            <w:r>
              <w:rPr>
                <w:rFonts w:hint="eastAsia"/>
                <w:b/>
                <w:bCs/>
                <w:sz w:val="24"/>
                <w:szCs w:val="24"/>
              </w:rPr>
              <w:t>。</w:t>
            </w:r>
          </w:p>
          <w:p>
            <w:pPr>
              <w:adjustRightInd w:val="0"/>
              <w:snapToGrid w:val="0"/>
              <w:rPr>
                <w:b/>
                <w:sz w:val="24"/>
                <w:szCs w:val="24"/>
              </w:rPr>
            </w:pPr>
            <w:r>
              <w:rPr>
                <w:rFonts w:hint="eastAsia"/>
                <w:b/>
                <w:sz w:val="24"/>
                <w:szCs w:val="24"/>
              </w:rPr>
              <w:t>4</w:t>
            </w:r>
            <w:r>
              <w:rPr>
                <w:b/>
                <w:sz w:val="24"/>
                <w:szCs w:val="24"/>
              </w:rPr>
              <w:t>、</w:t>
            </w:r>
            <w:r>
              <w:rPr>
                <w:rFonts w:hint="eastAsia"/>
                <w:b/>
                <w:sz w:val="24"/>
                <w:szCs w:val="24"/>
              </w:rPr>
              <w:t>拟建项目</w:t>
            </w:r>
            <w:r>
              <w:rPr>
                <w:b/>
                <w:sz w:val="24"/>
                <w:szCs w:val="24"/>
              </w:rPr>
              <w:t>主要原辅材料</w:t>
            </w:r>
          </w:p>
          <w:p>
            <w:pPr>
              <w:snapToGrid w:val="0"/>
              <w:spacing w:line="360" w:lineRule="auto"/>
              <w:ind w:firstLine="480" w:firstLineChars="200"/>
              <w:rPr>
                <w:rFonts w:hAnsi="宋体"/>
                <w:sz w:val="24"/>
                <w:szCs w:val="24"/>
              </w:rPr>
            </w:pPr>
            <w:r>
              <w:rPr>
                <w:rFonts w:hint="eastAsia" w:hAnsi="宋体"/>
                <w:sz w:val="24"/>
                <w:szCs w:val="24"/>
              </w:rPr>
              <w:t>本项目生产过程中主要外购成品零配件进行组装。</w:t>
            </w:r>
            <w:r>
              <w:rPr>
                <w:rFonts w:hAnsi="宋体"/>
                <w:sz w:val="24"/>
                <w:szCs w:val="24"/>
              </w:rPr>
              <w:t>详见下表</w:t>
            </w:r>
            <w:r>
              <w:rPr>
                <w:rFonts w:hint="eastAsia" w:hAnsi="宋体"/>
                <w:sz w:val="24"/>
                <w:szCs w:val="24"/>
              </w:rPr>
              <w:t>3：</w:t>
            </w:r>
          </w:p>
          <w:p>
            <w:pPr>
              <w:jc w:val="center"/>
              <w:rPr>
                <w:b/>
                <w:szCs w:val="21"/>
              </w:rPr>
            </w:pPr>
            <w:r>
              <w:rPr>
                <w:b/>
                <w:szCs w:val="21"/>
              </w:rPr>
              <w:t>表</w:t>
            </w:r>
            <w:r>
              <w:rPr>
                <w:rFonts w:hint="eastAsia"/>
                <w:b/>
                <w:szCs w:val="21"/>
              </w:rPr>
              <w:t>3项目生产需要</w:t>
            </w:r>
            <w:r>
              <w:rPr>
                <w:b/>
                <w:szCs w:val="21"/>
              </w:rPr>
              <w:t>原辅材料</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1984"/>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shd w:val="clear" w:color="auto" w:fill="auto"/>
                  <w:vAlign w:val="center"/>
                </w:tcPr>
                <w:p>
                  <w:pPr>
                    <w:snapToGrid w:val="0"/>
                    <w:jc w:val="center"/>
                    <w:rPr>
                      <w:szCs w:val="21"/>
                    </w:rPr>
                  </w:pPr>
                  <w:r>
                    <w:rPr>
                      <w:szCs w:val="21"/>
                    </w:rPr>
                    <w:t>序号</w:t>
                  </w:r>
                </w:p>
              </w:tc>
              <w:tc>
                <w:tcPr>
                  <w:tcW w:w="1418" w:type="dxa"/>
                  <w:tcBorders>
                    <w:right w:val="single" w:color="auto" w:sz="4" w:space="0"/>
                  </w:tcBorders>
                  <w:shd w:val="clear" w:color="CCFFCC" w:fill="auto"/>
                  <w:vAlign w:val="center"/>
                </w:tcPr>
                <w:p>
                  <w:pPr>
                    <w:snapToGrid w:val="0"/>
                    <w:jc w:val="center"/>
                    <w:rPr>
                      <w:szCs w:val="21"/>
                    </w:rPr>
                  </w:pPr>
                  <w:r>
                    <w:rPr>
                      <w:szCs w:val="21"/>
                    </w:rPr>
                    <w:t>名称</w:t>
                  </w:r>
                </w:p>
              </w:tc>
              <w:tc>
                <w:tcPr>
                  <w:tcW w:w="1984" w:type="dxa"/>
                  <w:tcBorders>
                    <w:left w:val="single" w:color="auto" w:sz="4" w:space="0"/>
                    <w:right w:val="single" w:color="auto" w:sz="4" w:space="0"/>
                  </w:tcBorders>
                  <w:shd w:val="clear" w:color="CCFFCC" w:fill="auto"/>
                  <w:vAlign w:val="center"/>
                </w:tcPr>
                <w:p>
                  <w:pPr>
                    <w:snapToGrid w:val="0"/>
                    <w:jc w:val="center"/>
                    <w:rPr>
                      <w:szCs w:val="21"/>
                    </w:rPr>
                  </w:pPr>
                  <w:r>
                    <w:rPr>
                      <w:szCs w:val="21"/>
                    </w:rPr>
                    <w:t>年消耗量</w:t>
                  </w:r>
                </w:p>
              </w:tc>
              <w:tc>
                <w:tcPr>
                  <w:tcW w:w="5030" w:type="dxa"/>
                  <w:tcBorders>
                    <w:left w:val="single" w:color="auto" w:sz="4" w:space="0"/>
                    <w:right w:val="single" w:color="auto" w:sz="4" w:space="0"/>
                  </w:tcBorders>
                  <w:shd w:val="clear" w:color="CCFFCC" w:fill="auto"/>
                  <w:vAlign w:val="center"/>
                </w:tcPr>
                <w:p>
                  <w:pPr>
                    <w:snapToGrid w:val="0"/>
                    <w:jc w:val="center"/>
                    <w:rPr>
                      <w:szCs w:val="21"/>
                    </w:rPr>
                  </w:pPr>
                  <w:r>
                    <w:rPr>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jc w:val="center"/>
                    <w:rPr>
                      <w:szCs w:val="21"/>
                    </w:rPr>
                  </w:pPr>
                  <w:r>
                    <w:rPr>
                      <w:szCs w:val="21"/>
                    </w:rPr>
                    <w:t>1</w:t>
                  </w:r>
                </w:p>
              </w:tc>
              <w:tc>
                <w:tcPr>
                  <w:tcW w:w="1418" w:type="dxa"/>
                  <w:vAlign w:val="center"/>
                </w:tcPr>
                <w:p>
                  <w:pPr>
                    <w:jc w:val="center"/>
                    <w:rPr>
                      <w:bCs/>
                      <w:kern w:val="0"/>
                      <w:szCs w:val="21"/>
                    </w:rPr>
                  </w:pPr>
                  <w:r>
                    <w:rPr>
                      <w:bCs/>
                      <w:kern w:val="0"/>
                      <w:szCs w:val="21"/>
                    </w:rPr>
                    <w:t>钢材</w:t>
                  </w:r>
                </w:p>
              </w:tc>
              <w:tc>
                <w:tcPr>
                  <w:tcW w:w="1984" w:type="dxa"/>
                  <w:vAlign w:val="center"/>
                </w:tcPr>
                <w:p>
                  <w:pPr>
                    <w:jc w:val="center"/>
                    <w:rPr>
                      <w:bCs/>
                      <w:kern w:val="0"/>
                      <w:szCs w:val="21"/>
                    </w:rPr>
                  </w:pPr>
                  <w:r>
                    <w:rPr>
                      <w:bCs/>
                      <w:kern w:val="0"/>
                      <w:szCs w:val="21"/>
                    </w:rPr>
                    <w:t>500吨</w:t>
                  </w:r>
                </w:p>
              </w:tc>
              <w:tc>
                <w:tcPr>
                  <w:tcW w:w="5030" w:type="dxa"/>
                  <w:vAlign w:val="center"/>
                </w:tcPr>
                <w:p>
                  <w:pPr>
                    <w:snapToGrid w:val="0"/>
                    <w:jc w:val="center"/>
                    <w:rPr>
                      <w:szCs w:val="21"/>
                    </w:rPr>
                  </w:pPr>
                  <w:r>
                    <w:rPr>
                      <w:szCs w:val="21"/>
                    </w:rPr>
                    <w:t>厂区内库存量约42吨，库存周期约1个月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jc w:val="center"/>
                    <w:rPr>
                      <w:szCs w:val="21"/>
                    </w:rPr>
                  </w:pPr>
                  <w:r>
                    <w:rPr>
                      <w:szCs w:val="21"/>
                    </w:rPr>
                    <w:t>2</w:t>
                  </w:r>
                </w:p>
              </w:tc>
              <w:tc>
                <w:tcPr>
                  <w:tcW w:w="1418" w:type="dxa"/>
                  <w:vAlign w:val="center"/>
                </w:tcPr>
                <w:p>
                  <w:pPr>
                    <w:jc w:val="center"/>
                    <w:rPr>
                      <w:bCs/>
                      <w:kern w:val="0"/>
                      <w:szCs w:val="21"/>
                    </w:rPr>
                  </w:pPr>
                  <w:r>
                    <w:rPr>
                      <w:bCs/>
                      <w:kern w:val="0"/>
                      <w:szCs w:val="21"/>
                    </w:rPr>
                    <w:t>液压件</w:t>
                  </w:r>
                </w:p>
              </w:tc>
              <w:tc>
                <w:tcPr>
                  <w:tcW w:w="1984" w:type="dxa"/>
                  <w:vAlign w:val="center"/>
                </w:tcPr>
                <w:p>
                  <w:pPr>
                    <w:jc w:val="center"/>
                    <w:rPr>
                      <w:bCs/>
                      <w:kern w:val="0"/>
                      <w:szCs w:val="21"/>
                    </w:rPr>
                  </w:pPr>
                  <w:r>
                    <w:rPr>
                      <w:bCs/>
                      <w:kern w:val="0"/>
                      <w:szCs w:val="21"/>
                    </w:rPr>
                    <w:t>100只</w:t>
                  </w:r>
                </w:p>
              </w:tc>
              <w:tc>
                <w:tcPr>
                  <w:tcW w:w="5030" w:type="dxa"/>
                  <w:vAlign w:val="center"/>
                </w:tcPr>
                <w:p>
                  <w:pPr>
                    <w:snapToGrid w:val="0"/>
                    <w:jc w:val="center"/>
                    <w:rPr>
                      <w:szCs w:val="21"/>
                    </w:rPr>
                  </w:pPr>
                  <w:r>
                    <w:rPr>
                      <w:szCs w:val="21"/>
                    </w:rPr>
                    <w:t>厂区内库存量约11件，库存周期约1个月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jc w:val="center"/>
                    <w:rPr>
                      <w:szCs w:val="21"/>
                    </w:rPr>
                  </w:pPr>
                  <w:r>
                    <w:rPr>
                      <w:szCs w:val="21"/>
                    </w:rPr>
                    <w:t>3</w:t>
                  </w:r>
                </w:p>
              </w:tc>
              <w:tc>
                <w:tcPr>
                  <w:tcW w:w="1418" w:type="dxa"/>
                  <w:vAlign w:val="center"/>
                </w:tcPr>
                <w:p>
                  <w:pPr>
                    <w:jc w:val="center"/>
                    <w:rPr>
                      <w:bCs/>
                      <w:kern w:val="0"/>
                      <w:szCs w:val="21"/>
                    </w:rPr>
                  </w:pPr>
                  <w:r>
                    <w:rPr>
                      <w:bCs/>
                      <w:kern w:val="0"/>
                      <w:szCs w:val="21"/>
                    </w:rPr>
                    <w:t>胶管</w:t>
                  </w:r>
                </w:p>
              </w:tc>
              <w:tc>
                <w:tcPr>
                  <w:tcW w:w="1984" w:type="dxa"/>
                  <w:vAlign w:val="center"/>
                </w:tcPr>
                <w:p>
                  <w:pPr>
                    <w:jc w:val="center"/>
                    <w:rPr>
                      <w:bCs/>
                      <w:kern w:val="0"/>
                      <w:szCs w:val="21"/>
                    </w:rPr>
                  </w:pPr>
                  <w:r>
                    <w:rPr>
                      <w:bCs/>
                      <w:kern w:val="0"/>
                      <w:szCs w:val="21"/>
                    </w:rPr>
                    <w:t>1000米</w:t>
                  </w:r>
                </w:p>
              </w:tc>
              <w:tc>
                <w:tcPr>
                  <w:tcW w:w="5030" w:type="dxa"/>
                  <w:vAlign w:val="center"/>
                </w:tcPr>
                <w:p>
                  <w:pPr>
                    <w:snapToGrid w:val="0"/>
                    <w:jc w:val="center"/>
                    <w:rPr>
                      <w:szCs w:val="21"/>
                    </w:rPr>
                  </w:pPr>
                  <w:r>
                    <w:rPr>
                      <w:szCs w:val="21"/>
                    </w:rPr>
                    <w:t>厂区内库存量约100米，库存周期约1个月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jc w:val="center"/>
                    <w:rPr>
                      <w:szCs w:val="21"/>
                    </w:rPr>
                  </w:pPr>
                  <w:r>
                    <w:rPr>
                      <w:szCs w:val="21"/>
                    </w:rPr>
                    <w:t>4</w:t>
                  </w:r>
                </w:p>
              </w:tc>
              <w:tc>
                <w:tcPr>
                  <w:tcW w:w="1418" w:type="dxa"/>
                  <w:vAlign w:val="center"/>
                </w:tcPr>
                <w:p>
                  <w:pPr>
                    <w:jc w:val="center"/>
                    <w:rPr>
                      <w:bCs/>
                      <w:kern w:val="0"/>
                      <w:szCs w:val="21"/>
                    </w:rPr>
                  </w:pPr>
                  <w:r>
                    <w:rPr>
                      <w:bCs/>
                      <w:kern w:val="0"/>
                      <w:szCs w:val="21"/>
                    </w:rPr>
                    <w:t>单体支柱</w:t>
                  </w:r>
                </w:p>
              </w:tc>
              <w:tc>
                <w:tcPr>
                  <w:tcW w:w="1984" w:type="dxa"/>
                  <w:vAlign w:val="center"/>
                </w:tcPr>
                <w:p>
                  <w:pPr>
                    <w:jc w:val="center"/>
                    <w:rPr>
                      <w:bCs/>
                      <w:kern w:val="0"/>
                      <w:szCs w:val="21"/>
                    </w:rPr>
                  </w:pPr>
                  <w:r>
                    <w:rPr>
                      <w:bCs/>
                      <w:kern w:val="0"/>
                      <w:szCs w:val="21"/>
                    </w:rPr>
                    <w:t>400只</w:t>
                  </w:r>
                </w:p>
              </w:tc>
              <w:tc>
                <w:tcPr>
                  <w:tcW w:w="5030" w:type="dxa"/>
                  <w:vAlign w:val="center"/>
                </w:tcPr>
                <w:p>
                  <w:pPr>
                    <w:jc w:val="center"/>
                    <w:rPr>
                      <w:szCs w:val="21"/>
                    </w:rPr>
                  </w:pPr>
                  <w:r>
                    <w:rPr>
                      <w:szCs w:val="21"/>
                    </w:rPr>
                    <w:t>厂区内库存量约33个，库存周期约1个月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jc w:val="center"/>
                    <w:rPr>
                      <w:szCs w:val="21"/>
                    </w:rPr>
                  </w:pPr>
                  <w:r>
                    <w:rPr>
                      <w:szCs w:val="21"/>
                    </w:rPr>
                    <w:t>5</w:t>
                  </w:r>
                </w:p>
              </w:tc>
              <w:tc>
                <w:tcPr>
                  <w:tcW w:w="1418" w:type="dxa"/>
                  <w:vAlign w:val="center"/>
                </w:tcPr>
                <w:p>
                  <w:pPr>
                    <w:jc w:val="center"/>
                    <w:rPr>
                      <w:bCs/>
                      <w:kern w:val="0"/>
                      <w:szCs w:val="21"/>
                    </w:rPr>
                  </w:pPr>
                  <w:r>
                    <w:rPr>
                      <w:bCs/>
                      <w:kern w:val="0"/>
                      <w:szCs w:val="21"/>
                    </w:rPr>
                    <w:t>油缸</w:t>
                  </w:r>
                </w:p>
              </w:tc>
              <w:tc>
                <w:tcPr>
                  <w:tcW w:w="1984" w:type="dxa"/>
                  <w:vAlign w:val="center"/>
                </w:tcPr>
                <w:p>
                  <w:pPr>
                    <w:jc w:val="center"/>
                    <w:rPr>
                      <w:bCs/>
                      <w:kern w:val="0"/>
                      <w:szCs w:val="21"/>
                    </w:rPr>
                  </w:pPr>
                  <w:r>
                    <w:rPr>
                      <w:bCs/>
                      <w:kern w:val="0"/>
                      <w:szCs w:val="21"/>
                    </w:rPr>
                    <w:t>300只</w:t>
                  </w:r>
                </w:p>
              </w:tc>
              <w:tc>
                <w:tcPr>
                  <w:tcW w:w="5030" w:type="dxa"/>
                  <w:vAlign w:val="center"/>
                </w:tcPr>
                <w:p>
                  <w:pPr>
                    <w:jc w:val="center"/>
                    <w:rPr>
                      <w:szCs w:val="21"/>
                    </w:rPr>
                  </w:pPr>
                  <w:r>
                    <w:rPr>
                      <w:szCs w:val="21"/>
                    </w:rPr>
                    <w:t>厂区内库存量约25只，库存周期约1个月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jc w:val="center"/>
                    <w:rPr>
                      <w:szCs w:val="21"/>
                    </w:rPr>
                  </w:pPr>
                  <w:r>
                    <w:rPr>
                      <w:szCs w:val="21"/>
                    </w:rPr>
                    <w:t>6</w:t>
                  </w:r>
                </w:p>
              </w:tc>
              <w:tc>
                <w:tcPr>
                  <w:tcW w:w="1418" w:type="dxa"/>
                  <w:vAlign w:val="center"/>
                </w:tcPr>
                <w:p>
                  <w:pPr>
                    <w:jc w:val="center"/>
                    <w:rPr>
                      <w:bCs/>
                      <w:kern w:val="0"/>
                      <w:szCs w:val="21"/>
                    </w:rPr>
                  </w:pPr>
                  <w:r>
                    <w:rPr>
                      <w:bCs/>
                      <w:kern w:val="0"/>
                      <w:szCs w:val="21"/>
                    </w:rPr>
                    <w:t>智能控制板</w:t>
                  </w:r>
                </w:p>
              </w:tc>
              <w:tc>
                <w:tcPr>
                  <w:tcW w:w="1984" w:type="dxa"/>
                  <w:vAlign w:val="center"/>
                </w:tcPr>
                <w:p>
                  <w:pPr>
                    <w:jc w:val="center"/>
                    <w:rPr>
                      <w:bCs/>
                      <w:kern w:val="0"/>
                      <w:szCs w:val="21"/>
                    </w:rPr>
                  </w:pPr>
                  <w:r>
                    <w:rPr>
                      <w:bCs/>
                      <w:kern w:val="0"/>
                      <w:szCs w:val="21"/>
                    </w:rPr>
                    <w:t>100只</w:t>
                  </w:r>
                </w:p>
              </w:tc>
              <w:tc>
                <w:tcPr>
                  <w:tcW w:w="5030" w:type="dxa"/>
                  <w:vAlign w:val="center"/>
                </w:tcPr>
                <w:p>
                  <w:pPr>
                    <w:jc w:val="center"/>
                    <w:rPr>
                      <w:szCs w:val="21"/>
                    </w:rPr>
                  </w:pPr>
                  <w:r>
                    <w:rPr>
                      <w:szCs w:val="21"/>
                    </w:rPr>
                    <w:t>厂区内库存量约10只，库存周期约1个月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jc w:val="center"/>
                    <w:rPr>
                      <w:szCs w:val="21"/>
                    </w:rPr>
                  </w:pPr>
                  <w:r>
                    <w:rPr>
                      <w:szCs w:val="21"/>
                    </w:rPr>
                    <w:t>7</w:t>
                  </w:r>
                </w:p>
              </w:tc>
              <w:tc>
                <w:tcPr>
                  <w:tcW w:w="1418" w:type="dxa"/>
                  <w:vAlign w:val="center"/>
                </w:tcPr>
                <w:p>
                  <w:pPr>
                    <w:jc w:val="center"/>
                    <w:rPr>
                      <w:bCs/>
                      <w:kern w:val="0"/>
                      <w:szCs w:val="21"/>
                    </w:rPr>
                  </w:pPr>
                  <w:r>
                    <w:rPr>
                      <w:bCs/>
                      <w:kern w:val="0"/>
                      <w:szCs w:val="21"/>
                    </w:rPr>
                    <w:t>液晶显示屏</w:t>
                  </w:r>
                </w:p>
              </w:tc>
              <w:tc>
                <w:tcPr>
                  <w:tcW w:w="1984" w:type="dxa"/>
                  <w:vAlign w:val="center"/>
                </w:tcPr>
                <w:p>
                  <w:pPr>
                    <w:jc w:val="center"/>
                    <w:rPr>
                      <w:bCs/>
                      <w:kern w:val="0"/>
                      <w:szCs w:val="21"/>
                    </w:rPr>
                  </w:pPr>
                  <w:r>
                    <w:rPr>
                      <w:bCs/>
                      <w:kern w:val="0"/>
                      <w:szCs w:val="21"/>
                    </w:rPr>
                    <w:t>100只</w:t>
                  </w:r>
                </w:p>
              </w:tc>
              <w:tc>
                <w:tcPr>
                  <w:tcW w:w="5030" w:type="dxa"/>
                  <w:vAlign w:val="center"/>
                </w:tcPr>
                <w:p>
                  <w:pPr>
                    <w:jc w:val="center"/>
                    <w:rPr>
                      <w:szCs w:val="21"/>
                    </w:rPr>
                  </w:pPr>
                  <w:r>
                    <w:rPr>
                      <w:szCs w:val="21"/>
                    </w:rPr>
                    <w:t>厂区内库存量约10只，库存周期约1个月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jc w:val="center"/>
                    <w:rPr>
                      <w:szCs w:val="21"/>
                    </w:rPr>
                  </w:pPr>
                  <w:r>
                    <w:rPr>
                      <w:szCs w:val="21"/>
                    </w:rPr>
                    <w:t>8</w:t>
                  </w:r>
                </w:p>
              </w:tc>
              <w:tc>
                <w:tcPr>
                  <w:tcW w:w="1418" w:type="dxa"/>
                  <w:vAlign w:val="center"/>
                </w:tcPr>
                <w:p>
                  <w:pPr>
                    <w:jc w:val="center"/>
                    <w:rPr>
                      <w:bCs/>
                      <w:kern w:val="0"/>
                      <w:szCs w:val="21"/>
                    </w:rPr>
                  </w:pPr>
                  <w:r>
                    <w:rPr>
                      <w:bCs/>
                      <w:kern w:val="0"/>
                      <w:szCs w:val="21"/>
                    </w:rPr>
                    <w:t>连接导线</w:t>
                  </w:r>
                </w:p>
              </w:tc>
              <w:tc>
                <w:tcPr>
                  <w:tcW w:w="1984" w:type="dxa"/>
                  <w:vAlign w:val="center"/>
                </w:tcPr>
                <w:p>
                  <w:pPr>
                    <w:jc w:val="center"/>
                    <w:rPr>
                      <w:bCs/>
                      <w:kern w:val="0"/>
                      <w:szCs w:val="21"/>
                    </w:rPr>
                  </w:pPr>
                  <w:r>
                    <w:rPr>
                      <w:bCs/>
                      <w:kern w:val="0"/>
                      <w:szCs w:val="21"/>
                    </w:rPr>
                    <w:t>1万只</w:t>
                  </w:r>
                </w:p>
              </w:tc>
              <w:tc>
                <w:tcPr>
                  <w:tcW w:w="5030" w:type="dxa"/>
                  <w:vAlign w:val="center"/>
                </w:tcPr>
                <w:p>
                  <w:pPr>
                    <w:jc w:val="center"/>
                    <w:rPr>
                      <w:szCs w:val="21"/>
                    </w:rPr>
                  </w:pPr>
                  <w:r>
                    <w:rPr>
                      <w:szCs w:val="21"/>
                    </w:rPr>
                    <w:t>厂区内库存量约833只，库存周期约1个月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napToGrid w:val="0"/>
                    <w:jc w:val="center"/>
                    <w:rPr>
                      <w:szCs w:val="21"/>
                    </w:rPr>
                  </w:pPr>
                  <w:r>
                    <w:rPr>
                      <w:rFonts w:hint="eastAsia"/>
                      <w:szCs w:val="21"/>
                    </w:rPr>
                    <w:t>9</w:t>
                  </w:r>
                </w:p>
              </w:tc>
              <w:tc>
                <w:tcPr>
                  <w:tcW w:w="1418" w:type="dxa"/>
                  <w:vAlign w:val="center"/>
                </w:tcPr>
                <w:p>
                  <w:pPr>
                    <w:jc w:val="center"/>
                    <w:rPr>
                      <w:bCs/>
                      <w:kern w:val="0"/>
                      <w:szCs w:val="21"/>
                    </w:rPr>
                  </w:pPr>
                  <w:r>
                    <w:rPr>
                      <w:rFonts w:hint="eastAsia"/>
                      <w:bCs/>
                      <w:kern w:val="0"/>
                      <w:szCs w:val="21"/>
                    </w:rPr>
                    <w:t>焊丝</w:t>
                  </w:r>
                </w:p>
              </w:tc>
              <w:tc>
                <w:tcPr>
                  <w:tcW w:w="1984" w:type="dxa"/>
                  <w:vAlign w:val="center"/>
                </w:tcPr>
                <w:p>
                  <w:pPr>
                    <w:jc w:val="center"/>
                    <w:rPr>
                      <w:bCs/>
                      <w:kern w:val="0"/>
                      <w:szCs w:val="21"/>
                    </w:rPr>
                  </w:pPr>
                  <w:r>
                    <w:rPr>
                      <w:rFonts w:hint="eastAsia"/>
                      <w:bCs/>
                      <w:kern w:val="0"/>
                      <w:szCs w:val="21"/>
                    </w:rPr>
                    <w:t>1吨</w:t>
                  </w:r>
                </w:p>
              </w:tc>
              <w:tc>
                <w:tcPr>
                  <w:tcW w:w="5030" w:type="dxa"/>
                  <w:vAlign w:val="center"/>
                </w:tcPr>
                <w:p>
                  <w:pPr>
                    <w:jc w:val="center"/>
                    <w:rPr>
                      <w:szCs w:val="21"/>
                    </w:rPr>
                  </w:pPr>
                  <w:r>
                    <w:rPr>
                      <w:szCs w:val="21"/>
                    </w:rPr>
                    <w:t>厂区内库存量约</w:t>
                  </w:r>
                  <w:r>
                    <w:rPr>
                      <w:rFonts w:hint="eastAsia"/>
                      <w:szCs w:val="21"/>
                    </w:rPr>
                    <w:t>0.5吨</w:t>
                  </w:r>
                  <w:r>
                    <w:rPr>
                      <w:szCs w:val="21"/>
                    </w:rPr>
                    <w:t>，库存周期约</w:t>
                  </w:r>
                  <w:r>
                    <w:rPr>
                      <w:rFonts w:hint="eastAsia"/>
                      <w:szCs w:val="21"/>
                    </w:rPr>
                    <w:t>6</w:t>
                  </w:r>
                  <w:r>
                    <w:rPr>
                      <w:szCs w:val="21"/>
                    </w:rPr>
                    <w:t>个月</w:t>
                  </w:r>
                </w:p>
              </w:tc>
            </w:tr>
          </w:tbl>
          <w:p>
            <w:pPr>
              <w:adjustRightInd w:val="0"/>
              <w:spacing w:line="360" w:lineRule="auto"/>
              <w:rPr>
                <w:rFonts w:hAnsi="宋体"/>
                <w:b/>
                <w:sz w:val="24"/>
                <w:szCs w:val="24"/>
              </w:rPr>
            </w:pPr>
            <w:r>
              <w:rPr>
                <w:rFonts w:hint="eastAsia"/>
                <w:b/>
                <w:sz w:val="24"/>
                <w:szCs w:val="24"/>
              </w:rPr>
              <w:t>5</w:t>
            </w:r>
            <w:r>
              <w:rPr>
                <w:b/>
                <w:sz w:val="24"/>
                <w:szCs w:val="24"/>
              </w:rPr>
              <w:t>、</w:t>
            </w:r>
            <w:r>
              <w:rPr>
                <w:rFonts w:hint="eastAsia"/>
                <w:b/>
                <w:sz w:val="24"/>
                <w:szCs w:val="24"/>
              </w:rPr>
              <w:t>拟建项目</w:t>
            </w:r>
            <w:r>
              <w:rPr>
                <w:b/>
                <w:sz w:val="24"/>
                <w:szCs w:val="24"/>
              </w:rPr>
              <w:t>产品方案</w:t>
            </w:r>
          </w:p>
          <w:p>
            <w:pPr>
              <w:pStyle w:val="28"/>
              <w:adjustRightInd w:val="0"/>
              <w:snapToGrid w:val="0"/>
              <w:spacing w:before="0" w:beforeAutospacing="0" w:after="0" w:afterAutospacing="0" w:line="360" w:lineRule="auto"/>
              <w:ind w:firstLine="600" w:firstLineChars="250"/>
              <w:jc w:val="both"/>
              <w:rPr>
                <w:rFonts w:hint="default"/>
              </w:rPr>
            </w:pPr>
            <w:r>
              <w:t>本项目产品主要为矿用掘进临时支护系统，产品方案如下：</w:t>
            </w:r>
          </w:p>
          <w:p>
            <w:pPr>
              <w:jc w:val="center"/>
              <w:rPr>
                <w:b/>
                <w:szCs w:val="21"/>
              </w:rPr>
            </w:pPr>
          </w:p>
          <w:p>
            <w:pPr>
              <w:jc w:val="center"/>
              <w:rPr>
                <w:b/>
                <w:szCs w:val="21"/>
              </w:rPr>
            </w:pPr>
            <w:r>
              <w:rPr>
                <w:rFonts w:hint="eastAsia"/>
                <w:b/>
                <w:szCs w:val="21"/>
              </w:rPr>
              <w:t>表4产品方案</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3314"/>
              <w:gridCol w:w="2406"/>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3" w:type="dxa"/>
                  <w:vAlign w:val="center"/>
                </w:tcPr>
                <w:p>
                  <w:pPr>
                    <w:pStyle w:val="123"/>
                    <w:autoSpaceDN w:val="0"/>
                    <w:snapToGrid w:val="0"/>
                    <w:jc w:val="center"/>
                    <w:textAlignment w:val="center"/>
                    <w:rPr>
                      <w:szCs w:val="21"/>
                    </w:rPr>
                  </w:pPr>
                  <w:r>
                    <w:rPr>
                      <w:szCs w:val="21"/>
                    </w:rPr>
                    <w:t>序号</w:t>
                  </w:r>
                </w:p>
              </w:tc>
              <w:tc>
                <w:tcPr>
                  <w:tcW w:w="3314" w:type="dxa"/>
                  <w:vAlign w:val="center"/>
                </w:tcPr>
                <w:p>
                  <w:pPr>
                    <w:pStyle w:val="123"/>
                    <w:autoSpaceDN w:val="0"/>
                    <w:snapToGrid w:val="0"/>
                    <w:jc w:val="center"/>
                    <w:textAlignment w:val="center"/>
                    <w:rPr>
                      <w:szCs w:val="21"/>
                    </w:rPr>
                  </w:pPr>
                  <w:r>
                    <w:rPr>
                      <w:szCs w:val="21"/>
                    </w:rPr>
                    <w:t>产品名称</w:t>
                  </w:r>
                </w:p>
              </w:tc>
              <w:tc>
                <w:tcPr>
                  <w:tcW w:w="2406" w:type="dxa"/>
                  <w:vAlign w:val="center"/>
                </w:tcPr>
                <w:p>
                  <w:pPr>
                    <w:pStyle w:val="123"/>
                    <w:autoSpaceDN w:val="0"/>
                    <w:snapToGrid w:val="0"/>
                    <w:jc w:val="center"/>
                    <w:textAlignment w:val="center"/>
                    <w:rPr>
                      <w:szCs w:val="21"/>
                    </w:rPr>
                  </w:pPr>
                  <w:r>
                    <w:rPr>
                      <w:szCs w:val="21"/>
                    </w:rPr>
                    <w:t>单位</w:t>
                  </w:r>
                </w:p>
              </w:tc>
              <w:tc>
                <w:tcPr>
                  <w:tcW w:w="1923" w:type="dxa"/>
                  <w:vAlign w:val="center"/>
                </w:tcPr>
                <w:p>
                  <w:pPr>
                    <w:pStyle w:val="123"/>
                    <w:autoSpaceDN w:val="0"/>
                    <w:snapToGrid w:val="0"/>
                    <w:jc w:val="center"/>
                    <w:textAlignment w:val="center"/>
                    <w:rPr>
                      <w:bCs/>
                      <w:szCs w:val="21"/>
                    </w:rPr>
                  </w:pPr>
                  <w:r>
                    <w:rPr>
                      <w:bCs/>
                      <w:szCs w:val="21"/>
                    </w:rPr>
                    <w:t>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3" w:type="dxa"/>
                  <w:vAlign w:val="center"/>
                </w:tcPr>
                <w:p>
                  <w:pPr>
                    <w:pStyle w:val="123"/>
                    <w:autoSpaceDN w:val="0"/>
                    <w:snapToGrid w:val="0"/>
                    <w:jc w:val="center"/>
                    <w:textAlignment w:val="center"/>
                    <w:rPr>
                      <w:szCs w:val="21"/>
                    </w:rPr>
                  </w:pPr>
                  <w:r>
                    <w:rPr>
                      <w:szCs w:val="21"/>
                    </w:rPr>
                    <w:t>1</w:t>
                  </w:r>
                </w:p>
              </w:tc>
              <w:tc>
                <w:tcPr>
                  <w:tcW w:w="3314" w:type="dxa"/>
                  <w:vAlign w:val="center"/>
                </w:tcPr>
                <w:p>
                  <w:pPr>
                    <w:pStyle w:val="123"/>
                    <w:autoSpaceDN w:val="0"/>
                    <w:snapToGrid w:val="0"/>
                    <w:jc w:val="center"/>
                    <w:textAlignment w:val="center"/>
                    <w:rPr>
                      <w:szCs w:val="21"/>
                    </w:rPr>
                  </w:pPr>
                  <w:r>
                    <w:rPr>
                      <w:rFonts w:hint="eastAsia"/>
                      <w:szCs w:val="21"/>
                    </w:rPr>
                    <w:t>矿用掘进临时支护系统</w:t>
                  </w:r>
                </w:p>
              </w:tc>
              <w:tc>
                <w:tcPr>
                  <w:tcW w:w="2406" w:type="dxa"/>
                  <w:vAlign w:val="center"/>
                </w:tcPr>
                <w:p>
                  <w:pPr>
                    <w:pStyle w:val="123"/>
                    <w:autoSpaceDN w:val="0"/>
                    <w:snapToGrid w:val="0"/>
                    <w:jc w:val="center"/>
                    <w:textAlignment w:val="center"/>
                    <w:rPr>
                      <w:szCs w:val="21"/>
                    </w:rPr>
                  </w:pPr>
                  <w:r>
                    <w:rPr>
                      <w:rFonts w:hint="eastAsia"/>
                      <w:szCs w:val="21"/>
                    </w:rPr>
                    <w:t>套</w:t>
                  </w:r>
                  <w:r>
                    <w:rPr>
                      <w:szCs w:val="21"/>
                    </w:rPr>
                    <w:t>/年</w:t>
                  </w:r>
                </w:p>
              </w:tc>
              <w:tc>
                <w:tcPr>
                  <w:tcW w:w="1923" w:type="dxa"/>
                  <w:vAlign w:val="center"/>
                </w:tcPr>
                <w:p>
                  <w:pPr>
                    <w:pStyle w:val="123"/>
                    <w:autoSpaceDN w:val="0"/>
                    <w:snapToGrid w:val="0"/>
                    <w:jc w:val="center"/>
                    <w:textAlignment w:val="center"/>
                    <w:rPr>
                      <w:szCs w:val="21"/>
                    </w:rPr>
                  </w:pPr>
                  <w:r>
                    <w:rPr>
                      <w:szCs w:val="21"/>
                    </w:rPr>
                    <w:t>100</w:t>
                  </w:r>
                </w:p>
              </w:tc>
            </w:tr>
          </w:tbl>
          <w:p>
            <w:pPr>
              <w:adjustRightInd w:val="0"/>
              <w:spacing w:line="440" w:lineRule="exact"/>
              <w:rPr>
                <w:b/>
                <w:sz w:val="24"/>
                <w:szCs w:val="24"/>
              </w:rPr>
            </w:pPr>
            <w:r>
              <w:rPr>
                <w:rFonts w:hint="eastAsia"/>
                <w:b/>
                <w:sz w:val="24"/>
                <w:szCs w:val="24"/>
              </w:rPr>
              <w:t>6</w:t>
            </w:r>
            <w:r>
              <w:rPr>
                <w:rFonts w:hAnsi="宋体"/>
                <w:b/>
                <w:sz w:val="24"/>
                <w:szCs w:val="24"/>
              </w:rPr>
              <w:t>、公用工程</w:t>
            </w:r>
          </w:p>
          <w:p>
            <w:pPr>
              <w:adjustRightInd w:val="0"/>
              <w:snapToGrid w:val="0"/>
              <w:spacing w:line="360" w:lineRule="auto"/>
              <w:ind w:firstLine="240" w:firstLineChars="100"/>
              <w:rPr>
                <w:sz w:val="24"/>
                <w:szCs w:val="24"/>
              </w:rPr>
            </w:pPr>
            <w:r>
              <w:rPr>
                <w:rFonts w:hAnsi="宋体"/>
                <w:sz w:val="24"/>
                <w:szCs w:val="24"/>
              </w:rPr>
              <w:t>（</w:t>
            </w:r>
            <w:r>
              <w:rPr>
                <w:sz w:val="24"/>
                <w:szCs w:val="24"/>
              </w:rPr>
              <w:t>1</w:t>
            </w:r>
            <w:r>
              <w:rPr>
                <w:rFonts w:hAnsi="宋体"/>
                <w:sz w:val="24"/>
                <w:szCs w:val="24"/>
              </w:rPr>
              <w:t>）供水</w:t>
            </w:r>
          </w:p>
          <w:p>
            <w:pPr>
              <w:adjustRightInd w:val="0"/>
              <w:snapToGrid w:val="0"/>
              <w:spacing w:line="360" w:lineRule="auto"/>
              <w:ind w:firstLine="480" w:firstLineChars="200"/>
              <w:rPr>
                <w:rFonts w:hAnsi="宋体"/>
                <w:sz w:val="24"/>
                <w:szCs w:val="24"/>
              </w:rPr>
            </w:pPr>
            <w:r>
              <w:rPr>
                <w:rFonts w:hint="eastAsia"/>
                <w:sz w:val="24"/>
                <w:szCs w:val="24"/>
              </w:rPr>
              <w:t>拟建项目</w:t>
            </w:r>
            <w:r>
              <w:rPr>
                <w:sz w:val="24"/>
                <w:szCs w:val="24"/>
              </w:rPr>
              <w:t>用水量为</w:t>
            </w:r>
            <w:r>
              <w:rPr>
                <w:rFonts w:hint="eastAsia"/>
                <w:sz w:val="24"/>
                <w:szCs w:val="24"/>
              </w:rPr>
              <w:t>750m</w:t>
            </w:r>
            <w:r>
              <w:rPr>
                <w:rFonts w:hint="eastAsia"/>
                <w:sz w:val="24"/>
                <w:szCs w:val="24"/>
                <w:vertAlign w:val="superscript"/>
              </w:rPr>
              <w:t>3</w:t>
            </w:r>
            <w:r>
              <w:rPr>
                <w:sz w:val="24"/>
                <w:szCs w:val="24"/>
              </w:rPr>
              <w:t>/</w:t>
            </w:r>
            <w:r>
              <w:rPr>
                <w:rFonts w:hint="eastAsia"/>
                <w:sz w:val="24"/>
                <w:szCs w:val="24"/>
              </w:rPr>
              <w:t>a</w:t>
            </w:r>
            <w:r>
              <w:rPr>
                <w:rFonts w:hint="eastAsia" w:hAnsi="宋体"/>
                <w:sz w:val="24"/>
                <w:szCs w:val="24"/>
              </w:rPr>
              <w:t>。</w:t>
            </w:r>
            <w:r>
              <w:rPr>
                <w:rFonts w:hint="eastAsia"/>
                <w:sz w:val="24"/>
                <w:szCs w:val="24"/>
              </w:rPr>
              <w:t>本</w:t>
            </w:r>
            <w:r>
              <w:rPr>
                <w:rFonts w:hint="eastAsia" w:hAnsi="宋体"/>
                <w:sz w:val="24"/>
                <w:szCs w:val="24"/>
              </w:rPr>
              <w:t>项目</w:t>
            </w:r>
            <w:r>
              <w:rPr>
                <w:rFonts w:hAnsi="宋体"/>
                <w:sz w:val="24"/>
                <w:szCs w:val="24"/>
              </w:rPr>
              <w:t>水源来自</w:t>
            </w:r>
            <w:r>
              <w:rPr>
                <w:rFonts w:hint="eastAsia"/>
                <w:sz w:val="24"/>
                <w:szCs w:val="24"/>
              </w:rPr>
              <w:t>大通工业聚集区市政供水管网</w:t>
            </w:r>
            <w:r>
              <w:rPr>
                <w:rFonts w:hAnsi="宋体"/>
                <w:sz w:val="24"/>
                <w:szCs w:val="24"/>
              </w:rPr>
              <w:t>，主要作为生产、生活及消防应急水源</w:t>
            </w:r>
            <w:r>
              <w:rPr>
                <w:rFonts w:hint="eastAsia" w:hAnsi="宋体"/>
                <w:sz w:val="24"/>
                <w:szCs w:val="24"/>
              </w:rPr>
              <w:t>，</w:t>
            </w:r>
            <w:r>
              <w:rPr>
                <w:rFonts w:hAnsi="宋体"/>
                <w:sz w:val="24"/>
                <w:szCs w:val="24"/>
              </w:rPr>
              <w:t>可完全满足本项目要求</w:t>
            </w:r>
            <w:r>
              <w:rPr>
                <w:rFonts w:hint="eastAsia" w:hAnsi="宋体"/>
                <w:sz w:val="24"/>
                <w:szCs w:val="24"/>
              </w:rPr>
              <w:t>。</w:t>
            </w:r>
          </w:p>
          <w:p>
            <w:pPr>
              <w:adjustRightInd w:val="0"/>
              <w:snapToGrid w:val="0"/>
              <w:spacing w:line="360" w:lineRule="auto"/>
              <w:ind w:firstLine="360" w:firstLineChars="150"/>
              <w:rPr>
                <w:rFonts w:hAnsi="宋体"/>
                <w:sz w:val="24"/>
                <w:szCs w:val="24"/>
              </w:rPr>
            </w:pPr>
            <w:r>
              <w:rPr>
                <w:rFonts w:hAnsi="宋体"/>
                <w:sz w:val="24"/>
                <w:szCs w:val="24"/>
              </w:rPr>
              <w:t>（</w:t>
            </w:r>
            <w:r>
              <w:rPr>
                <w:sz w:val="24"/>
                <w:szCs w:val="24"/>
              </w:rPr>
              <w:t>2</w:t>
            </w:r>
            <w:r>
              <w:rPr>
                <w:rFonts w:hAnsi="宋体"/>
                <w:sz w:val="24"/>
                <w:szCs w:val="24"/>
              </w:rPr>
              <w:t>）</w:t>
            </w:r>
            <w:r>
              <w:rPr>
                <w:rFonts w:hint="eastAsia" w:hAnsi="宋体"/>
                <w:sz w:val="24"/>
                <w:szCs w:val="24"/>
              </w:rPr>
              <w:t>排水</w:t>
            </w:r>
          </w:p>
          <w:p>
            <w:pPr>
              <w:adjustRightInd w:val="0"/>
              <w:snapToGrid w:val="0"/>
              <w:spacing w:line="360" w:lineRule="auto"/>
              <w:ind w:firstLine="360" w:firstLineChars="150"/>
              <w:rPr>
                <w:rFonts w:hAnsi="宋体"/>
                <w:color w:val="FF0000"/>
                <w:sz w:val="24"/>
                <w:szCs w:val="24"/>
              </w:rPr>
            </w:pPr>
            <w:r>
              <w:rPr>
                <w:rFonts w:hint="eastAsia" w:hAnsi="宋体"/>
                <w:color w:val="FF0000"/>
                <w:sz w:val="24"/>
                <w:szCs w:val="24"/>
              </w:rPr>
              <w:t>厂</w:t>
            </w:r>
            <w:r>
              <w:rPr>
                <w:rFonts w:hAnsi="宋体"/>
                <w:color w:val="FF0000"/>
                <w:sz w:val="24"/>
                <w:szCs w:val="24"/>
              </w:rPr>
              <w:t>区排水采用雨、污水</w:t>
            </w:r>
            <w:r>
              <w:rPr>
                <w:rFonts w:hint="eastAsia" w:hAnsi="宋体"/>
                <w:color w:val="FF0000"/>
                <w:sz w:val="24"/>
                <w:szCs w:val="24"/>
              </w:rPr>
              <w:t>分</w:t>
            </w:r>
            <w:r>
              <w:rPr>
                <w:rFonts w:hAnsi="宋体"/>
                <w:color w:val="FF0000"/>
                <w:sz w:val="24"/>
                <w:szCs w:val="24"/>
              </w:rPr>
              <w:t>流制排水系统。雨水就近排入雨水管网。生活污水依托现有</w:t>
            </w:r>
            <w:r>
              <w:rPr>
                <w:rFonts w:hint="eastAsia" w:hAnsi="宋体"/>
                <w:color w:val="FF0000"/>
                <w:sz w:val="24"/>
                <w:szCs w:val="24"/>
              </w:rPr>
              <w:t>化粪池处理后，通过园区污水管网进入淮南首创第一污水处理厂处理，尾水排入淮河。</w:t>
            </w:r>
            <w:r>
              <w:rPr>
                <w:rFonts w:hint="eastAsia"/>
                <w:color w:val="FF0000"/>
                <w:sz w:val="24"/>
                <w:szCs w:val="24"/>
              </w:rPr>
              <w:t>拟建项目排水量为600m</w:t>
            </w:r>
            <w:r>
              <w:rPr>
                <w:rFonts w:hint="eastAsia"/>
                <w:color w:val="FF0000"/>
                <w:sz w:val="24"/>
                <w:szCs w:val="24"/>
                <w:vertAlign w:val="superscript"/>
              </w:rPr>
              <w:t>3</w:t>
            </w:r>
            <w:r>
              <w:rPr>
                <w:rFonts w:hint="eastAsia" w:hAnsi="宋体"/>
                <w:color w:val="FF0000"/>
                <w:sz w:val="24"/>
                <w:szCs w:val="24"/>
              </w:rPr>
              <w:t>/a。</w:t>
            </w:r>
          </w:p>
          <w:p>
            <w:pPr>
              <w:adjustRightInd w:val="0"/>
              <w:snapToGrid w:val="0"/>
              <w:spacing w:line="360" w:lineRule="auto"/>
              <w:ind w:firstLine="240" w:firstLineChars="100"/>
              <w:rPr>
                <w:sz w:val="24"/>
                <w:szCs w:val="24"/>
              </w:rPr>
            </w:pPr>
            <w:r>
              <w:rPr>
                <w:rFonts w:hAnsi="宋体"/>
                <w:sz w:val="24"/>
                <w:szCs w:val="24"/>
              </w:rPr>
              <w:t>（</w:t>
            </w:r>
            <w:r>
              <w:rPr>
                <w:sz w:val="24"/>
                <w:szCs w:val="24"/>
              </w:rPr>
              <w:t>3</w:t>
            </w:r>
            <w:r>
              <w:rPr>
                <w:rFonts w:hAnsi="宋体"/>
                <w:sz w:val="24"/>
                <w:szCs w:val="24"/>
              </w:rPr>
              <w:t>）供电</w:t>
            </w:r>
          </w:p>
          <w:p>
            <w:pPr>
              <w:snapToGrid w:val="0"/>
              <w:spacing w:line="360" w:lineRule="auto"/>
              <w:ind w:firstLine="480" w:firstLineChars="200"/>
              <w:rPr>
                <w:sz w:val="24"/>
                <w:szCs w:val="24"/>
              </w:rPr>
            </w:pPr>
            <w:r>
              <w:rPr>
                <w:rFonts w:hAnsi="宋体"/>
                <w:sz w:val="24"/>
                <w:szCs w:val="24"/>
              </w:rPr>
              <w:t>本项目的用电由</w:t>
            </w:r>
            <w:r>
              <w:rPr>
                <w:rFonts w:hint="eastAsia"/>
                <w:sz w:val="24"/>
              </w:rPr>
              <w:t>大通工业聚集区</w:t>
            </w:r>
            <w:r>
              <w:rPr>
                <w:rFonts w:hAnsi="宋体"/>
                <w:sz w:val="24"/>
                <w:szCs w:val="24"/>
              </w:rPr>
              <w:t>变电所进线，输出</w:t>
            </w:r>
            <w:r>
              <w:rPr>
                <w:sz w:val="24"/>
                <w:szCs w:val="24"/>
              </w:rPr>
              <w:t>380V</w:t>
            </w:r>
            <w:r>
              <w:rPr>
                <w:rFonts w:hAnsi="宋体"/>
                <w:sz w:val="24"/>
                <w:szCs w:val="24"/>
              </w:rPr>
              <w:t>的生产动力用电和</w:t>
            </w:r>
            <w:r>
              <w:rPr>
                <w:sz w:val="24"/>
                <w:szCs w:val="24"/>
              </w:rPr>
              <w:t>220V</w:t>
            </w:r>
            <w:r>
              <w:rPr>
                <w:rFonts w:hAnsi="宋体"/>
                <w:sz w:val="24"/>
                <w:szCs w:val="24"/>
              </w:rPr>
              <w:t>的办公生活用电。</w:t>
            </w:r>
          </w:p>
          <w:p>
            <w:pPr>
              <w:adjustRightInd w:val="0"/>
              <w:snapToGrid w:val="0"/>
              <w:spacing w:line="360" w:lineRule="auto"/>
              <w:ind w:firstLine="240" w:firstLineChars="100"/>
              <w:rPr>
                <w:sz w:val="24"/>
                <w:szCs w:val="24"/>
              </w:rPr>
            </w:pPr>
            <w:r>
              <w:rPr>
                <w:rFonts w:hAnsi="宋体"/>
                <w:sz w:val="24"/>
                <w:szCs w:val="24"/>
              </w:rPr>
              <w:t>（</w:t>
            </w:r>
            <w:r>
              <w:rPr>
                <w:sz w:val="24"/>
                <w:szCs w:val="24"/>
              </w:rPr>
              <w:t>4</w:t>
            </w:r>
            <w:r>
              <w:rPr>
                <w:rFonts w:hAnsi="宋体"/>
                <w:sz w:val="24"/>
                <w:szCs w:val="24"/>
              </w:rPr>
              <w:t>）消防</w:t>
            </w:r>
          </w:p>
          <w:p>
            <w:pPr>
              <w:snapToGrid w:val="0"/>
              <w:spacing w:line="360" w:lineRule="auto"/>
              <w:ind w:firstLine="480" w:firstLineChars="200"/>
              <w:rPr>
                <w:sz w:val="24"/>
                <w:szCs w:val="24"/>
              </w:rPr>
            </w:pPr>
            <w:r>
              <w:rPr>
                <w:rFonts w:hAnsi="宋体"/>
                <w:sz w:val="24"/>
                <w:szCs w:val="24"/>
              </w:rPr>
              <w:t>本项目建筑防火设计依据《建筑设计防火规范》</w:t>
            </w:r>
            <w:r>
              <w:rPr>
                <w:sz w:val="24"/>
                <w:szCs w:val="24"/>
              </w:rPr>
              <w:t>(</w:t>
            </w:r>
            <w:r>
              <w:rPr>
                <w:rFonts w:hint="eastAsia"/>
                <w:sz w:val="24"/>
                <w:szCs w:val="24"/>
              </w:rPr>
              <w:t>GB50016-2014</w:t>
            </w:r>
            <w:r>
              <w:rPr>
                <w:sz w:val="24"/>
                <w:szCs w:val="24"/>
              </w:rPr>
              <w:t>)</w:t>
            </w:r>
            <w:r>
              <w:rPr>
                <w:rFonts w:hint="eastAsia"/>
                <w:sz w:val="24"/>
                <w:szCs w:val="24"/>
              </w:rPr>
              <w:t>，厂房防火设计按丁类厂房设计，耐火等级设计为二级。满足本项目防火要求。</w:t>
            </w:r>
          </w:p>
          <w:p>
            <w:pPr>
              <w:adjustRightInd w:val="0"/>
              <w:snapToGrid w:val="0"/>
              <w:spacing w:line="360" w:lineRule="auto"/>
              <w:rPr>
                <w:b/>
                <w:sz w:val="24"/>
                <w:szCs w:val="24"/>
              </w:rPr>
            </w:pPr>
            <w:r>
              <w:rPr>
                <w:rFonts w:hint="eastAsia"/>
                <w:b/>
                <w:sz w:val="24"/>
                <w:szCs w:val="24"/>
              </w:rPr>
              <w:t>7</w:t>
            </w:r>
            <w:r>
              <w:rPr>
                <w:b/>
                <w:sz w:val="24"/>
                <w:szCs w:val="24"/>
              </w:rPr>
              <w:t>、工作制度及定员</w:t>
            </w:r>
          </w:p>
          <w:p>
            <w:pPr>
              <w:adjustRightInd w:val="0"/>
              <w:spacing w:line="360" w:lineRule="auto"/>
              <w:ind w:firstLine="240" w:firstLineChars="100"/>
              <w:rPr>
                <w:sz w:val="24"/>
                <w:szCs w:val="24"/>
              </w:rPr>
            </w:pPr>
            <w:r>
              <w:rPr>
                <w:rFonts w:hint="eastAsia" w:ascii="宋体" w:hAnsi="宋体"/>
                <w:sz w:val="24"/>
                <w:szCs w:val="24"/>
              </w:rPr>
              <w:t>本项目劳动定员</w:t>
            </w:r>
            <w:r>
              <w:rPr>
                <w:rFonts w:hAnsi="宋体"/>
                <w:sz w:val="24"/>
                <w:szCs w:val="24"/>
              </w:rPr>
              <w:t>为</w:t>
            </w:r>
            <w:r>
              <w:rPr>
                <w:rFonts w:hint="eastAsia"/>
                <w:sz w:val="24"/>
                <w:szCs w:val="24"/>
              </w:rPr>
              <w:t>50人</w:t>
            </w:r>
            <w:r>
              <w:rPr>
                <w:rFonts w:hint="eastAsia" w:hAnsi="宋体"/>
                <w:sz w:val="24"/>
                <w:szCs w:val="24"/>
              </w:rPr>
              <w:t>，均不在厂区食宿</w:t>
            </w:r>
            <w:r>
              <w:rPr>
                <w:rFonts w:hAnsi="宋体"/>
                <w:sz w:val="24"/>
                <w:szCs w:val="24"/>
              </w:rPr>
              <w:t>。</w:t>
            </w:r>
          </w:p>
          <w:p>
            <w:pPr>
              <w:adjustRightInd w:val="0"/>
              <w:spacing w:line="360" w:lineRule="auto"/>
              <w:ind w:firstLine="240" w:firstLineChars="100"/>
              <w:rPr>
                <w:rFonts w:hAnsi="宋体"/>
                <w:sz w:val="24"/>
                <w:szCs w:val="24"/>
              </w:rPr>
            </w:pPr>
            <w:r>
              <w:rPr>
                <w:rFonts w:hAnsi="宋体"/>
                <w:sz w:val="24"/>
                <w:szCs w:val="24"/>
              </w:rPr>
              <w:t>工作制度</w:t>
            </w:r>
            <w:r>
              <w:rPr>
                <w:rFonts w:hint="eastAsia" w:hAnsi="宋体"/>
                <w:sz w:val="24"/>
                <w:szCs w:val="24"/>
              </w:rPr>
              <w:t>：</w:t>
            </w:r>
            <w:r>
              <w:rPr>
                <w:rFonts w:hAnsi="宋体"/>
                <w:sz w:val="24"/>
                <w:szCs w:val="24"/>
              </w:rPr>
              <w:t>工作制度为单班制，每班工作</w:t>
            </w:r>
            <w:r>
              <w:rPr>
                <w:sz w:val="24"/>
                <w:szCs w:val="24"/>
              </w:rPr>
              <w:t>8</w:t>
            </w:r>
            <w:r>
              <w:rPr>
                <w:rFonts w:hAnsi="宋体"/>
                <w:sz w:val="24"/>
                <w:szCs w:val="24"/>
              </w:rPr>
              <w:t>小时，年工作时日为</w:t>
            </w:r>
            <w:r>
              <w:rPr>
                <w:rFonts w:hint="eastAsia"/>
                <w:sz w:val="24"/>
                <w:szCs w:val="24"/>
              </w:rPr>
              <w:t>300</w:t>
            </w:r>
            <w:r>
              <w:rPr>
                <w:rFonts w:hAnsi="宋体"/>
                <w:sz w:val="24"/>
                <w:szCs w:val="24"/>
              </w:rPr>
              <w:t>天</w:t>
            </w:r>
            <w:r>
              <w:rPr>
                <w:rFonts w:hint="eastAsia" w:hAnsi="宋体"/>
                <w:sz w:val="24"/>
                <w:szCs w:val="24"/>
              </w:rPr>
              <w:t>。</w:t>
            </w:r>
          </w:p>
          <w:p>
            <w:pPr>
              <w:adjustRightInd w:val="0"/>
              <w:spacing w:line="360" w:lineRule="auto"/>
              <w:rPr>
                <w:b/>
                <w:sz w:val="24"/>
                <w:szCs w:val="24"/>
              </w:rPr>
            </w:pPr>
            <w:r>
              <w:rPr>
                <w:rFonts w:hint="eastAsia"/>
                <w:b/>
                <w:sz w:val="24"/>
                <w:szCs w:val="24"/>
              </w:rPr>
              <w:t>8</w:t>
            </w:r>
            <w:r>
              <w:rPr>
                <w:b/>
                <w:sz w:val="24"/>
                <w:szCs w:val="24"/>
              </w:rPr>
              <w:t>、厂区平面布置</w:t>
            </w:r>
          </w:p>
          <w:p>
            <w:pPr>
              <w:adjustRightInd w:val="0"/>
              <w:spacing w:line="360" w:lineRule="auto"/>
              <w:ind w:firstLine="240" w:firstLineChars="100"/>
              <w:rPr>
                <w:sz w:val="24"/>
                <w:szCs w:val="24"/>
              </w:rPr>
            </w:pPr>
            <w:r>
              <w:rPr>
                <w:sz w:val="24"/>
                <w:szCs w:val="24"/>
              </w:rPr>
              <w:t>项目</w:t>
            </w:r>
            <w:r>
              <w:rPr>
                <w:rFonts w:hint="eastAsia"/>
                <w:sz w:val="24"/>
                <w:szCs w:val="24"/>
              </w:rPr>
              <w:t>淮南市大通区康宝路北侧大通工业聚集区标准化厂房</w:t>
            </w:r>
            <w:r>
              <w:rPr>
                <w:sz w:val="24"/>
                <w:szCs w:val="24"/>
              </w:rPr>
              <w:t>。</w:t>
            </w:r>
            <w:r>
              <w:rPr>
                <w:rFonts w:hint="eastAsia"/>
                <w:sz w:val="24"/>
                <w:szCs w:val="24"/>
              </w:rPr>
              <w:t>租赁厂房西部为生产区，厂房东北侧为成品区，东南侧为原材料区，车间办公室位于厂房中部。厂房内设计既作明确区划，同时为有利于提高管理工作效率，对功能上相关的部门，又采取密切结合，相互渗透的处理方式，厂房布局较为合理。</w:t>
            </w:r>
            <w:r>
              <w:rPr>
                <w:sz w:val="24"/>
                <w:szCs w:val="24"/>
              </w:rPr>
              <w:t>平面布置详见附图《项目总平面布置图》。</w:t>
            </w:r>
          </w:p>
          <w:p>
            <w:pPr>
              <w:adjustRightInd w:val="0"/>
              <w:snapToGrid w:val="0"/>
              <w:spacing w:line="360" w:lineRule="auto"/>
              <w:rPr>
                <w:b/>
                <w:sz w:val="24"/>
                <w:szCs w:val="24"/>
              </w:rPr>
            </w:pPr>
            <w:r>
              <w:rPr>
                <w:rFonts w:hint="eastAsia"/>
                <w:b/>
                <w:sz w:val="24"/>
                <w:szCs w:val="24"/>
              </w:rPr>
              <w:t>9、产业政策分析</w:t>
            </w:r>
          </w:p>
          <w:p>
            <w:pPr>
              <w:pStyle w:val="81"/>
              <w:ind w:firstLine="480"/>
              <w:rPr>
                <w:bCs/>
                <w:kern w:val="0"/>
                <w:sz w:val="24"/>
              </w:rPr>
            </w:pPr>
            <w:r>
              <w:rPr>
                <w:rFonts w:hint="eastAsia" w:ascii="Times New Roman" w:cs="Times New Roman"/>
                <w:kern w:val="0"/>
                <w:sz w:val="24"/>
              </w:rPr>
              <w:t>根据《产业结构调整指导目录（2019年本）》</w:t>
            </w:r>
            <w:r>
              <w:rPr>
                <w:rFonts w:ascii="Times New Roman" w:hAnsi="Times New Roman" w:cs="Times New Roman"/>
                <w:kern w:val="0"/>
                <w:sz w:val="24"/>
              </w:rPr>
              <w:t>，拟建项目不属于其中鼓励类、限制类和淘汰类，视为允许类</w:t>
            </w:r>
            <w:r>
              <w:rPr>
                <w:rFonts w:hint="eastAsia" w:ascii="Times New Roman" w:hAnsi="Times New Roman" w:cs="Times New Roman"/>
                <w:kern w:val="0"/>
                <w:sz w:val="24"/>
              </w:rPr>
              <w:t>；</w:t>
            </w:r>
            <w:r>
              <w:rPr>
                <w:rFonts w:ascii="Times New Roman" w:hAnsi="Times New Roman" w:cs="Times New Roman"/>
                <w:kern w:val="0"/>
                <w:sz w:val="24"/>
              </w:rPr>
              <w:t>同时，本项目不属于《安徽省工业产业结构调整指导目录》中的限制及淘汰类项目。因此</w:t>
            </w:r>
            <w:r>
              <w:rPr>
                <w:rFonts w:hint="eastAsia" w:ascii="Times New Roman" w:hAnsi="Times New Roman" w:cs="Times New Roman"/>
                <w:kern w:val="0"/>
                <w:sz w:val="24"/>
              </w:rPr>
              <w:t>，</w:t>
            </w:r>
            <w:r>
              <w:rPr>
                <w:rFonts w:ascii="Times New Roman" w:hAnsi="Times New Roman" w:cs="Times New Roman"/>
                <w:kern w:val="0"/>
                <w:sz w:val="24"/>
              </w:rPr>
              <w:t>本项目的建设符合国家和地方的产业政策要求。</w:t>
            </w:r>
            <w:r>
              <w:rPr>
                <w:rFonts w:ascii="Times New Roman" w:cs="Times New Roman"/>
                <w:bCs/>
                <w:kern w:val="0"/>
                <w:sz w:val="24"/>
              </w:rPr>
              <w:t>本项目经淮南市大通区发展和改革委员会同意备案，项目编号为</w:t>
            </w:r>
            <w:r>
              <w:rPr>
                <w:rFonts w:hint="eastAsia" w:ascii="Times New Roman" w:hAnsi="Times New Roman" w:cs="Times New Roman"/>
                <w:bCs/>
                <w:kern w:val="0"/>
                <w:sz w:val="24"/>
              </w:rPr>
              <w:t>2020-340402-35-03-001177</w:t>
            </w:r>
            <w:r>
              <w:rPr>
                <w:rFonts w:hint="eastAsia"/>
                <w:bCs/>
                <w:kern w:val="0"/>
                <w:sz w:val="24"/>
              </w:rPr>
              <w:t>，本项目的建设符合国家和地方的产业政策要求。</w:t>
            </w:r>
          </w:p>
          <w:p>
            <w:pPr>
              <w:adjustRightInd w:val="0"/>
              <w:snapToGrid w:val="0"/>
              <w:spacing w:line="360" w:lineRule="auto"/>
              <w:rPr>
                <w:b/>
                <w:sz w:val="24"/>
                <w:szCs w:val="24"/>
              </w:rPr>
            </w:pPr>
            <w:r>
              <w:rPr>
                <w:rFonts w:hint="eastAsia"/>
                <w:b/>
                <w:sz w:val="24"/>
                <w:szCs w:val="24"/>
              </w:rPr>
              <w:t>10、</w:t>
            </w:r>
            <w:r>
              <w:rPr>
                <w:b/>
                <w:sz w:val="24"/>
                <w:szCs w:val="24"/>
              </w:rPr>
              <w:t>选址规划相符性分析</w:t>
            </w:r>
          </w:p>
          <w:p>
            <w:pPr>
              <w:pStyle w:val="81"/>
              <w:snapToGrid w:val="0"/>
              <w:ind w:firstLine="480"/>
              <w:rPr>
                <w:rFonts w:ascii="Times New Roman" w:cs="Times New Roman"/>
                <w:kern w:val="0"/>
                <w:sz w:val="24"/>
              </w:rPr>
            </w:pPr>
            <w:r>
              <w:rPr>
                <w:rFonts w:hint="eastAsia" w:ascii="Times New Roman" w:cs="Times New Roman"/>
                <w:kern w:val="0"/>
                <w:sz w:val="24"/>
              </w:rPr>
              <w:t>该</w:t>
            </w:r>
            <w:r>
              <w:rPr>
                <w:rFonts w:ascii="Times New Roman" w:cs="Times New Roman"/>
                <w:kern w:val="0"/>
                <w:sz w:val="24"/>
              </w:rPr>
              <w:t>项目位于淮南市大通区康宝路北侧大通工业聚集区标准化厂房</w:t>
            </w:r>
            <w:r>
              <w:rPr>
                <w:rFonts w:hint="eastAsia" w:ascii="Times New Roman" w:cs="Times New Roman"/>
                <w:kern w:val="0"/>
                <w:sz w:val="24"/>
              </w:rPr>
              <w:t>。项目北侧及东侧为空地、项目区西侧及南侧为</w:t>
            </w:r>
            <w:r>
              <w:rPr>
                <w:rFonts w:ascii="Times New Roman" w:cs="Times New Roman"/>
                <w:kern w:val="0"/>
                <w:sz w:val="24"/>
              </w:rPr>
              <w:t>大通工业聚集区标准化厂房</w:t>
            </w:r>
            <w:r>
              <w:rPr>
                <w:rFonts w:hint="eastAsia" w:ascii="Times New Roman" w:cs="Times New Roman"/>
                <w:kern w:val="0"/>
                <w:sz w:val="24"/>
              </w:rPr>
              <w:t>。</w:t>
            </w:r>
          </w:p>
          <w:p>
            <w:pPr>
              <w:pStyle w:val="81"/>
              <w:ind w:firstLine="480"/>
              <w:rPr>
                <w:rFonts w:ascii="Times New Roman" w:cs="Times New Roman"/>
                <w:kern w:val="0"/>
                <w:sz w:val="24"/>
              </w:rPr>
            </w:pPr>
            <w:r>
              <w:rPr>
                <w:rFonts w:hint="eastAsia" w:ascii="Times New Roman" w:cs="Times New Roman"/>
                <w:kern w:val="0"/>
                <w:sz w:val="24"/>
              </w:rPr>
              <w:t>（1）土地规划符合性分析</w:t>
            </w:r>
          </w:p>
          <w:p>
            <w:pPr>
              <w:pStyle w:val="81"/>
              <w:ind w:firstLine="480"/>
              <w:rPr>
                <w:rFonts w:ascii="Times New Roman" w:cs="Times New Roman"/>
                <w:kern w:val="0"/>
                <w:sz w:val="24"/>
              </w:rPr>
            </w:pPr>
            <w:r>
              <w:rPr>
                <w:rFonts w:ascii="Times New Roman" w:cs="Times New Roman"/>
                <w:kern w:val="0"/>
                <w:sz w:val="24"/>
              </w:rPr>
              <w:t>本项目选址于淮南市大通区康宝路北侧大通工业聚集区标准化厂房。</w:t>
            </w:r>
            <w:r>
              <w:rPr>
                <w:rFonts w:hint="eastAsia" w:ascii="Times New Roman" w:cs="Times New Roman"/>
                <w:kern w:val="0"/>
                <w:sz w:val="24"/>
              </w:rPr>
              <w:t>根据建设单位提供的租赁合同及</w:t>
            </w:r>
            <w:r>
              <w:rPr>
                <w:rFonts w:ascii="Times New Roman" w:cs="Times New Roman"/>
                <w:kern w:val="0"/>
                <w:sz w:val="24"/>
              </w:rPr>
              <w:t>标准化厂房</w:t>
            </w:r>
            <w:r>
              <w:rPr>
                <w:rFonts w:hint="eastAsia" w:ascii="Times New Roman" w:cs="Times New Roman"/>
                <w:kern w:val="0"/>
                <w:sz w:val="24"/>
              </w:rPr>
              <w:t>房产证、土地证（详见附件），可知项目拟建地土地性质为工业性质用地。项目用地符合</w:t>
            </w:r>
            <w:r>
              <w:rPr>
                <w:rFonts w:ascii="Times New Roman" w:cs="Times New Roman"/>
                <w:kern w:val="0"/>
                <w:sz w:val="24"/>
              </w:rPr>
              <w:t>大通工业聚集区</w:t>
            </w:r>
            <w:r>
              <w:rPr>
                <w:rFonts w:hint="eastAsia" w:ascii="Times New Roman" w:cs="Times New Roman"/>
                <w:kern w:val="0"/>
                <w:sz w:val="24"/>
              </w:rPr>
              <w:t>土地利用总体规划。项目通过现场调查可知，环境现状良好，项目所在地具有一定的区域环境容量，因此拟建项目选址合理。</w:t>
            </w:r>
          </w:p>
          <w:p>
            <w:pPr>
              <w:pStyle w:val="81"/>
              <w:ind w:firstLine="480"/>
              <w:rPr>
                <w:rFonts w:ascii="Times New Roman" w:cs="Times New Roman"/>
                <w:color w:val="000000"/>
                <w:kern w:val="0"/>
                <w:sz w:val="24"/>
              </w:rPr>
            </w:pPr>
            <w:r>
              <w:rPr>
                <w:rFonts w:hint="eastAsia" w:ascii="Times New Roman" w:cs="Times New Roman"/>
                <w:color w:val="000000"/>
                <w:kern w:val="0"/>
                <w:sz w:val="24"/>
              </w:rPr>
              <w:t>（2）与淮南市大通工业园区相关规划的符合性</w:t>
            </w:r>
          </w:p>
          <w:p>
            <w:pPr>
              <w:pStyle w:val="81"/>
              <w:ind w:firstLine="480"/>
              <w:rPr>
                <w:rFonts w:ascii="Times New Roman" w:cs="Times New Roman"/>
                <w:color w:val="000000"/>
                <w:kern w:val="0"/>
                <w:sz w:val="24"/>
              </w:rPr>
            </w:pPr>
            <w:r>
              <w:rPr>
                <w:rFonts w:hint="eastAsia" w:ascii="Times New Roman" w:cs="Times New Roman"/>
                <w:color w:val="000000"/>
                <w:kern w:val="0"/>
                <w:sz w:val="24"/>
              </w:rPr>
              <w:t>根据《关于淮南市大通工业园区规划环境影响报告书的审查意见》（淮环函[2013]215号），淮南市大通工业园区功能定位是：淮南市电子机械制造加工业基地之一；淮南市医药物流示范园区；淮南市服装加工示范园区。</w:t>
            </w:r>
          </w:p>
          <w:p>
            <w:pPr>
              <w:spacing w:line="360" w:lineRule="auto"/>
              <w:ind w:firstLine="480" w:firstLineChars="200"/>
              <w:rPr>
                <w:color w:val="000000"/>
                <w:sz w:val="24"/>
                <w:szCs w:val="24"/>
              </w:rPr>
            </w:pPr>
            <w:bookmarkStart w:id="0" w:name="_Hlk7957962"/>
            <w:r>
              <w:rPr>
                <w:rFonts w:hint="eastAsia"/>
                <w:color w:val="000000"/>
                <w:sz w:val="24"/>
                <w:szCs w:val="24"/>
              </w:rPr>
              <w:t>本项目与审查意见要求相符性分析</w:t>
            </w:r>
            <w:bookmarkEnd w:id="0"/>
            <w:r>
              <w:rPr>
                <w:rFonts w:hint="eastAsia"/>
                <w:color w:val="000000"/>
                <w:sz w:val="24"/>
                <w:szCs w:val="24"/>
              </w:rPr>
              <w:t>如下：</w:t>
            </w:r>
          </w:p>
          <w:p>
            <w:pPr>
              <w:jc w:val="center"/>
              <w:rPr>
                <w:b/>
                <w:color w:val="000000"/>
                <w:szCs w:val="21"/>
              </w:rPr>
            </w:pPr>
            <w:r>
              <w:rPr>
                <w:b/>
                <w:color w:val="000000"/>
                <w:szCs w:val="21"/>
              </w:rPr>
              <w:t>表</w:t>
            </w:r>
            <w:r>
              <w:rPr>
                <w:rFonts w:hint="eastAsia"/>
                <w:b/>
                <w:color w:val="000000"/>
                <w:szCs w:val="21"/>
              </w:rPr>
              <w:t>5本项目与淮南市大通工业园区规划环评审查意见要求相符性分析</w:t>
            </w:r>
            <w:r>
              <w:rPr>
                <w:b/>
                <w:color w:val="000000"/>
                <w:szCs w:val="21"/>
              </w:rPr>
              <w:t>一览表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3776"/>
              <w:gridCol w:w="3969"/>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vAlign w:val="center"/>
                </w:tcPr>
                <w:p>
                  <w:pPr>
                    <w:jc w:val="center"/>
                    <w:rPr>
                      <w:color w:val="000000"/>
                      <w:szCs w:val="21"/>
                    </w:rPr>
                  </w:pPr>
                  <w:r>
                    <w:rPr>
                      <w:color w:val="000000"/>
                      <w:szCs w:val="21"/>
                    </w:rPr>
                    <w:t>序号</w:t>
                  </w:r>
                </w:p>
              </w:tc>
              <w:tc>
                <w:tcPr>
                  <w:tcW w:w="3776" w:type="dxa"/>
                  <w:vAlign w:val="center"/>
                </w:tcPr>
                <w:p>
                  <w:pPr>
                    <w:jc w:val="center"/>
                    <w:rPr>
                      <w:color w:val="000000"/>
                      <w:szCs w:val="21"/>
                    </w:rPr>
                  </w:pPr>
                  <w:r>
                    <w:rPr>
                      <w:rFonts w:hint="eastAsia"/>
                      <w:color w:val="000000"/>
                      <w:szCs w:val="21"/>
                    </w:rPr>
                    <w:t>淮南市大通工业园区</w:t>
                  </w:r>
                  <w:r>
                    <w:rPr>
                      <w:color w:val="000000"/>
                      <w:szCs w:val="21"/>
                    </w:rPr>
                    <w:t>规划环评审查意见要求</w:t>
                  </w:r>
                </w:p>
              </w:tc>
              <w:tc>
                <w:tcPr>
                  <w:tcW w:w="3969" w:type="dxa"/>
                  <w:vAlign w:val="center"/>
                </w:tcPr>
                <w:p>
                  <w:pPr>
                    <w:jc w:val="center"/>
                    <w:rPr>
                      <w:color w:val="000000"/>
                      <w:szCs w:val="21"/>
                    </w:rPr>
                  </w:pPr>
                  <w:r>
                    <w:rPr>
                      <w:color w:val="000000"/>
                      <w:szCs w:val="21"/>
                    </w:rPr>
                    <w:t>本项目情况</w:t>
                  </w:r>
                </w:p>
              </w:tc>
              <w:tc>
                <w:tcPr>
                  <w:tcW w:w="777" w:type="dxa"/>
                  <w:vAlign w:val="center"/>
                </w:tcPr>
                <w:p>
                  <w:pPr>
                    <w:jc w:val="center"/>
                    <w:rPr>
                      <w:color w:val="000000"/>
                      <w:szCs w:val="21"/>
                    </w:rPr>
                  </w:pPr>
                  <w:r>
                    <w:rPr>
                      <w:color w:val="000000"/>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vAlign w:val="center"/>
                </w:tcPr>
                <w:p>
                  <w:pPr>
                    <w:jc w:val="center"/>
                    <w:rPr>
                      <w:color w:val="000000"/>
                      <w:szCs w:val="21"/>
                    </w:rPr>
                  </w:pPr>
                  <w:r>
                    <w:rPr>
                      <w:color w:val="000000"/>
                      <w:szCs w:val="21"/>
                    </w:rPr>
                    <w:t>1</w:t>
                  </w:r>
                </w:p>
              </w:tc>
              <w:tc>
                <w:tcPr>
                  <w:tcW w:w="3776" w:type="dxa"/>
                  <w:vAlign w:val="center"/>
                </w:tcPr>
                <w:p>
                  <w:pPr>
                    <w:ind w:firstLine="200"/>
                    <w:rPr>
                      <w:color w:val="000000"/>
                      <w:szCs w:val="21"/>
                    </w:rPr>
                  </w:pPr>
                  <w:r>
                    <w:rPr>
                      <w:rFonts w:hint="eastAsia"/>
                      <w:color w:val="000000"/>
                      <w:szCs w:val="21"/>
                    </w:rPr>
                    <w:t>淮南市大通工业园区功能定位是：淮南市电子机械制造加工业基地之一；淮南市医药物流示范园区；淮南市服装加工示范园区。</w:t>
                  </w:r>
                </w:p>
              </w:tc>
              <w:tc>
                <w:tcPr>
                  <w:tcW w:w="3969" w:type="dxa"/>
                  <w:vAlign w:val="center"/>
                </w:tcPr>
                <w:p>
                  <w:pPr>
                    <w:ind w:firstLine="200"/>
                    <w:rPr>
                      <w:color w:val="000000"/>
                      <w:szCs w:val="21"/>
                    </w:rPr>
                  </w:pPr>
                  <w:r>
                    <w:rPr>
                      <w:color w:val="000000"/>
                      <w:szCs w:val="21"/>
                    </w:rPr>
                    <w:t>本项目从事</w:t>
                  </w:r>
                  <w:r>
                    <w:rPr>
                      <w:rFonts w:hint="eastAsia"/>
                      <w:color w:val="000000"/>
                      <w:szCs w:val="21"/>
                    </w:rPr>
                    <w:t>矿用掘进临时支护系统，属于矿山机械制造业，符合淮南市大通工业园区功能定位，</w:t>
                  </w:r>
                  <w:r>
                    <w:rPr>
                      <w:color w:val="000000"/>
                      <w:szCs w:val="21"/>
                    </w:rPr>
                    <w:t>符合规划环评要求</w:t>
                  </w:r>
                </w:p>
              </w:tc>
              <w:tc>
                <w:tcPr>
                  <w:tcW w:w="777" w:type="dxa"/>
                  <w:vAlign w:val="center"/>
                </w:tcPr>
                <w:p>
                  <w:pPr>
                    <w:jc w:val="center"/>
                    <w:rPr>
                      <w:color w:val="000000"/>
                      <w:szCs w:val="21"/>
                    </w:rPr>
                  </w:pPr>
                  <w:r>
                    <w:rPr>
                      <w:color w:val="000000"/>
                      <w:szCs w:val="21"/>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14" w:type="dxa"/>
                  <w:vAlign w:val="center"/>
                </w:tcPr>
                <w:p>
                  <w:pPr>
                    <w:jc w:val="center"/>
                    <w:rPr>
                      <w:color w:val="000000"/>
                      <w:szCs w:val="21"/>
                    </w:rPr>
                  </w:pPr>
                  <w:r>
                    <w:rPr>
                      <w:color w:val="000000"/>
                      <w:szCs w:val="21"/>
                    </w:rPr>
                    <w:t>2</w:t>
                  </w:r>
                </w:p>
              </w:tc>
              <w:tc>
                <w:tcPr>
                  <w:tcW w:w="3776" w:type="dxa"/>
                  <w:vAlign w:val="center"/>
                </w:tcPr>
                <w:p>
                  <w:pPr>
                    <w:jc w:val="center"/>
                    <w:rPr>
                      <w:color w:val="000000"/>
                      <w:szCs w:val="21"/>
                    </w:rPr>
                  </w:pPr>
                  <w:r>
                    <w:rPr>
                      <w:color w:val="000000"/>
                      <w:szCs w:val="21"/>
                    </w:rPr>
                    <w:t>严格控制污染严重和有重大环境风险隐患的企业入园区</w:t>
                  </w:r>
                  <w:r>
                    <w:rPr>
                      <w:rFonts w:hint="eastAsia"/>
                      <w:color w:val="000000"/>
                      <w:szCs w:val="21"/>
                    </w:rPr>
                    <w:t>，</w:t>
                  </w:r>
                  <w:r>
                    <w:rPr>
                      <w:color w:val="000000"/>
                      <w:szCs w:val="21"/>
                    </w:rPr>
                    <w:t>高污染</w:t>
                  </w:r>
                  <w:r>
                    <w:rPr>
                      <w:rFonts w:hint="eastAsia"/>
                      <w:color w:val="000000"/>
                      <w:szCs w:val="21"/>
                    </w:rPr>
                    <w:t>、</w:t>
                  </w:r>
                  <w:r>
                    <w:rPr>
                      <w:color w:val="000000"/>
                      <w:szCs w:val="21"/>
                    </w:rPr>
                    <w:t>高能耗</w:t>
                  </w:r>
                  <w:r>
                    <w:rPr>
                      <w:rFonts w:hint="eastAsia"/>
                      <w:color w:val="000000"/>
                      <w:szCs w:val="21"/>
                    </w:rPr>
                    <w:t>、</w:t>
                  </w:r>
                  <w:r>
                    <w:rPr>
                      <w:color w:val="000000"/>
                      <w:szCs w:val="21"/>
                    </w:rPr>
                    <w:t>高水耗项目不得入园区</w:t>
                  </w:r>
                  <w:r>
                    <w:rPr>
                      <w:rFonts w:hint="eastAsia"/>
                      <w:color w:val="000000"/>
                      <w:szCs w:val="21"/>
                    </w:rPr>
                    <w:t>；</w:t>
                  </w:r>
                  <w:r>
                    <w:rPr>
                      <w:color w:val="000000"/>
                      <w:szCs w:val="21"/>
                    </w:rPr>
                    <w:t>不符合国家产业政策</w:t>
                  </w:r>
                  <w:r>
                    <w:rPr>
                      <w:rFonts w:hint="eastAsia"/>
                      <w:color w:val="000000"/>
                      <w:szCs w:val="21"/>
                    </w:rPr>
                    <w:t>、</w:t>
                  </w:r>
                  <w:r>
                    <w:rPr>
                      <w:color w:val="000000"/>
                      <w:szCs w:val="21"/>
                    </w:rPr>
                    <w:t>环保政策及产业园要求的项目不得入园区</w:t>
                  </w:r>
                  <w:r>
                    <w:rPr>
                      <w:rFonts w:hint="eastAsia"/>
                      <w:color w:val="000000"/>
                      <w:szCs w:val="21"/>
                    </w:rPr>
                    <w:t>。</w:t>
                  </w:r>
                </w:p>
              </w:tc>
              <w:tc>
                <w:tcPr>
                  <w:tcW w:w="3969" w:type="dxa"/>
                  <w:vAlign w:val="center"/>
                </w:tcPr>
                <w:p>
                  <w:pPr>
                    <w:jc w:val="center"/>
                    <w:rPr>
                      <w:color w:val="000000"/>
                      <w:szCs w:val="21"/>
                    </w:rPr>
                  </w:pPr>
                  <w:r>
                    <w:rPr>
                      <w:color w:val="000000"/>
                      <w:szCs w:val="21"/>
                    </w:rPr>
                    <w:t>本项目不属于高污染</w:t>
                  </w:r>
                  <w:r>
                    <w:rPr>
                      <w:rFonts w:hint="eastAsia"/>
                      <w:color w:val="000000"/>
                      <w:szCs w:val="21"/>
                    </w:rPr>
                    <w:t>、</w:t>
                  </w:r>
                  <w:r>
                    <w:rPr>
                      <w:color w:val="000000"/>
                      <w:szCs w:val="21"/>
                    </w:rPr>
                    <w:t>高能耗</w:t>
                  </w:r>
                  <w:r>
                    <w:rPr>
                      <w:rFonts w:hint="eastAsia"/>
                      <w:color w:val="000000"/>
                      <w:szCs w:val="21"/>
                    </w:rPr>
                    <w:t>、</w:t>
                  </w:r>
                  <w:r>
                    <w:rPr>
                      <w:color w:val="000000"/>
                      <w:szCs w:val="21"/>
                    </w:rPr>
                    <w:t>高水耗项目</w:t>
                  </w:r>
                  <w:r>
                    <w:rPr>
                      <w:rFonts w:hint="eastAsia"/>
                      <w:color w:val="000000"/>
                      <w:szCs w:val="21"/>
                    </w:rPr>
                    <w:t>，</w:t>
                  </w:r>
                  <w:r>
                    <w:rPr>
                      <w:color w:val="000000"/>
                      <w:szCs w:val="21"/>
                    </w:rPr>
                    <w:t>并且本项目经淮南市大通区发展和改革委员会同意备案</w:t>
                  </w:r>
                </w:p>
              </w:tc>
              <w:tc>
                <w:tcPr>
                  <w:tcW w:w="777" w:type="dxa"/>
                  <w:vAlign w:val="center"/>
                </w:tcPr>
                <w:p>
                  <w:pPr>
                    <w:jc w:val="center"/>
                    <w:rPr>
                      <w:color w:val="000000"/>
                      <w:szCs w:val="21"/>
                    </w:rPr>
                  </w:pPr>
                  <w:r>
                    <w:rPr>
                      <w:color w:val="000000"/>
                      <w:szCs w:val="21"/>
                    </w:rPr>
                    <w:t>相符</w:t>
                  </w:r>
                </w:p>
              </w:tc>
            </w:tr>
          </w:tbl>
          <w:p>
            <w:pPr>
              <w:pStyle w:val="81"/>
              <w:ind w:firstLine="480"/>
              <w:rPr>
                <w:rFonts w:ascii="Times New Roman" w:cs="Times New Roman"/>
                <w:color w:val="000000"/>
                <w:kern w:val="0"/>
                <w:sz w:val="24"/>
              </w:rPr>
            </w:pPr>
            <w:r>
              <w:rPr>
                <w:rFonts w:hint="eastAsia" w:ascii="Times New Roman" w:cs="Times New Roman"/>
                <w:color w:val="000000"/>
                <w:kern w:val="0"/>
                <w:sz w:val="24"/>
              </w:rPr>
              <w:t>由上表可知，本项目符合国家产业政策和淮南市大通工业园区产业政策</w:t>
            </w:r>
            <w:r>
              <w:rPr>
                <w:rFonts w:ascii="Times New Roman" w:cs="Times New Roman"/>
                <w:color w:val="000000"/>
                <w:kern w:val="0"/>
                <w:sz w:val="24"/>
              </w:rPr>
              <w:t>要求</w:t>
            </w:r>
            <w:r>
              <w:rPr>
                <w:rFonts w:hint="eastAsia" w:ascii="Times New Roman" w:cs="Times New Roman"/>
                <w:color w:val="000000"/>
                <w:kern w:val="0"/>
                <w:sz w:val="24"/>
              </w:rPr>
              <w:t>，且不属于水耗、能耗高、废水排放量大的项目。因此，本项目符合淮南市大通工业园区规划环评审查意见的相关要求。</w:t>
            </w:r>
          </w:p>
          <w:p>
            <w:pPr>
              <w:pStyle w:val="81"/>
              <w:ind w:firstLine="480"/>
              <w:rPr>
                <w:rFonts w:ascii="Times New Roman" w:cs="Times New Roman"/>
                <w:kern w:val="0"/>
                <w:sz w:val="24"/>
              </w:rPr>
            </w:pPr>
            <w:r>
              <w:rPr>
                <w:rFonts w:ascii="Times New Roman" w:cs="Times New Roman"/>
                <w:kern w:val="0"/>
                <w:sz w:val="24"/>
              </w:rPr>
              <w:t>（</w:t>
            </w:r>
            <w:r>
              <w:rPr>
                <w:rFonts w:hint="eastAsia" w:ascii="Times New Roman" w:cs="Times New Roman"/>
                <w:kern w:val="0"/>
                <w:sz w:val="24"/>
              </w:rPr>
              <w:t>3</w:t>
            </w:r>
            <w:r>
              <w:rPr>
                <w:rFonts w:ascii="Times New Roman" w:cs="Times New Roman"/>
                <w:kern w:val="0"/>
                <w:sz w:val="24"/>
              </w:rPr>
              <w:t>）</w:t>
            </w:r>
            <w:r>
              <w:rPr>
                <w:rFonts w:hint="eastAsia" w:ascii="Times New Roman" w:cs="Times New Roman"/>
                <w:kern w:val="0"/>
                <w:sz w:val="24"/>
              </w:rPr>
              <w:t>项目与《印发打赢蓝天保卫战三年行动计划》、《安徽省打赢蓝天保卫战三年行动计划实施方案》符合性分析</w:t>
            </w:r>
          </w:p>
          <w:p>
            <w:pPr>
              <w:spacing w:line="360" w:lineRule="auto"/>
              <w:ind w:firstLine="480" w:firstLineChars="200"/>
              <w:rPr>
                <w:bCs/>
                <w:color w:val="000000"/>
                <w:sz w:val="24"/>
                <w:szCs w:val="24"/>
              </w:rPr>
            </w:pPr>
            <w:r>
              <w:rPr>
                <w:rFonts w:hint="eastAsia"/>
                <w:bCs/>
                <w:color w:val="000000"/>
                <w:sz w:val="24"/>
                <w:szCs w:val="24"/>
              </w:rPr>
              <w:t>根据《打赢蓝天保卫战三年行动计划》（国发〔</w:t>
            </w:r>
            <w:r>
              <w:rPr>
                <w:bCs/>
                <w:color w:val="000000"/>
                <w:sz w:val="24"/>
                <w:szCs w:val="24"/>
              </w:rPr>
              <w:t>2018〕22号），安徽省属于重点区域范围，持续开展大气污染防治行动。</w:t>
            </w:r>
          </w:p>
          <w:p>
            <w:pPr>
              <w:spacing w:line="360" w:lineRule="auto"/>
              <w:ind w:firstLine="480" w:firstLineChars="200"/>
              <w:rPr>
                <w:bCs/>
                <w:color w:val="000000"/>
                <w:sz w:val="24"/>
                <w:szCs w:val="24"/>
              </w:rPr>
            </w:pPr>
            <w:r>
              <w:rPr>
                <w:rFonts w:hint="eastAsia"/>
                <w:bCs/>
                <w:color w:val="000000"/>
                <w:sz w:val="24"/>
                <w:szCs w:val="24"/>
              </w:rPr>
              <w:t>本项目与《打赢蓝天保卫战三年行动计划》、《安徽省打赢蓝天保卫战三年行动计划实施方案》相符性分析如下：</w:t>
            </w:r>
          </w:p>
          <w:p>
            <w:pPr>
              <w:jc w:val="center"/>
              <w:rPr>
                <w:b/>
                <w:szCs w:val="21"/>
              </w:rPr>
            </w:pPr>
            <w:r>
              <w:rPr>
                <w:b/>
                <w:szCs w:val="21"/>
              </w:rPr>
              <w:t>表</w:t>
            </w:r>
            <w:r>
              <w:rPr>
                <w:rFonts w:hint="eastAsia"/>
                <w:b/>
                <w:szCs w:val="21"/>
              </w:rPr>
              <w:t>6</w:t>
            </w:r>
            <w:r>
              <w:rPr>
                <w:b/>
                <w:szCs w:val="21"/>
              </w:rPr>
              <w:t>本项目与《打赢蓝天保卫战三年行动计划》</w:t>
            </w:r>
            <w:r>
              <w:rPr>
                <w:rFonts w:hint="eastAsia"/>
                <w:b/>
                <w:szCs w:val="21"/>
              </w:rPr>
              <w:t>、</w:t>
            </w:r>
            <w:r>
              <w:rPr>
                <w:rFonts w:hint="eastAsia"/>
                <w:b/>
                <w:bCs/>
                <w:szCs w:val="21"/>
              </w:rPr>
              <w:t>《安徽省打赢蓝天保卫战三年行动计划实施方案》</w:t>
            </w:r>
            <w:r>
              <w:rPr>
                <w:b/>
                <w:szCs w:val="21"/>
              </w:rPr>
              <w:t>相符性分析一览表</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
              <w:gridCol w:w="4636"/>
              <w:gridCol w:w="2679"/>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685" w:type="dxa"/>
                  <w:gridSpan w:val="2"/>
                  <w:vAlign w:val="center"/>
                </w:tcPr>
                <w:p>
                  <w:pPr>
                    <w:snapToGrid w:val="0"/>
                    <w:jc w:val="center"/>
                    <w:rPr>
                      <w:color w:val="000000"/>
                      <w:szCs w:val="21"/>
                    </w:rPr>
                  </w:pPr>
                  <w:r>
                    <w:rPr>
                      <w:rFonts w:hint="eastAsia"/>
                      <w:color w:val="000000"/>
                      <w:szCs w:val="21"/>
                    </w:rPr>
                    <w:t>《打赢蓝天保卫战三年行动计划》、</w:t>
                  </w:r>
                  <w:r>
                    <w:rPr>
                      <w:rFonts w:hint="eastAsia"/>
                      <w:bCs/>
                      <w:color w:val="000000"/>
                      <w:szCs w:val="21"/>
                    </w:rPr>
                    <w:t>《安徽省打赢蓝天保卫战三年行动计划实施方案》</w:t>
                  </w:r>
                  <w:r>
                    <w:rPr>
                      <w:rFonts w:hint="eastAsia"/>
                      <w:color w:val="000000"/>
                      <w:szCs w:val="21"/>
                    </w:rPr>
                    <w:t>相关</w:t>
                  </w:r>
                  <w:r>
                    <w:rPr>
                      <w:color w:val="000000"/>
                      <w:szCs w:val="21"/>
                    </w:rPr>
                    <w:t>要求</w:t>
                  </w:r>
                </w:p>
              </w:tc>
              <w:tc>
                <w:tcPr>
                  <w:tcW w:w="2679" w:type="dxa"/>
                  <w:vAlign w:val="center"/>
                </w:tcPr>
                <w:p>
                  <w:pPr>
                    <w:snapToGrid w:val="0"/>
                    <w:jc w:val="center"/>
                    <w:rPr>
                      <w:color w:val="000000"/>
                      <w:szCs w:val="21"/>
                    </w:rPr>
                  </w:pPr>
                  <w:r>
                    <w:rPr>
                      <w:color w:val="000000"/>
                      <w:szCs w:val="21"/>
                    </w:rPr>
                    <w:t>本项目相符性分析</w:t>
                  </w:r>
                </w:p>
              </w:tc>
              <w:tc>
                <w:tcPr>
                  <w:tcW w:w="772" w:type="dxa"/>
                  <w:vAlign w:val="center"/>
                </w:tcPr>
                <w:p>
                  <w:pPr>
                    <w:snapToGrid w:val="0"/>
                    <w:jc w:val="center"/>
                    <w:rPr>
                      <w:color w:val="000000"/>
                      <w:szCs w:val="21"/>
                    </w:rPr>
                  </w:pPr>
                  <w:r>
                    <w:rPr>
                      <w:rFonts w:hint="eastAsia"/>
                      <w:color w:val="000000"/>
                      <w:szCs w:val="21"/>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49" w:type="dxa"/>
                  <w:vAlign w:val="center"/>
                </w:tcPr>
                <w:p>
                  <w:pPr>
                    <w:snapToGrid w:val="0"/>
                    <w:jc w:val="center"/>
                    <w:rPr>
                      <w:color w:val="000000"/>
                      <w:szCs w:val="21"/>
                    </w:rPr>
                  </w:pPr>
                  <w:r>
                    <w:rPr>
                      <w:rFonts w:hint="eastAsia"/>
                      <w:color w:val="000000"/>
                      <w:szCs w:val="21"/>
                    </w:rPr>
                    <w:t>调整优化产业结构，推进产业绿色发展</w:t>
                  </w:r>
                </w:p>
              </w:tc>
              <w:tc>
                <w:tcPr>
                  <w:tcW w:w="4636" w:type="dxa"/>
                  <w:vAlign w:val="center"/>
                </w:tcPr>
                <w:p>
                  <w:pPr>
                    <w:snapToGrid w:val="0"/>
                    <w:ind w:firstLine="420" w:firstLineChars="200"/>
                    <w:rPr>
                      <w:color w:val="000000"/>
                      <w:szCs w:val="21"/>
                      <w:lang w:bidi="en-US"/>
                    </w:rPr>
                  </w:pPr>
                  <w:r>
                    <w:rPr>
                      <w:color w:val="000000"/>
                      <w:szCs w:val="21"/>
                      <w:lang w:bidi="en-US"/>
                    </w:rPr>
                    <w:t>（五）严控“两高”行业产能</w:t>
                  </w:r>
                </w:p>
                <w:p>
                  <w:pPr>
                    <w:snapToGrid w:val="0"/>
                    <w:ind w:firstLine="420" w:firstLineChars="200"/>
                    <w:rPr>
                      <w:color w:val="000000"/>
                      <w:szCs w:val="21"/>
                      <w:lang w:bidi="en-US"/>
                    </w:rPr>
                  </w:pPr>
                  <w:r>
                    <w:rPr>
                      <w:rFonts w:hint="eastAsia"/>
                      <w:color w:val="000000"/>
                      <w:szCs w:val="21"/>
                      <w:lang w:bidi="en-US"/>
                    </w:rPr>
                    <w:t>重点区域严禁新增钢铁、焦化、电解铝、铸造、水泥和平板玻璃等产能；严格执行钢铁、水泥、平板玻璃等行业产能置换实施办法；新、改、扩建涉及大宗物料运输的建设项目，原则上不得采用公路运输。</w:t>
                  </w:r>
                </w:p>
              </w:tc>
              <w:tc>
                <w:tcPr>
                  <w:tcW w:w="2679" w:type="dxa"/>
                  <w:vAlign w:val="center"/>
                </w:tcPr>
                <w:p>
                  <w:pPr>
                    <w:snapToGrid w:val="0"/>
                    <w:ind w:firstLine="420" w:firstLineChars="200"/>
                    <w:rPr>
                      <w:color w:val="000000"/>
                      <w:szCs w:val="21"/>
                      <w:lang w:bidi="en-US"/>
                    </w:rPr>
                  </w:pPr>
                  <w:r>
                    <w:rPr>
                      <w:rFonts w:hint="eastAsia"/>
                      <w:color w:val="000000"/>
                      <w:szCs w:val="21"/>
                      <w:lang w:bidi="en-US"/>
                    </w:rPr>
                    <w:t>本项目不属于钢铁、焦化、电解铝、铸造、水泥和平板玻璃等行业，不涉及大宗物料运输。因此，本项目满足行业产能控制要求。</w:t>
                  </w:r>
                </w:p>
              </w:tc>
              <w:tc>
                <w:tcPr>
                  <w:tcW w:w="772" w:type="dxa"/>
                  <w:vAlign w:val="center"/>
                </w:tcPr>
                <w:p>
                  <w:pPr>
                    <w:jc w:val="center"/>
                    <w:rPr>
                      <w:color w:val="000000"/>
                      <w:szCs w:val="21"/>
                    </w:rPr>
                  </w:pPr>
                  <w:r>
                    <w:rPr>
                      <w:rFonts w:hint="eastAsia"/>
                      <w:color w:val="000000"/>
                      <w:szCs w:val="21"/>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49" w:type="dxa"/>
                  <w:vAlign w:val="center"/>
                </w:tcPr>
                <w:p>
                  <w:pPr>
                    <w:snapToGrid w:val="0"/>
                    <w:jc w:val="center"/>
                    <w:rPr>
                      <w:color w:val="000000"/>
                      <w:szCs w:val="21"/>
                    </w:rPr>
                  </w:pPr>
                  <w:r>
                    <w:rPr>
                      <w:rFonts w:hint="eastAsia"/>
                      <w:color w:val="000000"/>
                      <w:szCs w:val="21"/>
                    </w:rPr>
                    <w:t>实施重大专项行动，大幅降低污染物排放</w:t>
                  </w:r>
                </w:p>
              </w:tc>
              <w:tc>
                <w:tcPr>
                  <w:tcW w:w="4636" w:type="dxa"/>
                  <w:vAlign w:val="center"/>
                </w:tcPr>
                <w:p>
                  <w:pPr>
                    <w:snapToGrid w:val="0"/>
                    <w:ind w:firstLine="420" w:firstLineChars="200"/>
                    <w:rPr>
                      <w:color w:val="000000"/>
                      <w:szCs w:val="21"/>
                    </w:rPr>
                  </w:pPr>
                  <w:r>
                    <w:rPr>
                      <w:color w:val="000000"/>
                      <w:szCs w:val="21"/>
                    </w:rPr>
                    <w:t>（二十五）实施VOCs专项整治方案</w:t>
                  </w:r>
                  <w:r>
                    <w:rPr>
                      <w:rFonts w:hint="eastAsia"/>
                      <w:color w:val="000000"/>
                      <w:szCs w:val="21"/>
                    </w:rPr>
                    <w:t>制定石化、化工、工业涂装、包装印刷等VOCs排放重点行业和油品储运销综合整治方案，出台泄漏检测与修复标准，编制VOCs治理技术指南。重点区域禁止建设生产和使用高VOCs含量的溶剂型涂料、油墨、胶粘剂等项目，加大餐饮油烟治理力度。开展VOCs整治专项执法行动，严厉打击违法排污行为，对治理效果差、技术服务能力弱、运营管理水平低的治理单位，公布名单，实行联合惩戒，扶持培育VOCs治理和服务专业化规模化龙头企业。2020年，VOCs排放总量较2015年下降10%以上</w:t>
                  </w:r>
                </w:p>
              </w:tc>
              <w:tc>
                <w:tcPr>
                  <w:tcW w:w="2679" w:type="dxa"/>
                  <w:vAlign w:val="center"/>
                </w:tcPr>
                <w:p>
                  <w:pPr>
                    <w:snapToGrid w:val="0"/>
                    <w:ind w:firstLine="420" w:firstLineChars="200"/>
                    <w:jc w:val="left"/>
                    <w:rPr>
                      <w:color w:val="000000"/>
                      <w:szCs w:val="21"/>
                      <w:lang w:bidi="en-US"/>
                    </w:rPr>
                  </w:pPr>
                  <w:r>
                    <w:rPr>
                      <w:rFonts w:hint="eastAsia"/>
                      <w:color w:val="000000"/>
                      <w:szCs w:val="21"/>
                      <w:lang w:bidi="en-US"/>
                    </w:rPr>
                    <w:t>本项目不涉及VOCs、粉尘排放。项目下料烟尘及焊接烟尘经过移动式焊烟净化器处理后无组织排放。</w:t>
                  </w:r>
                </w:p>
              </w:tc>
              <w:tc>
                <w:tcPr>
                  <w:tcW w:w="772" w:type="dxa"/>
                  <w:vAlign w:val="center"/>
                </w:tcPr>
                <w:p>
                  <w:pPr>
                    <w:jc w:val="center"/>
                    <w:rPr>
                      <w:color w:val="000000"/>
                      <w:szCs w:val="21"/>
                    </w:rPr>
                  </w:pPr>
                  <w:r>
                    <w:rPr>
                      <w:rFonts w:hint="eastAsia"/>
                      <w:color w:val="000000"/>
                      <w:szCs w:val="21"/>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049" w:type="dxa"/>
                  <w:vAlign w:val="center"/>
                </w:tcPr>
                <w:p>
                  <w:pPr>
                    <w:snapToGrid w:val="0"/>
                    <w:jc w:val="center"/>
                    <w:rPr>
                      <w:color w:val="000000"/>
                      <w:szCs w:val="21"/>
                    </w:rPr>
                  </w:pPr>
                  <w:r>
                    <w:rPr>
                      <w:rFonts w:hint="eastAsia"/>
                      <w:color w:val="000000"/>
                      <w:szCs w:val="21"/>
                    </w:rPr>
                    <w:t>明确落实各方责任，动员全社会广泛参与</w:t>
                  </w:r>
                </w:p>
              </w:tc>
              <w:tc>
                <w:tcPr>
                  <w:tcW w:w="4636" w:type="dxa"/>
                  <w:vAlign w:val="center"/>
                </w:tcPr>
                <w:p>
                  <w:pPr>
                    <w:snapToGrid w:val="0"/>
                    <w:ind w:firstLine="420" w:firstLineChars="200"/>
                    <w:rPr>
                      <w:color w:val="000000"/>
                      <w:szCs w:val="21"/>
                    </w:rPr>
                  </w:pPr>
                  <w:r>
                    <w:rPr>
                      <w:rFonts w:hint="eastAsia"/>
                      <w:color w:val="000000"/>
                      <w:szCs w:val="21"/>
                    </w:rPr>
                    <w:t>（三十八）加强环境信息公开</w:t>
                  </w:r>
                </w:p>
                <w:p>
                  <w:pPr>
                    <w:snapToGrid w:val="0"/>
                    <w:ind w:firstLine="420" w:firstLineChars="200"/>
                    <w:rPr>
                      <w:color w:val="000000"/>
                      <w:szCs w:val="21"/>
                    </w:rPr>
                  </w:pPr>
                  <w:r>
                    <w:rPr>
                      <w:rFonts w:hint="eastAsia"/>
                      <w:color w:val="000000"/>
                      <w:szCs w:val="21"/>
                    </w:rPr>
                    <w:t>建立健全环保信息强制性公开制度。重点排污单位应及时公布自行监测和污染排放数据、污染治理措施、重污染天气应对、环保违法处罚及整改等信息。已核发排污许可证的企业应按要求及时公布执行报告。机动车和非道路移动机械生产、进口企业应依法向社会公开排放检验、污染控制技术等环保信息</w:t>
                  </w:r>
                </w:p>
              </w:tc>
              <w:tc>
                <w:tcPr>
                  <w:tcW w:w="2679" w:type="dxa"/>
                  <w:vAlign w:val="center"/>
                </w:tcPr>
                <w:p>
                  <w:pPr>
                    <w:snapToGrid w:val="0"/>
                    <w:ind w:firstLine="420" w:firstLineChars="200"/>
                    <w:rPr>
                      <w:color w:val="000000"/>
                      <w:szCs w:val="21"/>
                    </w:rPr>
                  </w:pPr>
                  <w:r>
                    <w:rPr>
                      <w:rFonts w:hint="eastAsia"/>
                      <w:color w:val="000000"/>
                      <w:szCs w:val="21"/>
                    </w:rPr>
                    <w:t>本项目不属于重点排污单位。本项目营运期将按照相关要求公布污染排放数据、污染治理措施等环境信息。因此，本项目满足环境信息公开的相关要求。</w:t>
                  </w:r>
                </w:p>
              </w:tc>
              <w:tc>
                <w:tcPr>
                  <w:tcW w:w="772" w:type="dxa"/>
                  <w:vAlign w:val="center"/>
                </w:tcPr>
                <w:p>
                  <w:pPr>
                    <w:jc w:val="center"/>
                    <w:rPr>
                      <w:color w:val="000000"/>
                      <w:szCs w:val="21"/>
                    </w:rPr>
                  </w:pPr>
                  <w:r>
                    <w:rPr>
                      <w:rFonts w:hint="eastAsia"/>
                      <w:color w:val="000000"/>
                      <w:szCs w:val="21"/>
                    </w:rPr>
                    <w:t>满足</w:t>
                  </w:r>
                </w:p>
              </w:tc>
            </w:tr>
          </w:tbl>
          <w:p>
            <w:pPr>
              <w:snapToGrid w:val="0"/>
              <w:spacing w:line="360" w:lineRule="auto"/>
              <w:ind w:firstLine="480" w:firstLineChars="200"/>
              <w:jc w:val="left"/>
              <w:rPr>
                <w:b/>
                <w:bCs/>
                <w:color w:val="000000"/>
              </w:rPr>
            </w:pPr>
            <w:r>
              <w:rPr>
                <w:rFonts w:hint="eastAsia"/>
                <w:bCs/>
                <w:color w:val="000000"/>
                <w:sz w:val="24"/>
                <w:szCs w:val="24"/>
              </w:rPr>
              <w:t>综上所述，本项目建设满足《打赢蓝天保卫战三年行动计划》、《安徽省打赢蓝天保卫战三年行动计划实施方案》的相关要求，与该行动计划相符。</w:t>
            </w:r>
          </w:p>
          <w:p>
            <w:pPr>
              <w:pStyle w:val="81"/>
              <w:ind w:firstLine="0" w:firstLineChars="0"/>
              <w:rPr>
                <w:b/>
                <w:kern w:val="0"/>
                <w:sz w:val="24"/>
              </w:rPr>
            </w:pPr>
            <w:r>
              <w:rPr>
                <w:rFonts w:hint="eastAsia"/>
                <w:b/>
                <w:kern w:val="0"/>
                <w:sz w:val="24"/>
              </w:rPr>
              <w:t>11、项目与环保“三线一单”控制要求相符性分析</w:t>
            </w:r>
          </w:p>
          <w:p>
            <w:pPr>
              <w:pStyle w:val="81"/>
              <w:ind w:firstLine="480"/>
              <w:rPr>
                <w:rFonts w:ascii="Times New Roman" w:cs="Times New Roman"/>
                <w:kern w:val="0"/>
                <w:sz w:val="24"/>
              </w:rPr>
            </w:pPr>
            <w:r>
              <w:rPr>
                <w:rFonts w:hint="eastAsia" w:ascii="Times New Roman" w:cs="Times New Roman"/>
                <w:kern w:val="0"/>
                <w:sz w:val="24"/>
              </w:rPr>
              <w:t>①生态保护红线</w:t>
            </w:r>
          </w:p>
          <w:p>
            <w:pPr>
              <w:pStyle w:val="81"/>
              <w:ind w:firstLine="480"/>
              <w:rPr>
                <w:rFonts w:ascii="Times New Roman" w:cs="Times New Roman"/>
                <w:kern w:val="0"/>
                <w:sz w:val="24"/>
              </w:rPr>
            </w:pPr>
            <w:r>
              <w:rPr>
                <w:rFonts w:hint="eastAsia" w:ascii="Times New Roman" w:cs="Times New Roman"/>
                <w:kern w:val="0"/>
                <w:sz w:val="24"/>
              </w:rPr>
              <w:t>项目建设地点位于淮南市大通区康宝路北侧大通工业聚集区标准化厂房，</w:t>
            </w:r>
            <w:r>
              <w:rPr>
                <w:rFonts w:hint="eastAsia" w:ascii="Times New Roman" w:cs="Times New Roman"/>
                <w:bCs/>
                <w:kern w:val="0"/>
                <w:sz w:val="24"/>
              </w:rPr>
              <w:t>根据安徽省人民政府2018年6月发布的《安徽省生态保护红线》，项目</w:t>
            </w:r>
            <w:r>
              <w:rPr>
                <w:rFonts w:hint="eastAsia" w:ascii="Times New Roman" w:cs="Times New Roman"/>
                <w:kern w:val="0"/>
                <w:sz w:val="24"/>
              </w:rPr>
              <w:t>不属于划定的生态红线区域的一级或二级管控区域范围。本项目不涉及生态保护红线。</w:t>
            </w:r>
          </w:p>
          <w:p>
            <w:pPr>
              <w:pStyle w:val="81"/>
              <w:tabs>
                <w:tab w:val="left" w:pos="5678"/>
              </w:tabs>
              <w:ind w:firstLine="480"/>
              <w:rPr>
                <w:rFonts w:ascii="Times New Roman" w:cs="Times New Roman"/>
                <w:kern w:val="0"/>
                <w:sz w:val="24"/>
              </w:rPr>
            </w:pPr>
            <w:r>
              <w:rPr>
                <w:rFonts w:hint="eastAsia" w:ascii="Times New Roman" w:cs="Times New Roman"/>
                <w:kern w:val="0"/>
                <w:sz w:val="24"/>
              </w:rPr>
              <w:t>②环境质量底线</w:t>
            </w:r>
          </w:p>
          <w:p>
            <w:pPr>
              <w:pStyle w:val="81"/>
              <w:ind w:firstLine="480"/>
              <w:rPr>
                <w:rFonts w:ascii="Times New Roman" w:cs="Times New Roman"/>
                <w:kern w:val="0"/>
                <w:sz w:val="24"/>
              </w:rPr>
            </w:pPr>
            <w:r>
              <w:rPr>
                <w:rFonts w:hint="eastAsia" w:ascii="Times New Roman" w:cs="Times New Roman"/>
                <w:kern w:val="0"/>
                <w:sz w:val="24"/>
              </w:rPr>
              <w:t>项目所在地区域大气环境为二类区，需达到《环境空气质量标准》（GB3095-2012）；二级标准要求；淮河执行《地表水环境质量标准》（GB3838-2002）中Ⅲ类标准；区域声环境为《声环境质量标准》（GB3096-2008）中的3类区。</w:t>
            </w:r>
          </w:p>
          <w:p>
            <w:pPr>
              <w:pStyle w:val="81"/>
              <w:ind w:firstLine="480"/>
              <w:rPr>
                <w:rFonts w:ascii="Times New Roman" w:cs="Times New Roman"/>
                <w:kern w:val="0"/>
                <w:sz w:val="24"/>
              </w:rPr>
            </w:pPr>
            <w:r>
              <w:rPr>
                <w:rFonts w:hint="eastAsia" w:ascii="Times New Roman" w:cs="Times New Roman"/>
                <w:kern w:val="0"/>
                <w:sz w:val="24"/>
              </w:rPr>
              <w:t>根据本次评价对拟建项目的工程分析内容和环境影响预测结果可知，项目在生产过程中排放的各类污染物对评价区域地表水环境、空气环境、声环境质量产生的影响均在环境承载力范围内，不会降低现有环境功能。</w:t>
            </w:r>
          </w:p>
          <w:p>
            <w:pPr>
              <w:pStyle w:val="81"/>
              <w:ind w:firstLine="480"/>
              <w:rPr>
                <w:rFonts w:ascii="Times New Roman" w:cs="Times New Roman"/>
                <w:kern w:val="0"/>
                <w:sz w:val="24"/>
              </w:rPr>
            </w:pPr>
            <w:r>
              <w:rPr>
                <w:rFonts w:hint="eastAsia" w:ascii="Times New Roman" w:cs="Times New Roman"/>
                <w:kern w:val="0"/>
                <w:sz w:val="24"/>
              </w:rPr>
              <w:t>③资源利用上线</w:t>
            </w:r>
          </w:p>
          <w:p>
            <w:pPr>
              <w:pStyle w:val="81"/>
              <w:ind w:firstLine="480"/>
              <w:rPr>
                <w:rFonts w:ascii="Times New Roman" w:cs="Times New Roman"/>
                <w:kern w:val="0"/>
                <w:sz w:val="24"/>
              </w:rPr>
            </w:pPr>
            <w:r>
              <w:rPr>
                <w:rFonts w:hint="eastAsia" w:ascii="Times New Roman" w:cs="Times New Roman"/>
                <w:kern w:val="0"/>
                <w:sz w:val="24"/>
              </w:rPr>
              <w:t>本项目属于工业用地，租赁厂房面积2000m</w:t>
            </w:r>
            <w:r>
              <w:rPr>
                <w:rFonts w:hint="eastAsia" w:ascii="Times New Roman" w:cs="Times New Roman"/>
                <w:kern w:val="0"/>
                <w:sz w:val="24"/>
                <w:vertAlign w:val="superscript"/>
              </w:rPr>
              <w:t>2</w:t>
            </w:r>
            <w:r>
              <w:rPr>
                <w:rFonts w:hint="eastAsia" w:ascii="Times New Roman" w:cs="Times New Roman"/>
                <w:kern w:val="0"/>
                <w:sz w:val="24"/>
              </w:rPr>
              <w:t>，用水量为750m</w:t>
            </w:r>
            <w:r>
              <w:rPr>
                <w:rFonts w:hint="eastAsia" w:ascii="Times New Roman" w:cs="Times New Roman"/>
                <w:kern w:val="0"/>
                <w:sz w:val="24"/>
                <w:vertAlign w:val="superscript"/>
              </w:rPr>
              <w:t>3</w:t>
            </w:r>
            <w:r>
              <w:rPr>
                <w:rFonts w:hint="eastAsia" w:ascii="Times New Roman" w:cs="Times New Roman"/>
                <w:kern w:val="0"/>
                <w:sz w:val="24"/>
              </w:rPr>
              <w:t>/a，耗电量为1.6万kwh/a，资源利用均在大通工业聚集区可承受范围内。</w:t>
            </w:r>
          </w:p>
          <w:p>
            <w:pPr>
              <w:pStyle w:val="81"/>
              <w:ind w:firstLine="480"/>
              <w:rPr>
                <w:rFonts w:ascii="Times New Roman" w:cs="Times New Roman"/>
                <w:kern w:val="0"/>
                <w:sz w:val="24"/>
              </w:rPr>
            </w:pPr>
            <w:r>
              <w:rPr>
                <w:rFonts w:hint="eastAsia" w:ascii="Times New Roman" w:cs="Times New Roman"/>
                <w:kern w:val="0"/>
                <w:sz w:val="24"/>
              </w:rPr>
              <w:t>④环境准入负面清单对照</w:t>
            </w:r>
          </w:p>
          <w:p>
            <w:pPr>
              <w:pStyle w:val="81"/>
              <w:ind w:firstLine="480"/>
              <w:rPr>
                <w:rFonts w:ascii="Times New Roman" w:cs="Times New Roman"/>
                <w:kern w:val="0"/>
                <w:sz w:val="24"/>
              </w:rPr>
            </w:pPr>
            <w:r>
              <w:rPr>
                <w:rFonts w:hint="eastAsia" w:ascii="Times New Roman" w:cs="Times New Roman"/>
                <w:kern w:val="0"/>
                <w:sz w:val="24"/>
              </w:rPr>
              <w:t>项目为不属于国家“淘汰类”和“限制类”项目，并已取得淮南市大通区发展和改革委员会的备案，符合国家和当地的产业政策。</w:t>
            </w:r>
            <w:r>
              <w:rPr>
                <w:rFonts w:ascii="Times New Roman" w:cs="Times New Roman"/>
                <w:kern w:val="0"/>
                <w:sz w:val="24"/>
              </w:rPr>
              <w:t>不属于中华人民共和国国家发展和改革委员会颁布的《产业结构调整指导目录(201</w:t>
            </w:r>
            <w:r>
              <w:rPr>
                <w:rFonts w:hint="eastAsia" w:ascii="Times New Roman" w:cs="Times New Roman"/>
                <w:kern w:val="0"/>
                <w:sz w:val="24"/>
              </w:rPr>
              <w:t>9</w:t>
            </w:r>
            <w:r>
              <w:rPr>
                <w:rFonts w:ascii="Times New Roman" w:cs="Times New Roman"/>
                <w:kern w:val="0"/>
                <w:sz w:val="24"/>
              </w:rPr>
              <w:t>年本)》中限制类和淘汰类项目；不属于环境保护部发布《环境保护综合目录（2017年版）》中高污染、高环境风险产品。</w:t>
            </w:r>
          </w:p>
          <w:p>
            <w:pPr>
              <w:pStyle w:val="81"/>
              <w:ind w:firstLine="480"/>
              <w:rPr>
                <w:rFonts w:ascii="Times New Roman" w:cs="Times New Roman"/>
                <w:kern w:val="0"/>
                <w:sz w:val="24"/>
              </w:rPr>
            </w:pPr>
          </w:p>
          <w:p>
            <w:pPr>
              <w:pStyle w:val="81"/>
              <w:ind w:firstLine="480"/>
              <w:rPr>
                <w:rFonts w:ascii="Times New Roman" w:cs="Times New Roman"/>
                <w:kern w:val="0"/>
                <w:sz w:val="24"/>
              </w:rPr>
            </w:pPr>
          </w:p>
          <w:p>
            <w:pPr>
              <w:pStyle w:val="81"/>
              <w:ind w:firstLine="480"/>
              <w:rPr>
                <w:rFonts w:ascii="Times New Roman" w:cs="Times New Roman"/>
                <w:kern w:val="0"/>
                <w:sz w:val="24"/>
              </w:rPr>
            </w:pPr>
          </w:p>
          <w:p>
            <w:pPr>
              <w:pStyle w:val="81"/>
              <w:ind w:firstLine="480"/>
              <w:rPr>
                <w:rFonts w:ascii="Times New Roman" w:cs="Times New Roman"/>
                <w:kern w:val="0"/>
                <w:sz w:val="24"/>
              </w:rPr>
            </w:pPr>
          </w:p>
          <w:p>
            <w:pPr>
              <w:pStyle w:val="81"/>
              <w:ind w:firstLine="480"/>
              <w:rPr>
                <w:rFonts w:ascii="Times New Roman" w:cs="Times New Roman"/>
                <w:kern w:val="0"/>
                <w:sz w:val="24"/>
              </w:rPr>
            </w:pPr>
          </w:p>
          <w:p>
            <w:pPr>
              <w:pStyle w:val="81"/>
              <w:ind w:firstLine="480"/>
              <w:rPr>
                <w:rFonts w:ascii="Times New Roman" w:cs="Times New Roman"/>
                <w:kern w:val="0"/>
                <w:sz w:val="24"/>
              </w:rPr>
            </w:pPr>
          </w:p>
          <w:p>
            <w:pPr>
              <w:pStyle w:val="81"/>
              <w:ind w:firstLine="480"/>
              <w:rPr>
                <w:rFonts w:ascii="Times New Roman" w:cs="Times New Roman"/>
                <w:kern w:val="0"/>
                <w:sz w:val="24"/>
              </w:rPr>
            </w:pPr>
          </w:p>
          <w:p>
            <w:pPr>
              <w:pStyle w:val="81"/>
              <w:ind w:firstLine="480"/>
              <w:rPr>
                <w:rFonts w:ascii="Times New Roman" w:cs="Times New Roman"/>
                <w:kern w:val="0"/>
                <w:sz w:val="24"/>
              </w:rPr>
            </w:pPr>
          </w:p>
          <w:p>
            <w:pPr>
              <w:pStyle w:val="81"/>
              <w:ind w:firstLine="48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9362" w:type="dxa"/>
            <w:gridSpan w:val="12"/>
          </w:tcPr>
          <w:p>
            <w:pPr>
              <w:autoSpaceDE w:val="0"/>
              <w:autoSpaceDN w:val="0"/>
              <w:adjustRightInd w:val="0"/>
              <w:spacing w:before="67" w:line="360" w:lineRule="auto"/>
              <w:ind w:left="55" w:right="326"/>
              <w:rPr>
                <w:rFonts w:hAnsi="宋体"/>
                <w:b/>
                <w:sz w:val="24"/>
                <w:szCs w:val="24"/>
              </w:rPr>
            </w:pPr>
            <w:r>
              <w:rPr>
                <w:rFonts w:hAnsi="宋体"/>
                <w:b/>
                <w:sz w:val="24"/>
                <w:szCs w:val="24"/>
              </w:rPr>
              <w:t>与本项目有关的原有污染情况及主要环境问题：</w:t>
            </w:r>
          </w:p>
          <w:p>
            <w:pPr>
              <w:spacing w:line="360" w:lineRule="auto"/>
              <w:ind w:firstLine="480" w:firstLineChars="200"/>
              <w:rPr>
                <w:sz w:val="24"/>
              </w:rPr>
            </w:pPr>
            <w:r>
              <w:rPr>
                <w:rFonts w:hint="eastAsia"/>
                <w:sz w:val="24"/>
              </w:rPr>
              <w:t>本项目为新建项目，租赁现有闲置空厂房进行生产，本项目不涉及原有环境问题。</w:t>
            </w: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ind w:firstLine="480" w:firstLineChars="200"/>
              <w:rPr>
                <w:color w:val="FF0000"/>
                <w:sz w:val="24"/>
              </w:rPr>
            </w:pPr>
          </w:p>
          <w:p>
            <w:pPr>
              <w:spacing w:line="360" w:lineRule="auto"/>
              <w:rPr>
                <w:rFonts w:hAnsi="宋体"/>
                <w:bCs/>
                <w:sz w:val="18"/>
                <w:szCs w:val="18"/>
              </w:rPr>
            </w:pPr>
          </w:p>
        </w:tc>
      </w:tr>
    </w:tbl>
    <w:p>
      <w:pPr>
        <w:autoSpaceDE w:val="0"/>
        <w:autoSpaceDN w:val="0"/>
        <w:adjustRightInd w:val="0"/>
        <w:spacing w:before="67" w:line="360" w:lineRule="auto"/>
        <w:ind w:right="326"/>
        <w:rPr>
          <w:b/>
          <w:iCs/>
          <w:sz w:val="30"/>
          <w:szCs w:val="30"/>
        </w:rPr>
        <w:sectPr>
          <w:footerReference r:id="rId6" w:type="default"/>
          <w:pgSz w:w="11906" w:h="16838"/>
          <w:pgMar w:top="1440" w:right="1286" w:bottom="1440" w:left="1474" w:header="851" w:footer="992" w:gutter="0"/>
          <w:pgNumType w:start="1"/>
          <w:cols w:space="720" w:num="1"/>
          <w:docGrid w:type="lines" w:linePitch="312" w:charSpace="0"/>
        </w:sectPr>
      </w:pPr>
    </w:p>
    <w:p>
      <w:pPr>
        <w:snapToGrid w:val="0"/>
        <w:spacing w:line="360" w:lineRule="auto"/>
        <w:rPr>
          <w:b/>
          <w:sz w:val="30"/>
          <w:szCs w:val="30"/>
        </w:rPr>
      </w:pPr>
      <w:r>
        <w:rPr>
          <w:b/>
          <w:sz w:val="30"/>
          <w:szCs w:val="30"/>
        </w:rPr>
        <w:t>建设项目所在地自然环境简况</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spacing w:line="520" w:lineRule="exact"/>
              <w:rPr>
                <w:spacing w:val="6"/>
                <w:sz w:val="28"/>
              </w:rPr>
            </w:pPr>
            <w:r>
              <w:rPr>
                <w:b/>
                <w:bCs/>
                <w:spacing w:val="6"/>
                <w:sz w:val="28"/>
              </w:rPr>
              <w:t>自然环境简况</w:t>
            </w:r>
            <w:r>
              <w:rPr>
                <w:spacing w:val="6"/>
                <w:sz w:val="28"/>
              </w:rPr>
              <w:t>（地形、地貌、地质、气象、水文、植被、生物多样性等）：</w:t>
            </w:r>
          </w:p>
          <w:p>
            <w:pPr>
              <w:spacing w:line="520" w:lineRule="exact"/>
              <w:ind w:firstLine="506" w:firstLineChars="200"/>
              <w:jc w:val="left"/>
              <w:rPr>
                <w:b/>
                <w:spacing w:val="6"/>
                <w:sz w:val="24"/>
              </w:rPr>
            </w:pPr>
            <w:r>
              <w:rPr>
                <w:b/>
                <w:spacing w:val="6"/>
                <w:sz w:val="24"/>
              </w:rPr>
              <w:t>1、地理位置</w:t>
            </w:r>
          </w:p>
          <w:p>
            <w:pPr>
              <w:snapToGrid w:val="0"/>
              <w:spacing w:line="360" w:lineRule="auto"/>
              <w:ind w:firstLine="482"/>
              <w:rPr>
                <w:sz w:val="24"/>
              </w:rPr>
            </w:pPr>
            <w:r>
              <w:rPr>
                <w:rFonts w:hint="eastAsia" w:hAnsi="宋体"/>
                <w:kern w:val="0"/>
                <w:sz w:val="24"/>
              </w:rPr>
              <w:t>淮</w:t>
            </w:r>
            <w:r>
              <w:rPr>
                <w:rFonts w:hAnsi="宋体"/>
                <w:kern w:val="0"/>
                <w:sz w:val="24"/>
              </w:rPr>
              <w:t>南市位于安徽省中北部，淮河中游，跨淮河两岸，东经</w:t>
            </w:r>
            <w:r>
              <w:rPr>
                <w:kern w:val="0"/>
                <w:sz w:val="24"/>
              </w:rPr>
              <w:t xml:space="preserve"> 116°21′21″</w:t>
            </w:r>
            <w:r>
              <w:rPr>
                <w:rFonts w:hAnsi="宋体"/>
                <w:kern w:val="0"/>
                <w:sz w:val="24"/>
              </w:rPr>
              <w:t>～</w:t>
            </w:r>
            <w:r>
              <w:rPr>
                <w:kern w:val="0"/>
                <w:sz w:val="24"/>
              </w:rPr>
              <w:t>117°11′59″</w:t>
            </w:r>
            <w:r>
              <w:rPr>
                <w:rFonts w:hAnsi="宋体"/>
                <w:kern w:val="0"/>
                <w:sz w:val="24"/>
              </w:rPr>
              <w:t>，北纬</w:t>
            </w:r>
            <w:r>
              <w:rPr>
                <w:kern w:val="0"/>
                <w:sz w:val="24"/>
              </w:rPr>
              <w:t xml:space="preserve"> 32°22′30″</w:t>
            </w:r>
            <w:r>
              <w:rPr>
                <w:rFonts w:hAnsi="宋体"/>
                <w:kern w:val="0"/>
                <w:sz w:val="24"/>
              </w:rPr>
              <w:t>～</w:t>
            </w:r>
            <w:r>
              <w:rPr>
                <w:kern w:val="0"/>
                <w:sz w:val="24"/>
              </w:rPr>
              <w:t>33°00′24″</w:t>
            </w:r>
            <w:r>
              <w:rPr>
                <w:rFonts w:hAnsi="宋体"/>
                <w:kern w:val="0"/>
                <w:sz w:val="24"/>
              </w:rPr>
              <w:t>；海拔</w:t>
            </w:r>
            <w:r>
              <w:rPr>
                <w:kern w:val="0"/>
                <w:sz w:val="24"/>
              </w:rPr>
              <w:t xml:space="preserve"> 16.5</w:t>
            </w:r>
            <w:r>
              <w:rPr>
                <w:rFonts w:hAnsi="宋体"/>
                <w:kern w:val="0"/>
                <w:sz w:val="24"/>
              </w:rPr>
              <w:t>～</w:t>
            </w:r>
            <w:r>
              <w:rPr>
                <w:kern w:val="0"/>
                <w:sz w:val="24"/>
              </w:rPr>
              <w:t>241m</w:t>
            </w:r>
            <w:r>
              <w:rPr>
                <w:rFonts w:hAnsi="宋体"/>
                <w:kern w:val="0"/>
                <w:sz w:val="24"/>
              </w:rPr>
              <w:t>，自西北向东南，坡降</w:t>
            </w:r>
            <w:r>
              <w:rPr>
                <w:kern w:val="0"/>
                <w:sz w:val="24"/>
              </w:rPr>
              <w:t xml:space="preserve"> 1/10000</w:t>
            </w:r>
            <w:r>
              <w:rPr>
                <w:rFonts w:hAnsi="宋体"/>
                <w:kern w:val="0"/>
                <w:sz w:val="24"/>
              </w:rPr>
              <w:t>；</w:t>
            </w:r>
            <w:r>
              <w:rPr>
                <w:rFonts w:hint="eastAsia"/>
                <w:sz w:val="24"/>
              </w:rPr>
              <w:t>地处安徽省中北部，东与滁州市毗邻，南与合肥市接壤，西南与六安市隔水相望，西与阜阳市相接，北与亳州市交界，东北与蚌埠市交界。最东端位于孔店乡东河村以东的大通、定远、长丰三县区交汇点，处于老外河河面中心线上，最西端位于凤台县尚塘乡侯海孜以西与利辛县接壤处，最南端位于孙庙乡庙塘村以南瓦埠湖水面，最北端位于的凤台县与蒙城县、利辛县交会的茨淮新河主航道中心线上。 辖区东西最长距离103千米，南北最长距离87千米，总面积2585平方千米。</w:t>
            </w:r>
          </w:p>
          <w:p>
            <w:pPr>
              <w:tabs>
                <w:tab w:val="left" w:pos="360"/>
              </w:tabs>
              <w:snapToGrid w:val="0"/>
              <w:spacing w:line="360" w:lineRule="auto"/>
              <w:ind w:left="360"/>
              <w:rPr>
                <w:rFonts w:hAnsi="宋体"/>
                <w:b/>
                <w:sz w:val="24"/>
                <w:szCs w:val="24"/>
              </w:rPr>
            </w:pPr>
            <w:r>
              <w:rPr>
                <w:rFonts w:hint="eastAsia" w:hAnsi="宋体"/>
                <w:b/>
                <w:sz w:val="24"/>
                <w:szCs w:val="24"/>
              </w:rPr>
              <w:t>2、</w:t>
            </w:r>
            <w:r>
              <w:rPr>
                <w:rFonts w:hAnsi="宋体"/>
                <w:b/>
                <w:sz w:val="24"/>
                <w:szCs w:val="24"/>
              </w:rPr>
              <w:t>地形、地貌、地质</w:t>
            </w:r>
          </w:p>
          <w:p>
            <w:pPr>
              <w:snapToGrid w:val="0"/>
              <w:spacing w:line="360" w:lineRule="auto"/>
              <w:ind w:firstLine="480" w:firstLineChars="200"/>
              <w:rPr>
                <w:sz w:val="24"/>
              </w:rPr>
            </w:pPr>
            <w:r>
              <w:rPr>
                <w:rFonts w:hint="eastAsia"/>
                <w:sz w:val="24"/>
              </w:rPr>
              <w:t>淮南市境在构造单元上属于中朝准地台淮河台坳淮南陷褶断带（即华北地台豫淮褶皱带）东部的淮南复向斜。东界为郯庐断裂，西临周口坳陷，北接蚌埠隆起，南邻合肥坳陷，</w:t>
            </w:r>
            <w:r>
              <w:rPr>
                <w:sz w:val="24"/>
              </w:rPr>
              <w:t>南北为洞山断裂和刘府断裂夹持。区内构造以北西西向构造占主导地位，受后期强烈改造，但总体形态变化不大，复式向斜内次一级褶皱及断裂发育。地质演化历史可分为前震旦纪、震旦纪—三叠纪、侏罗纪—第四纪3个阶段，前震旦纪，淮南地壳处于活动阶段；震旦纪—三叠纪属于剧烈运动时期，先后经历了蚌埠、凤阳、皖南、加里东、华西力、印支等运动。其间地壳几度隆起沉降，形成了海陆交互相地层。特别是晚石炭纪和二叠纪时期海陆交互相的沉积环境，为煤炭资源的生成提供了良好条件，从而形成了境内大量的煤炭资源。侏罗纪—第四纪，经过燕山运动和喜马拉雅运动，逐渐塑造出了今天的地貌特征。</w:t>
            </w:r>
          </w:p>
          <w:p>
            <w:pPr>
              <w:snapToGrid w:val="0"/>
              <w:spacing w:line="360" w:lineRule="auto"/>
              <w:ind w:firstLine="480" w:firstLineChars="200"/>
              <w:rPr>
                <w:sz w:val="24"/>
              </w:rPr>
            </w:pPr>
            <w:r>
              <w:rPr>
                <w:sz w:val="24"/>
              </w:rPr>
              <w:t>淮南市境以淮河为界形成两种不同的地貌类型，淮河以南为丘陵，属于江淮丘陵的一部分；淮河以北为地势平坦的淮北平原，淮河南岸由东至西隆起不连续的低山丘陵，环山为一斜坡地带，宽约500米～1500米，坡度10°左右，海拔40米～75米；斜坡地带以下交错衔接洪冲积二级阶地，宽500米～2500米，海拔30米～40米，坡度2°左右；舜耕山以北二级阶地以下是淮河冲积一级阶地，宽2500米～3000米，海拔25米以下，坡度平缓；一级阶地以下是淮河高位漫滩，宽2000米～3000米，海拔17米～20米，漫滩以下是淮河滨河浅滩。舜耕山以南斜坡以下,东为高塘湖一、二级洪冲积阶地,西为瓦埠湖一、二级洪冲积阶地；中为丘陵岗地。淮河以北平原地区为河间浅洼平原，地势呈西北东南向倾斜，海拔20米～24米，对高差4米～5米。</w:t>
            </w:r>
          </w:p>
          <w:p>
            <w:pPr>
              <w:tabs>
                <w:tab w:val="left" w:pos="360"/>
              </w:tabs>
              <w:snapToGrid w:val="0"/>
              <w:spacing w:line="360" w:lineRule="auto"/>
              <w:ind w:left="360"/>
              <w:rPr>
                <w:b/>
                <w:sz w:val="24"/>
                <w:szCs w:val="24"/>
              </w:rPr>
            </w:pPr>
            <w:r>
              <w:rPr>
                <w:b/>
                <w:sz w:val="24"/>
                <w:szCs w:val="24"/>
              </w:rPr>
              <w:t>3、气候与气象</w:t>
            </w:r>
          </w:p>
          <w:p>
            <w:pPr>
              <w:autoSpaceDE w:val="0"/>
              <w:autoSpaceDN w:val="0"/>
              <w:adjustRightInd w:val="0"/>
              <w:snapToGrid w:val="0"/>
              <w:spacing w:line="360" w:lineRule="auto"/>
              <w:ind w:right="156" w:firstLine="432" w:firstLineChars="180"/>
              <w:jc w:val="left"/>
              <w:rPr>
                <w:kern w:val="0"/>
                <w:sz w:val="24"/>
              </w:rPr>
            </w:pPr>
            <w:r>
              <w:rPr>
                <w:kern w:val="0"/>
                <w:sz w:val="24"/>
              </w:rPr>
              <w:t>评价区域属暖温带半湿润大陆性季风气候区。基本特征：春暖、夏热、秋凉、冬冷，四季分明，阳光充足，气候温和，雨量适中，季风显著，无霜期长。多年平均气温16.6℃，最低月均气温（1月）1.2℃，最高月均气温（7月）28.4℃，历年极端最高气温41.2℃，历年极端最低气温-22.2℃；年平均降水量871.3mm，最大年降水量（1954年）1428mm，最小年降水量（1956年）471.9mm，最大日降水量145mm；2002～2006近五年最多风向东风，夏季主导风向东南偏东风，冬季次主导风向东北偏东风，年平均风速2.7m/s，最大风速20m/s；全年日照时数2092.4h，其中：植物生长期日照1513.19h；全年霜期32日，初霜出现在11月26日；全年雾日11日。</w:t>
            </w:r>
          </w:p>
          <w:p>
            <w:pPr>
              <w:tabs>
                <w:tab w:val="left" w:pos="360"/>
              </w:tabs>
              <w:snapToGrid w:val="0"/>
              <w:spacing w:line="360" w:lineRule="auto"/>
              <w:ind w:left="360"/>
              <w:rPr>
                <w:b/>
                <w:sz w:val="24"/>
                <w:szCs w:val="24"/>
              </w:rPr>
            </w:pPr>
            <w:r>
              <w:rPr>
                <w:b/>
                <w:sz w:val="24"/>
                <w:szCs w:val="24"/>
              </w:rPr>
              <w:t>4、地表水系</w:t>
            </w:r>
          </w:p>
          <w:p>
            <w:pPr>
              <w:tabs>
                <w:tab w:val="left" w:pos="1260"/>
              </w:tabs>
              <w:autoSpaceDE w:val="0"/>
              <w:autoSpaceDN w:val="0"/>
              <w:adjustRightInd w:val="0"/>
              <w:snapToGrid w:val="0"/>
              <w:spacing w:line="360" w:lineRule="auto"/>
              <w:ind w:right="159" w:firstLine="480" w:firstLineChars="200"/>
              <w:jc w:val="left"/>
              <w:rPr>
                <w:kern w:val="0"/>
                <w:sz w:val="24"/>
              </w:rPr>
            </w:pPr>
            <w:r>
              <w:rPr>
                <w:kern w:val="0"/>
                <w:sz w:val="24"/>
              </w:rPr>
              <w:t>地表水淮南市主要地表水系是淮河。淮河发源于河南省桐柏山，流经河南、安徽、江苏、山东四省，是我国五大水系之一，也是全市工农业生产与人民生活的主要水源。淮河在淮南境内长76.13km，河道宽一般400m左右，枯水期河道宽250~300m，丰水期河道宽400~800m，净水域面积21.5km</w:t>
            </w:r>
            <w:r>
              <w:rPr>
                <w:kern w:val="0"/>
                <w:sz w:val="24"/>
                <w:vertAlign w:val="superscript"/>
              </w:rPr>
              <w:t>2</w:t>
            </w:r>
            <w:r>
              <w:rPr>
                <w:kern w:val="0"/>
                <w:sz w:val="24"/>
              </w:rPr>
              <w:t>；年平均流量813m</w:t>
            </w:r>
            <w:r>
              <w:rPr>
                <w:kern w:val="0"/>
                <w:sz w:val="24"/>
                <w:vertAlign w:val="superscript"/>
              </w:rPr>
              <w:t>3</w:t>
            </w:r>
            <w:r>
              <w:rPr>
                <w:kern w:val="0"/>
                <w:sz w:val="24"/>
              </w:rPr>
              <w:t>/s，最大流量12700m</w:t>
            </w:r>
            <w:r>
              <w:rPr>
                <w:kern w:val="0"/>
                <w:sz w:val="24"/>
                <w:vertAlign w:val="superscript"/>
              </w:rPr>
              <w:t>3</w:t>
            </w:r>
            <w:r>
              <w:rPr>
                <w:kern w:val="0"/>
                <w:sz w:val="24"/>
              </w:rPr>
              <w:t>/s（1954年7月25日），最小流量0.5m</w:t>
            </w:r>
            <w:r>
              <w:rPr>
                <w:kern w:val="0"/>
                <w:sz w:val="24"/>
                <w:vertAlign w:val="superscript"/>
              </w:rPr>
              <w:t>3</w:t>
            </w:r>
            <w:r>
              <w:rPr>
                <w:kern w:val="0"/>
                <w:sz w:val="24"/>
              </w:rPr>
              <w:t>/s（1978年）；90%保证率，多年最枯月平均流量20m</w:t>
            </w:r>
            <w:r>
              <w:rPr>
                <w:kern w:val="0"/>
                <w:sz w:val="24"/>
                <w:vertAlign w:val="superscript"/>
              </w:rPr>
              <w:t>3</w:t>
            </w:r>
            <w:r>
              <w:rPr>
                <w:kern w:val="0"/>
                <w:sz w:val="24"/>
              </w:rPr>
              <w:t>/s；年平均含砂量0.581kg/m</w:t>
            </w:r>
            <w:r>
              <w:rPr>
                <w:kern w:val="0"/>
                <w:sz w:val="24"/>
                <w:vertAlign w:val="superscript"/>
              </w:rPr>
              <w:t>3</w:t>
            </w:r>
            <w:r>
              <w:rPr>
                <w:kern w:val="0"/>
                <w:sz w:val="24"/>
              </w:rPr>
              <w:t>，最大含砂量17.2kg/m</w:t>
            </w:r>
            <w:r>
              <w:rPr>
                <w:kern w:val="0"/>
                <w:sz w:val="24"/>
                <w:vertAlign w:val="superscript"/>
              </w:rPr>
              <w:t>3</w:t>
            </w:r>
            <w:r>
              <w:rPr>
                <w:kern w:val="0"/>
                <w:sz w:val="24"/>
              </w:rPr>
              <w:t>，最小含砂量0.002kg/m</w:t>
            </w:r>
            <w:r>
              <w:rPr>
                <w:kern w:val="0"/>
                <w:sz w:val="24"/>
                <w:vertAlign w:val="superscript"/>
              </w:rPr>
              <w:t>3</w:t>
            </w:r>
            <w:r>
              <w:rPr>
                <w:kern w:val="0"/>
                <w:sz w:val="24"/>
              </w:rPr>
              <w:t>。</w:t>
            </w:r>
          </w:p>
          <w:p>
            <w:pPr>
              <w:tabs>
                <w:tab w:val="left" w:pos="360"/>
              </w:tabs>
              <w:snapToGrid w:val="0"/>
              <w:spacing w:line="360" w:lineRule="auto"/>
              <w:ind w:left="360"/>
              <w:rPr>
                <w:b/>
                <w:sz w:val="24"/>
                <w:szCs w:val="24"/>
              </w:rPr>
            </w:pPr>
            <w:r>
              <w:rPr>
                <w:b/>
                <w:sz w:val="24"/>
                <w:szCs w:val="24"/>
              </w:rPr>
              <w:t>5、植被、生物多样性</w:t>
            </w:r>
          </w:p>
          <w:p>
            <w:pPr>
              <w:tabs>
                <w:tab w:val="left" w:pos="1260"/>
              </w:tabs>
              <w:autoSpaceDE w:val="0"/>
              <w:autoSpaceDN w:val="0"/>
              <w:adjustRightInd w:val="0"/>
              <w:snapToGrid w:val="0"/>
              <w:spacing w:line="360" w:lineRule="auto"/>
              <w:ind w:right="157" w:firstLine="480" w:firstLineChars="200"/>
              <w:jc w:val="left"/>
              <w:rPr>
                <w:kern w:val="0"/>
                <w:sz w:val="24"/>
              </w:rPr>
            </w:pPr>
            <w:r>
              <w:rPr>
                <w:kern w:val="0"/>
                <w:sz w:val="24"/>
              </w:rPr>
              <w:t>评价区域土壤类型，主要为黄棕壤。黄棕壤为晚更新代黄土状沉积物上发育的马肝土层，是主要旱作土壤。区域周围植被，主要是城市园林人工树种，林木植被10余种，主要以蜀桧、广玉兰、龙柏、黄杨球为主，兼有阔叶树种——杨柳、槐、榆、桑、桐等，针叶树种有松、柏等。</w:t>
            </w:r>
          </w:p>
          <w:p>
            <w:pPr>
              <w:tabs>
                <w:tab w:val="left" w:pos="360"/>
              </w:tabs>
              <w:snapToGrid w:val="0"/>
              <w:spacing w:line="360" w:lineRule="auto"/>
              <w:ind w:left="360"/>
              <w:rPr>
                <w:b/>
                <w:sz w:val="24"/>
                <w:szCs w:val="24"/>
              </w:rPr>
            </w:pPr>
            <w:r>
              <w:rPr>
                <w:b/>
                <w:sz w:val="24"/>
                <w:szCs w:val="24"/>
              </w:rPr>
              <w:t>6、生物多样性</w:t>
            </w:r>
          </w:p>
          <w:p>
            <w:pPr>
              <w:pStyle w:val="13"/>
              <w:snapToGrid w:val="0"/>
              <w:rPr>
                <w:rFonts w:ascii="Times New Roman" w:hAnsi="Times New Roman"/>
                <w:szCs w:val="24"/>
              </w:rPr>
            </w:pPr>
            <w:r>
              <w:rPr>
                <w:rFonts w:ascii="Times New Roman" w:hAnsi="Times New Roman"/>
              </w:rPr>
              <w:t>淮河淮南段浮游生物114种，底栖动物23种，鱼类70余种。野生植物139种，其中：国家重点保护植物5种；主要农作物123种，林果335种；野生动物23种，其中：国家重点保护动物1种，省级重点保护动物10余种。</w:t>
            </w:r>
          </w:p>
          <w:p>
            <w:pPr>
              <w:pStyle w:val="13"/>
              <w:spacing w:line="500" w:lineRule="exact"/>
              <w:rPr>
                <w:szCs w:val="24"/>
              </w:rPr>
            </w:pPr>
          </w:p>
          <w:p>
            <w:pPr>
              <w:spacing w:line="360" w:lineRule="auto"/>
              <w:rPr>
                <w:sz w:val="24"/>
                <w:szCs w:val="24"/>
              </w:rPr>
            </w:pPr>
          </w:p>
        </w:tc>
      </w:tr>
    </w:tbl>
    <w:p>
      <w:pPr>
        <w:rPr>
          <w:b/>
          <w:sz w:val="32"/>
          <w:szCs w:val="32"/>
        </w:rPr>
      </w:pPr>
      <w:r>
        <w:rPr>
          <w:b/>
          <w:sz w:val="32"/>
          <w:szCs w:val="32"/>
        </w:rPr>
        <w:t>环境质量状况</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9307" w:type="dxa"/>
          </w:tcPr>
          <w:p>
            <w:pPr>
              <w:pStyle w:val="12"/>
              <w:spacing w:line="360" w:lineRule="auto"/>
              <w:rPr>
                <w:b/>
                <w:sz w:val="24"/>
                <w:szCs w:val="24"/>
              </w:rPr>
            </w:pPr>
            <w:r>
              <w:rPr>
                <w:b/>
                <w:sz w:val="24"/>
                <w:szCs w:val="24"/>
              </w:rPr>
              <w:t>建设项目所在地区域环境质量现状及主要环境问题（环境空气、地表水、地下水、声环境、辐射环境、生态环境等）</w:t>
            </w:r>
          </w:p>
          <w:p>
            <w:pPr>
              <w:spacing w:line="360" w:lineRule="auto"/>
              <w:rPr>
                <w:rFonts w:hAnsi="宋体"/>
                <w:b/>
                <w:sz w:val="24"/>
                <w:szCs w:val="28"/>
              </w:rPr>
            </w:pPr>
            <w:r>
              <w:rPr>
                <w:rFonts w:hint="eastAsia" w:hAnsi="宋体"/>
                <w:b/>
                <w:sz w:val="24"/>
                <w:szCs w:val="28"/>
              </w:rPr>
              <w:t>一、区域环境质量</w:t>
            </w:r>
          </w:p>
          <w:p>
            <w:pPr>
              <w:spacing w:line="360" w:lineRule="auto"/>
              <w:ind w:left="29" w:leftChars="14" w:firstLine="480" w:firstLineChars="200"/>
              <w:rPr>
                <w:sz w:val="24"/>
              </w:rPr>
            </w:pPr>
            <w:r>
              <w:rPr>
                <w:rFonts w:hint="eastAsia"/>
                <w:sz w:val="24"/>
              </w:rPr>
              <w:t>该</w:t>
            </w:r>
            <w:r>
              <w:rPr>
                <w:sz w:val="24"/>
              </w:rPr>
              <w:t>项目位于</w:t>
            </w:r>
            <w:r>
              <w:rPr>
                <w:rFonts w:hint="eastAsia"/>
                <w:sz w:val="24"/>
              </w:rPr>
              <w:t>淮南市大通区康宝路北侧大通工业聚集区标准化厂房。</w:t>
            </w:r>
          </w:p>
          <w:p>
            <w:pPr>
              <w:spacing w:line="360" w:lineRule="auto"/>
              <w:ind w:left="29" w:leftChars="14" w:firstLine="482" w:firstLineChars="200"/>
              <w:rPr>
                <w:rFonts w:hAnsi="宋体"/>
                <w:b/>
                <w:sz w:val="24"/>
                <w:szCs w:val="28"/>
              </w:rPr>
            </w:pPr>
            <w:r>
              <w:rPr>
                <w:rFonts w:hint="eastAsia" w:hAnsi="宋体"/>
                <w:b/>
                <w:sz w:val="24"/>
                <w:szCs w:val="28"/>
              </w:rPr>
              <w:t>1、环境空气质量现状</w:t>
            </w:r>
          </w:p>
          <w:p>
            <w:pPr>
              <w:adjustRightInd w:val="0"/>
              <w:snapToGrid w:val="0"/>
              <w:spacing w:line="360" w:lineRule="auto"/>
              <w:ind w:firstLine="420"/>
              <w:jc w:val="left"/>
              <w:textAlignment w:val="baseline"/>
              <w:rPr>
                <w:sz w:val="24"/>
                <w:szCs w:val="24"/>
              </w:rPr>
            </w:pPr>
            <w:r>
              <w:rPr>
                <w:sz w:val="24"/>
                <w:szCs w:val="24"/>
              </w:rPr>
              <w:t>2018</w:t>
            </w:r>
            <w:r>
              <w:rPr>
                <w:rFonts w:hint="eastAsia"/>
                <w:sz w:val="24"/>
                <w:szCs w:val="24"/>
              </w:rPr>
              <w:t>年，淮南市市区环境空气中的主要污染物二氧化硫（</w:t>
            </w:r>
            <w:r>
              <w:rPr>
                <w:sz w:val="24"/>
                <w:szCs w:val="24"/>
              </w:rPr>
              <w:t>SO</w:t>
            </w:r>
            <w:r>
              <w:rPr>
                <w:sz w:val="24"/>
                <w:szCs w:val="24"/>
                <w:vertAlign w:val="subscript"/>
              </w:rPr>
              <w:t>2</w:t>
            </w:r>
            <w:r>
              <w:rPr>
                <w:rFonts w:hint="eastAsia"/>
                <w:sz w:val="24"/>
                <w:szCs w:val="24"/>
              </w:rPr>
              <w:t>）、二氧化氮（</w:t>
            </w:r>
            <w:r>
              <w:rPr>
                <w:sz w:val="24"/>
                <w:szCs w:val="24"/>
              </w:rPr>
              <w:t>NO</w:t>
            </w:r>
            <w:r>
              <w:rPr>
                <w:sz w:val="24"/>
                <w:szCs w:val="24"/>
                <w:vertAlign w:val="subscript"/>
              </w:rPr>
              <w:t>2</w:t>
            </w:r>
            <w:r>
              <w:rPr>
                <w:rFonts w:hint="eastAsia"/>
                <w:sz w:val="24"/>
                <w:szCs w:val="24"/>
              </w:rPr>
              <w:t>）、可吸入颗粒物（</w:t>
            </w:r>
            <w:r>
              <w:rPr>
                <w:sz w:val="24"/>
                <w:szCs w:val="24"/>
              </w:rPr>
              <w:t>PM</w:t>
            </w:r>
            <w:r>
              <w:rPr>
                <w:sz w:val="24"/>
                <w:szCs w:val="24"/>
                <w:vertAlign w:val="subscript"/>
              </w:rPr>
              <w:t>10</w:t>
            </w:r>
            <w:r>
              <w:rPr>
                <w:rFonts w:hint="eastAsia"/>
                <w:sz w:val="24"/>
                <w:szCs w:val="24"/>
              </w:rPr>
              <w:t>）、细颗粒物（</w:t>
            </w:r>
            <w:r>
              <w:rPr>
                <w:sz w:val="24"/>
                <w:szCs w:val="24"/>
              </w:rPr>
              <w:t>PM</w:t>
            </w:r>
            <w:r>
              <w:rPr>
                <w:sz w:val="24"/>
                <w:szCs w:val="24"/>
                <w:vertAlign w:val="subscript"/>
              </w:rPr>
              <w:t>2.5</w:t>
            </w:r>
            <w:r>
              <w:rPr>
                <w:rFonts w:hint="eastAsia"/>
                <w:sz w:val="24"/>
                <w:szCs w:val="24"/>
              </w:rPr>
              <w:t>）、一氧化碳（</w:t>
            </w:r>
            <w:r>
              <w:rPr>
                <w:sz w:val="24"/>
                <w:szCs w:val="24"/>
              </w:rPr>
              <w:t>CO</w:t>
            </w:r>
            <w:r>
              <w:rPr>
                <w:rFonts w:hint="eastAsia"/>
                <w:sz w:val="24"/>
                <w:szCs w:val="24"/>
              </w:rPr>
              <w:t>）、臭氧（</w:t>
            </w:r>
            <w:r>
              <w:rPr>
                <w:sz w:val="24"/>
                <w:szCs w:val="24"/>
              </w:rPr>
              <w:t>O</w:t>
            </w:r>
            <w:r>
              <w:rPr>
                <w:sz w:val="24"/>
                <w:szCs w:val="24"/>
                <w:vertAlign w:val="subscript"/>
              </w:rPr>
              <w:t>3</w:t>
            </w:r>
            <w:r>
              <w:rPr>
                <w:rFonts w:hint="eastAsia"/>
                <w:sz w:val="24"/>
                <w:szCs w:val="24"/>
              </w:rPr>
              <w:t>）年平均值分别为</w:t>
            </w:r>
            <w:r>
              <w:rPr>
                <w:sz w:val="24"/>
                <w:szCs w:val="24"/>
              </w:rPr>
              <w:t>15</w:t>
            </w:r>
            <w:r>
              <w:rPr>
                <w:rFonts w:hint="eastAsia"/>
                <w:sz w:val="24"/>
                <w:szCs w:val="24"/>
              </w:rPr>
              <w:t>微克</w:t>
            </w:r>
            <w:r>
              <w:rPr>
                <w:sz w:val="24"/>
                <w:szCs w:val="24"/>
              </w:rPr>
              <w:t>/</w:t>
            </w:r>
            <w:r>
              <w:rPr>
                <w:rFonts w:hint="eastAsia"/>
                <w:sz w:val="24"/>
                <w:szCs w:val="24"/>
              </w:rPr>
              <w:t>立方米、</w:t>
            </w:r>
            <w:r>
              <w:rPr>
                <w:sz w:val="24"/>
                <w:szCs w:val="24"/>
              </w:rPr>
              <w:t>28</w:t>
            </w:r>
            <w:r>
              <w:rPr>
                <w:rFonts w:hint="eastAsia"/>
                <w:sz w:val="24"/>
                <w:szCs w:val="24"/>
              </w:rPr>
              <w:t>微克</w:t>
            </w:r>
            <w:r>
              <w:rPr>
                <w:sz w:val="24"/>
                <w:szCs w:val="24"/>
              </w:rPr>
              <w:t>/</w:t>
            </w:r>
            <w:r>
              <w:rPr>
                <w:rFonts w:hint="eastAsia"/>
                <w:sz w:val="24"/>
                <w:szCs w:val="24"/>
              </w:rPr>
              <w:t>立方米、</w:t>
            </w:r>
            <w:r>
              <w:rPr>
                <w:sz w:val="24"/>
                <w:szCs w:val="24"/>
              </w:rPr>
              <w:t>84.7</w:t>
            </w:r>
            <w:r>
              <w:rPr>
                <w:rFonts w:hint="eastAsia"/>
                <w:sz w:val="24"/>
                <w:szCs w:val="24"/>
              </w:rPr>
              <w:t>微克</w:t>
            </w:r>
            <w:r>
              <w:rPr>
                <w:sz w:val="24"/>
                <w:szCs w:val="24"/>
              </w:rPr>
              <w:t>/</w:t>
            </w:r>
            <w:r>
              <w:rPr>
                <w:rFonts w:hint="eastAsia"/>
                <w:sz w:val="24"/>
                <w:szCs w:val="24"/>
              </w:rPr>
              <w:t>立方米、</w:t>
            </w:r>
            <w:r>
              <w:rPr>
                <w:sz w:val="24"/>
                <w:szCs w:val="24"/>
              </w:rPr>
              <w:t>54.8</w:t>
            </w:r>
            <w:r>
              <w:rPr>
                <w:rFonts w:hint="eastAsia"/>
                <w:sz w:val="24"/>
                <w:szCs w:val="24"/>
              </w:rPr>
              <w:t>微克</w:t>
            </w:r>
            <w:r>
              <w:rPr>
                <w:sz w:val="24"/>
                <w:szCs w:val="24"/>
              </w:rPr>
              <w:t>/</w:t>
            </w:r>
            <w:r>
              <w:rPr>
                <w:rFonts w:hint="eastAsia"/>
                <w:sz w:val="24"/>
                <w:szCs w:val="24"/>
              </w:rPr>
              <w:t>立方米、</w:t>
            </w:r>
            <w:r>
              <w:rPr>
                <w:sz w:val="24"/>
                <w:szCs w:val="24"/>
              </w:rPr>
              <w:t>0.7</w:t>
            </w:r>
            <w:r>
              <w:rPr>
                <w:rFonts w:hint="eastAsia"/>
                <w:sz w:val="24"/>
                <w:szCs w:val="24"/>
              </w:rPr>
              <w:t>毫克</w:t>
            </w:r>
            <w:r>
              <w:rPr>
                <w:sz w:val="24"/>
                <w:szCs w:val="24"/>
              </w:rPr>
              <w:t>/</w:t>
            </w:r>
            <w:r>
              <w:rPr>
                <w:rFonts w:hint="eastAsia"/>
                <w:sz w:val="24"/>
                <w:szCs w:val="24"/>
              </w:rPr>
              <w:t>立方米和</w:t>
            </w:r>
            <w:r>
              <w:rPr>
                <w:sz w:val="24"/>
                <w:szCs w:val="24"/>
              </w:rPr>
              <w:t>109</w:t>
            </w:r>
            <w:r>
              <w:rPr>
                <w:rFonts w:hint="eastAsia"/>
                <w:sz w:val="24"/>
                <w:szCs w:val="24"/>
              </w:rPr>
              <w:t>微克</w:t>
            </w:r>
            <w:r>
              <w:rPr>
                <w:sz w:val="24"/>
                <w:szCs w:val="24"/>
              </w:rPr>
              <w:t>/</w:t>
            </w:r>
            <w:r>
              <w:rPr>
                <w:rFonts w:hint="eastAsia"/>
                <w:sz w:val="24"/>
                <w:szCs w:val="24"/>
              </w:rPr>
              <w:t>立方米，二氧化硫、二氧化氮、一氧化碳、臭氧均符合《环境空气质量标准》（</w:t>
            </w:r>
            <w:r>
              <w:rPr>
                <w:sz w:val="24"/>
                <w:szCs w:val="24"/>
              </w:rPr>
              <w:t>GB3095-2012</w:t>
            </w:r>
            <w:r>
              <w:rPr>
                <w:rFonts w:hint="eastAsia"/>
                <w:sz w:val="24"/>
                <w:szCs w:val="24"/>
              </w:rPr>
              <w:t>）二级标准，可吸入颗粒物（</w:t>
            </w:r>
            <w:r>
              <w:rPr>
                <w:sz w:val="24"/>
                <w:szCs w:val="24"/>
              </w:rPr>
              <w:t>PM</w:t>
            </w:r>
            <w:r>
              <w:rPr>
                <w:sz w:val="24"/>
                <w:szCs w:val="24"/>
                <w:vertAlign w:val="subscript"/>
              </w:rPr>
              <w:t>10</w:t>
            </w:r>
            <w:r>
              <w:rPr>
                <w:rFonts w:hint="eastAsia"/>
                <w:sz w:val="24"/>
                <w:szCs w:val="24"/>
              </w:rPr>
              <w:t>）和细颗粒物（</w:t>
            </w:r>
            <w:r>
              <w:rPr>
                <w:sz w:val="24"/>
                <w:szCs w:val="24"/>
              </w:rPr>
              <w:t>PM</w:t>
            </w:r>
            <w:r>
              <w:rPr>
                <w:sz w:val="24"/>
                <w:szCs w:val="24"/>
                <w:vertAlign w:val="subscript"/>
              </w:rPr>
              <w:t>2.5</w:t>
            </w:r>
            <w:r>
              <w:rPr>
                <w:rFonts w:hint="eastAsia"/>
                <w:sz w:val="24"/>
                <w:szCs w:val="24"/>
              </w:rPr>
              <w:t>）分别超过《环境空气质量标准》（</w:t>
            </w:r>
            <w:r>
              <w:rPr>
                <w:sz w:val="24"/>
                <w:szCs w:val="24"/>
              </w:rPr>
              <w:t>GB3095-2012</w:t>
            </w:r>
            <w:r>
              <w:rPr>
                <w:rFonts w:hint="eastAsia"/>
                <w:sz w:val="24"/>
                <w:szCs w:val="24"/>
              </w:rPr>
              <w:t>）标准</w:t>
            </w:r>
            <w:r>
              <w:rPr>
                <w:sz w:val="24"/>
                <w:szCs w:val="24"/>
              </w:rPr>
              <w:t>0.21</w:t>
            </w:r>
            <w:r>
              <w:rPr>
                <w:rFonts w:hint="eastAsia"/>
                <w:sz w:val="24"/>
                <w:szCs w:val="24"/>
              </w:rPr>
              <w:t>倍和</w:t>
            </w:r>
            <w:r>
              <w:rPr>
                <w:sz w:val="24"/>
                <w:szCs w:val="24"/>
              </w:rPr>
              <w:t>0.57</w:t>
            </w:r>
            <w:r>
              <w:rPr>
                <w:rFonts w:hint="eastAsia"/>
                <w:sz w:val="24"/>
                <w:szCs w:val="24"/>
              </w:rPr>
              <w:t>倍。因此，淮南市为非达标区。</w:t>
            </w:r>
          </w:p>
          <w:p>
            <w:pPr>
              <w:adjustRightInd w:val="0"/>
              <w:snapToGrid w:val="0"/>
              <w:spacing w:line="360" w:lineRule="auto"/>
              <w:ind w:firstLine="480" w:firstLineChars="200"/>
              <w:textAlignment w:val="baseline"/>
              <w:rPr>
                <w:sz w:val="24"/>
                <w:szCs w:val="24"/>
              </w:rPr>
            </w:pPr>
            <w:r>
              <w:rPr>
                <w:rFonts w:hint="eastAsia"/>
                <w:sz w:val="24"/>
                <w:szCs w:val="24"/>
              </w:rPr>
              <w:t>（</w:t>
            </w:r>
            <w:r>
              <w:rPr>
                <w:sz w:val="24"/>
                <w:szCs w:val="24"/>
              </w:rPr>
              <w:t>2</w:t>
            </w:r>
            <w:r>
              <w:rPr>
                <w:rFonts w:hint="eastAsia"/>
                <w:sz w:val="24"/>
                <w:szCs w:val="24"/>
              </w:rPr>
              <w:t>）基本污染物环境质量现状评价</w:t>
            </w:r>
          </w:p>
          <w:p>
            <w:pPr>
              <w:snapToGrid w:val="0"/>
              <w:spacing w:line="360" w:lineRule="auto"/>
              <w:ind w:firstLine="480" w:firstLineChars="200"/>
              <w:rPr>
                <w:szCs w:val="24"/>
                <w:shd w:val="clear" w:color="auto" w:fill="FFFFFF"/>
              </w:rPr>
            </w:pPr>
            <w:r>
              <w:rPr>
                <w:rFonts w:hint="eastAsia"/>
                <w:sz w:val="24"/>
                <w:szCs w:val="24"/>
              </w:rPr>
              <w:t>本项目引用《</w:t>
            </w:r>
            <w:r>
              <w:rPr>
                <w:sz w:val="24"/>
                <w:szCs w:val="24"/>
              </w:rPr>
              <w:t>2018</w:t>
            </w:r>
            <w:r>
              <w:rPr>
                <w:rFonts w:hint="eastAsia"/>
                <w:sz w:val="24"/>
                <w:szCs w:val="24"/>
              </w:rPr>
              <w:t>年淮南市环境质量状况公报》中淮南市环境监测站</w:t>
            </w:r>
            <w:r>
              <w:rPr>
                <w:sz w:val="24"/>
                <w:szCs w:val="24"/>
              </w:rPr>
              <w:t>2018</w:t>
            </w:r>
            <w:r>
              <w:rPr>
                <w:rFonts w:hint="eastAsia"/>
                <w:sz w:val="24"/>
                <w:szCs w:val="24"/>
              </w:rPr>
              <w:t>年</w:t>
            </w:r>
            <w:r>
              <w:rPr>
                <w:sz w:val="24"/>
                <w:szCs w:val="24"/>
              </w:rPr>
              <w:t>1</w:t>
            </w:r>
            <w:r>
              <w:rPr>
                <w:rFonts w:hint="eastAsia"/>
                <w:sz w:val="24"/>
                <w:szCs w:val="24"/>
              </w:rPr>
              <w:t>月</w:t>
            </w:r>
            <w:r>
              <w:rPr>
                <w:sz w:val="24"/>
                <w:szCs w:val="24"/>
              </w:rPr>
              <w:t>1</w:t>
            </w:r>
            <w:r>
              <w:rPr>
                <w:rFonts w:hint="eastAsia"/>
                <w:sz w:val="24"/>
                <w:szCs w:val="24"/>
              </w:rPr>
              <w:t>日</w:t>
            </w:r>
            <w:r>
              <w:rPr>
                <w:sz w:val="24"/>
                <w:szCs w:val="24"/>
              </w:rPr>
              <w:t>~2018</w:t>
            </w:r>
            <w:r>
              <w:rPr>
                <w:rFonts w:hint="eastAsia"/>
                <w:sz w:val="24"/>
                <w:szCs w:val="24"/>
              </w:rPr>
              <w:t>年</w:t>
            </w:r>
            <w:r>
              <w:rPr>
                <w:sz w:val="24"/>
                <w:szCs w:val="24"/>
              </w:rPr>
              <w:t>12</w:t>
            </w:r>
            <w:r>
              <w:rPr>
                <w:rFonts w:hint="eastAsia"/>
                <w:sz w:val="24"/>
                <w:szCs w:val="24"/>
              </w:rPr>
              <w:t>月</w:t>
            </w:r>
            <w:r>
              <w:rPr>
                <w:sz w:val="24"/>
                <w:szCs w:val="24"/>
              </w:rPr>
              <w:t>31</w:t>
            </w:r>
            <w:r>
              <w:rPr>
                <w:rFonts w:hint="eastAsia"/>
                <w:sz w:val="24"/>
                <w:szCs w:val="24"/>
              </w:rPr>
              <w:t>日的监测数据进行评价，基本污染物环境质量现状评价见表7。</w:t>
            </w:r>
          </w:p>
          <w:p>
            <w:pPr>
              <w:snapToGrid w:val="0"/>
              <w:ind w:firstLine="422" w:firstLineChars="200"/>
              <w:jc w:val="center"/>
              <w:rPr>
                <w:b/>
                <w:szCs w:val="21"/>
              </w:rPr>
            </w:pPr>
            <w:r>
              <w:rPr>
                <w:rFonts w:hint="eastAsia"/>
                <w:b/>
                <w:szCs w:val="21"/>
              </w:rPr>
              <w:t>表7基本污染物环境质量现状</w:t>
            </w:r>
          </w:p>
          <w:tbl>
            <w:tblPr>
              <w:tblStyle w:val="30"/>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51"/>
              <w:gridCol w:w="1484"/>
              <w:gridCol w:w="1807"/>
              <w:gridCol w:w="1780"/>
              <w:gridCol w:w="130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b/>
                      <w:szCs w:val="21"/>
                    </w:rPr>
                  </w:pPr>
                  <w:r>
                    <w:rPr>
                      <w:rFonts w:hint="eastAsia"/>
                      <w:b/>
                      <w:szCs w:val="21"/>
                    </w:rPr>
                    <w:t>序号</w:t>
                  </w:r>
                </w:p>
              </w:tc>
              <w:tc>
                <w:tcPr>
                  <w:tcW w:w="851" w:type="dxa"/>
                  <w:vAlign w:val="center"/>
                </w:tcPr>
                <w:p>
                  <w:pPr>
                    <w:snapToGrid w:val="0"/>
                    <w:jc w:val="center"/>
                    <w:rPr>
                      <w:b/>
                      <w:szCs w:val="21"/>
                    </w:rPr>
                  </w:pPr>
                  <w:r>
                    <w:rPr>
                      <w:rFonts w:hint="eastAsia"/>
                      <w:b/>
                      <w:szCs w:val="21"/>
                    </w:rPr>
                    <w:t>污染物</w:t>
                  </w:r>
                </w:p>
              </w:tc>
              <w:tc>
                <w:tcPr>
                  <w:tcW w:w="1484" w:type="dxa"/>
                  <w:vAlign w:val="center"/>
                </w:tcPr>
                <w:p>
                  <w:pPr>
                    <w:snapToGrid w:val="0"/>
                    <w:jc w:val="center"/>
                    <w:rPr>
                      <w:rFonts w:ascii="宋体" w:cs="宋体"/>
                      <w:b/>
                      <w:kern w:val="0"/>
                      <w:szCs w:val="21"/>
                    </w:rPr>
                  </w:pPr>
                  <w:r>
                    <w:rPr>
                      <w:rFonts w:hint="eastAsia" w:ascii="宋体" w:cs="宋体"/>
                      <w:b/>
                      <w:kern w:val="0"/>
                      <w:szCs w:val="21"/>
                    </w:rPr>
                    <w:t>年评价指标</w:t>
                  </w:r>
                </w:p>
              </w:tc>
              <w:tc>
                <w:tcPr>
                  <w:tcW w:w="1807" w:type="dxa"/>
                  <w:vAlign w:val="center"/>
                </w:tcPr>
                <w:p>
                  <w:pPr>
                    <w:snapToGrid w:val="0"/>
                    <w:jc w:val="center"/>
                    <w:rPr>
                      <w:rFonts w:ascii="宋体" w:cs="宋体"/>
                      <w:b/>
                      <w:kern w:val="0"/>
                      <w:szCs w:val="21"/>
                    </w:rPr>
                  </w:pPr>
                  <w:r>
                    <w:rPr>
                      <w:rFonts w:hint="eastAsia" w:ascii="宋体" w:cs="宋体"/>
                      <w:b/>
                      <w:kern w:val="0"/>
                      <w:szCs w:val="21"/>
                    </w:rPr>
                    <w:t>现状浓度</w:t>
                  </w:r>
                </w:p>
                <w:p>
                  <w:pPr>
                    <w:snapToGrid w:val="0"/>
                    <w:jc w:val="center"/>
                    <w:rPr>
                      <w:b/>
                      <w:szCs w:val="21"/>
                    </w:rPr>
                  </w:pPr>
                  <w:r>
                    <w:rPr>
                      <w:rFonts w:hint="eastAsia"/>
                      <w:b/>
                      <w:szCs w:val="21"/>
                    </w:rPr>
                    <w:t>（</w:t>
                  </w:r>
                  <w:r>
                    <w:rPr>
                      <w:b/>
                      <w:szCs w:val="21"/>
                    </w:rPr>
                    <w:t>μg/m</w:t>
                  </w:r>
                  <w:r>
                    <w:rPr>
                      <w:b/>
                      <w:szCs w:val="21"/>
                      <w:vertAlign w:val="superscript"/>
                    </w:rPr>
                    <w:t>3</w:t>
                  </w:r>
                  <w:r>
                    <w:rPr>
                      <w:rFonts w:hint="eastAsia"/>
                      <w:b/>
                      <w:szCs w:val="21"/>
                    </w:rPr>
                    <w:t>）</w:t>
                  </w:r>
                </w:p>
              </w:tc>
              <w:tc>
                <w:tcPr>
                  <w:tcW w:w="1780" w:type="dxa"/>
                  <w:vAlign w:val="center"/>
                </w:tcPr>
                <w:p>
                  <w:pPr>
                    <w:snapToGrid w:val="0"/>
                    <w:jc w:val="center"/>
                    <w:rPr>
                      <w:b/>
                      <w:szCs w:val="21"/>
                    </w:rPr>
                  </w:pPr>
                  <w:r>
                    <w:rPr>
                      <w:rFonts w:hint="eastAsia"/>
                      <w:b/>
                      <w:szCs w:val="21"/>
                    </w:rPr>
                    <w:t>评价标准值（</w:t>
                  </w:r>
                  <w:r>
                    <w:rPr>
                      <w:b/>
                      <w:szCs w:val="21"/>
                    </w:rPr>
                    <w:t>μg/m</w:t>
                  </w:r>
                  <w:r>
                    <w:rPr>
                      <w:b/>
                      <w:szCs w:val="21"/>
                      <w:vertAlign w:val="superscript"/>
                    </w:rPr>
                    <w:t>3</w:t>
                  </w:r>
                  <w:r>
                    <w:rPr>
                      <w:rFonts w:hint="eastAsia"/>
                      <w:b/>
                      <w:szCs w:val="21"/>
                    </w:rPr>
                    <w:t>）</w:t>
                  </w:r>
                </w:p>
              </w:tc>
              <w:tc>
                <w:tcPr>
                  <w:tcW w:w="1300" w:type="dxa"/>
                  <w:vAlign w:val="center"/>
                </w:tcPr>
                <w:p>
                  <w:pPr>
                    <w:snapToGrid w:val="0"/>
                    <w:jc w:val="center"/>
                    <w:rPr>
                      <w:b/>
                      <w:szCs w:val="21"/>
                    </w:rPr>
                  </w:pPr>
                  <w:r>
                    <w:rPr>
                      <w:rFonts w:hint="eastAsia"/>
                      <w:b/>
                      <w:szCs w:val="21"/>
                    </w:rPr>
                    <w:t>浓度占标率（</w:t>
                  </w:r>
                  <w:r>
                    <w:rPr>
                      <w:b/>
                      <w:szCs w:val="21"/>
                    </w:rPr>
                    <w:t>%</w:t>
                  </w:r>
                  <w:r>
                    <w:rPr>
                      <w:rFonts w:hint="eastAsia"/>
                      <w:b/>
                      <w:szCs w:val="21"/>
                    </w:rPr>
                    <w:t>）</w:t>
                  </w:r>
                </w:p>
              </w:tc>
              <w:tc>
                <w:tcPr>
                  <w:tcW w:w="1132" w:type="dxa"/>
                  <w:vAlign w:val="center"/>
                </w:tcPr>
                <w:p>
                  <w:pPr>
                    <w:snapToGrid w:val="0"/>
                    <w:jc w:val="center"/>
                    <w:rPr>
                      <w:b/>
                      <w:szCs w:val="21"/>
                    </w:rPr>
                  </w:pPr>
                  <w:r>
                    <w:rPr>
                      <w:rFonts w:hint="eastAsia"/>
                      <w:b/>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1</w:t>
                  </w:r>
                </w:p>
              </w:tc>
              <w:tc>
                <w:tcPr>
                  <w:tcW w:w="851" w:type="dxa"/>
                  <w:vAlign w:val="center"/>
                </w:tcPr>
                <w:p>
                  <w:pPr>
                    <w:snapToGrid w:val="0"/>
                    <w:jc w:val="center"/>
                    <w:rPr>
                      <w:szCs w:val="21"/>
                    </w:rPr>
                  </w:pPr>
                  <w:r>
                    <w:rPr>
                      <w:szCs w:val="21"/>
                    </w:rPr>
                    <w:t>SO</w:t>
                  </w:r>
                  <w:r>
                    <w:rPr>
                      <w:szCs w:val="21"/>
                      <w:vertAlign w:val="subscript"/>
                    </w:rPr>
                    <w:t>2</w:t>
                  </w:r>
                </w:p>
              </w:tc>
              <w:tc>
                <w:tcPr>
                  <w:tcW w:w="1484" w:type="dxa"/>
                  <w:vMerge w:val="restart"/>
                  <w:vAlign w:val="center"/>
                </w:tcPr>
                <w:p>
                  <w:pPr>
                    <w:snapToGrid w:val="0"/>
                    <w:jc w:val="center"/>
                    <w:rPr>
                      <w:szCs w:val="21"/>
                    </w:rPr>
                  </w:pPr>
                  <w:r>
                    <w:rPr>
                      <w:rFonts w:hint="eastAsia"/>
                      <w:szCs w:val="21"/>
                    </w:rPr>
                    <w:t>年平均质量浓度</w:t>
                  </w:r>
                </w:p>
              </w:tc>
              <w:tc>
                <w:tcPr>
                  <w:tcW w:w="1807" w:type="dxa"/>
                  <w:vAlign w:val="center"/>
                </w:tcPr>
                <w:p>
                  <w:pPr>
                    <w:snapToGrid w:val="0"/>
                    <w:jc w:val="center"/>
                    <w:rPr>
                      <w:szCs w:val="21"/>
                    </w:rPr>
                  </w:pPr>
                  <w:r>
                    <w:rPr>
                      <w:szCs w:val="21"/>
                    </w:rPr>
                    <w:t>15</w:t>
                  </w:r>
                </w:p>
              </w:tc>
              <w:tc>
                <w:tcPr>
                  <w:tcW w:w="1780" w:type="dxa"/>
                  <w:vAlign w:val="center"/>
                </w:tcPr>
                <w:p>
                  <w:pPr>
                    <w:snapToGrid w:val="0"/>
                    <w:jc w:val="center"/>
                    <w:rPr>
                      <w:szCs w:val="21"/>
                    </w:rPr>
                  </w:pPr>
                  <w:r>
                    <w:rPr>
                      <w:szCs w:val="21"/>
                    </w:rPr>
                    <w:t>60</w:t>
                  </w:r>
                </w:p>
              </w:tc>
              <w:tc>
                <w:tcPr>
                  <w:tcW w:w="1300" w:type="dxa"/>
                  <w:vAlign w:val="center"/>
                </w:tcPr>
                <w:p>
                  <w:pPr>
                    <w:snapToGrid w:val="0"/>
                    <w:jc w:val="center"/>
                    <w:rPr>
                      <w:szCs w:val="21"/>
                    </w:rPr>
                  </w:pPr>
                  <w:r>
                    <w:rPr>
                      <w:szCs w:val="21"/>
                    </w:rPr>
                    <w:t>25</w:t>
                  </w:r>
                </w:p>
              </w:tc>
              <w:tc>
                <w:tcPr>
                  <w:tcW w:w="1132" w:type="dxa"/>
                  <w:vAlign w:val="center"/>
                </w:tcPr>
                <w:p>
                  <w:pPr>
                    <w:snapToGrid w:val="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2</w:t>
                  </w:r>
                </w:p>
              </w:tc>
              <w:tc>
                <w:tcPr>
                  <w:tcW w:w="851" w:type="dxa"/>
                  <w:vAlign w:val="center"/>
                </w:tcPr>
                <w:p>
                  <w:pPr>
                    <w:snapToGrid w:val="0"/>
                    <w:jc w:val="center"/>
                    <w:rPr>
                      <w:szCs w:val="21"/>
                    </w:rPr>
                  </w:pPr>
                  <w:r>
                    <w:rPr>
                      <w:szCs w:val="21"/>
                    </w:rPr>
                    <w:t>PM</w:t>
                  </w:r>
                  <w:r>
                    <w:rPr>
                      <w:szCs w:val="21"/>
                      <w:vertAlign w:val="subscript"/>
                    </w:rPr>
                    <w:t>10</w:t>
                  </w:r>
                </w:p>
              </w:tc>
              <w:tc>
                <w:tcPr>
                  <w:tcW w:w="1484" w:type="dxa"/>
                  <w:vMerge w:val="continue"/>
                  <w:vAlign w:val="center"/>
                </w:tcPr>
                <w:p>
                  <w:pPr>
                    <w:snapToGrid w:val="0"/>
                    <w:jc w:val="center"/>
                    <w:rPr>
                      <w:szCs w:val="21"/>
                    </w:rPr>
                  </w:pPr>
                </w:p>
              </w:tc>
              <w:tc>
                <w:tcPr>
                  <w:tcW w:w="1807" w:type="dxa"/>
                  <w:vAlign w:val="center"/>
                </w:tcPr>
                <w:p>
                  <w:pPr>
                    <w:snapToGrid w:val="0"/>
                    <w:jc w:val="center"/>
                    <w:rPr>
                      <w:szCs w:val="21"/>
                    </w:rPr>
                  </w:pPr>
                  <w:r>
                    <w:rPr>
                      <w:szCs w:val="21"/>
                    </w:rPr>
                    <w:t>84.5</w:t>
                  </w:r>
                </w:p>
              </w:tc>
              <w:tc>
                <w:tcPr>
                  <w:tcW w:w="1780" w:type="dxa"/>
                  <w:vAlign w:val="center"/>
                </w:tcPr>
                <w:p>
                  <w:pPr>
                    <w:snapToGrid w:val="0"/>
                    <w:jc w:val="center"/>
                    <w:rPr>
                      <w:szCs w:val="21"/>
                    </w:rPr>
                  </w:pPr>
                  <w:r>
                    <w:rPr>
                      <w:szCs w:val="21"/>
                    </w:rPr>
                    <w:t>70</w:t>
                  </w:r>
                </w:p>
              </w:tc>
              <w:tc>
                <w:tcPr>
                  <w:tcW w:w="1300" w:type="dxa"/>
                  <w:vAlign w:val="center"/>
                </w:tcPr>
                <w:p>
                  <w:pPr>
                    <w:snapToGrid w:val="0"/>
                    <w:jc w:val="center"/>
                    <w:rPr>
                      <w:szCs w:val="21"/>
                    </w:rPr>
                  </w:pPr>
                  <w:r>
                    <w:rPr>
                      <w:szCs w:val="21"/>
                    </w:rPr>
                    <w:t>120.7</w:t>
                  </w:r>
                </w:p>
              </w:tc>
              <w:tc>
                <w:tcPr>
                  <w:tcW w:w="1132" w:type="dxa"/>
                  <w:vAlign w:val="center"/>
                </w:tcPr>
                <w:p>
                  <w:pPr>
                    <w:snapToGrid w:val="0"/>
                    <w:jc w:val="center"/>
                    <w:rPr>
                      <w:szCs w:val="21"/>
                    </w:rPr>
                  </w:pPr>
                  <w:r>
                    <w:rPr>
                      <w:rFonts w:hint="eastAsia"/>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3</w:t>
                  </w:r>
                </w:p>
              </w:tc>
              <w:tc>
                <w:tcPr>
                  <w:tcW w:w="851" w:type="dxa"/>
                  <w:vAlign w:val="center"/>
                </w:tcPr>
                <w:p>
                  <w:pPr>
                    <w:snapToGrid w:val="0"/>
                    <w:jc w:val="center"/>
                    <w:rPr>
                      <w:szCs w:val="21"/>
                    </w:rPr>
                  </w:pPr>
                  <w:r>
                    <w:rPr>
                      <w:szCs w:val="21"/>
                    </w:rPr>
                    <w:t>PM</w:t>
                  </w:r>
                  <w:r>
                    <w:rPr>
                      <w:szCs w:val="21"/>
                      <w:vertAlign w:val="subscript"/>
                    </w:rPr>
                    <w:t>2.5</w:t>
                  </w:r>
                </w:p>
              </w:tc>
              <w:tc>
                <w:tcPr>
                  <w:tcW w:w="1484" w:type="dxa"/>
                  <w:vMerge w:val="continue"/>
                  <w:vAlign w:val="center"/>
                </w:tcPr>
                <w:p>
                  <w:pPr>
                    <w:snapToGrid w:val="0"/>
                    <w:jc w:val="center"/>
                    <w:rPr>
                      <w:szCs w:val="21"/>
                    </w:rPr>
                  </w:pPr>
                </w:p>
              </w:tc>
              <w:tc>
                <w:tcPr>
                  <w:tcW w:w="1807" w:type="dxa"/>
                  <w:vAlign w:val="center"/>
                </w:tcPr>
                <w:p>
                  <w:pPr>
                    <w:snapToGrid w:val="0"/>
                    <w:jc w:val="center"/>
                    <w:rPr>
                      <w:szCs w:val="21"/>
                    </w:rPr>
                  </w:pPr>
                  <w:r>
                    <w:rPr>
                      <w:szCs w:val="21"/>
                    </w:rPr>
                    <w:t>54.8</w:t>
                  </w:r>
                </w:p>
              </w:tc>
              <w:tc>
                <w:tcPr>
                  <w:tcW w:w="1780" w:type="dxa"/>
                  <w:vAlign w:val="center"/>
                </w:tcPr>
                <w:p>
                  <w:pPr>
                    <w:snapToGrid w:val="0"/>
                    <w:jc w:val="center"/>
                    <w:rPr>
                      <w:szCs w:val="21"/>
                    </w:rPr>
                  </w:pPr>
                  <w:r>
                    <w:rPr>
                      <w:szCs w:val="21"/>
                    </w:rPr>
                    <w:t>35</w:t>
                  </w:r>
                </w:p>
              </w:tc>
              <w:tc>
                <w:tcPr>
                  <w:tcW w:w="1300" w:type="dxa"/>
                  <w:vAlign w:val="center"/>
                </w:tcPr>
                <w:p>
                  <w:pPr>
                    <w:snapToGrid w:val="0"/>
                    <w:jc w:val="center"/>
                    <w:rPr>
                      <w:szCs w:val="21"/>
                    </w:rPr>
                  </w:pPr>
                  <w:r>
                    <w:rPr>
                      <w:szCs w:val="21"/>
                    </w:rPr>
                    <w:cr/>
                  </w:r>
                  <w:r>
                    <w:rPr>
                      <w:szCs w:val="21"/>
                    </w:rPr>
                    <w:t>56.6</w:t>
                  </w:r>
                </w:p>
              </w:tc>
              <w:tc>
                <w:tcPr>
                  <w:tcW w:w="1132" w:type="dxa"/>
                  <w:vAlign w:val="center"/>
                </w:tcPr>
                <w:p>
                  <w:pPr>
                    <w:snapToGrid w:val="0"/>
                    <w:jc w:val="center"/>
                    <w:rPr>
                      <w:szCs w:val="21"/>
                    </w:rPr>
                  </w:pPr>
                  <w:r>
                    <w:rPr>
                      <w:rFonts w:hint="eastAsia"/>
                      <w:szCs w:val="21"/>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4</w:t>
                  </w:r>
                </w:p>
              </w:tc>
              <w:tc>
                <w:tcPr>
                  <w:tcW w:w="851" w:type="dxa"/>
                  <w:vAlign w:val="center"/>
                </w:tcPr>
                <w:p>
                  <w:pPr>
                    <w:snapToGrid w:val="0"/>
                    <w:jc w:val="center"/>
                    <w:rPr>
                      <w:szCs w:val="21"/>
                    </w:rPr>
                  </w:pPr>
                  <w:r>
                    <w:rPr>
                      <w:szCs w:val="21"/>
                    </w:rPr>
                    <w:t>NO</w:t>
                  </w:r>
                  <w:r>
                    <w:rPr>
                      <w:szCs w:val="21"/>
                      <w:vertAlign w:val="subscript"/>
                    </w:rPr>
                    <w:t>2</w:t>
                  </w:r>
                </w:p>
              </w:tc>
              <w:tc>
                <w:tcPr>
                  <w:tcW w:w="1484" w:type="dxa"/>
                  <w:vMerge w:val="continue"/>
                  <w:vAlign w:val="center"/>
                </w:tcPr>
                <w:p>
                  <w:pPr>
                    <w:snapToGrid w:val="0"/>
                    <w:jc w:val="center"/>
                    <w:rPr>
                      <w:szCs w:val="21"/>
                    </w:rPr>
                  </w:pPr>
                </w:p>
              </w:tc>
              <w:tc>
                <w:tcPr>
                  <w:tcW w:w="1807" w:type="dxa"/>
                  <w:vAlign w:val="center"/>
                </w:tcPr>
                <w:p>
                  <w:pPr>
                    <w:snapToGrid w:val="0"/>
                    <w:jc w:val="center"/>
                    <w:rPr>
                      <w:szCs w:val="21"/>
                    </w:rPr>
                  </w:pPr>
                  <w:r>
                    <w:rPr>
                      <w:szCs w:val="21"/>
                    </w:rPr>
                    <w:t>28</w:t>
                  </w:r>
                </w:p>
              </w:tc>
              <w:tc>
                <w:tcPr>
                  <w:tcW w:w="1780" w:type="dxa"/>
                  <w:vAlign w:val="center"/>
                </w:tcPr>
                <w:p>
                  <w:pPr>
                    <w:snapToGrid w:val="0"/>
                    <w:jc w:val="center"/>
                    <w:rPr>
                      <w:szCs w:val="21"/>
                    </w:rPr>
                  </w:pPr>
                  <w:r>
                    <w:rPr>
                      <w:szCs w:val="21"/>
                    </w:rPr>
                    <w:t>40</w:t>
                  </w:r>
                </w:p>
              </w:tc>
              <w:tc>
                <w:tcPr>
                  <w:tcW w:w="1300" w:type="dxa"/>
                  <w:vAlign w:val="center"/>
                </w:tcPr>
                <w:p>
                  <w:pPr>
                    <w:snapToGrid w:val="0"/>
                    <w:jc w:val="center"/>
                    <w:rPr>
                      <w:szCs w:val="21"/>
                    </w:rPr>
                  </w:pPr>
                  <w:r>
                    <w:rPr>
                      <w:szCs w:val="21"/>
                    </w:rPr>
                    <w:t>70</w:t>
                  </w:r>
                </w:p>
              </w:tc>
              <w:tc>
                <w:tcPr>
                  <w:tcW w:w="1132" w:type="dxa"/>
                  <w:vAlign w:val="center"/>
                </w:tcPr>
                <w:p>
                  <w:pPr>
                    <w:snapToGrid w:val="0"/>
                    <w:jc w:val="center"/>
                    <w:rPr>
                      <w:szCs w:val="21"/>
                    </w:rPr>
                  </w:pP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5</w:t>
                  </w:r>
                </w:p>
              </w:tc>
              <w:tc>
                <w:tcPr>
                  <w:tcW w:w="851" w:type="dxa"/>
                  <w:vAlign w:val="center"/>
                </w:tcPr>
                <w:p>
                  <w:pPr>
                    <w:snapToGrid w:val="0"/>
                    <w:jc w:val="center"/>
                    <w:rPr>
                      <w:szCs w:val="21"/>
                    </w:rPr>
                  </w:pPr>
                  <w:r>
                    <w:rPr>
                      <w:szCs w:val="21"/>
                    </w:rPr>
                    <w:t>CO</w:t>
                  </w:r>
                </w:p>
              </w:tc>
              <w:tc>
                <w:tcPr>
                  <w:tcW w:w="1484" w:type="dxa"/>
                  <w:vMerge w:val="continue"/>
                  <w:vAlign w:val="center"/>
                </w:tcPr>
                <w:p>
                  <w:pPr>
                    <w:snapToGrid w:val="0"/>
                    <w:jc w:val="center"/>
                    <w:rPr>
                      <w:szCs w:val="21"/>
                    </w:rPr>
                  </w:pPr>
                </w:p>
              </w:tc>
              <w:tc>
                <w:tcPr>
                  <w:tcW w:w="1807" w:type="dxa"/>
                  <w:vAlign w:val="center"/>
                </w:tcPr>
                <w:p>
                  <w:pPr>
                    <w:snapToGrid w:val="0"/>
                    <w:jc w:val="center"/>
                    <w:rPr>
                      <w:szCs w:val="21"/>
                    </w:rPr>
                  </w:pPr>
                  <w:r>
                    <w:rPr>
                      <w:szCs w:val="21"/>
                    </w:rPr>
                    <w:t>0.9</w:t>
                  </w:r>
                </w:p>
              </w:tc>
              <w:tc>
                <w:tcPr>
                  <w:tcW w:w="1780" w:type="dxa"/>
                  <w:vAlign w:val="center"/>
                </w:tcPr>
                <w:p>
                  <w:pPr>
                    <w:snapToGrid w:val="0"/>
                    <w:jc w:val="center"/>
                    <w:rPr>
                      <w:szCs w:val="21"/>
                    </w:rPr>
                  </w:pPr>
                  <w:r>
                    <w:rPr>
                      <w:szCs w:val="21"/>
                    </w:rPr>
                    <w:t>/</w:t>
                  </w:r>
                </w:p>
              </w:tc>
              <w:tc>
                <w:tcPr>
                  <w:tcW w:w="1300" w:type="dxa"/>
                  <w:vAlign w:val="center"/>
                </w:tcPr>
                <w:p>
                  <w:pPr>
                    <w:snapToGrid w:val="0"/>
                    <w:jc w:val="center"/>
                    <w:rPr>
                      <w:szCs w:val="21"/>
                    </w:rPr>
                  </w:pPr>
                  <w:r>
                    <w:rPr>
                      <w:szCs w:val="21"/>
                    </w:rPr>
                    <w:t>/</w:t>
                  </w:r>
                </w:p>
              </w:tc>
              <w:tc>
                <w:tcPr>
                  <w:tcW w:w="1132" w:type="dxa"/>
                  <w:vAlign w:val="center"/>
                </w:tcPr>
                <w:p>
                  <w:pPr>
                    <w:snapToGrid w:val="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vAlign w:val="center"/>
                </w:tcPr>
                <w:p>
                  <w:pPr>
                    <w:snapToGrid w:val="0"/>
                    <w:jc w:val="center"/>
                    <w:rPr>
                      <w:szCs w:val="21"/>
                    </w:rPr>
                  </w:pPr>
                  <w:r>
                    <w:rPr>
                      <w:szCs w:val="21"/>
                    </w:rPr>
                    <w:t>6</w:t>
                  </w:r>
                </w:p>
              </w:tc>
              <w:tc>
                <w:tcPr>
                  <w:tcW w:w="851" w:type="dxa"/>
                  <w:vAlign w:val="center"/>
                </w:tcPr>
                <w:p>
                  <w:pPr>
                    <w:snapToGrid w:val="0"/>
                    <w:jc w:val="center"/>
                    <w:rPr>
                      <w:szCs w:val="21"/>
                    </w:rPr>
                  </w:pPr>
                  <w:r>
                    <w:rPr>
                      <w:szCs w:val="21"/>
                    </w:rPr>
                    <w:t>O</w:t>
                  </w:r>
                  <w:r>
                    <w:rPr>
                      <w:szCs w:val="21"/>
                      <w:vertAlign w:val="subscript"/>
                    </w:rPr>
                    <w:t>3</w:t>
                  </w:r>
                </w:p>
              </w:tc>
              <w:tc>
                <w:tcPr>
                  <w:tcW w:w="1484" w:type="dxa"/>
                  <w:vMerge w:val="continue"/>
                  <w:vAlign w:val="center"/>
                </w:tcPr>
                <w:p>
                  <w:pPr>
                    <w:snapToGrid w:val="0"/>
                    <w:jc w:val="center"/>
                    <w:rPr>
                      <w:szCs w:val="21"/>
                    </w:rPr>
                  </w:pPr>
                </w:p>
              </w:tc>
              <w:tc>
                <w:tcPr>
                  <w:tcW w:w="1807" w:type="dxa"/>
                  <w:vAlign w:val="center"/>
                </w:tcPr>
                <w:p>
                  <w:pPr>
                    <w:snapToGrid w:val="0"/>
                    <w:jc w:val="center"/>
                    <w:rPr>
                      <w:szCs w:val="21"/>
                    </w:rPr>
                  </w:pPr>
                  <w:r>
                    <w:rPr>
                      <w:szCs w:val="21"/>
                    </w:rPr>
                    <w:t>109</w:t>
                  </w:r>
                </w:p>
              </w:tc>
              <w:tc>
                <w:tcPr>
                  <w:tcW w:w="1780" w:type="dxa"/>
                  <w:vAlign w:val="center"/>
                </w:tcPr>
                <w:p>
                  <w:pPr>
                    <w:snapToGrid w:val="0"/>
                    <w:jc w:val="center"/>
                    <w:rPr>
                      <w:szCs w:val="21"/>
                    </w:rPr>
                  </w:pPr>
                  <w:r>
                    <w:rPr>
                      <w:szCs w:val="21"/>
                    </w:rPr>
                    <w:t>/</w:t>
                  </w:r>
                </w:p>
              </w:tc>
              <w:tc>
                <w:tcPr>
                  <w:tcW w:w="1300" w:type="dxa"/>
                  <w:vAlign w:val="center"/>
                </w:tcPr>
                <w:p>
                  <w:pPr>
                    <w:snapToGrid w:val="0"/>
                    <w:jc w:val="center"/>
                    <w:rPr>
                      <w:szCs w:val="21"/>
                    </w:rPr>
                  </w:pPr>
                  <w:r>
                    <w:rPr>
                      <w:szCs w:val="21"/>
                    </w:rPr>
                    <w:t>/</w:t>
                  </w:r>
                </w:p>
              </w:tc>
              <w:tc>
                <w:tcPr>
                  <w:tcW w:w="1132" w:type="dxa"/>
                  <w:vAlign w:val="center"/>
                </w:tcPr>
                <w:p>
                  <w:pPr>
                    <w:snapToGrid w:val="0"/>
                    <w:jc w:val="center"/>
                    <w:rPr>
                      <w:szCs w:val="21"/>
                    </w:rPr>
                  </w:pPr>
                  <w:r>
                    <w:rPr>
                      <w:szCs w:val="21"/>
                    </w:rPr>
                    <w:t>/</w:t>
                  </w:r>
                </w:p>
              </w:tc>
            </w:tr>
          </w:tbl>
          <w:p>
            <w:pPr>
              <w:adjustRightInd w:val="0"/>
              <w:snapToGrid w:val="0"/>
              <w:spacing w:line="360" w:lineRule="auto"/>
              <w:ind w:firstLine="420"/>
              <w:textAlignment w:val="baseline"/>
              <w:rPr>
                <w:sz w:val="24"/>
                <w:szCs w:val="24"/>
              </w:rPr>
            </w:pPr>
            <w:r>
              <w:rPr>
                <w:rFonts w:hint="eastAsia"/>
                <w:sz w:val="24"/>
                <w:szCs w:val="24"/>
              </w:rPr>
              <w:t>益益乳业工业园子站点位环境空气质量自动监测子站二氧化硫、二氧化氮、一氧化碳、臭氧年平均值均符合《环境空气质量标准》（</w:t>
            </w:r>
            <w:r>
              <w:rPr>
                <w:sz w:val="24"/>
                <w:szCs w:val="24"/>
              </w:rPr>
              <w:t>GB3095-2012</w:t>
            </w:r>
            <w:r>
              <w:rPr>
                <w:rFonts w:hint="eastAsia"/>
                <w:sz w:val="24"/>
                <w:szCs w:val="24"/>
              </w:rPr>
              <w:t>）及其修改单二级标准。环境空气质量自动监测子站可吸入颗粒物（</w:t>
            </w:r>
            <w:r>
              <w:rPr>
                <w:sz w:val="24"/>
                <w:szCs w:val="24"/>
              </w:rPr>
              <w:t>PM</w:t>
            </w:r>
            <w:r>
              <w:rPr>
                <w:sz w:val="24"/>
                <w:szCs w:val="24"/>
                <w:vertAlign w:val="subscript"/>
              </w:rPr>
              <w:t>10</w:t>
            </w:r>
            <w:r>
              <w:rPr>
                <w:rFonts w:hint="eastAsia"/>
                <w:sz w:val="24"/>
                <w:szCs w:val="24"/>
              </w:rPr>
              <w:t>）和细颗粒物（</w:t>
            </w:r>
            <w:r>
              <w:rPr>
                <w:sz w:val="24"/>
                <w:szCs w:val="24"/>
              </w:rPr>
              <w:t>PM</w:t>
            </w:r>
            <w:r>
              <w:rPr>
                <w:sz w:val="24"/>
                <w:szCs w:val="24"/>
                <w:vertAlign w:val="subscript"/>
              </w:rPr>
              <w:t>2.5</w:t>
            </w:r>
            <w:r>
              <w:rPr>
                <w:rFonts w:hint="eastAsia"/>
                <w:sz w:val="24"/>
                <w:szCs w:val="24"/>
              </w:rPr>
              <w:t>）年平均值均超过《环境空气质量标准》（</w:t>
            </w:r>
            <w:r>
              <w:rPr>
                <w:sz w:val="24"/>
                <w:szCs w:val="24"/>
              </w:rPr>
              <w:t>GB3095-2012</w:t>
            </w:r>
            <w:r>
              <w:rPr>
                <w:rFonts w:hint="eastAsia"/>
                <w:sz w:val="24"/>
                <w:szCs w:val="24"/>
              </w:rPr>
              <w:t>）二级标准。可吸入颗粒物（</w:t>
            </w:r>
            <w:r>
              <w:rPr>
                <w:sz w:val="24"/>
                <w:szCs w:val="24"/>
              </w:rPr>
              <w:t>PM</w:t>
            </w:r>
            <w:r>
              <w:rPr>
                <w:sz w:val="24"/>
                <w:szCs w:val="24"/>
                <w:vertAlign w:val="subscript"/>
              </w:rPr>
              <w:t>10</w:t>
            </w:r>
            <w:r>
              <w:rPr>
                <w:rFonts w:hint="eastAsia"/>
                <w:sz w:val="24"/>
                <w:szCs w:val="24"/>
              </w:rPr>
              <w:t>）年平均值超标</w:t>
            </w:r>
            <w:r>
              <w:rPr>
                <w:sz w:val="24"/>
                <w:szCs w:val="24"/>
              </w:rPr>
              <w:t>0.1</w:t>
            </w:r>
            <w:r>
              <w:rPr>
                <w:rFonts w:hint="eastAsia"/>
                <w:sz w:val="24"/>
                <w:szCs w:val="24"/>
              </w:rPr>
              <w:t>5倍；细颗粒物（</w:t>
            </w:r>
            <w:r>
              <w:rPr>
                <w:sz w:val="24"/>
                <w:szCs w:val="24"/>
              </w:rPr>
              <w:t>PM</w:t>
            </w:r>
            <w:r>
              <w:rPr>
                <w:sz w:val="24"/>
                <w:szCs w:val="24"/>
                <w:vertAlign w:val="subscript"/>
              </w:rPr>
              <w:t>2.5</w:t>
            </w:r>
            <w:r>
              <w:rPr>
                <w:rFonts w:hint="eastAsia"/>
                <w:sz w:val="24"/>
                <w:szCs w:val="24"/>
              </w:rPr>
              <w:t>）年平均值超标</w:t>
            </w:r>
            <w:r>
              <w:rPr>
                <w:sz w:val="24"/>
                <w:szCs w:val="24"/>
              </w:rPr>
              <w:t>0.</w:t>
            </w:r>
            <w:r>
              <w:rPr>
                <w:rFonts w:hint="eastAsia"/>
                <w:sz w:val="24"/>
                <w:szCs w:val="24"/>
              </w:rPr>
              <w:t>62倍。</w:t>
            </w:r>
          </w:p>
          <w:p>
            <w:pPr>
              <w:adjustRightInd w:val="0"/>
              <w:snapToGrid w:val="0"/>
              <w:spacing w:line="360" w:lineRule="auto"/>
              <w:ind w:firstLine="420"/>
              <w:jc w:val="left"/>
              <w:textAlignment w:val="baseline"/>
              <w:rPr>
                <w:sz w:val="24"/>
                <w:szCs w:val="24"/>
              </w:rPr>
            </w:pPr>
            <w:r>
              <w:rPr>
                <w:rFonts w:hint="eastAsia"/>
                <w:sz w:val="24"/>
                <w:szCs w:val="24"/>
              </w:rPr>
              <w:t>由上表可知，</w:t>
            </w:r>
            <w:r>
              <w:rPr>
                <w:sz w:val="24"/>
                <w:szCs w:val="24"/>
              </w:rPr>
              <w:t>PM</w:t>
            </w:r>
            <w:r>
              <w:rPr>
                <w:sz w:val="24"/>
                <w:szCs w:val="24"/>
                <w:vertAlign w:val="subscript"/>
              </w:rPr>
              <w:t>2.5</w:t>
            </w:r>
            <w:r>
              <w:rPr>
                <w:rFonts w:hint="eastAsia"/>
                <w:sz w:val="24"/>
                <w:szCs w:val="24"/>
              </w:rPr>
              <w:t>、</w:t>
            </w:r>
            <w:r>
              <w:rPr>
                <w:sz w:val="24"/>
                <w:szCs w:val="24"/>
              </w:rPr>
              <w:t>PM</w:t>
            </w:r>
            <w:r>
              <w:rPr>
                <w:sz w:val="24"/>
                <w:szCs w:val="24"/>
                <w:vertAlign w:val="subscript"/>
              </w:rPr>
              <w:t>10</w:t>
            </w:r>
            <w:r>
              <w:rPr>
                <w:rFonts w:hint="eastAsia"/>
                <w:sz w:val="24"/>
                <w:szCs w:val="24"/>
              </w:rPr>
              <w:t>年均值指数均超标，不能够满足《环境空气质量标准》</w:t>
            </w:r>
            <w:r>
              <w:rPr>
                <w:sz w:val="24"/>
                <w:szCs w:val="24"/>
              </w:rPr>
              <w:t>(GB3095-2012)</w:t>
            </w:r>
            <w:r>
              <w:rPr>
                <w:rFonts w:hint="eastAsia"/>
                <w:sz w:val="24"/>
                <w:szCs w:val="24"/>
              </w:rPr>
              <w:t>中二级标准要求。因此项目所在区域的基本污染物环境质量现状不达标。</w:t>
            </w:r>
          </w:p>
          <w:p>
            <w:pPr>
              <w:spacing w:line="360" w:lineRule="auto"/>
              <w:ind w:firstLine="482" w:firstLineChars="200"/>
              <w:rPr>
                <w:b/>
                <w:sz w:val="24"/>
              </w:rPr>
            </w:pPr>
            <w:r>
              <w:rPr>
                <w:b/>
                <w:sz w:val="24"/>
              </w:rPr>
              <w:t>2、水环境：</w:t>
            </w:r>
          </w:p>
          <w:p>
            <w:pPr>
              <w:spacing w:line="360" w:lineRule="auto"/>
              <w:ind w:firstLine="480" w:firstLineChars="200"/>
              <w:rPr>
                <w:sz w:val="24"/>
              </w:rPr>
            </w:pPr>
            <w:r>
              <w:rPr>
                <w:sz w:val="24"/>
              </w:rPr>
              <w:t>项目拟建区域地表水体为</w:t>
            </w:r>
            <w:r>
              <w:rPr>
                <w:rFonts w:hint="eastAsia"/>
                <w:sz w:val="24"/>
              </w:rPr>
              <w:t>淮河</w:t>
            </w:r>
            <w:r>
              <w:rPr>
                <w:sz w:val="24"/>
              </w:rPr>
              <w:t>，</w:t>
            </w:r>
            <w:r>
              <w:rPr>
                <w:rFonts w:ascii="宋体" w:hAnsi="宋体"/>
                <w:sz w:val="24"/>
              </w:rPr>
              <w:t>为</w:t>
            </w:r>
            <w:r>
              <w:rPr>
                <w:rFonts w:hint="eastAsia" w:ascii="宋体" w:hAnsi="宋体"/>
                <w:sz w:val="24"/>
              </w:rPr>
              <w:t>Ⅲ</w:t>
            </w:r>
            <w:r>
              <w:rPr>
                <w:sz w:val="24"/>
              </w:rPr>
              <w:t>类水体，执行《地表水环境质量标准》（GB3838-2002）</w:t>
            </w:r>
            <w:r>
              <w:rPr>
                <w:rFonts w:hint="eastAsia" w:ascii="宋体" w:hAnsi="宋体"/>
                <w:sz w:val="24"/>
              </w:rPr>
              <w:t>Ⅲ</w:t>
            </w:r>
            <w:r>
              <w:rPr>
                <w:sz w:val="24"/>
              </w:rPr>
              <w:t>类标准。</w:t>
            </w:r>
            <w:r>
              <w:rPr>
                <w:rFonts w:hint="eastAsia"/>
                <w:sz w:val="24"/>
              </w:rPr>
              <w:t>本评价引用淮南市环保局网站公布的《</w:t>
            </w:r>
            <w:r>
              <w:rPr>
                <w:sz w:val="24"/>
              </w:rPr>
              <w:t>2018</w:t>
            </w:r>
            <w:r>
              <w:rPr>
                <w:rFonts w:hint="eastAsia"/>
                <w:sz w:val="24"/>
              </w:rPr>
              <w:t>年淮南市环境质量状况公报》对淮河河水质得描述，具体如下：</w:t>
            </w:r>
          </w:p>
          <w:p>
            <w:pPr>
              <w:spacing w:line="336" w:lineRule="auto"/>
              <w:ind w:firstLine="482"/>
              <w:rPr>
                <w:kern w:val="0"/>
                <w:sz w:val="24"/>
                <w:szCs w:val="24"/>
              </w:rPr>
            </w:pPr>
            <w:r>
              <w:rPr>
                <w:rFonts w:hint="eastAsia"/>
                <w:kern w:val="0"/>
                <w:sz w:val="24"/>
                <w:szCs w:val="24"/>
              </w:rPr>
              <w:t>2018年，市辖淮河干流及其一、二级支流16个监测断面年平均浓度值Ⅰ~Ⅲ类水质比例75%，总体水质良好，与2017年相比总体由优降低为良好，Ⅰ~Ⅲ类水质比例减少25个百分点。主要超标断面为白洋淀（超标因子氨氮，超标倍数0.03）、枣林涵、中心沟、木台沟断面（超标因子化学需氧量，超标倍数分别为0.15、0.1和0.25倍），该4个断面评价指标年均浓度值均符合《地表水环境质量标准》（GB3838-2002）中Ⅳ类标准。</w:t>
            </w:r>
          </w:p>
          <w:p>
            <w:pPr>
              <w:spacing w:line="360" w:lineRule="auto"/>
              <w:ind w:firstLine="570"/>
              <w:rPr>
                <w:b/>
                <w:sz w:val="24"/>
              </w:rPr>
            </w:pPr>
            <w:r>
              <w:rPr>
                <w:b/>
                <w:sz w:val="24"/>
              </w:rPr>
              <w:t>3、声环境：</w:t>
            </w:r>
          </w:p>
          <w:p>
            <w:pPr>
              <w:spacing w:line="336" w:lineRule="auto"/>
              <w:ind w:firstLine="482"/>
              <w:rPr>
                <w:sz w:val="24"/>
              </w:rPr>
            </w:pPr>
            <w:r>
              <w:rPr>
                <w:kern w:val="0"/>
                <w:sz w:val="24"/>
                <w:szCs w:val="24"/>
              </w:rPr>
              <w:t>项</w:t>
            </w:r>
            <w:r>
              <w:rPr>
                <w:rFonts w:hint="eastAsia" w:ascii="宋体" w:hAnsi="宋体"/>
                <w:kern w:val="0"/>
                <w:sz w:val="24"/>
                <w:szCs w:val="24"/>
              </w:rPr>
              <w:t>目位于</w:t>
            </w:r>
            <w:r>
              <w:rPr>
                <w:rFonts w:hint="eastAsia"/>
                <w:kern w:val="0"/>
                <w:sz w:val="24"/>
                <w:szCs w:val="24"/>
              </w:rPr>
              <w:t>淮南市大通区康宝路北侧大通工业聚集区标准化厂房</w:t>
            </w:r>
            <w:r>
              <w:rPr>
                <w:sz w:val="24"/>
              </w:rPr>
              <w:t>，为了解该项目所在区域环境</w:t>
            </w:r>
            <w:r>
              <w:rPr>
                <w:rFonts w:hint="eastAsia"/>
                <w:sz w:val="24"/>
              </w:rPr>
              <w:t>声</w:t>
            </w:r>
            <w:r>
              <w:rPr>
                <w:sz w:val="24"/>
              </w:rPr>
              <w:t>质量状况，评价单位委托</w:t>
            </w:r>
            <w:r>
              <w:rPr>
                <w:rFonts w:hint="eastAsia"/>
                <w:sz w:val="24"/>
              </w:rPr>
              <w:t>安徽威正测试技术限公司</w:t>
            </w:r>
            <w:r>
              <w:rPr>
                <w:sz w:val="24"/>
              </w:rPr>
              <w:t>20</w:t>
            </w:r>
            <w:r>
              <w:rPr>
                <w:rFonts w:hint="eastAsia"/>
                <w:sz w:val="24"/>
              </w:rPr>
              <w:t>20</w:t>
            </w:r>
            <w:r>
              <w:rPr>
                <w:sz w:val="24"/>
              </w:rPr>
              <w:t>年</w:t>
            </w:r>
            <w:r>
              <w:rPr>
                <w:rFonts w:hint="eastAsia"/>
                <w:sz w:val="24"/>
              </w:rPr>
              <w:t>03</w:t>
            </w:r>
            <w:r>
              <w:rPr>
                <w:sz w:val="24"/>
              </w:rPr>
              <w:t>月</w:t>
            </w:r>
            <w:r>
              <w:rPr>
                <w:rFonts w:hint="eastAsia"/>
                <w:sz w:val="24"/>
              </w:rPr>
              <w:t>24</w:t>
            </w:r>
            <w:r>
              <w:rPr>
                <w:sz w:val="24"/>
              </w:rPr>
              <w:t>日至</w:t>
            </w:r>
            <w:r>
              <w:rPr>
                <w:rFonts w:hint="eastAsia"/>
                <w:sz w:val="24"/>
              </w:rPr>
              <w:t>25</w:t>
            </w:r>
            <w:r>
              <w:rPr>
                <w:sz w:val="24"/>
              </w:rPr>
              <w:t>日在项目地块四周进行监测。</w:t>
            </w:r>
          </w:p>
          <w:p>
            <w:pPr>
              <w:snapToGrid w:val="0"/>
              <w:ind w:firstLine="422" w:firstLineChars="200"/>
              <w:jc w:val="center"/>
              <w:rPr>
                <w:b/>
                <w:szCs w:val="21"/>
              </w:rPr>
            </w:pPr>
            <w:r>
              <w:rPr>
                <w:b/>
                <w:szCs w:val="21"/>
              </w:rPr>
              <w:t>表</w:t>
            </w:r>
            <w:r>
              <w:rPr>
                <w:rFonts w:hint="eastAsia"/>
                <w:b/>
                <w:szCs w:val="21"/>
              </w:rPr>
              <w:t>8</w:t>
            </w:r>
            <w:r>
              <w:rPr>
                <w:b/>
                <w:szCs w:val="21"/>
              </w:rPr>
              <w:t>场界噪声现状监测结果    单位：LeqdB(A)</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816"/>
              <w:gridCol w:w="1816"/>
              <w:gridCol w:w="1817"/>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snapToGrid w:val="0"/>
                    <w:jc w:val="center"/>
                    <w:rPr>
                      <w:szCs w:val="21"/>
                    </w:rPr>
                  </w:pPr>
                  <w:r>
                    <w:rPr>
                      <w:szCs w:val="21"/>
                    </w:rPr>
                    <w:t>点数</w:t>
                  </w:r>
                </w:p>
              </w:tc>
              <w:tc>
                <w:tcPr>
                  <w:tcW w:w="3408" w:type="dxa"/>
                  <w:gridSpan w:val="2"/>
                  <w:vMerge w:val="restart"/>
                  <w:vAlign w:val="center"/>
                </w:tcPr>
                <w:p>
                  <w:pPr>
                    <w:snapToGrid w:val="0"/>
                    <w:jc w:val="center"/>
                    <w:rPr>
                      <w:szCs w:val="21"/>
                    </w:rPr>
                  </w:pPr>
                  <w:r>
                    <w:rPr>
                      <w:szCs w:val="21"/>
                    </w:rPr>
                    <w:t>测点名称</w:t>
                  </w:r>
                </w:p>
              </w:tc>
              <w:tc>
                <w:tcPr>
                  <w:tcW w:w="1705" w:type="dxa"/>
                  <w:vAlign w:val="center"/>
                </w:tcPr>
                <w:p>
                  <w:pPr>
                    <w:snapToGrid w:val="0"/>
                    <w:jc w:val="center"/>
                    <w:rPr>
                      <w:szCs w:val="21"/>
                    </w:rPr>
                  </w:pPr>
                  <w:r>
                    <w:rPr>
                      <w:szCs w:val="21"/>
                    </w:rPr>
                    <w:t>201</w:t>
                  </w:r>
                  <w:r>
                    <w:rPr>
                      <w:rFonts w:hint="eastAsia"/>
                      <w:szCs w:val="21"/>
                    </w:rPr>
                    <w:t>9</w:t>
                  </w:r>
                  <w:r>
                    <w:rPr>
                      <w:szCs w:val="21"/>
                    </w:rPr>
                    <w:t>-</w:t>
                  </w:r>
                  <w:r>
                    <w:rPr>
                      <w:rFonts w:hint="eastAsia"/>
                      <w:szCs w:val="21"/>
                    </w:rPr>
                    <w:t>03</w:t>
                  </w:r>
                  <w:r>
                    <w:rPr>
                      <w:szCs w:val="21"/>
                    </w:rPr>
                    <w:t>-</w:t>
                  </w:r>
                  <w:r>
                    <w:rPr>
                      <w:rFonts w:hint="eastAsia"/>
                      <w:szCs w:val="21"/>
                    </w:rPr>
                    <w:t>24</w:t>
                  </w:r>
                </w:p>
              </w:tc>
              <w:tc>
                <w:tcPr>
                  <w:tcW w:w="1705" w:type="dxa"/>
                  <w:vAlign w:val="center"/>
                </w:tcPr>
                <w:p>
                  <w:pPr>
                    <w:snapToGrid w:val="0"/>
                    <w:jc w:val="center"/>
                    <w:rPr>
                      <w:szCs w:val="21"/>
                    </w:rPr>
                  </w:pPr>
                  <w:r>
                    <w:rPr>
                      <w:szCs w:val="21"/>
                    </w:rPr>
                    <w:t>2018-</w:t>
                  </w:r>
                  <w:r>
                    <w:rPr>
                      <w:rFonts w:hint="eastAsia"/>
                      <w:szCs w:val="21"/>
                    </w:rPr>
                    <w:t>03</w:t>
                  </w:r>
                  <w:r>
                    <w:rPr>
                      <w:szCs w:val="21"/>
                    </w:rPr>
                    <w:t>-</w:t>
                  </w:r>
                  <w:r>
                    <w:rPr>
                      <w:rFonts w:hint="eastAsia"/>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snapToGrid w:val="0"/>
                    <w:jc w:val="center"/>
                    <w:rPr>
                      <w:szCs w:val="21"/>
                    </w:rPr>
                  </w:pPr>
                </w:p>
              </w:tc>
              <w:tc>
                <w:tcPr>
                  <w:tcW w:w="3408" w:type="dxa"/>
                  <w:gridSpan w:val="2"/>
                  <w:vMerge w:val="continue"/>
                  <w:vAlign w:val="center"/>
                </w:tcPr>
                <w:p>
                  <w:pPr>
                    <w:snapToGrid w:val="0"/>
                    <w:jc w:val="center"/>
                    <w:rPr>
                      <w:szCs w:val="21"/>
                    </w:rPr>
                  </w:pPr>
                </w:p>
              </w:tc>
              <w:tc>
                <w:tcPr>
                  <w:tcW w:w="1705" w:type="dxa"/>
                  <w:vAlign w:val="center"/>
                </w:tcPr>
                <w:p>
                  <w:pPr>
                    <w:snapToGrid w:val="0"/>
                    <w:jc w:val="center"/>
                    <w:rPr>
                      <w:szCs w:val="21"/>
                    </w:rPr>
                  </w:pPr>
                  <w:r>
                    <w:rPr>
                      <w:szCs w:val="21"/>
                    </w:rPr>
                    <w:t>实测值</w:t>
                  </w:r>
                </w:p>
              </w:tc>
              <w:tc>
                <w:tcPr>
                  <w:tcW w:w="1705" w:type="dxa"/>
                  <w:vAlign w:val="center"/>
                </w:tcPr>
                <w:p>
                  <w:pPr>
                    <w:snapToGrid w:val="0"/>
                    <w:jc w:val="center"/>
                    <w:rPr>
                      <w:szCs w:val="21"/>
                    </w:rPr>
                  </w:pPr>
                  <w:r>
                    <w:rPr>
                      <w:szCs w:val="21"/>
                    </w:rPr>
                    <w:t>实测值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snapToGrid w:val="0"/>
                    <w:jc w:val="center"/>
                    <w:rPr>
                      <w:szCs w:val="21"/>
                    </w:rPr>
                  </w:pPr>
                  <w:r>
                    <w:rPr>
                      <w:szCs w:val="21"/>
                    </w:rPr>
                    <w:t>1#</w:t>
                  </w:r>
                </w:p>
              </w:tc>
              <w:tc>
                <w:tcPr>
                  <w:tcW w:w="1704" w:type="dxa"/>
                  <w:vMerge w:val="restart"/>
                  <w:vAlign w:val="center"/>
                </w:tcPr>
                <w:p>
                  <w:pPr>
                    <w:snapToGrid w:val="0"/>
                    <w:jc w:val="center"/>
                    <w:rPr>
                      <w:szCs w:val="21"/>
                    </w:rPr>
                  </w:pPr>
                  <w:r>
                    <w:rPr>
                      <w:szCs w:val="21"/>
                    </w:rPr>
                    <w:t>东厂界外1米</w:t>
                  </w:r>
                </w:p>
              </w:tc>
              <w:tc>
                <w:tcPr>
                  <w:tcW w:w="1704" w:type="dxa"/>
                  <w:vAlign w:val="center"/>
                </w:tcPr>
                <w:p>
                  <w:pPr>
                    <w:snapToGrid w:val="0"/>
                    <w:jc w:val="center"/>
                    <w:rPr>
                      <w:szCs w:val="21"/>
                    </w:rPr>
                  </w:pPr>
                  <w:r>
                    <w:rPr>
                      <w:szCs w:val="21"/>
                    </w:rPr>
                    <w:t>昼间dB（A）</w:t>
                  </w:r>
                </w:p>
              </w:tc>
              <w:tc>
                <w:tcPr>
                  <w:tcW w:w="1705" w:type="dxa"/>
                  <w:vAlign w:val="center"/>
                </w:tcPr>
                <w:p>
                  <w:pPr>
                    <w:snapToGrid w:val="0"/>
                    <w:jc w:val="center"/>
                    <w:rPr>
                      <w:szCs w:val="21"/>
                    </w:rPr>
                  </w:pPr>
                  <w:r>
                    <w:rPr>
                      <w:rFonts w:hint="eastAsia"/>
                      <w:szCs w:val="21"/>
                    </w:rPr>
                    <w:t>54.1</w:t>
                  </w:r>
                </w:p>
              </w:tc>
              <w:tc>
                <w:tcPr>
                  <w:tcW w:w="1705" w:type="dxa"/>
                  <w:vAlign w:val="center"/>
                </w:tcPr>
                <w:p>
                  <w:pPr>
                    <w:snapToGrid w:val="0"/>
                    <w:jc w:val="center"/>
                    <w:rPr>
                      <w:szCs w:val="21"/>
                    </w:rPr>
                  </w:pPr>
                  <w:r>
                    <w:rPr>
                      <w:rFonts w:hint="eastAsia"/>
                      <w:szCs w:val="21"/>
                    </w:rPr>
                    <w:t>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snapToGrid w:val="0"/>
                    <w:jc w:val="center"/>
                    <w:rPr>
                      <w:szCs w:val="21"/>
                    </w:rPr>
                  </w:pPr>
                </w:p>
              </w:tc>
              <w:tc>
                <w:tcPr>
                  <w:tcW w:w="1704" w:type="dxa"/>
                  <w:vMerge w:val="continue"/>
                  <w:vAlign w:val="center"/>
                </w:tcPr>
                <w:p>
                  <w:pPr>
                    <w:snapToGrid w:val="0"/>
                    <w:jc w:val="center"/>
                    <w:rPr>
                      <w:szCs w:val="21"/>
                    </w:rPr>
                  </w:pPr>
                </w:p>
              </w:tc>
              <w:tc>
                <w:tcPr>
                  <w:tcW w:w="1704" w:type="dxa"/>
                  <w:vAlign w:val="center"/>
                </w:tcPr>
                <w:p>
                  <w:pPr>
                    <w:snapToGrid w:val="0"/>
                    <w:jc w:val="center"/>
                    <w:rPr>
                      <w:szCs w:val="21"/>
                    </w:rPr>
                  </w:pPr>
                  <w:r>
                    <w:rPr>
                      <w:szCs w:val="21"/>
                    </w:rPr>
                    <w:t>夜间dB（A）</w:t>
                  </w:r>
                </w:p>
              </w:tc>
              <w:tc>
                <w:tcPr>
                  <w:tcW w:w="1705" w:type="dxa"/>
                  <w:vAlign w:val="center"/>
                </w:tcPr>
                <w:p>
                  <w:pPr>
                    <w:snapToGrid w:val="0"/>
                    <w:jc w:val="center"/>
                    <w:rPr>
                      <w:szCs w:val="21"/>
                    </w:rPr>
                  </w:pPr>
                  <w:r>
                    <w:rPr>
                      <w:rFonts w:hint="eastAsia"/>
                      <w:szCs w:val="21"/>
                    </w:rPr>
                    <w:t>44.2</w:t>
                  </w:r>
                </w:p>
              </w:tc>
              <w:tc>
                <w:tcPr>
                  <w:tcW w:w="1705" w:type="dxa"/>
                  <w:vAlign w:val="center"/>
                </w:tcPr>
                <w:p>
                  <w:pPr>
                    <w:snapToGrid w:val="0"/>
                    <w:jc w:val="center"/>
                    <w:rPr>
                      <w:szCs w:val="21"/>
                    </w:rPr>
                  </w:pPr>
                  <w:r>
                    <w:rPr>
                      <w:rFonts w:hint="eastAsia"/>
                      <w:szCs w:val="21"/>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snapToGrid w:val="0"/>
                    <w:jc w:val="center"/>
                    <w:rPr>
                      <w:szCs w:val="21"/>
                    </w:rPr>
                  </w:pPr>
                  <w:r>
                    <w:rPr>
                      <w:szCs w:val="21"/>
                    </w:rPr>
                    <w:t>2#</w:t>
                  </w:r>
                </w:p>
              </w:tc>
              <w:tc>
                <w:tcPr>
                  <w:tcW w:w="1704" w:type="dxa"/>
                  <w:vMerge w:val="restart"/>
                  <w:vAlign w:val="center"/>
                </w:tcPr>
                <w:p>
                  <w:pPr>
                    <w:snapToGrid w:val="0"/>
                    <w:jc w:val="center"/>
                    <w:rPr>
                      <w:szCs w:val="21"/>
                    </w:rPr>
                  </w:pPr>
                  <w:r>
                    <w:rPr>
                      <w:szCs w:val="21"/>
                    </w:rPr>
                    <w:t>南厂界外1米</w:t>
                  </w:r>
                </w:p>
              </w:tc>
              <w:tc>
                <w:tcPr>
                  <w:tcW w:w="1704" w:type="dxa"/>
                  <w:vAlign w:val="center"/>
                </w:tcPr>
                <w:p>
                  <w:pPr>
                    <w:snapToGrid w:val="0"/>
                    <w:jc w:val="center"/>
                    <w:rPr>
                      <w:szCs w:val="21"/>
                    </w:rPr>
                  </w:pPr>
                  <w:r>
                    <w:rPr>
                      <w:szCs w:val="21"/>
                    </w:rPr>
                    <w:t>昼间dB（A）</w:t>
                  </w:r>
                </w:p>
              </w:tc>
              <w:tc>
                <w:tcPr>
                  <w:tcW w:w="1705" w:type="dxa"/>
                  <w:vAlign w:val="center"/>
                </w:tcPr>
                <w:p>
                  <w:pPr>
                    <w:snapToGrid w:val="0"/>
                    <w:jc w:val="center"/>
                    <w:rPr>
                      <w:szCs w:val="21"/>
                    </w:rPr>
                  </w:pPr>
                  <w:r>
                    <w:rPr>
                      <w:rFonts w:hint="eastAsia"/>
                      <w:szCs w:val="21"/>
                    </w:rPr>
                    <w:t>54.5</w:t>
                  </w:r>
                </w:p>
              </w:tc>
              <w:tc>
                <w:tcPr>
                  <w:tcW w:w="1705" w:type="dxa"/>
                  <w:vAlign w:val="center"/>
                </w:tcPr>
                <w:p>
                  <w:pPr>
                    <w:snapToGrid w:val="0"/>
                    <w:jc w:val="center"/>
                    <w:rPr>
                      <w:szCs w:val="21"/>
                    </w:rPr>
                  </w:pPr>
                  <w:r>
                    <w:rPr>
                      <w:rFonts w:hint="eastAsia"/>
                      <w:szCs w:val="21"/>
                    </w:rPr>
                    <w:t>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snapToGrid w:val="0"/>
                    <w:jc w:val="center"/>
                    <w:rPr>
                      <w:szCs w:val="21"/>
                    </w:rPr>
                  </w:pPr>
                </w:p>
              </w:tc>
              <w:tc>
                <w:tcPr>
                  <w:tcW w:w="1704" w:type="dxa"/>
                  <w:vMerge w:val="continue"/>
                  <w:vAlign w:val="center"/>
                </w:tcPr>
                <w:p>
                  <w:pPr>
                    <w:snapToGrid w:val="0"/>
                    <w:jc w:val="center"/>
                    <w:rPr>
                      <w:szCs w:val="21"/>
                    </w:rPr>
                  </w:pPr>
                </w:p>
              </w:tc>
              <w:tc>
                <w:tcPr>
                  <w:tcW w:w="1704" w:type="dxa"/>
                  <w:vAlign w:val="center"/>
                </w:tcPr>
                <w:p>
                  <w:pPr>
                    <w:snapToGrid w:val="0"/>
                    <w:jc w:val="center"/>
                    <w:rPr>
                      <w:szCs w:val="21"/>
                    </w:rPr>
                  </w:pPr>
                  <w:r>
                    <w:rPr>
                      <w:szCs w:val="21"/>
                    </w:rPr>
                    <w:t>夜间dB（A）</w:t>
                  </w:r>
                </w:p>
              </w:tc>
              <w:tc>
                <w:tcPr>
                  <w:tcW w:w="1705" w:type="dxa"/>
                  <w:vAlign w:val="center"/>
                </w:tcPr>
                <w:p>
                  <w:pPr>
                    <w:snapToGrid w:val="0"/>
                    <w:jc w:val="center"/>
                    <w:rPr>
                      <w:szCs w:val="21"/>
                    </w:rPr>
                  </w:pPr>
                  <w:r>
                    <w:rPr>
                      <w:rFonts w:hint="eastAsia"/>
                      <w:szCs w:val="21"/>
                    </w:rPr>
                    <w:t>44.44</w:t>
                  </w:r>
                </w:p>
              </w:tc>
              <w:tc>
                <w:tcPr>
                  <w:tcW w:w="1705" w:type="dxa"/>
                  <w:vAlign w:val="center"/>
                </w:tcPr>
                <w:p>
                  <w:pPr>
                    <w:snapToGrid w:val="0"/>
                    <w:jc w:val="center"/>
                    <w:rPr>
                      <w:szCs w:val="21"/>
                    </w:rPr>
                  </w:pPr>
                  <w:r>
                    <w:rPr>
                      <w:rFonts w:hint="eastAsia"/>
                      <w:szCs w:val="21"/>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snapToGrid w:val="0"/>
                    <w:jc w:val="center"/>
                    <w:rPr>
                      <w:szCs w:val="21"/>
                    </w:rPr>
                  </w:pPr>
                  <w:r>
                    <w:rPr>
                      <w:szCs w:val="21"/>
                    </w:rPr>
                    <w:t>3#</w:t>
                  </w:r>
                </w:p>
              </w:tc>
              <w:tc>
                <w:tcPr>
                  <w:tcW w:w="1704" w:type="dxa"/>
                  <w:vMerge w:val="restart"/>
                  <w:vAlign w:val="center"/>
                </w:tcPr>
                <w:p>
                  <w:pPr>
                    <w:snapToGrid w:val="0"/>
                    <w:jc w:val="center"/>
                    <w:rPr>
                      <w:szCs w:val="21"/>
                    </w:rPr>
                  </w:pPr>
                  <w:r>
                    <w:rPr>
                      <w:szCs w:val="21"/>
                    </w:rPr>
                    <w:t>西厂界外1米</w:t>
                  </w:r>
                </w:p>
              </w:tc>
              <w:tc>
                <w:tcPr>
                  <w:tcW w:w="1704" w:type="dxa"/>
                  <w:vAlign w:val="center"/>
                </w:tcPr>
                <w:p>
                  <w:pPr>
                    <w:snapToGrid w:val="0"/>
                    <w:jc w:val="center"/>
                    <w:rPr>
                      <w:szCs w:val="21"/>
                    </w:rPr>
                  </w:pPr>
                  <w:r>
                    <w:rPr>
                      <w:szCs w:val="21"/>
                    </w:rPr>
                    <w:t>昼间dB（A）</w:t>
                  </w:r>
                </w:p>
              </w:tc>
              <w:tc>
                <w:tcPr>
                  <w:tcW w:w="1705" w:type="dxa"/>
                  <w:vAlign w:val="center"/>
                </w:tcPr>
                <w:p>
                  <w:pPr>
                    <w:snapToGrid w:val="0"/>
                    <w:jc w:val="center"/>
                    <w:rPr>
                      <w:szCs w:val="21"/>
                    </w:rPr>
                  </w:pPr>
                  <w:r>
                    <w:rPr>
                      <w:rFonts w:hint="eastAsia"/>
                      <w:szCs w:val="21"/>
                    </w:rPr>
                    <w:t>54.3</w:t>
                  </w:r>
                </w:p>
              </w:tc>
              <w:tc>
                <w:tcPr>
                  <w:tcW w:w="1705" w:type="dxa"/>
                  <w:vAlign w:val="center"/>
                </w:tcPr>
                <w:p>
                  <w:pPr>
                    <w:snapToGrid w:val="0"/>
                    <w:jc w:val="center"/>
                    <w:rPr>
                      <w:szCs w:val="21"/>
                    </w:rPr>
                  </w:pPr>
                  <w:r>
                    <w:rPr>
                      <w:rFonts w:hint="eastAsia"/>
                      <w:szCs w:val="21"/>
                    </w:rPr>
                    <w:t>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snapToGrid w:val="0"/>
                    <w:jc w:val="center"/>
                    <w:rPr>
                      <w:szCs w:val="21"/>
                    </w:rPr>
                  </w:pPr>
                </w:p>
              </w:tc>
              <w:tc>
                <w:tcPr>
                  <w:tcW w:w="1704" w:type="dxa"/>
                  <w:vMerge w:val="continue"/>
                  <w:vAlign w:val="center"/>
                </w:tcPr>
                <w:p>
                  <w:pPr>
                    <w:snapToGrid w:val="0"/>
                    <w:jc w:val="center"/>
                    <w:rPr>
                      <w:szCs w:val="21"/>
                    </w:rPr>
                  </w:pPr>
                </w:p>
              </w:tc>
              <w:tc>
                <w:tcPr>
                  <w:tcW w:w="1704" w:type="dxa"/>
                  <w:vAlign w:val="center"/>
                </w:tcPr>
                <w:p>
                  <w:pPr>
                    <w:snapToGrid w:val="0"/>
                    <w:jc w:val="center"/>
                    <w:rPr>
                      <w:szCs w:val="21"/>
                    </w:rPr>
                  </w:pPr>
                  <w:r>
                    <w:rPr>
                      <w:szCs w:val="21"/>
                    </w:rPr>
                    <w:t>夜间dB（A）</w:t>
                  </w:r>
                </w:p>
              </w:tc>
              <w:tc>
                <w:tcPr>
                  <w:tcW w:w="1705" w:type="dxa"/>
                  <w:vAlign w:val="center"/>
                </w:tcPr>
                <w:p>
                  <w:pPr>
                    <w:snapToGrid w:val="0"/>
                    <w:jc w:val="center"/>
                    <w:rPr>
                      <w:szCs w:val="21"/>
                    </w:rPr>
                  </w:pPr>
                  <w:r>
                    <w:rPr>
                      <w:rFonts w:hint="eastAsia"/>
                      <w:szCs w:val="21"/>
                    </w:rPr>
                    <w:t>44.1</w:t>
                  </w:r>
                </w:p>
              </w:tc>
              <w:tc>
                <w:tcPr>
                  <w:tcW w:w="1705" w:type="dxa"/>
                  <w:vAlign w:val="center"/>
                </w:tcPr>
                <w:p>
                  <w:pPr>
                    <w:snapToGrid w:val="0"/>
                    <w:jc w:val="center"/>
                    <w:rPr>
                      <w:szCs w:val="21"/>
                    </w:rPr>
                  </w:pPr>
                  <w:r>
                    <w:rPr>
                      <w:rFonts w:hint="eastAsia"/>
                      <w:szCs w:val="21"/>
                    </w:rPr>
                    <w:t>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vAlign w:val="center"/>
                </w:tcPr>
                <w:p>
                  <w:pPr>
                    <w:snapToGrid w:val="0"/>
                    <w:jc w:val="center"/>
                    <w:rPr>
                      <w:szCs w:val="21"/>
                    </w:rPr>
                  </w:pPr>
                  <w:r>
                    <w:rPr>
                      <w:szCs w:val="21"/>
                    </w:rPr>
                    <w:t>4#</w:t>
                  </w:r>
                </w:p>
              </w:tc>
              <w:tc>
                <w:tcPr>
                  <w:tcW w:w="1704" w:type="dxa"/>
                  <w:vMerge w:val="restart"/>
                  <w:vAlign w:val="center"/>
                </w:tcPr>
                <w:p>
                  <w:pPr>
                    <w:snapToGrid w:val="0"/>
                    <w:jc w:val="center"/>
                    <w:rPr>
                      <w:szCs w:val="21"/>
                    </w:rPr>
                  </w:pPr>
                  <w:r>
                    <w:rPr>
                      <w:szCs w:val="21"/>
                    </w:rPr>
                    <w:t>北厂界外1米</w:t>
                  </w:r>
                </w:p>
              </w:tc>
              <w:tc>
                <w:tcPr>
                  <w:tcW w:w="1704" w:type="dxa"/>
                  <w:vAlign w:val="center"/>
                </w:tcPr>
                <w:p>
                  <w:pPr>
                    <w:snapToGrid w:val="0"/>
                    <w:jc w:val="center"/>
                    <w:rPr>
                      <w:szCs w:val="21"/>
                    </w:rPr>
                  </w:pPr>
                  <w:r>
                    <w:rPr>
                      <w:szCs w:val="21"/>
                    </w:rPr>
                    <w:t>昼间dB（A）</w:t>
                  </w:r>
                </w:p>
              </w:tc>
              <w:tc>
                <w:tcPr>
                  <w:tcW w:w="1705" w:type="dxa"/>
                  <w:vAlign w:val="center"/>
                </w:tcPr>
                <w:p>
                  <w:pPr>
                    <w:snapToGrid w:val="0"/>
                    <w:jc w:val="center"/>
                    <w:rPr>
                      <w:szCs w:val="21"/>
                    </w:rPr>
                  </w:pPr>
                  <w:r>
                    <w:rPr>
                      <w:rFonts w:hint="eastAsia"/>
                      <w:szCs w:val="21"/>
                    </w:rPr>
                    <w:t>53.8</w:t>
                  </w:r>
                </w:p>
              </w:tc>
              <w:tc>
                <w:tcPr>
                  <w:tcW w:w="1705" w:type="dxa"/>
                  <w:vAlign w:val="center"/>
                </w:tcPr>
                <w:p>
                  <w:pPr>
                    <w:snapToGrid w:val="0"/>
                    <w:jc w:val="center"/>
                    <w:rPr>
                      <w:szCs w:val="21"/>
                    </w:rPr>
                  </w:pPr>
                  <w:r>
                    <w:rPr>
                      <w:rFonts w:hint="eastAsia"/>
                      <w:szCs w:val="21"/>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vAlign w:val="center"/>
                </w:tcPr>
                <w:p>
                  <w:pPr>
                    <w:snapToGrid w:val="0"/>
                    <w:jc w:val="center"/>
                    <w:rPr>
                      <w:szCs w:val="21"/>
                    </w:rPr>
                  </w:pPr>
                </w:p>
              </w:tc>
              <w:tc>
                <w:tcPr>
                  <w:tcW w:w="1704" w:type="dxa"/>
                  <w:vMerge w:val="continue"/>
                  <w:vAlign w:val="center"/>
                </w:tcPr>
                <w:p>
                  <w:pPr>
                    <w:snapToGrid w:val="0"/>
                    <w:jc w:val="center"/>
                    <w:rPr>
                      <w:szCs w:val="21"/>
                    </w:rPr>
                  </w:pPr>
                </w:p>
              </w:tc>
              <w:tc>
                <w:tcPr>
                  <w:tcW w:w="1704" w:type="dxa"/>
                  <w:vAlign w:val="center"/>
                </w:tcPr>
                <w:p>
                  <w:pPr>
                    <w:snapToGrid w:val="0"/>
                    <w:jc w:val="center"/>
                    <w:rPr>
                      <w:szCs w:val="21"/>
                    </w:rPr>
                  </w:pPr>
                  <w:r>
                    <w:rPr>
                      <w:szCs w:val="21"/>
                    </w:rPr>
                    <w:t>夜间dB（A）</w:t>
                  </w:r>
                </w:p>
              </w:tc>
              <w:tc>
                <w:tcPr>
                  <w:tcW w:w="1705" w:type="dxa"/>
                  <w:vAlign w:val="center"/>
                </w:tcPr>
                <w:p>
                  <w:pPr>
                    <w:snapToGrid w:val="0"/>
                    <w:jc w:val="center"/>
                    <w:rPr>
                      <w:szCs w:val="21"/>
                    </w:rPr>
                  </w:pPr>
                  <w:r>
                    <w:rPr>
                      <w:rFonts w:hint="eastAsia"/>
                      <w:szCs w:val="21"/>
                    </w:rPr>
                    <w:t>44.0</w:t>
                  </w:r>
                </w:p>
              </w:tc>
              <w:tc>
                <w:tcPr>
                  <w:tcW w:w="1705" w:type="dxa"/>
                  <w:vAlign w:val="center"/>
                </w:tcPr>
                <w:p>
                  <w:pPr>
                    <w:snapToGrid w:val="0"/>
                    <w:jc w:val="center"/>
                    <w:rPr>
                      <w:szCs w:val="21"/>
                    </w:rPr>
                  </w:pPr>
                  <w:r>
                    <w:rPr>
                      <w:rFonts w:hint="eastAsia"/>
                      <w:szCs w:val="21"/>
                    </w:rPr>
                    <w:t>43.7</w:t>
                  </w:r>
                </w:p>
              </w:tc>
            </w:tr>
          </w:tbl>
          <w:p>
            <w:pPr>
              <w:spacing w:line="480" w:lineRule="exact"/>
              <w:ind w:firstLine="480" w:firstLineChars="200"/>
              <w:rPr>
                <w:rFonts w:hAnsi="宋体"/>
                <w:sz w:val="24"/>
                <w:szCs w:val="24"/>
              </w:rPr>
            </w:pPr>
            <w:r>
              <w:rPr>
                <w:sz w:val="24"/>
              </w:rPr>
              <w:t>经现状监测，项目区</w:t>
            </w:r>
            <w:r>
              <w:rPr>
                <w:rFonts w:hint="eastAsia"/>
                <w:sz w:val="24"/>
              </w:rPr>
              <w:t>区域</w:t>
            </w:r>
            <w:r>
              <w:rPr>
                <w:sz w:val="24"/>
              </w:rPr>
              <w:t>声环境质量均满足《声环境质量标准》（GB3096－2008）中</w:t>
            </w:r>
            <w:r>
              <w:rPr>
                <w:rFonts w:hint="eastAsia"/>
                <w:sz w:val="24"/>
              </w:rPr>
              <w:t>3</w:t>
            </w:r>
            <w:r>
              <w:rPr>
                <w:sz w:val="24"/>
              </w:rPr>
              <w:t>类标准。</w:t>
            </w:r>
          </w:p>
          <w:p>
            <w:pPr>
              <w:spacing w:line="480" w:lineRule="exact"/>
              <w:ind w:firstLine="422" w:firstLineChars="200"/>
              <w:rPr>
                <w:b/>
                <w:szCs w:val="21"/>
              </w:rPr>
            </w:pPr>
          </w:p>
          <w:p>
            <w:pPr>
              <w:spacing w:line="480" w:lineRule="exact"/>
              <w:ind w:firstLine="422" w:firstLineChars="200"/>
              <w:rPr>
                <w:b/>
                <w:szCs w:val="21"/>
              </w:rPr>
            </w:pPr>
          </w:p>
          <w:p>
            <w:pPr>
              <w:spacing w:line="480" w:lineRule="exact"/>
              <w:ind w:firstLine="422" w:firstLineChars="200"/>
              <w:rPr>
                <w:b/>
                <w:szCs w:val="21"/>
              </w:rPr>
            </w:pPr>
          </w:p>
          <w:p>
            <w:pPr>
              <w:spacing w:line="480" w:lineRule="exact"/>
              <w:ind w:firstLine="422" w:firstLineChars="200"/>
              <w:rPr>
                <w:b/>
                <w:szCs w:val="21"/>
              </w:rPr>
            </w:pPr>
          </w:p>
          <w:p>
            <w:pPr>
              <w:spacing w:line="480" w:lineRule="exact"/>
              <w:ind w:firstLine="422" w:firstLineChars="200"/>
              <w:rPr>
                <w:b/>
                <w:szCs w:val="21"/>
              </w:rPr>
            </w:pPr>
          </w:p>
          <w:p>
            <w:pPr>
              <w:spacing w:line="480" w:lineRule="exact"/>
              <w:ind w:firstLine="422" w:firstLineChars="200"/>
              <w:rPr>
                <w:b/>
                <w:szCs w:val="21"/>
              </w:rPr>
            </w:pPr>
          </w:p>
          <w:p>
            <w:pPr>
              <w:spacing w:line="480" w:lineRule="exact"/>
              <w:ind w:firstLine="422" w:firstLineChars="200"/>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2" w:hRule="atLeast"/>
        </w:trPr>
        <w:tc>
          <w:tcPr>
            <w:tcW w:w="9307" w:type="dxa"/>
          </w:tcPr>
          <w:p>
            <w:pPr>
              <w:spacing w:line="480" w:lineRule="exact"/>
              <w:rPr>
                <w:b/>
                <w:bCs/>
                <w:sz w:val="28"/>
              </w:rPr>
            </w:pPr>
            <w:r>
              <w:rPr>
                <w:b/>
                <w:sz w:val="28"/>
                <w:szCs w:val="28"/>
              </w:rPr>
              <w:t>主要环境保护目标</w:t>
            </w:r>
            <w:r>
              <w:rPr>
                <w:b/>
                <w:bCs/>
                <w:sz w:val="28"/>
                <w:szCs w:val="28"/>
              </w:rPr>
              <w:t>（列出名单及保护级别）</w:t>
            </w:r>
            <w:r>
              <w:rPr>
                <w:b/>
                <w:bCs/>
                <w:sz w:val="28"/>
              </w:rPr>
              <w:t>：</w:t>
            </w:r>
          </w:p>
          <w:p>
            <w:pPr>
              <w:pStyle w:val="13"/>
            </w:pPr>
            <w:r>
              <w:rPr>
                <w:rFonts w:hint="eastAsia"/>
                <w:bCs/>
              </w:rPr>
              <w:t>根据现场踏勘结果，项目评价范围内</w:t>
            </w:r>
            <w:r>
              <w:rPr>
                <w:rFonts w:hint="eastAsia"/>
              </w:rPr>
              <w:t>无自然保护区、风景名胜区、饮用水源保护区和文物古迹等需要特殊保护的环境敏感对象。保护目标为总体上不因本项目的实施而改变区域环境现有功能，具体环境保护目标如下:</w:t>
            </w:r>
          </w:p>
          <w:p>
            <w:pPr>
              <w:spacing w:line="360" w:lineRule="auto"/>
              <w:ind w:firstLine="495"/>
              <w:rPr>
                <w:sz w:val="24"/>
              </w:rPr>
            </w:pPr>
            <w:r>
              <w:rPr>
                <w:sz w:val="24"/>
              </w:rPr>
              <w:t>1</w:t>
            </w:r>
            <w:r>
              <w:rPr>
                <w:rFonts w:hint="eastAsia"/>
                <w:sz w:val="24"/>
              </w:rPr>
              <w:t>、</w:t>
            </w:r>
            <w:r>
              <w:rPr>
                <w:sz w:val="24"/>
              </w:rPr>
              <w:t>保护项目周围空气环境达到《环境空气质量标准》</w:t>
            </w:r>
            <w:r>
              <w:rPr>
                <w:rFonts w:hint="eastAsia"/>
                <w:sz w:val="24"/>
              </w:rPr>
              <w:t>（</w:t>
            </w:r>
            <w:r>
              <w:rPr>
                <w:sz w:val="24"/>
              </w:rPr>
              <w:t>GB3095-</w:t>
            </w:r>
            <w:r>
              <w:rPr>
                <w:rFonts w:hint="eastAsia"/>
                <w:sz w:val="24"/>
              </w:rPr>
              <w:t>2012）中</w:t>
            </w:r>
            <w:r>
              <w:rPr>
                <w:sz w:val="24"/>
              </w:rPr>
              <w:t>二级标准；</w:t>
            </w:r>
          </w:p>
          <w:p>
            <w:pPr>
              <w:spacing w:line="360" w:lineRule="auto"/>
              <w:ind w:firstLine="495"/>
              <w:rPr>
                <w:sz w:val="24"/>
              </w:rPr>
            </w:pPr>
            <w:r>
              <w:rPr>
                <w:sz w:val="24"/>
              </w:rPr>
              <w:t>2</w:t>
            </w:r>
            <w:r>
              <w:rPr>
                <w:rFonts w:hint="eastAsia"/>
                <w:sz w:val="24"/>
              </w:rPr>
              <w:t>、</w:t>
            </w:r>
            <w:r>
              <w:rPr>
                <w:sz w:val="24"/>
              </w:rPr>
              <w:t>保护地表水体</w:t>
            </w:r>
            <w:r>
              <w:rPr>
                <w:rFonts w:hint="eastAsia"/>
                <w:sz w:val="24"/>
              </w:rPr>
              <w:t>淮河</w:t>
            </w:r>
            <w:r>
              <w:rPr>
                <w:sz w:val="24"/>
              </w:rPr>
              <w:t>评价段水体现有功能不被降低；</w:t>
            </w:r>
          </w:p>
          <w:p>
            <w:pPr>
              <w:spacing w:line="360" w:lineRule="auto"/>
              <w:ind w:firstLine="495"/>
              <w:rPr>
                <w:sz w:val="24"/>
              </w:rPr>
            </w:pPr>
            <w:r>
              <w:rPr>
                <w:sz w:val="24"/>
              </w:rPr>
              <w:t>3</w:t>
            </w:r>
            <w:r>
              <w:rPr>
                <w:rFonts w:hint="eastAsia"/>
                <w:sz w:val="24"/>
              </w:rPr>
              <w:t>、</w:t>
            </w:r>
            <w:r>
              <w:rPr>
                <w:sz w:val="24"/>
              </w:rPr>
              <w:t>保护项目周围声环境质量不被降低</w:t>
            </w:r>
            <w:r>
              <w:rPr>
                <w:rFonts w:hint="eastAsia"/>
                <w:sz w:val="24"/>
              </w:rPr>
              <w:t>。</w:t>
            </w:r>
          </w:p>
          <w:p>
            <w:pPr>
              <w:jc w:val="center"/>
              <w:rPr>
                <w:b/>
                <w:szCs w:val="21"/>
              </w:rPr>
            </w:pPr>
            <w:r>
              <w:rPr>
                <w:rFonts w:hint="eastAsia"/>
                <w:b/>
                <w:szCs w:val="21"/>
              </w:rPr>
              <w:t>表9大气环境环境保护目标一览表</w:t>
            </w:r>
          </w:p>
          <w:tbl>
            <w:tblPr>
              <w:tblStyle w:val="30"/>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734"/>
              <w:gridCol w:w="844"/>
              <w:gridCol w:w="842"/>
              <w:gridCol w:w="703"/>
              <w:gridCol w:w="1262"/>
              <w:gridCol w:w="1542"/>
              <w:gridCol w:w="937"/>
              <w:gridCol w:w="12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blHeader/>
                <w:jc w:val="center"/>
              </w:trPr>
              <w:tc>
                <w:tcPr>
                  <w:tcW w:w="1734" w:type="dxa"/>
                  <w:vMerge w:val="restart"/>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名称</w:t>
                  </w:r>
                </w:p>
              </w:tc>
              <w:tc>
                <w:tcPr>
                  <w:tcW w:w="1686" w:type="dxa"/>
                  <w:gridSpan w:val="2"/>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坐标/m</w:t>
                  </w:r>
                </w:p>
              </w:tc>
              <w:tc>
                <w:tcPr>
                  <w:tcW w:w="703" w:type="dxa"/>
                  <w:vMerge w:val="restart"/>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保护</w:t>
                  </w:r>
                </w:p>
                <w:p>
                  <w:pPr>
                    <w:snapToGrid w:val="0"/>
                    <w:jc w:val="center"/>
                    <w:rPr>
                      <w:szCs w:val="21"/>
                    </w:rPr>
                  </w:pPr>
                  <w:r>
                    <w:rPr>
                      <w:rFonts w:hint="eastAsia"/>
                      <w:szCs w:val="21"/>
                    </w:rPr>
                    <w:t>对象</w:t>
                  </w:r>
                </w:p>
              </w:tc>
              <w:tc>
                <w:tcPr>
                  <w:tcW w:w="1262" w:type="dxa"/>
                  <w:vMerge w:val="restart"/>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保护</w:t>
                  </w:r>
                </w:p>
                <w:p>
                  <w:pPr>
                    <w:snapToGrid w:val="0"/>
                    <w:jc w:val="center"/>
                    <w:rPr>
                      <w:szCs w:val="21"/>
                    </w:rPr>
                  </w:pPr>
                  <w:r>
                    <w:rPr>
                      <w:rFonts w:hint="eastAsia"/>
                      <w:szCs w:val="21"/>
                    </w:rPr>
                    <w:t>内容</w:t>
                  </w:r>
                </w:p>
              </w:tc>
              <w:tc>
                <w:tcPr>
                  <w:tcW w:w="1542" w:type="dxa"/>
                  <w:vMerge w:val="restart"/>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环境功</w:t>
                  </w:r>
                </w:p>
                <w:p>
                  <w:pPr>
                    <w:snapToGrid w:val="0"/>
                    <w:jc w:val="center"/>
                    <w:rPr>
                      <w:szCs w:val="21"/>
                    </w:rPr>
                  </w:pPr>
                  <w:r>
                    <w:rPr>
                      <w:rFonts w:hint="eastAsia"/>
                      <w:szCs w:val="21"/>
                    </w:rPr>
                    <w:t>能区</w:t>
                  </w:r>
                </w:p>
              </w:tc>
              <w:tc>
                <w:tcPr>
                  <w:tcW w:w="937" w:type="dxa"/>
                  <w:vMerge w:val="restart"/>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相对厂</w:t>
                  </w:r>
                </w:p>
                <w:p>
                  <w:pPr>
                    <w:snapToGrid w:val="0"/>
                    <w:jc w:val="center"/>
                    <w:rPr>
                      <w:szCs w:val="21"/>
                    </w:rPr>
                  </w:pPr>
                  <w:r>
                    <w:rPr>
                      <w:rFonts w:hint="eastAsia"/>
                      <w:szCs w:val="21"/>
                    </w:rPr>
                    <w:t>址方位</w:t>
                  </w:r>
                </w:p>
              </w:tc>
              <w:tc>
                <w:tcPr>
                  <w:tcW w:w="1221" w:type="dxa"/>
                  <w:vMerge w:val="restart"/>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相对厂界</w:t>
                  </w:r>
                </w:p>
                <w:p>
                  <w:pPr>
                    <w:snapToGrid w:val="0"/>
                    <w:jc w:val="center"/>
                    <w:rPr>
                      <w:szCs w:val="21"/>
                    </w:rPr>
                  </w:pPr>
                  <w:r>
                    <w:rPr>
                      <w:rFonts w:hint="eastAsia"/>
                      <w:szCs w:val="21"/>
                    </w:rPr>
                    <w:t>距离/m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jc w:val="center"/>
              </w:trPr>
              <w:tc>
                <w:tcPr>
                  <w:tcW w:w="1734" w:type="dxa"/>
                  <w:vMerge w:val="continue"/>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p>
              </w:tc>
              <w:tc>
                <w:tcPr>
                  <w:tcW w:w="84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X</w:t>
                  </w:r>
                </w:p>
              </w:tc>
              <w:tc>
                <w:tcPr>
                  <w:tcW w:w="84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Y</w:t>
                  </w:r>
                </w:p>
              </w:tc>
              <w:tc>
                <w:tcPr>
                  <w:tcW w:w="703" w:type="dxa"/>
                  <w:vMerge w:val="continue"/>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p>
              </w:tc>
              <w:tc>
                <w:tcPr>
                  <w:tcW w:w="126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p>
              </w:tc>
              <w:tc>
                <w:tcPr>
                  <w:tcW w:w="1542" w:type="dxa"/>
                  <w:vMerge w:val="continue"/>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p>
              </w:tc>
              <w:tc>
                <w:tcPr>
                  <w:tcW w:w="93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p>
              </w:tc>
              <w:tc>
                <w:tcPr>
                  <w:tcW w:w="1221" w:type="dxa"/>
                  <w:vMerge w:val="continue"/>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jc w:val="center"/>
              </w:trPr>
              <w:tc>
                <w:tcPr>
                  <w:tcW w:w="173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九龙新村</w:t>
                  </w:r>
                </w:p>
              </w:tc>
              <w:tc>
                <w:tcPr>
                  <w:tcW w:w="84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-552</w:t>
                  </w:r>
                </w:p>
              </w:tc>
              <w:tc>
                <w:tcPr>
                  <w:tcW w:w="84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-775</w:t>
                  </w:r>
                </w:p>
              </w:tc>
              <w:tc>
                <w:tcPr>
                  <w:tcW w:w="70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居民</w:t>
                  </w:r>
                </w:p>
              </w:tc>
              <w:tc>
                <w:tcPr>
                  <w:tcW w:w="126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约560</w:t>
                  </w:r>
                  <w:r>
                    <w:rPr>
                      <w:szCs w:val="21"/>
                    </w:rPr>
                    <w:t>0</w:t>
                  </w:r>
                  <w:r>
                    <w:rPr>
                      <w:rFonts w:hint="eastAsia"/>
                      <w:szCs w:val="21"/>
                    </w:rPr>
                    <w:t>人</w:t>
                  </w:r>
                </w:p>
              </w:tc>
              <w:tc>
                <w:tcPr>
                  <w:tcW w:w="154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二类区</w:t>
                  </w:r>
                </w:p>
              </w:tc>
              <w:tc>
                <w:tcPr>
                  <w:tcW w:w="937"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SW</w:t>
                  </w:r>
                </w:p>
              </w:tc>
              <w:tc>
                <w:tcPr>
                  <w:tcW w:w="1221"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511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jc w:val="center"/>
              </w:trPr>
              <w:tc>
                <w:tcPr>
                  <w:tcW w:w="173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东菜园</w:t>
                  </w:r>
                </w:p>
              </w:tc>
              <w:tc>
                <w:tcPr>
                  <w:tcW w:w="84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255</w:t>
                  </w:r>
                </w:p>
              </w:tc>
              <w:tc>
                <w:tcPr>
                  <w:tcW w:w="84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-807</w:t>
                  </w:r>
                </w:p>
              </w:tc>
              <w:tc>
                <w:tcPr>
                  <w:tcW w:w="70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居民</w:t>
                  </w:r>
                </w:p>
              </w:tc>
              <w:tc>
                <w:tcPr>
                  <w:tcW w:w="126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约13</w:t>
                  </w:r>
                  <w:r>
                    <w:rPr>
                      <w:szCs w:val="21"/>
                    </w:rPr>
                    <w:t>0</w:t>
                  </w:r>
                  <w:r>
                    <w:rPr>
                      <w:rFonts w:hint="eastAsia"/>
                      <w:szCs w:val="21"/>
                    </w:rPr>
                    <w:t>人</w:t>
                  </w:r>
                </w:p>
              </w:tc>
              <w:tc>
                <w:tcPr>
                  <w:tcW w:w="154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二类区</w:t>
                  </w:r>
                </w:p>
              </w:tc>
              <w:tc>
                <w:tcPr>
                  <w:tcW w:w="937"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SE</w:t>
                  </w:r>
                </w:p>
              </w:tc>
              <w:tc>
                <w:tcPr>
                  <w:tcW w:w="1221"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748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jc w:val="center"/>
              </w:trPr>
              <w:tc>
                <w:tcPr>
                  <w:tcW w:w="173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夏农村</w:t>
                  </w:r>
                </w:p>
              </w:tc>
              <w:tc>
                <w:tcPr>
                  <w:tcW w:w="84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163</w:t>
                  </w:r>
                </w:p>
              </w:tc>
              <w:tc>
                <w:tcPr>
                  <w:tcW w:w="84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-996</w:t>
                  </w:r>
                </w:p>
              </w:tc>
              <w:tc>
                <w:tcPr>
                  <w:tcW w:w="70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居民</w:t>
                  </w:r>
                </w:p>
              </w:tc>
              <w:tc>
                <w:tcPr>
                  <w:tcW w:w="126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约15</w:t>
                  </w:r>
                  <w:r>
                    <w:rPr>
                      <w:szCs w:val="21"/>
                    </w:rPr>
                    <w:t>0</w:t>
                  </w:r>
                  <w:r>
                    <w:rPr>
                      <w:rFonts w:hint="eastAsia"/>
                      <w:szCs w:val="21"/>
                    </w:rPr>
                    <w:t>人</w:t>
                  </w:r>
                </w:p>
              </w:tc>
              <w:tc>
                <w:tcPr>
                  <w:tcW w:w="154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二类区</w:t>
                  </w:r>
                </w:p>
              </w:tc>
              <w:tc>
                <w:tcPr>
                  <w:tcW w:w="937"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SE</w:t>
                  </w:r>
                </w:p>
              </w:tc>
              <w:tc>
                <w:tcPr>
                  <w:tcW w:w="1221"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959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jc w:val="center"/>
              </w:trPr>
              <w:tc>
                <w:tcPr>
                  <w:tcW w:w="173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吴大郢</w:t>
                  </w:r>
                </w:p>
              </w:tc>
              <w:tc>
                <w:tcPr>
                  <w:tcW w:w="84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867</w:t>
                  </w:r>
                </w:p>
              </w:tc>
              <w:tc>
                <w:tcPr>
                  <w:tcW w:w="84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347</w:t>
                  </w:r>
                </w:p>
              </w:tc>
              <w:tc>
                <w:tcPr>
                  <w:tcW w:w="70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居民</w:t>
                  </w:r>
                </w:p>
              </w:tc>
              <w:tc>
                <w:tcPr>
                  <w:tcW w:w="126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约25</w:t>
                  </w:r>
                  <w:r>
                    <w:rPr>
                      <w:szCs w:val="21"/>
                    </w:rPr>
                    <w:t>0</w:t>
                  </w:r>
                  <w:r>
                    <w:rPr>
                      <w:rFonts w:hint="eastAsia"/>
                      <w:szCs w:val="21"/>
                    </w:rPr>
                    <w:t>人</w:t>
                  </w:r>
                </w:p>
              </w:tc>
              <w:tc>
                <w:tcPr>
                  <w:tcW w:w="154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二类区</w:t>
                  </w:r>
                </w:p>
              </w:tc>
              <w:tc>
                <w:tcPr>
                  <w:tcW w:w="937"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NE</w:t>
                  </w:r>
                </w:p>
              </w:tc>
              <w:tc>
                <w:tcPr>
                  <w:tcW w:w="1221"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int="eastAsia"/>
                      <w:szCs w:val="21"/>
                    </w:rPr>
                    <w:t>793</w:t>
                  </w:r>
                </w:p>
              </w:tc>
            </w:tr>
          </w:tbl>
          <w:p>
            <w:pPr>
              <w:jc w:val="left"/>
              <w:rPr>
                <w:b/>
                <w:szCs w:val="21"/>
              </w:rPr>
            </w:pPr>
            <w:r>
              <w:rPr>
                <w:b/>
                <w:szCs w:val="21"/>
              </w:rPr>
              <w:t>注：厂区中心为原点，东西向为X坐标、南北向为Y坐标，敏感保护目标坐标为距离项目厂界最近一点，其中环境空气保护目标坐标取距离厂址最近点位位置。</w:t>
            </w:r>
          </w:p>
          <w:p>
            <w:pPr>
              <w:jc w:val="center"/>
              <w:rPr>
                <w:b/>
                <w:szCs w:val="21"/>
              </w:rPr>
            </w:pPr>
            <w:r>
              <w:rPr>
                <w:rFonts w:hint="eastAsia"/>
                <w:b/>
                <w:szCs w:val="21"/>
              </w:rPr>
              <w:t>表10声环境和地表水环境环境保护目标一览表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59"/>
              <w:gridCol w:w="723"/>
              <w:gridCol w:w="1223"/>
              <w:gridCol w:w="1141"/>
              <w:gridCol w:w="3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Cs w:val="21"/>
                    </w:rPr>
                  </w:pPr>
                  <w:r>
                    <w:rPr>
                      <w:szCs w:val="21"/>
                    </w:rPr>
                    <w:t>环境要素</w:t>
                  </w:r>
                </w:p>
              </w:tc>
              <w:tc>
                <w:tcPr>
                  <w:tcW w:w="1959" w:type="dxa"/>
                  <w:vAlign w:val="center"/>
                </w:tcPr>
                <w:p>
                  <w:pPr>
                    <w:jc w:val="center"/>
                    <w:rPr>
                      <w:szCs w:val="21"/>
                    </w:rPr>
                  </w:pPr>
                  <w:r>
                    <w:rPr>
                      <w:szCs w:val="21"/>
                    </w:rPr>
                    <w:t>环境保护目标名称</w:t>
                  </w:r>
                </w:p>
              </w:tc>
              <w:tc>
                <w:tcPr>
                  <w:tcW w:w="723" w:type="dxa"/>
                  <w:vAlign w:val="center"/>
                </w:tcPr>
                <w:p>
                  <w:pPr>
                    <w:jc w:val="center"/>
                    <w:rPr>
                      <w:szCs w:val="21"/>
                    </w:rPr>
                  </w:pPr>
                  <w:r>
                    <w:rPr>
                      <w:szCs w:val="21"/>
                    </w:rPr>
                    <w:t>方位</w:t>
                  </w:r>
                </w:p>
              </w:tc>
              <w:tc>
                <w:tcPr>
                  <w:tcW w:w="1223" w:type="dxa"/>
                  <w:vAlign w:val="center"/>
                </w:tcPr>
                <w:p>
                  <w:pPr>
                    <w:jc w:val="center"/>
                    <w:rPr>
                      <w:szCs w:val="21"/>
                    </w:rPr>
                  </w:pPr>
                  <w:r>
                    <w:rPr>
                      <w:szCs w:val="21"/>
                    </w:rPr>
                    <w:t>距离（m）</w:t>
                  </w:r>
                </w:p>
              </w:tc>
              <w:tc>
                <w:tcPr>
                  <w:tcW w:w="1141" w:type="dxa"/>
                  <w:vAlign w:val="center"/>
                </w:tcPr>
                <w:p>
                  <w:pPr>
                    <w:jc w:val="center"/>
                    <w:rPr>
                      <w:szCs w:val="21"/>
                    </w:rPr>
                  </w:pPr>
                  <w:r>
                    <w:rPr>
                      <w:szCs w:val="21"/>
                    </w:rPr>
                    <w:t>规模</w:t>
                  </w:r>
                </w:p>
              </w:tc>
              <w:tc>
                <w:tcPr>
                  <w:tcW w:w="3170" w:type="dxa"/>
                  <w:vAlign w:val="center"/>
                </w:tcPr>
                <w:p>
                  <w:pPr>
                    <w:jc w:val="center"/>
                    <w:rPr>
                      <w:szCs w:val="21"/>
                    </w:rPr>
                  </w:pPr>
                  <w:r>
                    <w:rPr>
                      <w:szCs w:val="21"/>
                    </w:rPr>
                    <w:t>环境功能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jc w:val="center"/>
                    <w:rPr>
                      <w:szCs w:val="21"/>
                    </w:rPr>
                  </w:pPr>
                  <w:r>
                    <w:rPr>
                      <w:szCs w:val="21"/>
                    </w:rPr>
                    <w:t>地表水环境</w:t>
                  </w:r>
                </w:p>
              </w:tc>
              <w:tc>
                <w:tcPr>
                  <w:tcW w:w="1959" w:type="dxa"/>
                  <w:vAlign w:val="center"/>
                </w:tcPr>
                <w:p>
                  <w:pPr>
                    <w:jc w:val="center"/>
                    <w:rPr>
                      <w:szCs w:val="21"/>
                    </w:rPr>
                  </w:pPr>
                  <w:r>
                    <w:rPr>
                      <w:rFonts w:hint="eastAsia"/>
                      <w:szCs w:val="21"/>
                    </w:rPr>
                    <w:t>淮河</w:t>
                  </w:r>
                </w:p>
              </w:tc>
              <w:tc>
                <w:tcPr>
                  <w:tcW w:w="723" w:type="dxa"/>
                  <w:vAlign w:val="center"/>
                </w:tcPr>
                <w:p>
                  <w:pPr>
                    <w:jc w:val="center"/>
                    <w:rPr>
                      <w:szCs w:val="21"/>
                    </w:rPr>
                  </w:pPr>
                  <w:r>
                    <w:rPr>
                      <w:rFonts w:hint="eastAsia"/>
                      <w:szCs w:val="21"/>
                    </w:rPr>
                    <w:t>N</w:t>
                  </w:r>
                </w:p>
              </w:tc>
              <w:tc>
                <w:tcPr>
                  <w:tcW w:w="1223" w:type="dxa"/>
                  <w:vAlign w:val="center"/>
                </w:tcPr>
                <w:p>
                  <w:pPr>
                    <w:jc w:val="center"/>
                    <w:rPr>
                      <w:szCs w:val="21"/>
                    </w:rPr>
                  </w:pPr>
                  <w:r>
                    <w:rPr>
                      <w:szCs w:val="21"/>
                    </w:rPr>
                    <w:t>≥</w:t>
                  </w:r>
                  <w:r>
                    <w:rPr>
                      <w:rFonts w:hint="eastAsia"/>
                      <w:szCs w:val="21"/>
                    </w:rPr>
                    <w:t>9294</w:t>
                  </w:r>
                </w:p>
              </w:tc>
              <w:tc>
                <w:tcPr>
                  <w:tcW w:w="1141" w:type="dxa"/>
                  <w:vAlign w:val="center"/>
                </w:tcPr>
                <w:p>
                  <w:pPr>
                    <w:jc w:val="center"/>
                    <w:rPr>
                      <w:szCs w:val="21"/>
                    </w:rPr>
                  </w:pPr>
                  <w:r>
                    <w:rPr>
                      <w:rFonts w:hint="eastAsia"/>
                      <w:szCs w:val="21"/>
                    </w:rPr>
                    <w:t>特大</w:t>
                  </w:r>
                  <w:r>
                    <w:rPr>
                      <w:szCs w:val="21"/>
                    </w:rPr>
                    <w:t>型河流</w:t>
                  </w:r>
                </w:p>
              </w:tc>
              <w:tc>
                <w:tcPr>
                  <w:tcW w:w="3170" w:type="dxa"/>
                  <w:vMerge w:val="restart"/>
                  <w:vAlign w:val="center"/>
                </w:tcPr>
                <w:p>
                  <w:pPr>
                    <w:jc w:val="center"/>
                    <w:rPr>
                      <w:szCs w:val="21"/>
                    </w:rPr>
                  </w:pPr>
                  <w:r>
                    <w:rPr>
                      <w:szCs w:val="21"/>
                    </w:rPr>
                    <w:t>《地表水环境质量标准》（GB3838</w:t>
                  </w:r>
                  <w:r>
                    <w:rPr>
                      <w:szCs w:val="21"/>
                    </w:rPr>
                    <w:sym w:font="Symbol" w:char="F02D"/>
                  </w:r>
                  <w:r>
                    <w:rPr>
                      <w:szCs w:val="21"/>
                    </w:rPr>
                    <w:t>2002）中的</w:t>
                  </w:r>
                  <w:r>
                    <w:rPr>
                      <w:rFonts w:hint="eastAsia"/>
                      <w:bCs/>
                      <w:szCs w:val="21"/>
                    </w:rPr>
                    <w:t>Ⅲ</w:t>
                  </w:r>
                  <w:r>
                    <w:rPr>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jc w:val="center"/>
                    <w:rPr>
                      <w:szCs w:val="21"/>
                    </w:rPr>
                  </w:pPr>
                </w:p>
              </w:tc>
              <w:tc>
                <w:tcPr>
                  <w:tcW w:w="1959" w:type="dxa"/>
                  <w:vAlign w:val="center"/>
                </w:tcPr>
                <w:p>
                  <w:pPr>
                    <w:jc w:val="center"/>
                    <w:rPr>
                      <w:szCs w:val="21"/>
                    </w:rPr>
                  </w:pPr>
                  <w:r>
                    <w:rPr>
                      <w:rFonts w:hint="eastAsia"/>
                      <w:szCs w:val="21"/>
                    </w:rPr>
                    <w:t>高塘湖</w:t>
                  </w:r>
                </w:p>
              </w:tc>
              <w:tc>
                <w:tcPr>
                  <w:tcW w:w="723" w:type="dxa"/>
                  <w:vAlign w:val="center"/>
                </w:tcPr>
                <w:p>
                  <w:pPr>
                    <w:jc w:val="center"/>
                    <w:rPr>
                      <w:szCs w:val="21"/>
                    </w:rPr>
                  </w:pPr>
                  <w:r>
                    <w:rPr>
                      <w:rFonts w:hint="eastAsia"/>
                      <w:szCs w:val="21"/>
                    </w:rPr>
                    <w:t>E</w:t>
                  </w:r>
                </w:p>
              </w:tc>
              <w:tc>
                <w:tcPr>
                  <w:tcW w:w="1223" w:type="dxa"/>
                  <w:vAlign w:val="center"/>
                </w:tcPr>
                <w:p>
                  <w:pPr>
                    <w:jc w:val="center"/>
                    <w:rPr>
                      <w:szCs w:val="21"/>
                    </w:rPr>
                  </w:pPr>
                  <w:r>
                    <w:rPr>
                      <w:szCs w:val="21"/>
                    </w:rPr>
                    <w:t>≥</w:t>
                  </w:r>
                  <w:r>
                    <w:rPr>
                      <w:rFonts w:hint="eastAsia"/>
                      <w:szCs w:val="21"/>
                    </w:rPr>
                    <w:t>3360</w:t>
                  </w:r>
                </w:p>
              </w:tc>
              <w:tc>
                <w:tcPr>
                  <w:tcW w:w="1141" w:type="dxa"/>
                  <w:vAlign w:val="center"/>
                </w:tcPr>
                <w:p>
                  <w:pPr>
                    <w:jc w:val="center"/>
                    <w:rPr>
                      <w:szCs w:val="21"/>
                    </w:rPr>
                  </w:pPr>
                  <w:r>
                    <w:rPr>
                      <w:rFonts w:hint="eastAsia"/>
                      <w:szCs w:val="21"/>
                    </w:rPr>
                    <w:t>大型湖泊</w:t>
                  </w:r>
                </w:p>
              </w:tc>
              <w:tc>
                <w:tcPr>
                  <w:tcW w:w="3170"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jc w:val="center"/>
                    <w:rPr>
                      <w:szCs w:val="21"/>
                    </w:rPr>
                  </w:pPr>
                  <w:r>
                    <w:rPr>
                      <w:rFonts w:hint="eastAsia"/>
                      <w:szCs w:val="21"/>
                    </w:rPr>
                    <w:t>声环境</w:t>
                  </w:r>
                </w:p>
              </w:tc>
              <w:tc>
                <w:tcPr>
                  <w:tcW w:w="1959" w:type="dxa"/>
                  <w:vAlign w:val="center"/>
                </w:tcPr>
                <w:p>
                  <w:pPr>
                    <w:jc w:val="center"/>
                    <w:rPr>
                      <w:szCs w:val="21"/>
                    </w:rPr>
                  </w:pPr>
                  <w:r>
                    <w:rPr>
                      <w:rFonts w:hint="eastAsia"/>
                      <w:szCs w:val="21"/>
                    </w:rPr>
                    <w:t>项目区</w:t>
                  </w:r>
                </w:p>
              </w:tc>
              <w:tc>
                <w:tcPr>
                  <w:tcW w:w="723" w:type="dxa"/>
                  <w:vAlign w:val="center"/>
                </w:tcPr>
                <w:p>
                  <w:pPr>
                    <w:jc w:val="center"/>
                    <w:rPr>
                      <w:szCs w:val="21"/>
                    </w:rPr>
                  </w:pPr>
                  <w:r>
                    <w:rPr>
                      <w:rFonts w:hint="eastAsia"/>
                      <w:szCs w:val="21"/>
                    </w:rPr>
                    <w:t>/</w:t>
                  </w:r>
                </w:p>
              </w:tc>
              <w:tc>
                <w:tcPr>
                  <w:tcW w:w="1223" w:type="dxa"/>
                  <w:vAlign w:val="center"/>
                </w:tcPr>
                <w:p>
                  <w:pPr>
                    <w:jc w:val="center"/>
                    <w:rPr>
                      <w:szCs w:val="21"/>
                    </w:rPr>
                  </w:pPr>
                  <w:r>
                    <w:rPr>
                      <w:rFonts w:hint="eastAsia"/>
                      <w:szCs w:val="21"/>
                    </w:rPr>
                    <w:t>/</w:t>
                  </w:r>
                </w:p>
              </w:tc>
              <w:tc>
                <w:tcPr>
                  <w:tcW w:w="1141" w:type="dxa"/>
                  <w:vAlign w:val="center"/>
                </w:tcPr>
                <w:p>
                  <w:pPr>
                    <w:jc w:val="center"/>
                    <w:rPr>
                      <w:szCs w:val="21"/>
                    </w:rPr>
                  </w:pPr>
                  <w:r>
                    <w:rPr>
                      <w:rFonts w:hint="eastAsia"/>
                      <w:szCs w:val="21"/>
                    </w:rPr>
                    <w:t>/</w:t>
                  </w:r>
                </w:p>
              </w:tc>
              <w:tc>
                <w:tcPr>
                  <w:tcW w:w="3170" w:type="dxa"/>
                  <w:vAlign w:val="center"/>
                </w:tcPr>
                <w:p>
                  <w:pPr>
                    <w:jc w:val="center"/>
                    <w:rPr>
                      <w:szCs w:val="21"/>
                    </w:rPr>
                  </w:pPr>
                  <w:r>
                    <w:rPr>
                      <w:szCs w:val="21"/>
                    </w:rPr>
                    <w:t>《声环境质量标准》（GB3096-2008）中</w:t>
                  </w:r>
                  <w:r>
                    <w:rPr>
                      <w:rFonts w:hint="eastAsia"/>
                      <w:szCs w:val="21"/>
                    </w:rPr>
                    <w:t>3</w:t>
                  </w:r>
                  <w:r>
                    <w:rPr>
                      <w:szCs w:val="21"/>
                    </w:rPr>
                    <w:t>类</w:t>
                  </w:r>
                </w:p>
              </w:tc>
            </w:tr>
          </w:tbl>
          <w:p/>
          <w:p/>
          <w:p/>
          <w:p/>
          <w:p/>
          <w:p/>
          <w:p/>
          <w:p/>
          <w:p/>
          <w:p/>
          <w:p/>
          <w:p/>
          <w:p/>
          <w:p/>
          <w:p/>
          <w:p/>
          <w:p/>
        </w:tc>
      </w:tr>
    </w:tbl>
    <w:p>
      <w:pPr>
        <w:rPr>
          <w:b/>
          <w:sz w:val="28"/>
          <w:szCs w:val="28"/>
        </w:rPr>
      </w:pPr>
      <w:r>
        <w:rPr>
          <w:b/>
          <w:sz w:val="28"/>
          <w:szCs w:val="28"/>
        </w:rPr>
        <w:t>评价适用标准</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8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65" w:hRule="atLeast"/>
        </w:trPr>
        <w:tc>
          <w:tcPr>
            <w:tcW w:w="648" w:type="dxa"/>
            <w:vAlign w:val="center"/>
          </w:tcPr>
          <w:p>
            <w:pPr>
              <w:jc w:val="center"/>
              <w:rPr>
                <w:b/>
                <w:sz w:val="28"/>
                <w:szCs w:val="28"/>
              </w:rPr>
            </w:pPr>
            <w:r>
              <w:rPr>
                <w:sz w:val="24"/>
              </w:rPr>
              <w:t>环境质量标准</w:t>
            </w:r>
          </w:p>
        </w:tc>
        <w:tc>
          <w:tcPr>
            <w:tcW w:w="8714" w:type="dxa"/>
          </w:tcPr>
          <w:p>
            <w:pPr>
              <w:adjustRightInd w:val="0"/>
              <w:snapToGrid w:val="0"/>
              <w:spacing w:before="156" w:beforeLines="50" w:line="360" w:lineRule="auto"/>
              <w:ind w:firstLine="482" w:firstLineChars="200"/>
              <w:rPr>
                <w:sz w:val="24"/>
              </w:rPr>
            </w:pPr>
            <w:r>
              <w:rPr>
                <w:b/>
                <w:bCs/>
                <w:sz w:val="24"/>
              </w:rPr>
              <w:t>1、环境空气</w:t>
            </w:r>
          </w:p>
          <w:p>
            <w:pPr>
              <w:adjustRightInd w:val="0"/>
              <w:snapToGrid w:val="0"/>
              <w:spacing w:line="360" w:lineRule="auto"/>
              <w:ind w:firstLine="464" w:firstLineChars="200"/>
              <w:rPr>
                <w:spacing w:val="-4"/>
                <w:sz w:val="24"/>
              </w:rPr>
            </w:pPr>
            <w:r>
              <w:rPr>
                <w:spacing w:val="-4"/>
                <w:sz w:val="24"/>
              </w:rPr>
              <w:t>按</w:t>
            </w:r>
            <w:r>
              <w:rPr>
                <w:rFonts w:hint="eastAsia"/>
                <w:spacing w:val="-4"/>
                <w:sz w:val="24"/>
              </w:rPr>
              <w:t>淮南市</w:t>
            </w:r>
            <w:r>
              <w:rPr>
                <w:spacing w:val="-4"/>
                <w:sz w:val="24"/>
              </w:rPr>
              <w:t>环境空气质量功能区分类，该区域属二类区，常规污染物执行</w:t>
            </w:r>
            <w:bookmarkStart w:id="1" w:name="_Hlt42801835"/>
            <w:r>
              <w:rPr>
                <w:spacing w:val="-4"/>
                <w:sz w:val="24"/>
              </w:rPr>
              <w:t>《环境空气质量标准》（GB3095-</w:t>
            </w:r>
            <w:r>
              <w:rPr>
                <w:rFonts w:hint="eastAsia"/>
                <w:spacing w:val="-4"/>
                <w:sz w:val="24"/>
              </w:rPr>
              <w:t>2012</w:t>
            </w:r>
            <w:r>
              <w:rPr>
                <w:spacing w:val="-4"/>
                <w:sz w:val="24"/>
              </w:rPr>
              <w:t>）中的</w:t>
            </w:r>
            <w:r>
              <w:rPr>
                <w:bCs/>
                <w:sz w:val="24"/>
              </w:rPr>
              <w:t>二级</w:t>
            </w:r>
            <w:r>
              <w:rPr>
                <w:spacing w:val="-4"/>
                <w:sz w:val="24"/>
              </w:rPr>
              <w:t>标准</w:t>
            </w:r>
            <w:bookmarkEnd w:id="1"/>
            <w:r>
              <w:rPr>
                <w:spacing w:val="-4"/>
                <w:sz w:val="24"/>
              </w:rPr>
              <w:t>，有关污染因子的标准限值详见表</w:t>
            </w:r>
            <w:r>
              <w:rPr>
                <w:rFonts w:hint="eastAsia"/>
                <w:spacing w:val="-4"/>
                <w:sz w:val="24"/>
              </w:rPr>
              <w:t>11</w:t>
            </w:r>
            <w:r>
              <w:rPr>
                <w:spacing w:val="-4"/>
                <w:sz w:val="24"/>
              </w:rPr>
              <w:t>。</w:t>
            </w:r>
          </w:p>
          <w:p>
            <w:pPr>
              <w:pStyle w:val="45"/>
              <w:snapToGrid w:val="0"/>
              <w:spacing w:line="240" w:lineRule="auto"/>
              <w:ind w:firstLine="0"/>
              <w:jc w:val="center"/>
              <w:rPr>
                <w:rFonts w:ascii="Times New Roman" w:hAnsi="Times New Roman"/>
                <w:b/>
                <w:kern w:val="0"/>
                <w:sz w:val="21"/>
                <w:szCs w:val="21"/>
              </w:rPr>
            </w:pPr>
            <w:r>
              <w:rPr>
                <w:rFonts w:ascii="Times New Roman" w:hAnsi="Times New Roman"/>
                <w:b/>
                <w:kern w:val="0"/>
                <w:sz w:val="21"/>
                <w:szCs w:val="21"/>
              </w:rPr>
              <w:t>表</w:t>
            </w:r>
            <w:r>
              <w:rPr>
                <w:rFonts w:hint="eastAsia" w:ascii="Times New Roman" w:hAnsi="Times New Roman"/>
                <w:b/>
                <w:kern w:val="0"/>
                <w:sz w:val="21"/>
                <w:szCs w:val="21"/>
              </w:rPr>
              <w:t>11</w:t>
            </w:r>
            <w:r>
              <w:rPr>
                <w:rFonts w:ascii="Times New Roman" w:hAnsi="Times New Roman"/>
                <w:b/>
                <w:kern w:val="0"/>
                <w:sz w:val="21"/>
                <w:szCs w:val="21"/>
              </w:rPr>
              <w:t>环境空气质量标准</w:t>
            </w:r>
          </w:p>
          <w:tbl>
            <w:tblPr>
              <w:tblStyle w:val="30"/>
              <w:tblW w:w="84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57"/>
              <w:gridCol w:w="1667"/>
              <w:gridCol w:w="1480"/>
              <w:gridCol w:w="1565"/>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Merge w:val="restart"/>
                  <w:vAlign w:val="center"/>
                </w:tcPr>
                <w:p>
                  <w:pPr>
                    <w:snapToGrid w:val="0"/>
                    <w:jc w:val="center"/>
                    <w:rPr>
                      <w:szCs w:val="21"/>
                    </w:rPr>
                  </w:pPr>
                  <w:r>
                    <w:rPr>
                      <w:rFonts w:hAnsi="宋体"/>
                      <w:szCs w:val="21"/>
                    </w:rPr>
                    <w:t>污染物</w:t>
                  </w:r>
                </w:p>
              </w:tc>
              <w:tc>
                <w:tcPr>
                  <w:tcW w:w="4712" w:type="dxa"/>
                  <w:gridSpan w:val="3"/>
                  <w:vAlign w:val="center"/>
                </w:tcPr>
                <w:p>
                  <w:pPr>
                    <w:snapToGrid w:val="0"/>
                    <w:jc w:val="center"/>
                    <w:rPr>
                      <w:szCs w:val="21"/>
                    </w:rPr>
                  </w:pPr>
                  <w:r>
                    <w:rPr>
                      <w:rFonts w:hAnsi="宋体"/>
                      <w:szCs w:val="21"/>
                    </w:rPr>
                    <w:t>各项污染物的浓度限值（</w:t>
                  </w:r>
                  <w:r>
                    <w:rPr>
                      <w:szCs w:val="21"/>
                    </w:rPr>
                    <w:t>ug/m</w:t>
                  </w:r>
                  <w:r>
                    <w:rPr>
                      <w:szCs w:val="21"/>
                      <w:vertAlign w:val="superscript"/>
                    </w:rPr>
                    <w:t>3</w:t>
                  </w:r>
                  <w:r>
                    <w:rPr>
                      <w:rFonts w:hAnsi="宋体"/>
                      <w:szCs w:val="21"/>
                    </w:rPr>
                    <w:t>）</w:t>
                  </w:r>
                </w:p>
              </w:tc>
              <w:tc>
                <w:tcPr>
                  <w:tcW w:w="2518" w:type="dxa"/>
                  <w:vMerge w:val="restart"/>
                  <w:vAlign w:val="center"/>
                </w:tcPr>
                <w:p>
                  <w:pPr>
                    <w:snapToGrid w:val="0"/>
                    <w:jc w:val="center"/>
                    <w:rPr>
                      <w:szCs w:val="21"/>
                    </w:rPr>
                  </w:pPr>
                  <w:r>
                    <w:rPr>
                      <w:rFonts w:hAnsi="宋体"/>
                      <w:szCs w:val="21"/>
                    </w:rPr>
                    <w:t>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Merge w:val="continue"/>
                  <w:vAlign w:val="center"/>
                </w:tcPr>
                <w:p>
                  <w:pPr>
                    <w:snapToGrid w:val="0"/>
                    <w:jc w:val="center"/>
                    <w:rPr>
                      <w:szCs w:val="21"/>
                    </w:rPr>
                  </w:pPr>
                </w:p>
              </w:tc>
              <w:tc>
                <w:tcPr>
                  <w:tcW w:w="1667" w:type="dxa"/>
                  <w:vAlign w:val="center"/>
                </w:tcPr>
                <w:p>
                  <w:pPr>
                    <w:snapToGrid w:val="0"/>
                    <w:jc w:val="center"/>
                    <w:rPr>
                      <w:szCs w:val="21"/>
                    </w:rPr>
                  </w:pPr>
                  <w:r>
                    <w:rPr>
                      <w:szCs w:val="21"/>
                    </w:rPr>
                    <w:t>1</w:t>
                  </w:r>
                  <w:r>
                    <w:rPr>
                      <w:rFonts w:hAnsi="宋体"/>
                      <w:szCs w:val="21"/>
                    </w:rPr>
                    <w:t>小时平均</w:t>
                  </w:r>
                </w:p>
              </w:tc>
              <w:tc>
                <w:tcPr>
                  <w:tcW w:w="1480" w:type="dxa"/>
                  <w:vAlign w:val="center"/>
                </w:tcPr>
                <w:p>
                  <w:pPr>
                    <w:snapToGrid w:val="0"/>
                    <w:jc w:val="center"/>
                    <w:rPr>
                      <w:szCs w:val="21"/>
                    </w:rPr>
                  </w:pPr>
                  <w:r>
                    <w:rPr>
                      <w:rFonts w:hint="eastAsia" w:hAnsi="宋体"/>
                      <w:szCs w:val="21"/>
                    </w:rPr>
                    <w:t>24小时</w:t>
                  </w:r>
                  <w:r>
                    <w:rPr>
                      <w:rFonts w:hAnsi="宋体"/>
                      <w:szCs w:val="21"/>
                    </w:rPr>
                    <w:t>平均</w:t>
                  </w:r>
                </w:p>
              </w:tc>
              <w:tc>
                <w:tcPr>
                  <w:tcW w:w="1565" w:type="dxa"/>
                  <w:vAlign w:val="center"/>
                </w:tcPr>
                <w:p>
                  <w:pPr>
                    <w:snapToGrid w:val="0"/>
                    <w:jc w:val="center"/>
                    <w:rPr>
                      <w:szCs w:val="21"/>
                    </w:rPr>
                  </w:pPr>
                  <w:r>
                    <w:rPr>
                      <w:rFonts w:hAnsi="宋体"/>
                      <w:szCs w:val="21"/>
                    </w:rPr>
                    <w:t>年平均</w:t>
                  </w:r>
                </w:p>
              </w:tc>
              <w:tc>
                <w:tcPr>
                  <w:tcW w:w="2518" w:type="dxa"/>
                  <w:vMerge w:val="continue"/>
                  <w:vAlign w:val="center"/>
                </w:tcPr>
                <w:p>
                  <w:pPr>
                    <w:snapToGrid w:val="0"/>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snapToGrid w:val="0"/>
                    <w:jc w:val="center"/>
                    <w:rPr>
                      <w:szCs w:val="21"/>
                    </w:rPr>
                  </w:pPr>
                  <w:r>
                    <w:rPr>
                      <w:szCs w:val="21"/>
                    </w:rPr>
                    <w:t>SO</w:t>
                  </w:r>
                  <w:r>
                    <w:rPr>
                      <w:szCs w:val="21"/>
                      <w:vertAlign w:val="subscript"/>
                    </w:rPr>
                    <w:t>2</w:t>
                  </w:r>
                </w:p>
              </w:tc>
              <w:tc>
                <w:tcPr>
                  <w:tcW w:w="1667" w:type="dxa"/>
                  <w:vAlign w:val="center"/>
                </w:tcPr>
                <w:p>
                  <w:pPr>
                    <w:snapToGrid w:val="0"/>
                    <w:jc w:val="center"/>
                    <w:rPr>
                      <w:szCs w:val="21"/>
                    </w:rPr>
                  </w:pPr>
                  <w:r>
                    <w:rPr>
                      <w:szCs w:val="21"/>
                    </w:rPr>
                    <w:t>500</w:t>
                  </w:r>
                </w:p>
              </w:tc>
              <w:tc>
                <w:tcPr>
                  <w:tcW w:w="1480" w:type="dxa"/>
                  <w:vAlign w:val="center"/>
                </w:tcPr>
                <w:p>
                  <w:pPr>
                    <w:snapToGrid w:val="0"/>
                    <w:jc w:val="center"/>
                    <w:rPr>
                      <w:szCs w:val="21"/>
                    </w:rPr>
                  </w:pPr>
                  <w:r>
                    <w:rPr>
                      <w:szCs w:val="21"/>
                    </w:rPr>
                    <w:t>150</w:t>
                  </w:r>
                </w:p>
              </w:tc>
              <w:tc>
                <w:tcPr>
                  <w:tcW w:w="1565" w:type="dxa"/>
                  <w:vAlign w:val="center"/>
                </w:tcPr>
                <w:p>
                  <w:pPr>
                    <w:snapToGrid w:val="0"/>
                    <w:jc w:val="center"/>
                    <w:rPr>
                      <w:szCs w:val="21"/>
                    </w:rPr>
                  </w:pPr>
                  <w:r>
                    <w:rPr>
                      <w:szCs w:val="21"/>
                    </w:rPr>
                    <w:t>60</w:t>
                  </w:r>
                </w:p>
              </w:tc>
              <w:tc>
                <w:tcPr>
                  <w:tcW w:w="2518" w:type="dxa"/>
                  <w:vMerge w:val="restart"/>
                  <w:vAlign w:val="center"/>
                </w:tcPr>
                <w:p>
                  <w:pPr>
                    <w:snapToGrid w:val="0"/>
                    <w:jc w:val="center"/>
                    <w:rPr>
                      <w:szCs w:val="21"/>
                    </w:rPr>
                  </w:pPr>
                  <w:r>
                    <w:rPr>
                      <w:szCs w:val="21"/>
                    </w:rPr>
                    <w:t>《环境空气质量标准》（GB3095-</w:t>
                  </w:r>
                  <w:r>
                    <w:rPr>
                      <w:rFonts w:hint="eastAsia"/>
                      <w:szCs w:val="21"/>
                    </w:rPr>
                    <w:t>2012</w:t>
                  </w:r>
                  <w:r>
                    <w:rPr>
                      <w:szCs w:val="21"/>
                    </w:rPr>
                    <w:t>）中的</w:t>
                  </w:r>
                  <w:r>
                    <w:rPr>
                      <w:bCs/>
                      <w:szCs w:val="21"/>
                    </w:rPr>
                    <w:t>二级</w:t>
                  </w:r>
                  <w:r>
                    <w:rPr>
                      <w:szCs w:val="21"/>
                    </w:rPr>
                    <w:t>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snapToGrid w:val="0"/>
                    <w:jc w:val="center"/>
                    <w:rPr>
                      <w:szCs w:val="21"/>
                    </w:rPr>
                  </w:pPr>
                  <w:r>
                    <w:rPr>
                      <w:szCs w:val="21"/>
                    </w:rPr>
                    <w:t>NO</w:t>
                  </w:r>
                  <w:r>
                    <w:rPr>
                      <w:szCs w:val="21"/>
                      <w:vertAlign w:val="subscript"/>
                    </w:rPr>
                    <w:t>2</w:t>
                  </w:r>
                </w:p>
              </w:tc>
              <w:tc>
                <w:tcPr>
                  <w:tcW w:w="1667" w:type="dxa"/>
                  <w:vAlign w:val="center"/>
                </w:tcPr>
                <w:p>
                  <w:pPr>
                    <w:snapToGrid w:val="0"/>
                    <w:jc w:val="center"/>
                    <w:rPr>
                      <w:szCs w:val="21"/>
                    </w:rPr>
                  </w:pPr>
                  <w:r>
                    <w:rPr>
                      <w:szCs w:val="21"/>
                    </w:rPr>
                    <w:t>200</w:t>
                  </w:r>
                </w:p>
              </w:tc>
              <w:tc>
                <w:tcPr>
                  <w:tcW w:w="1480" w:type="dxa"/>
                  <w:vAlign w:val="center"/>
                </w:tcPr>
                <w:p>
                  <w:pPr>
                    <w:snapToGrid w:val="0"/>
                    <w:jc w:val="center"/>
                    <w:rPr>
                      <w:szCs w:val="21"/>
                    </w:rPr>
                  </w:pPr>
                  <w:r>
                    <w:rPr>
                      <w:szCs w:val="21"/>
                    </w:rPr>
                    <w:t>80</w:t>
                  </w:r>
                </w:p>
              </w:tc>
              <w:tc>
                <w:tcPr>
                  <w:tcW w:w="1565" w:type="dxa"/>
                  <w:vAlign w:val="center"/>
                </w:tcPr>
                <w:p>
                  <w:pPr>
                    <w:snapToGrid w:val="0"/>
                    <w:jc w:val="center"/>
                    <w:rPr>
                      <w:szCs w:val="21"/>
                    </w:rPr>
                  </w:pPr>
                  <w:r>
                    <w:rPr>
                      <w:szCs w:val="21"/>
                    </w:rPr>
                    <w:t>40</w:t>
                  </w:r>
                </w:p>
              </w:tc>
              <w:tc>
                <w:tcPr>
                  <w:tcW w:w="2518" w:type="dxa"/>
                  <w:vMerge w:val="continue"/>
                  <w:vAlign w:val="center"/>
                </w:tcPr>
                <w:p>
                  <w:pPr>
                    <w:snapToGrid w:val="0"/>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snapToGrid w:val="0"/>
                    <w:jc w:val="center"/>
                    <w:rPr>
                      <w:szCs w:val="21"/>
                    </w:rPr>
                  </w:pPr>
                  <w:r>
                    <w:rPr>
                      <w:szCs w:val="21"/>
                    </w:rPr>
                    <w:t>PM</w:t>
                  </w:r>
                  <w:r>
                    <w:rPr>
                      <w:szCs w:val="21"/>
                      <w:vertAlign w:val="subscript"/>
                    </w:rPr>
                    <w:t>10</w:t>
                  </w:r>
                </w:p>
              </w:tc>
              <w:tc>
                <w:tcPr>
                  <w:tcW w:w="1667" w:type="dxa"/>
                  <w:vAlign w:val="center"/>
                </w:tcPr>
                <w:p>
                  <w:pPr>
                    <w:snapToGrid w:val="0"/>
                    <w:jc w:val="center"/>
                    <w:rPr>
                      <w:szCs w:val="21"/>
                    </w:rPr>
                  </w:pPr>
                  <w:r>
                    <w:rPr>
                      <w:szCs w:val="21"/>
                    </w:rPr>
                    <w:t>/</w:t>
                  </w:r>
                </w:p>
              </w:tc>
              <w:tc>
                <w:tcPr>
                  <w:tcW w:w="1480" w:type="dxa"/>
                  <w:vAlign w:val="center"/>
                </w:tcPr>
                <w:p>
                  <w:pPr>
                    <w:snapToGrid w:val="0"/>
                    <w:jc w:val="center"/>
                    <w:rPr>
                      <w:szCs w:val="21"/>
                    </w:rPr>
                  </w:pPr>
                  <w:r>
                    <w:rPr>
                      <w:szCs w:val="21"/>
                    </w:rPr>
                    <w:t>150</w:t>
                  </w:r>
                </w:p>
              </w:tc>
              <w:tc>
                <w:tcPr>
                  <w:tcW w:w="1565" w:type="dxa"/>
                  <w:vAlign w:val="center"/>
                </w:tcPr>
                <w:p>
                  <w:pPr>
                    <w:snapToGrid w:val="0"/>
                    <w:jc w:val="center"/>
                    <w:rPr>
                      <w:szCs w:val="21"/>
                    </w:rPr>
                  </w:pPr>
                  <w:r>
                    <w:rPr>
                      <w:szCs w:val="21"/>
                    </w:rPr>
                    <w:t>70</w:t>
                  </w:r>
                </w:p>
              </w:tc>
              <w:tc>
                <w:tcPr>
                  <w:tcW w:w="2518" w:type="dxa"/>
                  <w:vMerge w:val="continue"/>
                  <w:vAlign w:val="center"/>
                </w:tcPr>
                <w:p>
                  <w:pPr>
                    <w:snapToGrid w:val="0"/>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jc w:val="center"/>
                    <w:rPr>
                      <w:szCs w:val="21"/>
                    </w:rPr>
                  </w:pPr>
                  <w:r>
                    <w:rPr>
                      <w:szCs w:val="21"/>
                    </w:rPr>
                    <w:t>PM</w:t>
                  </w:r>
                  <w:r>
                    <w:rPr>
                      <w:rFonts w:hint="eastAsia"/>
                      <w:szCs w:val="21"/>
                      <w:vertAlign w:val="subscript"/>
                    </w:rPr>
                    <w:t>2.5</w:t>
                  </w:r>
                </w:p>
              </w:tc>
              <w:tc>
                <w:tcPr>
                  <w:tcW w:w="1667" w:type="dxa"/>
                  <w:vAlign w:val="center"/>
                </w:tcPr>
                <w:p>
                  <w:pPr>
                    <w:jc w:val="center"/>
                    <w:rPr>
                      <w:szCs w:val="21"/>
                    </w:rPr>
                  </w:pPr>
                  <w:r>
                    <w:rPr>
                      <w:szCs w:val="21"/>
                    </w:rPr>
                    <w:t>/</w:t>
                  </w:r>
                </w:p>
              </w:tc>
              <w:tc>
                <w:tcPr>
                  <w:tcW w:w="1480" w:type="dxa"/>
                  <w:vAlign w:val="center"/>
                </w:tcPr>
                <w:p>
                  <w:pPr>
                    <w:jc w:val="center"/>
                    <w:rPr>
                      <w:szCs w:val="21"/>
                    </w:rPr>
                  </w:pPr>
                  <w:r>
                    <w:rPr>
                      <w:rFonts w:hint="eastAsia"/>
                      <w:szCs w:val="21"/>
                    </w:rPr>
                    <w:t>75</w:t>
                  </w:r>
                </w:p>
              </w:tc>
              <w:tc>
                <w:tcPr>
                  <w:tcW w:w="1565" w:type="dxa"/>
                  <w:vAlign w:val="center"/>
                </w:tcPr>
                <w:p>
                  <w:pPr>
                    <w:jc w:val="center"/>
                    <w:rPr>
                      <w:szCs w:val="21"/>
                    </w:rPr>
                  </w:pPr>
                  <w:r>
                    <w:rPr>
                      <w:rFonts w:hint="eastAsia"/>
                      <w:szCs w:val="21"/>
                    </w:rPr>
                    <w:t>35</w:t>
                  </w:r>
                </w:p>
              </w:tc>
              <w:tc>
                <w:tcPr>
                  <w:tcW w:w="2518" w:type="dxa"/>
                  <w:vMerge w:val="continue"/>
                  <w:vAlign w:val="center"/>
                </w:tcPr>
                <w:p>
                  <w:pPr>
                    <w:snapToGrid w:val="0"/>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jc w:val="center"/>
                    <w:rPr>
                      <w:szCs w:val="21"/>
                    </w:rPr>
                  </w:pPr>
                  <w:r>
                    <w:rPr>
                      <w:rFonts w:hint="eastAsia"/>
                      <w:szCs w:val="21"/>
                    </w:rPr>
                    <w:t>CO</w:t>
                  </w:r>
                </w:p>
              </w:tc>
              <w:tc>
                <w:tcPr>
                  <w:tcW w:w="1667" w:type="dxa"/>
                  <w:vAlign w:val="center"/>
                </w:tcPr>
                <w:p>
                  <w:pPr>
                    <w:jc w:val="center"/>
                    <w:rPr>
                      <w:szCs w:val="21"/>
                    </w:rPr>
                  </w:pPr>
                  <w:r>
                    <w:rPr>
                      <w:rFonts w:hint="eastAsia"/>
                      <w:szCs w:val="21"/>
                    </w:rPr>
                    <w:t>4</w:t>
                  </w:r>
                </w:p>
              </w:tc>
              <w:tc>
                <w:tcPr>
                  <w:tcW w:w="1480" w:type="dxa"/>
                  <w:vAlign w:val="center"/>
                </w:tcPr>
                <w:p>
                  <w:pPr>
                    <w:jc w:val="center"/>
                    <w:rPr>
                      <w:szCs w:val="21"/>
                    </w:rPr>
                  </w:pPr>
                  <w:r>
                    <w:rPr>
                      <w:rFonts w:hint="eastAsia"/>
                      <w:szCs w:val="21"/>
                    </w:rPr>
                    <w:t>10</w:t>
                  </w:r>
                </w:p>
              </w:tc>
              <w:tc>
                <w:tcPr>
                  <w:tcW w:w="1565" w:type="dxa"/>
                  <w:vAlign w:val="center"/>
                </w:tcPr>
                <w:p>
                  <w:pPr>
                    <w:jc w:val="center"/>
                    <w:rPr>
                      <w:szCs w:val="21"/>
                    </w:rPr>
                  </w:pPr>
                  <w:r>
                    <w:rPr>
                      <w:rFonts w:hint="eastAsia"/>
                      <w:szCs w:val="21"/>
                    </w:rPr>
                    <w:t>/</w:t>
                  </w:r>
                </w:p>
              </w:tc>
              <w:tc>
                <w:tcPr>
                  <w:tcW w:w="2518" w:type="dxa"/>
                  <w:vMerge w:val="continue"/>
                  <w:vAlign w:val="center"/>
                </w:tcPr>
                <w:p>
                  <w:pPr>
                    <w:snapToGrid w:val="0"/>
                    <w:jc w:val="center"/>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57" w:type="dxa"/>
                  <w:vAlign w:val="center"/>
                </w:tcPr>
                <w:p>
                  <w:pPr>
                    <w:jc w:val="center"/>
                    <w:rPr>
                      <w:szCs w:val="21"/>
                    </w:rPr>
                  </w:pPr>
                  <w:r>
                    <w:rPr>
                      <w:rFonts w:hint="eastAsia"/>
                      <w:szCs w:val="21"/>
                    </w:rPr>
                    <w:t>O3</w:t>
                  </w:r>
                </w:p>
              </w:tc>
              <w:tc>
                <w:tcPr>
                  <w:tcW w:w="1667" w:type="dxa"/>
                  <w:vAlign w:val="center"/>
                </w:tcPr>
                <w:p>
                  <w:pPr>
                    <w:jc w:val="center"/>
                    <w:rPr>
                      <w:szCs w:val="21"/>
                    </w:rPr>
                  </w:pPr>
                  <w:r>
                    <w:rPr>
                      <w:rFonts w:hint="eastAsia"/>
                      <w:szCs w:val="21"/>
                    </w:rPr>
                    <w:t>200</w:t>
                  </w:r>
                </w:p>
              </w:tc>
              <w:tc>
                <w:tcPr>
                  <w:tcW w:w="1480" w:type="dxa"/>
                  <w:vAlign w:val="center"/>
                </w:tcPr>
                <w:p>
                  <w:pPr>
                    <w:jc w:val="center"/>
                    <w:rPr>
                      <w:szCs w:val="21"/>
                    </w:rPr>
                  </w:pPr>
                  <w:r>
                    <w:rPr>
                      <w:rFonts w:hint="eastAsia"/>
                      <w:szCs w:val="21"/>
                    </w:rPr>
                    <w:t>160（8h平均）</w:t>
                  </w:r>
                </w:p>
              </w:tc>
              <w:tc>
                <w:tcPr>
                  <w:tcW w:w="1565" w:type="dxa"/>
                  <w:vAlign w:val="center"/>
                </w:tcPr>
                <w:p>
                  <w:pPr>
                    <w:jc w:val="center"/>
                    <w:rPr>
                      <w:szCs w:val="21"/>
                    </w:rPr>
                  </w:pPr>
                  <w:r>
                    <w:rPr>
                      <w:rFonts w:hint="eastAsia"/>
                      <w:szCs w:val="21"/>
                    </w:rPr>
                    <w:t>/</w:t>
                  </w:r>
                </w:p>
              </w:tc>
              <w:tc>
                <w:tcPr>
                  <w:tcW w:w="2518" w:type="dxa"/>
                  <w:vMerge w:val="continue"/>
                  <w:vAlign w:val="center"/>
                </w:tcPr>
                <w:p>
                  <w:pPr>
                    <w:snapToGrid w:val="0"/>
                    <w:jc w:val="center"/>
                    <w:rPr>
                      <w:szCs w:val="21"/>
                    </w:rPr>
                  </w:pPr>
                </w:p>
              </w:tc>
            </w:tr>
          </w:tbl>
          <w:p>
            <w:pPr>
              <w:snapToGrid w:val="0"/>
              <w:spacing w:line="360" w:lineRule="auto"/>
              <w:ind w:firstLine="419" w:firstLineChars="174"/>
              <w:rPr>
                <w:b/>
                <w:bCs/>
                <w:sz w:val="24"/>
              </w:rPr>
            </w:pPr>
            <w:r>
              <w:rPr>
                <w:b/>
                <w:bCs/>
                <w:sz w:val="24"/>
              </w:rPr>
              <w:t>2、水环境</w:t>
            </w:r>
          </w:p>
          <w:p>
            <w:pPr>
              <w:spacing w:line="360" w:lineRule="auto"/>
              <w:ind w:firstLine="480" w:firstLineChars="200"/>
              <w:rPr>
                <w:sz w:val="24"/>
              </w:rPr>
            </w:pPr>
            <w:r>
              <w:rPr>
                <w:sz w:val="24"/>
              </w:rPr>
              <w:t>根据地面水功能区划的要求，评价区域地表水</w:t>
            </w:r>
            <w:r>
              <w:rPr>
                <w:rFonts w:hint="eastAsia"/>
                <w:sz w:val="24"/>
              </w:rPr>
              <w:t>淮河水质</w:t>
            </w:r>
            <w:r>
              <w:rPr>
                <w:sz w:val="24"/>
              </w:rPr>
              <w:t>环境执行《地表水环境质量标准》(GB3838-2002)中的</w:t>
            </w:r>
            <w:r>
              <w:rPr>
                <w:rFonts w:hint="eastAsia"/>
                <w:sz w:val="24"/>
              </w:rPr>
              <w:t>Ⅲ</w:t>
            </w:r>
            <w:r>
              <w:rPr>
                <w:sz w:val="24"/>
              </w:rPr>
              <w:t>类标准，标准限值见表</w:t>
            </w:r>
            <w:r>
              <w:rPr>
                <w:rFonts w:hint="eastAsia"/>
                <w:sz w:val="24"/>
              </w:rPr>
              <w:t>12</w:t>
            </w:r>
            <w:r>
              <w:rPr>
                <w:sz w:val="24"/>
              </w:rPr>
              <w:t>。</w:t>
            </w:r>
          </w:p>
          <w:p>
            <w:pPr>
              <w:snapToGrid w:val="0"/>
              <w:jc w:val="center"/>
              <w:rPr>
                <w:rFonts w:hAnsi="宋体"/>
                <w:b/>
                <w:szCs w:val="21"/>
              </w:rPr>
            </w:pPr>
            <w:r>
              <w:rPr>
                <w:rFonts w:hAnsi="宋体"/>
                <w:b/>
                <w:szCs w:val="21"/>
              </w:rPr>
              <w:t>表</w:t>
            </w:r>
            <w:r>
              <w:rPr>
                <w:rFonts w:hint="eastAsia" w:hAnsi="宋体"/>
                <w:b/>
                <w:szCs w:val="21"/>
              </w:rPr>
              <w:t>12</w:t>
            </w:r>
            <w:r>
              <w:rPr>
                <w:rFonts w:hAnsi="宋体"/>
                <w:b/>
                <w:szCs w:val="21"/>
              </w:rPr>
              <w:t>地表水环境质量标准(部分)（mg/L，pH值除外）</w:t>
            </w:r>
          </w:p>
          <w:tbl>
            <w:tblPr>
              <w:tblStyle w:val="3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64"/>
              <w:gridCol w:w="1238"/>
              <w:gridCol w:w="1583"/>
              <w:gridCol w:w="1442"/>
              <w:gridCol w:w="1459"/>
              <w:gridCol w:w="13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64" w:type="dxa"/>
                  <w:vAlign w:val="center"/>
                </w:tcPr>
                <w:p>
                  <w:pPr>
                    <w:adjustRightInd w:val="0"/>
                    <w:snapToGrid w:val="0"/>
                    <w:jc w:val="center"/>
                    <w:rPr>
                      <w:bCs/>
                      <w:szCs w:val="21"/>
                    </w:rPr>
                  </w:pPr>
                  <w:r>
                    <w:rPr>
                      <w:rFonts w:hint="eastAsia"/>
                      <w:bCs/>
                      <w:szCs w:val="21"/>
                    </w:rPr>
                    <w:t>项目</w:t>
                  </w:r>
                </w:p>
              </w:tc>
              <w:tc>
                <w:tcPr>
                  <w:tcW w:w="1238" w:type="dxa"/>
                  <w:vAlign w:val="center"/>
                </w:tcPr>
                <w:p>
                  <w:pPr>
                    <w:adjustRightInd w:val="0"/>
                    <w:snapToGrid w:val="0"/>
                    <w:jc w:val="center"/>
                    <w:rPr>
                      <w:bCs/>
                      <w:szCs w:val="21"/>
                    </w:rPr>
                  </w:pPr>
                  <w:r>
                    <w:rPr>
                      <w:rFonts w:hint="eastAsia"/>
                      <w:bCs/>
                      <w:szCs w:val="21"/>
                    </w:rPr>
                    <w:t>pH</w:t>
                  </w:r>
                </w:p>
              </w:tc>
              <w:tc>
                <w:tcPr>
                  <w:tcW w:w="1583" w:type="dxa"/>
                  <w:vAlign w:val="center"/>
                </w:tcPr>
                <w:p>
                  <w:pPr>
                    <w:adjustRightInd w:val="0"/>
                    <w:snapToGrid w:val="0"/>
                    <w:jc w:val="center"/>
                    <w:rPr>
                      <w:bCs/>
                      <w:szCs w:val="21"/>
                    </w:rPr>
                  </w:pPr>
                  <w:r>
                    <w:rPr>
                      <w:rFonts w:hint="eastAsia"/>
                      <w:bCs/>
                      <w:szCs w:val="21"/>
                    </w:rPr>
                    <w:t>COD</w:t>
                  </w:r>
                </w:p>
              </w:tc>
              <w:tc>
                <w:tcPr>
                  <w:tcW w:w="1442" w:type="dxa"/>
                  <w:vAlign w:val="center"/>
                </w:tcPr>
                <w:p>
                  <w:pPr>
                    <w:adjustRightInd w:val="0"/>
                    <w:snapToGrid w:val="0"/>
                    <w:jc w:val="center"/>
                    <w:rPr>
                      <w:bCs/>
                      <w:szCs w:val="21"/>
                    </w:rPr>
                  </w:pPr>
                  <w:r>
                    <w:rPr>
                      <w:bCs/>
                      <w:szCs w:val="21"/>
                    </w:rPr>
                    <w:t>BOD</w:t>
                  </w:r>
                  <w:r>
                    <w:rPr>
                      <w:bCs/>
                      <w:szCs w:val="21"/>
                      <w:vertAlign w:val="subscript"/>
                    </w:rPr>
                    <w:t>5</w:t>
                  </w:r>
                </w:p>
              </w:tc>
              <w:tc>
                <w:tcPr>
                  <w:tcW w:w="1459" w:type="dxa"/>
                  <w:vAlign w:val="center"/>
                </w:tcPr>
                <w:p>
                  <w:pPr>
                    <w:adjustRightInd w:val="0"/>
                    <w:snapToGrid w:val="0"/>
                    <w:jc w:val="center"/>
                    <w:rPr>
                      <w:bCs/>
                      <w:szCs w:val="21"/>
                    </w:rPr>
                  </w:pPr>
                  <w:r>
                    <w:rPr>
                      <w:rFonts w:hint="eastAsia"/>
                      <w:bCs/>
                      <w:szCs w:val="21"/>
                    </w:rPr>
                    <w:t>氨氮</w:t>
                  </w:r>
                </w:p>
              </w:tc>
              <w:tc>
                <w:tcPr>
                  <w:tcW w:w="1396" w:type="dxa"/>
                  <w:vAlign w:val="center"/>
                </w:tcPr>
                <w:p>
                  <w:pPr>
                    <w:adjustRightInd w:val="0"/>
                    <w:snapToGrid w:val="0"/>
                    <w:jc w:val="center"/>
                    <w:rPr>
                      <w:bCs/>
                      <w:szCs w:val="21"/>
                    </w:rPr>
                  </w:pPr>
                  <w:r>
                    <w:rPr>
                      <w:rFonts w:hint="eastAsia"/>
                      <w:bCs/>
                      <w:szCs w:val="21"/>
                    </w:rPr>
                    <w:t>总磷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364" w:type="dxa"/>
                  <w:vAlign w:val="center"/>
                </w:tcPr>
                <w:p>
                  <w:pPr>
                    <w:adjustRightInd w:val="0"/>
                    <w:snapToGrid w:val="0"/>
                    <w:jc w:val="center"/>
                    <w:rPr>
                      <w:bCs/>
                      <w:szCs w:val="21"/>
                    </w:rPr>
                  </w:pPr>
                  <w:r>
                    <w:rPr>
                      <w:rFonts w:hint="eastAsia"/>
                      <w:bCs/>
                      <w:szCs w:val="21"/>
                    </w:rPr>
                    <w:t>Ⅲ类</w:t>
                  </w:r>
                </w:p>
              </w:tc>
              <w:tc>
                <w:tcPr>
                  <w:tcW w:w="1238" w:type="dxa"/>
                  <w:vAlign w:val="center"/>
                </w:tcPr>
                <w:p>
                  <w:pPr>
                    <w:adjustRightInd w:val="0"/>
                    <w:snapToGrid w:val="0"/>
                    <w:jc w:val="center"/>
                    <w:rPr>
                      <w:bCs/>
                      <w:szCs w:val="21"/>
                    </w:rPr>
                  </w:pPr>
                  <w:r>
                    <w:rPr>
                      <w:bCs/>
                      <w:szCs w:val="21"/>
                    </w:rPr>
                    <w:t>6～9</w:t>
                  </w:r>
                </w:p>
              </w:tc>
              <w:tc>
                <w:tcPr>
                  <w:tcW w:w="1583" w:type="dxa"/>
                  <w:vAlign w:val="center"/>
                </w:tcPr>
                <w:p>
                  <w:pPr>
                    <w:adjustRightInd w:val="0"/>
                    <w:snapToGrid w:val="0"/>
                    <w:jc w:val="center"/>
                    <w:rPr>
                      <w:bCs/>
                      <w:szCs w:val="21"/>
                    </w:rPr>
                  </w:pPr>
                  <w:r>
                    <w:rPr>
                      <w:rFonts w:hint="eastAsia"/>
                      <w:bCs/>
                      <w:szCs w:val="21"/>
                    </w:rPr>
                    <w:t>≤2</w:t>
                  </w:r>
                  <w:r>
                    <w:rPr>
                      <w:bCs/>
                      <w:szCs w:val="21"/>
                    </w:rPr>
                    <w:t>0</w:t>
                  </w:r>
                </w:p>
              </w:tc>
              <w:tc>
                <w:tcPr>
                  <w:tcW w:w="1442" w:type="dxa"/>
                  <w:vAlign w:val="center"/>
                </w:tcPr>
                <w:p>
                  <w:pPr>
                    <w:adjustRightInd w:val="0"/>
                    <w:snapToGrid w:val="0"/>
                    <w:jc w:val="center"/>
                    <w:rPr>
                      <w:bCs/>
                      <w:szCs w:val="21"/>
                    </w:rPr>
                  </w:pPr>
                  <w:r>
                    <w:rPr>
                      <w:rFonts w:hint="eastAsia"/>
                      <w:bCs/>
                      <w:szCs w:val="21"/>
                    </w:rPr>
                    <w:t>≤4</w:t>
                  </w:r>
                </w:p>
              </w:tc>
              <w:tc>
                <w:tcPr>
                  <w:tcW w:w="1459" w:type="dxa"/>
                  <w:vAlign w:val="center"/>
                </w:tcPr>
                <w:p>
                  <w:pPr>
                    <w:adjustRightInd w:val="0"/>
                    <w:snapToGrid w:val="0"/>
                    <w:jc w:val="center"/>
                    <w:rPr>
                      <w:bCs/>
                      <w:szCs w:val="21"/>
                    </w:rPr>
                  </w:pPr>
                  <w:r>
                    <w:rPr>
                      <w:rFonts w:hint="eastAsia"/>
                      <w:bCs/>
                      <w:szCs w:val="21"/>
                    </w:rPr>
                    <w:t>≤</w:t>
                  </w:r>
                  <w:r>
                    <w:rPr>
                      <w:bCs/>
                      <w:szCs w:val="21"/>
                    </w:rPr>
                    <w:t>1.</w:t>
                  </w:r>
                  <w:r>
                    <w:rPr>
                      <w:rFonts w:hint="eastAsia"/>
                      <w:bCs/>
                      <w:szCs w:val="21"/>
                    </w:rPr>
                    <w:t>0</w:t>
                  </w:r>
                </w:p>
              </w:tc>
              <w:tc>
                <w:tcPr>
                  <w:tcW w:w="1396" w:type="dxa"/>
                  <w:vAlign w:val="center"/>
                </w:tcPr>
                <w:p>
                  <w:pPr>
                    <w:adjustRightInd w:val="0"/>
                    <w:snapToGrid w:val="0"/>
                    <w:jc w:val="center"/>
                    <w:rPr>
                      <w:bCs/>
                      <w:szCs w:val="21"/>
                    </w:rPr>
                  </w:pPr>
                  <w:r>
                    <w:rPr>
                      <w:rFonts w:hint="eastAsia"/>
                      <w:bCs/>
                      <w:szCs w:val="21"/>
                    </w:rPr>
                    <w:t>≤0.2</w:t>
                  </w:r>
                </w:p>
              </w:tc>
            </w:tr>
          </w:tbl>
          <w:p>
            <w:pPr>
              <w:spacing w:before="156" w:beforeLines="50" w:line="360" w:lineRule="auto"/>
              <w:ind w:firstLine="419" w:firstLineChars="174"/>
              <w:rPr>
                <w:sz w:val="24"/>
              </w:rPr>
            </w:pPr>
            <w:r>
              <w:rPr>
                <w:b/>
                <w:bCs/>
                <w:sz w:val="24"/>
              </w:rPr>
              <w:t>3、声环境</w:t>
            </w:r>
          </w:p>
          <w:p>
            <w:pPr>
              <w:spacing w:line="360" w:lineRule="auto"/>
              <w:ind w:firstLine="417" w:firstLineChars="174"/>
              <w:rPr>
                <w:sz w:val="24"/>
              </w:rPr>
            </w:pPr>
            <w:r>
              <w:rPr>
                <w:rFonts w:hint="eastAsia"/>
                <w:sz w:val="24"/>
              </w:rPr>
              <w:t>该项目区声环境标准执行《声环境质量标准》（GB3096-2008）中3类区声环境功能区标准。</w:t>
            </w:r>
            <w:r>
              <w:rPr>
                <w:sz w:val="24"/>
              </w:rPr>
              <w:t>具体指标见表</w:t>
            </w:r>
            <w:r>
              <w:rPr>
                <w:rFonts w:hint="eastAsia"/>
                <w:sz w:val="24"/>
              </w:rPr>
              <w:t>13。</w:t>
            </w:r>
          </w:p>
          <w:p>
            <w:pPr>
              <w:pStyle w:val="45"/>
              <w:snapToGrid w:val="0"/>
              <w:spacing w:line="240" w:lineRule="auto"/>
              <w:ind w:firstLine="0"/>
              <w:jc w:val="center"/>
              <w:rPr>
                <w:rFonts w:ascii="Times New Roman" w:hAnsi="Times New Roman"/>
                <w:b/>
                <w:kern w:val="0"/>
                <w:sz w:val="21"/>
                <w:szCs w:val="21"/>
              </w:rPr>
            </w:pPr>
            <w:r>
              <w:rPr>
                <w:rFonts w:ascii="Times New Roman" w:hAnsi="Times New Roman"/>
                <w:b/>
                <w:kern w:val="0"/>
                <w:sz w:val="21"/>
                <w:szCs w:val="21"/>
              </w:rPr>
              <w:t>表</w:t>
            </w:r>
            <w:r>
              <w:rPr>
                <w:rFonts w:hint="eastAsia" w:ascii="Times New Roman" w:hAnsi="Times New Roman"/>
                <w:b/>
                <w:kern w:val="0"/>
                <w:sz w:val="21"/>
                <w:szCs w:val="21"/>
              </w:rPr>
              <w:t>13声环境质量</w:t>
            </w:r>
            <w:r>
              <w:rPr>
                <w:rFonts w:ascii="Times New Roman" w:hAnsi="Times New Roman"/>
                <w:b/>
                <w:kern w:val="0"/>
                <w:sz w:val="21"/>
                <w:szCs w:val="21"/>
              </w:rPr>
              <w:t>标准</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2993"/>
              <w:gridCol w:w="2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00" w:type="dxa"/>
                  <w:vMerge w:val="restart"/>
                  <w:vAlign w:val="center"/>
                </w:tcPr>
                <w:p>
                  <w:pPr>
                    <w:jc w:val="center"/>
                    <w:rPr>
                      <w:bCs/>
                      <w:szCs w:val="21"/>
                    </w:rPr>
                  </w:pPr>
                  <w:r>
                    <w:rPr>
                      <w:bCs/>
                      <w:szCs w:val="21"/>
                    </w:rPr>
                    <w:t>采用标准</w:t>
                  </w:r>
                </w:p>
              </w:tc>
              <w:tc>
                <w:tcPr>
                  <w:tcW w:w="5988" w:type="dxa"/>
                  <w:gridSpan w:val="2"/>
                  <w:vAlign w:val="center"/>
                </w:tcPr>
                <w:p>
                  <w:pPr>
                    <w:jc w:val="center"/>
                    <w:rPr>
                      <w:bCs/>
                      <w:szCs w:val="21"/>
                    </w:rPr>
                  </w:pPr>
                  <w:r>
                    <w:rPr>
                      <w:bCs/>
                      <w:szCs w:val="21"/>
                    </w:rPr>
                    <w:t>标准值[</w:t>
                  </w:r>
                  <w:r>
                    <w:rPr>
                      <w:szCs w:val="21"/>
                    </w:rPr>
                    <w:t>dB(A)</w:t>
                  </w:r>
                  <w:r>
                    <w:rPr>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00" w:type="dxa"/>
                  <w:vMerge w:val="continue"/>
                  <w:tcBorders>
                    <w:bottom w:val="single" w:color="auto" w:sz="4" w:space="0"/>
                  </w:tcBorders>
                  <w:vAlign w:val="center"/>
                </w:tcPr>
                <w:p>
                  <w:pPr>
                    <w:jc w:val="center"/>
                    <w:rPr>
                      <w:bCs/>
                      <w:szCs w:val="21"/>
                    </w:rPr>
                  </w:pPr>
                </w:p>
              </w:tc>
              <w:tc>
                <w:tcPr>
                  <w:tcW w:w="2993" w:type="dxa"/>
                  <w:tcBorders>
                    <w:bottom w:val="single" w:color="auto" w:sz="4" w:space="0"/>
                  </w:tcBorders>
                  <w:vAlign w:val="center"/>
                </w:tcPr>
                <w:p>
                  <w:pPr>
                    <w:jc w:val="center"/>
                    <w:rPr>
                      <w:bCs/>
                      <w:szCs w:val="21"/>
                    </w:rPr>
                  </w:pPr>
                  <w:r>
                    <w:rPr>
                      <w:bCs/>
                      <w:szCs w:val="21"/>
                    </w:rPr>
                    <w:t>昼间</w:t>
                  </w:r>
                </w:p>
              </w:tc>
              <w:tc>
                <w:tcPr>
                  <w:tcW w:w="2995" w:type="dxa"/>
                  <w:tcBorders>
                    <w:bottom w:val="single" w:color="auto" w:sz="4" w:space="0"/>
                  </w:tcBorders>
                  <w:vAlign w:val="center"/>
                </w:tcPr>
                <w:p>
                  <w:pPr>
                    <w:jc w:val="center"/>
                    <w:rPr>
                      <w:bCs/>
                      <w:szCs w:val="21"/>
                    </w:rPr>
                  </w:pPr>
                  <w:r>
                    <w:rPr>
                      <w:bCs/>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500" w:type="dxa"/>
                  <w:vAlign w:val="center"/>
                </w:tcPr>
                <w:p>
                  <w:pPr>
                    <w:jc w:val="center"/>
                    <w:rPr>
                      <w:szCs w:val="21"/>
                    </w:rPr>
                  </w:pPr>
                  <w:r>
                    <w:rPr>
                      <w:rFonts w:hint="eastAsia"/>
                      <w:szCs w:val="21"/>
                    </w:rPr>
                    <w:t>3类</w:t>
                  </w:r>
                </w:p>
              </w:tc>
              <w:tc>
                <w:tcPr>
                  <w:tcW w:w="2993" w:type="dxa"/>
                  <w:vAlign w:val="center"/>
                </w:tcPr>
                <w:p>
                  <w:pPr>
                    <w:jc w:val="center"/>
                    <w:rPr>
                      <w:szCs w:val="21"/>
                    </w:rPr>
                  </w:pPr>
                  <w:r>
                    <w:rPr>
                      <w:rFonts w:hint="eastAsia"/>
                      <w:szCs w:val="21"/>
                    </w:rPr>
                    <w:t>65</w:t>
                  </w:r>
                </w:p>
              </w:tc>
              <w:tc>
                <w:tcPr>
                  <w:tcW w:w="2995" w:type="dxa"/>
                  <w:vAlign w:val="center"/>
                </w:tcPr>
                <w:p>
                  <w:pPr>
                    <w:jc w:val="center"/>
                    <w:rPr>
                      <w:szCs w:val="21"/>
                    </w:rPr>
                  </w:pPr>
                  <w:r>
                    <w:rPr>
                      <w:rFonts w:hint="eastAsia"/>
                      <w:szCs w:val="21"/>
                    </w:rPr>
                    <w:t>55</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b/>
                <w:sz w:val="28"/>
                <w:szCs w:val="28"/>
              </w:rPr>
            </w:pPr>
            <w:r>
              <w:rPr>
                <w:sz w:val="24"/>
                <w:szCs w:val="24"/>
              </w:rPr>
              <w:t>污染物排放标准</w:t>
            </w:r>
          </w:p>
        </w:tc>
        <w:tc>
          <w:tcPr>
            <w:tcW w:w="8714" w:type="dxa"/>
          </w:tcPr>
          <w:p>
            <w:pPr>
              <w:tabs>
                <w:tab w:val="left" w:pos="540"/>
                <w:tab w:val="left" w:pos="900"/>
                <w:tab w:val="left" w:pos="3780"/>
              </w:tabs>
              <w:adjustRightInd w:val="0"/>
              <w:snapToGrid w:val="0"/>
              <w:spacing w:line="360" w:lineRule="auto"/>
              <w:rPr>
                <w:b/>
                <w:bCs/>
                <w:sz w:val="24"/>
              </w:rPr>
            </w:pPr>
            <w:r>
              <w:rPr>
                <w:rFonts w:hint="eastAsia"/>
                <w:b/>
                <w:bCs/>
                <w:sz w:val="24"/>
              </w:rPr>
              <w:t>1、废气</w:t>
            </w:r>
          </w:p>
          <w:p>
            <w:pPr>
              <w:autoSpaceDE w:val="0"/>
              <w:autoSpaceDN w:val="0"/>
              <w:adjustRightInd w:val="0"/>
              <w:spacing w:line="360" w:lineRule="auto"/>
              <w:ind w:firstLine="480" w:firstLineChars="200"/>
              <w:textAlignment w:val="baseline"/>
              <w:rPr>
                <w:sz w:val="24"/>
              </w:rPr>
            </w:pPr>
            <w:r>
              <w:rPr>
                <w:rFonts w:hint="eastAsia"/>
                <w:sz w:val="24"/>
              </w:rPr>
              <w:t>废气排放执行《大气污染物综合排放标准》（</w:t>
            </w:r>
            <w:r>
              <w:rPr>
                <w:sz w:val="24"/>
              </w:rPr>
              <w:t>GB16297-1996</w:t>
            </w:r>
            <w:r>
              <w:rPr>
                <w:rFonts w:hint="eastAsia"/>
                <w:sz w:val="24"/>
              </w:rPr>
              <w:t>）中的二级标准，排放标准限值详见表</w:t>
            </w:r>
            <w:r>
              <w:rPr>
                <w:sz w:val="24"/>
              </w:rPr>
              <w:t>1</w:t>
            </w:r>
            <w:r>
              <w:rPr>
                <w:rFonts w:hint="eastAsia"/>
                <w:sz w:val="24"/>
              </w:rPr>
              <w:t>4。</w:t>
            </w:r>
          </w:p>
          <w:p>
            <w:pPr>
              <w:pStyle w:val="45"/>
              <w:snapToGrid w:val="0"/>
              <w:spacing w:line="240" w:lineRule="auto"/>
              <w:ind w:firstLine="422"/>
              <w:jc w:val="center"/>
              <w:rPr>
                <w:rFonts w:ascii="Times New Roman" w:hAnsi="Times New Roman"/>
                <w:b/>
                <w:kern w:val="0"/>
                <w:sz w:val="21"/>
                <w:szCs w:val="21"/>
              </w:rPr>
            </w:pPr>
            <w:r>
              <w:rPr>
                <w:rFonts w:hint="eastAsia" w:ascii="Times New Roman" w:hAnsi="Times New Roman"/>
                <w:b/>
                <w:kern w:val="0"/>
                <w:sz w:val="21"/>
                <w:szCs w:val="21"/>
              </w:rPr>
              <w:t>表</w:t>
            </w:r>
            <w:r>
              <w:rPr>
                <w:rFonts w:ascii="Times New Roman" w:hAnsi="Times New Roman"/>
                <w:b/>
                <w:kern w:val="0"/>
                <w:sz w:val="21"/>
                <w:szCs w:val="21"/>
              </w:rPr>
              <w:t>1</w:t>
            </w:r>
            <w:r>
              <w:rPr>
                <w:rFonts w:hint="eastAsia" w:ascii="Times New Roman" w:hAnsi="Times New Roman"/>
                <w:b/>
                <w:kern w:val="0"/>
                <w:sz w:val="21"/>
                <w:szCs w:val="21"/>
              </w:rPr>
              <w:t>4</w:t>
            </w:r>
            <w:r>
              <w:rPr>
                <w:rFonts w:ascii="Times New Roman" w:hAnsi="Times New Roman"/>
                <w:b/>
                <w:kern w:val="0"/>
                <w:sz w:val="21"/>
                <w:szCs w:val="21"/>
              </w:rPr>
              <w:t xml:space="preserve"> </w:t>
            </w:r>
            <w:r>
              <w:rPr>
                <w:rFonts w:hint="eastAsia" w:ascii="Times New Roman" w:hAnsi="Times New Roman"/>
                <w:b/>
                <w:kern w:val="0"/>
                <w:sz w:val="21"/>
                <w:szCs w:val="21"/>
              </w:rPr>
              <w:t>《大气污染物综合排放标准》中二级标准限值</w:t>
            </w:r>
          </w:p>
          <w:tbl>
            <w:tblPr>
              <w:tblStyle w:val="3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04"/>
              <w:gridCol w:w="1691"/>
              <w:gridCol w:w="1901"/>
              <w:gridCol w:w="1080"/>
              <w:gridCol w:w="23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04" w:type="dxa"/>
                  <w:vMerge w:val="restart"/>
                  <w:vAlign w:val="center"/>
                </w:tcPr>
                <w:p>
                  <w:pPr>
                    <w:pStyle w:val="63"/>
                    <w:snapToGrid w:val="0"/>
                    <w:spacing w:before="0"/>
                    <w:rPr>
                      <w:rFonts w:ascii="Times New Roman"/>
                      <w:sz w:val="21"/>
                      <w:szCs w:val="21"/>
                    </w:rPr>
                  </w:pPr>
                  <w:r>
                    <w:rPr>
                      <w:rFonts w:hint="eastAsia" w:ascii="Times New Roman"/>
                      <w:sz w:val="21"/>
                      <w:szCs w:val="21"/>
                    </w:rPr>
                    <w:t>污染物</w:t>
                  </w:r>
                </w:p>
              </w:tc>
              <w:tc>
                <w:tcPr>
                  <w:tcW w:w="1691" w:type="dxa"/>
                  <w:vMerge w:val="restart"/>
                  <w:vAlign w:val="center"/>
                </w:tcPr>
                <w:p>
                  <w:pPr>
                    <w:pStyle w:val="63"/>
                    <w:snapToGrid w:val="0"/>
                    <w:spacing w:before="0"/>
                    <w:rPr>
                      <w:rFonts w:ascii="Times New Roman"/>
                      <w:sz w:val="21"/>
                      <w:szCs w:val="21"/>
                    </w:rPr>
                  </w:pPr>
                  <w:r>
                    <w:rPr>
                      <w:rFonts w:hint="eastAsia" w:ascii="Times New Roman"/>
                      <w:sz w:val="21"/>
                      <w:szCs w:val="21"/>
                    </w:rPr>
                    <w:t>最高允许排放浓度</w:t>
                  </w:r>
                  <w:r>
                    <w:rPr>
                      <w:rFonts w:ascii="Times New Roman"/>
                      <w:sz w:val="21"/>
                      <w:szCs w:val="21"/>
                    </w:rPr>
                    <w:t>(mg/m</w:t>
                  </w:r>
                  <w:r>
                    <w:rPr>
                      <w:rFonts w:ascii="Times New Roman"/>
                      <w:sz w:val="21"/>
                      <w:szCs w:val="21"/>
                      <w:vertAlign w:val="superscript"/>
                    </w:rPr>
                    <w:t>3</w:t>
                  </w:r>
                  <w:r>
                    <w:rPr>
                      <w:rFonts w:ascii="Times New Roman"/>
                      <w:sz w:val="21"/>
                      <w:szCs w:val="21"/>
                    </w:rPr>
                    <w:t>)</w:t>
                  </w:r>
                </w:p>
              </w:tc>
              <w:tc>
                <w:tcPr>
                  <w:tcW w:w="2981" w:type="dxa"/>
                  <w:gridSpan w:val="2"/>
                  <w:vAlign w:val="center"/>
                </w:tcPr>
                <w:p>
                  <w:pPr>
                    <w:pStyle w:val="63"/>
                    <w:snapToGrid w:val="0"/>
                    <w:spacing w:before="0"/>
                    <w:rPr>
                      <w:rFonts w:ascii="Times New Roman"/>
                      <w:sz w:val="21"/>
                      <w:szCs w:val="21"/>
                    </w:rPr>
                  </w:pPr>
                  <w:r>
                    <w:rPr>
                      <w:rFonts w:hint="eastAsia" w:ascii="Times New Roman"/>
                      <w:sz w:val="21"/>
                      <w:szCs w:val="21"/>
                    </w:rPr>
                    <w:t>无组织排放监控浓度限值</w:t>
                  </w:r>
                  <w:r>
                    <w:rPr>
                      <w:rFonts w:ascii="Times New Roman"/>
                      <w:sz w:val="21"/>
                      <w:szCs w:val="21"/>
                    </w:rPr>
                    <w:t>(mg/m</w:t>
                  </w:r>
                  <w:r>
                    <w:rPr>
                      <w:rFonts w:ascii="Times New Roman"/>
                      <w:sz w:val="21"/>
                      <w:szCs w:val="21"/>
                      <w:vertAlign w:val="superscript"/>
                    </w:rPr>
                    <w:t>3</w:t>
                  </w:r>
                  <w:r>
                    <w:rPr>
                      <w:rFonts w:ascii="Times New Roman"/>
                      <w:sz w:val="21"/>
                      <w:szCs w:val="21"/>
                    </w:rPr>
                    <w:t>)</w:t>
                  </w:r>
                </w:p>
              </w:tc>
              <w:tc>
                <w:tcPr>
                  <w:tcW w:w="2306" w:type="dxa"/>
                  <w:vMerge w:val="restart"/>
                  <w:vAlign w:val="center"/>
                </w:tcPr>
                <w:p>
                  <w:pPr>
                    <w:pStyle w:val="63"/>
                    <w:snapToGrid w:val="0"/>
                    <w:spacing w:before="0"/>
                    <w:rPr>
                      <w:rFonts w:ascii="Times New Roman"/>
                      <w:sz w:val="21"/>
                      <w:szCs w:val="21"/>
                    </w:rPr>
                  </w:pPr>
                  <w:r>
                    <w:rPr>
                      <w:rFonts w:hint="eastAsia" w:ascii="Times New Roman"/>
                      <w:sz w:val="21"/>
                      <w:szCs w:val="21"/>
                    </w:rPr>
                    <w:t>污染物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04" w:type="dxa"/>
                  <w:vMerge w:val="continue"/>
                  <w:vAlign w:val="center"/>
                </w:tcPr>
                <w:p>
                  <w:pPr>
                    <w:pStyle w:val="63"/>
                    <w:snapToGrid w:val="0"/>
                    <w:spacing w:before="0"/>
                    <w:rPr>
                      <w:rFonts w:ascii="Times New Roman"/>
                      <w:sz w:val="21"/>
                      <w:szCs w:val="21"/>
                    </w:rPr>
                  </w:pPr>
                </w:p>
              </w:tc>
              <w:tc>
                <w:tcPr>
                  <w:tcW w:w="1691" w:type="dxa"/>
                  <w:vMerge w:val="continue"/>
                  <w:vAlign w:val="center"/>
                </w:tcPr>
                <w:p>
                  <w:pPr>
                    <w:pStyle w:val="63"/>
                    <w:snapToGrid w:val="0"/>
                    <w:spacing w:before="0"/>
                    <w:rPr>
                      <w:rFonts w:ascii="Times New Roman"/>
                      <w:sz w:val="21"/>
                      <w:szCs w:val="21"/>
                    </w:rPr>
                  </w:pPr>
                </w:p>
              </w:tc>
              <w:tc>
                <w:tcPr>
                  <w:tcW w:w="1901" w:type="dxa"/>
                  <w:vAlign w:val="center"/>
                </w:tcPr>
                <w:p>
                  <w:pPr>
                    <w:pStyle w:val="63"/>
                    <w:snapToGrid w:val="0"/>
                    <w:spacing w:before="0"/>
                    <w:rPr>
                      <w:rFonts w:ascii="Times New Roman"/>
                      <w:sz w:val="21"/>
                      <w:szCs w:val="21"/>
                    </w:rPr>
                  </w:pPr>
                  <w:r>
                    <w:rPr>
                      <w:rFonts w:hint="eastAsia" w:ascii="Times New Roman"/>
                      <w:sz w:val="21"/>
                      <w:szCs w:val="21"/>
                    </w:rPr>
                    <w:t>监控点</w:t>
                  </w:r>
                </w:p>
              </w:tc>
              <w:tc>
                <w:tcPr>
                  <w:tcW w:w="1080" w:type="dxa"/>
                  <w:vAlign w:val="center"/>
                </w:tcPr>
                <w:p>
                  <w:pPr>
                    <w:pStyle w:val="63"/>
                    <w:snapToGrid w:val="0"/>
                    <w:spacing w:before="0"/>
                    <w:rPr>
                      <w:rFonts w:ascii="Times New Roman"/>
                      <w:sz w:val="21"/>
                      <w:szCs w:val="21"/>
                    </w:rPr>
                  </w:pPr>
                  <w:r>
                    <w:rPr>
                      <w:rFonts w:hint="eastAsia" w:ascii="Times New Roman"/>
                      <w:sz w:val="21"/>
                      <w:szCs w:val="21"/>
                    </w:rPr>
                    <w:t>浓度</w:t>
                  </w:r>
                </w:p>
              </w:tc>
              <w:tc>
                <w:tcPr>
                  <w:tcW w:w="2306" w:type="dxa"/>
                  <w:vMerge w:val="continue"/>
                  <w:vAlign w:val="center"/>
                </w:tcPr>
                <w:p>
                  <w:pPr>
                    <w:pStyle w:val="63"/>
                    <w:snapToGrid w:val="0"/>
                    <w:spacing w:before="0"/>
                    <w:rPr>
                      <w:rFonts w:ascii="Times New Roman"/>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1504" w:type="dxa"/>
                  <w:vAlign w:val="center"/>
                </w:tcPr>
                <w:p>
                  <w:pPr>
                    <w:pStyle w:val="63"/>
                    <w:snapToGrid w:val="0"/>
                    <w:spacing w:before="0"/>
                    <w:rPr>
                      <w:rFonts w:ascii="Times New Roman"/>
                      <w:kern w:val="2"/>
                      <w:sz w:val="21"/>
                      <w:szCs w:val="21"/>
                    </w:rPr>
                  </w:pPr>
                  <w:r>
                    <w:rPr>
                      <w:rFonts w:hint="eastAsia" w:ascii="Times New Roman"/>
                      <w:kern w:val="2"/>
                      <w:sz w:val="21"/>
                      <w:szCs w:val="21"/>
                    </w:rPr>
                    <w:t>颗粒物</w:t>
                  </w:r>
                </w:p>
              </w:tc>
              <w:tc>
                <w:tcPr>
                  <w:tcW w:w="1691" w:type="dxa"/>
                  <w:vAlign w:val="center"/>
                </w:tcPr>
                <w:p>
                  <w:pPr>
                    <w:pStyle w:val="63"/>
                    <w:snapToGrid w:val="0"/>
                    <w:spacing w:before="0"/>
                    <w:rPr>
                      <w:rFonts w:ascii="Times New Roman"/>
                      <w:kern w:val="2"/>
                      <w:sz w:val="21"/>
                      <w:szCs w:val="21"/>
                    </w:rPr>
                  </w:pPr>
                  <w:r>
                    <w:rPr>
                      <w:rFonts w:ascii="Times New Roman"/>
                      <w:kern w:val="2"/>
                      <w:sz w:val="21"/>
                      <w:szCs w:val="21"/>
                    </w:rPr>
                    <w:t>120</w:t>
                  </w:r>
                </w:p>
              </w:tc>
              <w:tc>
                <w:tcPr>
                  <w:tcW w:w="1901" w:type="dxa"/>
                  <w:vAlign w:val="center"/>
                </w:tcPr>
                <w:p>
                  <w:pPr>
                    <w:pStyle w:val="63"/>
                    <w:snapToGrid w:val="0"/>
                    <w:spacing w:before="0"/>
                    <w:rPr>
                      <w:rFonts w:ascii="Times New Roman"/>
                      <w:kern w:val="2"/>
                      <w:sz w:val="21"/>
                      <w:szCs w:val="21"/>
                    </w:rPr>
                  </w:pPr>
                  <w:r>
                    <w:rPr>
                      <w:rFonts w:hint="eastAsia" w:ascii="Times New Roman"/>
                      <w:sz w:val="21"/>
                      <w:szCs w:val="21"/>
                    </w:rPr>
                    <w:t>周界外浓度最高点</w:t>
                  </w:r>
                </w:p>
              </w:tc>
              <w:tc>
                <w:tcPr>
                  <w:tcW w:w="1080" w:type="dxa"/>
                  <w:vAlign w:val="center"/>
                </w:tcPr>
                <w:p>
                  <w:pPr>
                    <w:pStyle w:val="63"/>
                    <w:snapToGrid w:val="0"/>
                    <w:spacing w:before="0"/>
                    <w:rPr>
                      <w:rFonts w:ascii="Times New Roman"/>
                      <w:kern w:val="2"/>
                      <w:sz w:val="21"/>
                      <w:szCs w:val="21"/>
                    </w:rPr>
                  </w:pPr>
                  <w:r>
                    <w:rPr>
                      <w:rFonts w:ascii="Times New Roman"/>
                      <w:kern w:val="2"/>
                      <w:sz w:val="21"/>
                      <w:szCs w:val="21"/>
                    </w:rPr>
                    <w:t>1.0</w:t>
                  </w:r>
                </w:p>
              </w:tc>
              <w:tc>
                <w:tcPr>
                  <w:tcW w:w="2306" w:type="dxa"/>
                  <w:vAlign w:val="center"/>
                </w:tcPr>
                <w:p>
                  <w:pPr>
                    <w:pStyle w:val="63"/>
                    <w:snapToGrid w:val="0"/>
                    <w:spacing w:before="0"/>
                    <w:rPr>
                      <w:rFonts w:ascii="Times New Roman"/>
                      <w:sz w:val="21"/>
                      <w:szCs w:val="21"/>
                    </w:rPr>
                  </w:pPr>
                  <w:r>
                    <w:rPr>
                      <w:rFonts w:hint="eastAsia" w:ascii="Times New Roman"/>
                      <w:kern w:val="2"/>
                      <w:sz w:val="21"/>
                      <w:szCs w:val="21"/>
                    </w:rPr>
                    <w:t>颗粒物</w:t>
                  </w:r>
                </w:p>
              </w:tc>
            </w:tr>
          </w:tbl>
          <w:p>
            <w:pPr>
              <w:tabs>
                <w:tab w:val="left" w:pos="540"/>
                <w:tab w:val="left" w:pos="900"/>
                <w:tab w:val="left" w:pos="3780"/>
              </w:tabs>
              <w:adjustRightInd w:val="0"/>
              <w:snapToGrid w:val="0"/>
              <w:spacing w:line="360" w:lineRule="auto"/>
              <w:rPr>
                <w:b/>
                <w:sz w:val="24"/>
              </w:rPr>
            </w:pPr>
            <w:r>
              <w:rPr>
                <w:rFonts w:hint="eastAsia"/>
                <w:b/>
                <w:bCs/>
                <w:sz w:val="24"/>
              </w:rPr>
              <w:t>2、</w:t>
            </w:r>
            <w:r>
              <w:rPr>
                <w:b/>
                <w:sz w:val="24"/>
              </w:rPr>
              <w:t>废水</w:t>
            </w:r>
          </w:p>
          <w:p>
            <w:pPr>
              <w:spacing w:line="360" w:lineRule="auto"/>
              <w:ind w:firstLine="480" w:firstLineChars="200"/>
              <w:rPr>
                <w:color w:val="FF0000"/>
                <w:sz w:val="24"/>
              </w:rPr>
            </w:pPr>
            <w:r>
              <w:rPr>
                <w:rFonts w:hint="eastAsia" w:hAnsi="宋体"/>
                <w:color w:val="FF0000"/>
                <w:sz w:val="24"/>
                <w:szCs w:val="24"/>
              </w:rPr>
              <w:t>项目产生的</w:t>
            </w:r>
            <w:r>
              <w:rPr>
                <w:rFonts w:hint="eastAsia" w:hAnsi="宋体"/>
                <w:bCs/>
                <w:color w:val="FF0000"/>
                <w:sz w:val="24"/>
                <w:szCs w:val="24"/>
              </w:rPr>
              <w:t>生活污水经化粪池预处理后</w:t>
            </w:r>
            <w:r>
              <w:rPr>
                <w:rFonts w:hint="eastAsia"/>
                <w:color w:val="FF0000"/>
                <w:sz w:val="24"/>
              </w:rPr>
              <w:t>进入园区污水管网，最后进淮南首创第一污水处理厂</w:t>
            </w:r>
            <w:r>
              <w:rPr>
                <w:color w:val="FF0000"/>
                <w:sz w:val="24"/>
              </w:rPr>
              <w:t>进一步处理</w:t>
            </w:r>
            <w:r>
              <w:rPr>
                <w:rFonts w:hint="eastAsia"/>
                <w:color w:val="FF0000"/>
                <w:sz w:val="24"/>
              </w:rPr>
              <w:t>，</w:t>
            </w:r>
            <w:r>
              <w:rPr>
                <w:rFonts w:hint="eastAsia" w:hAnsi="宋体"/>
                <w:color w:val="FF0000"/>
                <w:sz w:val="24"/>
                <w:szCs w:val="24"/>
              </w:rPr>
              <w:t>污水排放执行</w:t>
            </w:r>
            <w:r>
              <w:rPr>
                <w:rFonts w:hint="eastAsia"/>
                <w:color w:val="FF0000"/>
                <w:sz w:val="24"/>
              </w:rPr>
              <w:t>《污水排入城镇下水道水质标准》（GB/T 31962-2015）中B等级放标准，标准值</w:t>
            </w:r>
            <w:r>
              <w:rPr>
                <w:color w:val="FF0000"/>
                <w:sz w:val="24"/>
              </w:rPr>
              <w:t>详见表1</w:t>
            </w:r>
            <w:r>
              <w:rPr>
                <w:rFonts w:hint="eastAsia"/>
                <w:color w:val="FF0000"/>
                <w:sz w:val="24"/>
              </w:rPr>
              <w:t>5。</w:t>
            </w:r>
          </w:p>
          <w:p>
            <w:pPr>
              <w:snapToGrid w:val="0"/>
              <w:jc w:val="center"/>
              <w:rPr>
                <w:rFonts w:hAnsi="宋体"/>
                <w:b/>
                <w:szCs w:val="21"/>
              </w:rPr>
            </w:pPr>
            <w:r>
              <w:rPr>
                <w:rFonts w:hAnsi="宋体"/>
                <w:b/>
                <w:szCs w:val="21"/>
              </w:rPr>
              <w:t>表1</w:t>
            </w:r>
            <w:r>
              <w:rPr>
                <w:rFonts w:hint="eastAsia" w:hAnsi="宋体"/>
                <w:b/>
                <w:szCs w:val="21"/>
              </w:rPr>
              <w:t>5</w:t>
            </w:r>
            <w:r>
              <w:rPr>
                <w:rFonts w:hAnsi="宋体"/>
                <w:b/>
                <w:szCs w:val="21"/>
              </w:rPr>
              <w:t xml:space="preserve">污水综合排放标准限值  </w:t>
            </w:r>
            <w:r>
              <w:rPr>
                <w:rFonts w:hint="eastAsia" w:hAnsi="宋体"/>
                <w:b/>
                <w:szCs w:val="21"/>
              </w:rPr>
              <w:t>单位：</w:t>
            </w:r>
            <w:r>
              <w:rPr>
                <w:rFonts w:hAnsi="宋体"/>
                <w:b/>
                <w:szCs w:val="21"/>
              </w:rPr>
              <w:t>mg/L，pH值除外</w:t>
            </w:r>
          </w:p>
          <w:tbl>
            <w:tblPr>
              <w:tblStyle w:val="30"/>
              <w:tblW w:w="0" w:type="auto"/>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2003"/>
              <w:gridCol w:w="1569"/>
              <w:gridCol w:w="492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szCs w:val="21"/>
                    </w:rPr>
                    <w:t>项目</w:t>
                  </w:r>
                </w:p>
              </w:tc>
              <w:tc>
                <w:tcPr>
                  <w:tcW w:w="1569" w:type="dxa"/>
                  <w:vAlign w:val="center"/>
                </w:tcPr>
                <w:p>
                  <w:pPr>
                    <w:tabs>
                      <w:tab w:val="left" w:pos="540"/>
                      <w:tab w:val="left" w:pos="900"/>
                      <w:tab w:val="left" w:pos="3780"/>
                    </w:tabs>
                    <w:adjustRightInd w:val="0"/>
                    <w:snapToGrid w:val="0"/>
                    <w:jc w:val="center"/>
                    <w:rPr>
                      <w:szCs w:val="21"/>
                    </w:rPr>
                  </w:pPr>
                  <w:r>
                    <w:rPr>
                      <w:szCs w:val="21"/>
                    </w:rPr>
                    <w:t>标准值</w:t>
                  </w:r>
                </w:p>
              </w:tc>
              <w:tc>
                <w:tcPr>
                  <w:tcW w:w="4920" w:type="dxa"/>
                  <w:vAlign w:val="center"/>
                </w:tcPr>
                <w:p>
                  <w:pPr>
                    <w:tabs>
                      <w:tab w:val="left" w:pos="540"/>
                      <w:tab w:val="left" w:pos="900"/>
                      <w:tab w:val="left" w:pos="3780"/>
                    </w:tabs>
                    <w:adjustRightInd w:val="0"/>
                    <w:snapToGrid w:val="0"/>
                    <w:jc w:val="center"/>
                    <w:rPr>
                      <w:szCs w:val="21"/>
                    </w:rPr>
                  </w:pPr>
                  <w:r>
                    <w:rPr>
                      <w:szCs w:val="21"/>
                    </w:rPr>
                    <w:t>标准来源</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szCs w:val="21"/>
                    </w:rPr>
                    <w:t>pH</w:t>
                  </w:r>
                </w:p>
              </w:tc>
              <w:tc>
                <w:tcPr>
                  <w:tcW w:w="1569" w:type="dxa"/>
                  <w:vAlign w:val="center"/>
                </w:tcPr>
                <w:p>
                  <w:pPr>
                    <w:tabs>
                      <w:tab w:val="left" w:pos="540"/>
                      <w:tab w:val="left" w:pos="900"/>
                      <w:tab w:val="left" w:pos="3780"/>
                    </w:tabs>
                    <w:adjustRightInd w:val="0"/>
                    <w:snapToGrid w:val="0"/>
                    <w:jc w:val="center"/>
                    <w:rPr>
                      <w:szCs w:val="21"/>
                    </w:rPr>
                  </w:pPr>
                  <w:r>
                    <w:rPr>
                      <w:szCs w:val="21"/>
                    </w:rPr>
                    <w:t>6～9</w:t>
                  </w:r>
                </w:p>
              </w:tc>
              <w:tc>
                <w:tcPr>
                  <w:tcW w:w="4920" w:type="dxa"/>
                  <w:vMerge w:val="restart"/>
                  <w:vAlign w:val="center"/>
                </w:tcPr>
                <w:p>
                  <w:pPr>
                    <w:tabs>
                      <w:tab w:val="left" w:pos="540"/>
                      <w:tab w:val="left" w:pos="900"/>
                      <w:tab w:val="left" w:pos="3780"/>
                    </w:tabs>
                    <w:adjustRightInd w:val="0"/>
                    <w:snapToGrid w:val="0"/>
                    <w:jc w:val="center"/>
                    <w:rPr>
                      <w:szCs w:val="21"/>
                    </w:rPr>
                  </w:pPr>
                  <w:r>
                    <w:rPr>
                      <w:szCs w:val="21"/>
                    </w:rPr>
                    <w:t>《</w:t>
                  </w:r>
                  <w:r>
                    <w:rPr>
                      <w:rFonts w:hint="eastAsia"/>
                      <w:szCs w:val="21"/>
                    </w:rPr>
                    <w:t>污水排入城镇下水道水质标准</w:t>
                  </w:r>
                  <w:r>
                    <w:rPr>
                      <w:szCs w:val="21"/>
                    </w:rPr>
                    <w:t>》（</w:t>
                  </w:r>
                  <w:r>
                    <w:rPr>
                      <w:rFonts w:hint="eastAsia"/>
                      <w:szCs w:val="21"/>
                    </w:rPr>
                    <w:t>GB/T 31962-2015</w:t>
                  </w:r>
                  <w:r>
                    <w:rPr>
                      <w:szCs w:val="21"/>
                    </w:rPr>
                    <w:t>）中</w:t>
                  </w:r>
                  <w:r>
                    <w:rPr>
                      <w:rFonts w:hint="eastAsia"/>
                      <w:szCs w:val="21"/>
                    </w:rPr>
                    <w:t>B等级排</w:t>
                  </w:r>
                  <w:r>
                    <w:rPr>
                      <w:szCs w:val="21"/>
                    </w:rPr>
                    <w:t>放标准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szCs w:val="21"/>
                    </w:rPr>
                    <w:t>COD</w:t>
                  </w:r>
                  <w:r>
                    <w:rPr>
                      <w:rFonts w:hint="eastAsia"/>
                      <w:szCs w:val="21"/>
                      <w:vertAlign w:val="subscript"/>
                    </w:rPr>
                    <w:t>Cr</w:t>
                  </w:r>
                </w:p>
              </w:tc>
              <w:tc>
                <w:tcPr>
                  <w:tcW w:w="1569" w:type="dxa"/>
                  <w:vAlign w:val="center"/>
                </w:tcPr>
                <w:p>
                  <w:pPr>
                    <w:tabs>
                      <w:tab w:val="left" w:pos="540"/>
                      <w:tab w:val="left" w:pos="900"/>
                      <w:tab w:val="left" w:pos="3780"/>
                    </w:tabs>
                    <w:adjustRightInd w:val="0"/>
                    <w:snapToGrid w:val="0"/>
                    <w:jc w:val="center"/>
                    <w:rPr>
                      <w:szCs w:val="21"/>
                    </w:rPr>
                  </w:pPr>
                  <w:r>
                    <w:rPr>
                      <w:rFonts w:hint="eastAsia"/>
                      <w:szCs w:val="21"/>
                    </w:rPr>
                    <w:t>≤500</w:t>
                  </w:r>
                </w:p>
              </w:tc>
              <w:tc>
                <w:tcPr>
                  <w:tcW w:w="4920" w:type="dxa"/>
                  <w:vMerge w:val="continue"/>
                  <w:vAlign w:val="center"/>
                </w:tcPr>
                <w:p>
                  <w:pPr>
                    <w:tabs>
                      <w:tab w:val="left" w:pos="540"/>
                      <w:tab w:val="left" w:pos="900"/>
                      <w:tab w:val="left" w:pos="3780"/>
                    </w:tabs>
                    <w:adjustRightInd w:val="0"/>
                    <w:snapToGrid w:val="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rFonts w:hint="eastAsia"/>
                      <w:szCs w:val="21"/>
                    </w:rPr>
                    <w:t>BOD</w:t>
                  </w:r>
                  <w:r>
                    <w:rPr>
                      <w:rFonts w:hint="eastAsia"/>
                      <w:szCs w:val="21"/>
                      <w:vertAlign w:val="subscript"/>
                    </w:rPr>
                    <w:t>5</w:t>
                  </w:r>
                </w:p>
              </w:tc>
              <w:tc>
                <w:tcPr>
                  <w:tcW w:w="1569" w:type="dxa"/>
                  <w:vAlign w:val="center"/>
                </w:tcPr>
                <w:p>
                  <w:pPr>
                    <w:tabs>
                      <w:tab w:val="left" w:pos="540"/>
                      <w:tab w:val="left" w:pos="900"/>
                      <w:tab w:val="left" w:pos="3780"/>
                    </w:tabs>
                    <w:adjustRightInd w:val="0"/>
                    <w:snapToGrid w:val="0"/>
                    <w:jc w:val="center"/>
                    <w:rPr>
                      <w:szCs w:val="21"/>
                    </w:rPr>
                  </w:pPr>
                  <w:r>
                    <w:rPr>
                      <w:rFonts w:hint="eastAsia"/>
                      <w:szCs w:val="21"/>
                    </w:rPr>
                    <w:t>≤350</w:t>
                  </w:r>
                </w:p>
              </w:tc>
              <w:tc>
                <w:tcPr>
                  <w:tcW w:w="4920" w:type="dxa"/>
                  <w:vMerge w:val="continue"/>
                  <w:vAlign w:val="center"/>
                </w:tcPr>
                <w:p>
                  <w:pPr>
                    <w:tabs>
                      <w:tab w:val="left" w:pos="540"/>
                      <w:tab w:val="left" w:pos="900"/>
                      <w:tab w:val="left" w:pos="3780"/>
                    </w:tabs>
                    <w:adjustRightInd w:val="0"/>
                    <w:snapToGrid w:val="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szCs w:val="21"/>
                    </w:rPr>
                    <w:t>SS</w:t>
                  </w:r>
                </w:p>
              </w:tc>
              <w:tc>
                <w:tcPr>
                  <w:tcW w:w="1569" w:type="dxa"/>
                  <w:vAlign w:val="center"/>
                </w:tcPr>
                <w:p>
                  <w:pPr>
                    <w:tabs>
                      <w:tab w:val="left" w:pos="540"/>
                      <w:tab w:val="left" w:pos="900"/>
                      <w:tab w:val="left" w:pos="3780"/>
                    </w:tabs>
                    <w:adjustRightInd w:val="0"/>
                    <w:snapToGrid w:val="0"/>
                    <w:jc w:val="center"/>
                    <w:rPr>
                      <w:szCs w:val="21"/>
                    </w:rPr>
                  </w:pPr>
                  <w:r>
                    <w:rPr>
                      <w:rFonts w:hint="eastAsia"/>
                      <w:szCs w:val="21"/>
                    </w:rPr>
                    <w:t>≤400</w:t>
                  </w:r>
                </w:p>
              </w:tc>
              <w:tc>
                <w:tcPr>
                  <w:tcW w:w="4920" w:type="dxa"/>
                  <w:vMerge w:val="continue"/>
                  <w:vAlign w:val="center"/>
                </w:tcPr>
                <w:p>
                  <w:pPr>
                    <w:tabs>
                      <w:tab w:val="left" w:pos="540"/>
                      <w:tab w:val="left" w:pos="900"/>
                      <w:tab w:val="left" w:pos="3780"/>
                    </w:tabs>
                    <w:adjustRightInd w:val="0"/>
                    <w:snapToGrid w:val="0"/>
                    <w:jc w:val="center"/>
                    <w:rPr>
                      <w:szCs w:val="21"/>
                    </w:rP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c>
                <w:tcPr>
                  <w:tcW w:w="2003" w:type="dxa"/>
                  <w:vAlign w:val="center"/>
                </w:tcPr>
                <w:p>
                  <w:pPr>
                    <w:tabs>
                      <w:tab w:val="left" w:pos="540"/>
                      <w:tab w:val="left" w:pos="900"/>
                      <w:tab w:val="left" w:pos="3780"/>
                    </w:tabs>
                    <w:adjustRightInd w:val="0"/>
                    <w:snapToGrid w:val="0"/>
                    <w:jc w:val="center"/>
                    <w:rPr>
                      <w:szCs w:val="21"/>
                    </w:rPr>
                  </w:pPr>
                  <w:r>
                    <w:rPr>
                      <w:szCs w:val="21"/>
                    </w:rPr>
                    <w:t>NH</w:t>
                  </w:r>
                  <w:r>
                    <w:rPr>
                      <w:szCs w:val="21"/>
                      <w:vertAlign w:val="subscript"/>
                    </w:rPr>
                    <w:t>3</w:t>
                  </w:r>
                  <w:r>
                    <w:rPr>
                      <w:szCs w:val="21"/>
                    </w:rPr>
                    <w:t>-N</w:t>
                  </w:r>
                </w:p>
              </w:tc>
              <w:tc>
                <w:tcPr>
                  <w:tcW w:w="1569" w:type="dxa"/>
                  <w:vAlign w:val="center"/>
                </w:tcPr>
                <w:p>
                  <w:pPr>
                    <w:tabs>
                      <w:tab w:val="left" w:pos="540"/>
                      <w:tab w:val="left" w:pos="900"/>
                      <w:tab w:val="left" w:pos="3780"/>
                    </w:tabs>
                    <w:adjustRightInd w:val="0"/>
                    <w:snapToGrid w:val="0"/>
                    <w:jc w:val="center"/>
                    <w:rPr>
                      <w:szCs w:val="21"/>
                    </w:rPr>
                  </w:pPr>
                  <w:r>
                    <w:rPr>
                      <w:rFonts w:hint="eastAsia"/>
                      <w:szCs w:val="21"/>
                    </w:rPr>
                    <w:t>≤45</w:t>
                  </w:r>
                </w:p>
              </w:tc>
              <w:tc>
                <w:tcPr>
                  <w:tcW w:w="4920" w:type="dxa"/>
                  <w:vMerge w:val="continue"/>
                  <w:vAlign w:val="center"/>
                </w:tcPr>
                <w:p>
                  <w:pPr>
                    <w:tabs>
                      <w:tab w:val="left" w:pos="540"/>
                      <w:tab w:val="left" w:pos="900"/>
                      <w:tab w:val="left" w:pos="3780"/>
                    </w:tabs>
                    <w:adjustRightInd w:val="0"/>
                    <w:snapToGrid w:val="0"/>
                    <w:jc w:val="center"/>
                    <w:rPr>
                      <w:szCs w:val="21"/>
                    </w:rPr>
                  </w:pPr>
                </w:p>
              </w:tc>
            </w:tr>
          </w:tbl>
          <w:p>
            <w:pPr>
              <w:adjustRightInd w:val="0"/>
              <w:snapToGrid w:val="0"/>
              <w:spacing w:line="360" w:lineRule="auto"/>
              <w:rPr>
                <w:b/>
                <w:sz w:val="24"/>
              </w:rPr>
            </w:pPr>
            <w:r>
              <w:rPr>
                <w:rFonts w:hint="eastAsia"/>
                <w:b/>
                <w:sz w:val="24"/>
              </w:rPr>
              <w:t>3、噪声</w:t>
            </w:r>
          </w:p>
          <w:p>
            <w:pPr>
              <w:spacing w:line="360" w:lineRule="auto"/>
              <w:ind w:firstLine="480" w:firstLineChars="200"/>
              <w:rPr>
                <w:sz w:val="24"/>
              </w:rPr>
            </w:pPr>
            <w:r>
              <w:rPr>
                <w:sz w:val="24"/>
              </w:rPr>
              <w:t>本项目营运期</w:t>
            </w:r>
            <w:r>
              <w:rPr>
                <w:rFonts w:hint="eastAsia"/>
                <w:sz w:val="24"/>
              </w:rPr>
              <w:t>项目区</w:t>
            </w:r>
            <w:r>
              <w:rPr>
                <w:sz w:val="24"/>
              </w:rPr>
              <w:t>噪声执行《工业企业厂界环境噪声排放标准》</w:t>
            </w:r>
            <w:r>
              <w:rPr>
                <w:rFonts w:hint="eastAsia"/>
                <w:sz w:val="24"/>
              </w:rPr>
              <w:t>（</w:t>
            </w:r>
            <w:r>
              <w:rPr>
                <w:sz w:val="24"/>
              </w:rPr>
              <w:t>GB12348-2008</w:t>
            </w:r>
            <w:r>
              <w:rPr>
                <w:rFonts w:hint="eastAsia"/>
                <w:sz w:val="24"/>
              </w:rPr>
              <w:t>）</w:t>
            </w:r>
            <w:r>
              <w:rPr>
                <w:sz w:val="24"/>
              </w:rPr>
              <w:t>中</w:t>
            </w:r>
            <w:r>
              <w:rPr>
                <w:rFonts w:hint="eastAsia"/>
                <w:sz w:val="24"/>
              </w:rPr>
              <w:t>3</w:t>
            </w:r>
            <w:r>
              <w:rPr>
                <w:sz w:val="24"/>
              </w:rPr>
              <w:t>类标准</w:t>
            </w:r>
            <w:r>
              <w:rPr>
                <w:rFonts w:hint="eastAsia"/>
                <w:sz w:val="24"/>
              </w:rPr>
              <w:t>，</w:t>
            </w:r>
            <w:r>
              <w:rPr>
                <w:sz w:val="24"/>
              </w:rPr>
              <w:t>准详见表1</w:t>
            </w:r>
            <w:r>
              <w:rPr>
                <w:rFonts w:hint="eastAsia"/>
                <w:sz w:val="24"/>
              </w:rPr>
              <w:t>6。</w:t>
            </w:r>
          </w:p>
          <w:p>
            <w:pPr>
              <w:pStyle w:val="45"/>
              <w:snapToGrid w:val="0"/>
              <w:spacing w:line="240" w:lineRule="auto"/>
              <w:ind w:firstLine="0"/>
              <w:jc w:val="center"/>
              <w:rPr>
                <w:rFonts w:ascii="Times New Roman" w:hAnsi="Times New Roman"/>
                <w:b/>
                <w:kern w:val="0"/>
                <w:sz w:val="21"/>
                <w:szCs w:val="21"/>
              </w:rPr>
            </w:pPr>
            <w:r>
              <w:rPr>
                <w:rFonts w:ascii="Times New Roman" w:hAnsi="Times New Roman"/>
                <w:b/>
                <w:kern w:val="0"/>
                <w:sz w:val="21"/>
                <w:szCs w:val="21"/>
              </w:rPr>
              <w:t>表1</w:t>
            </w:r>
            <w:r>
              <w:rPr>
                <w:rFonts w:hint="eastAsia" w:ascii="Times New Roman" w:hAnsi="Times New Roman"/>
                <w:b/>
                <w:kern w:val="0"/>
                <w:sz w:val="21"/>
                <w:szCs w:val="21"/>
              </w:rPr>
              <w:t>6</w:t>
            </w:r>
            <w:r>
              <w:rPr>
                <w:rFonts w:ascii="Times New Roman" w:hAnsi="Times New Roman"/>
                <w:b/>
                <w:kern w:val="0"/>
                <w:sz w:val="21"/>
                <w:szCs w:val="21"/>
              </w:rPr>
              <w:t>工业企业厂界环境噪声排放标准单位：dB（A）</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7"/>
              <w:gridCol w:w="1618"/>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7" w:type="dxa"/>
                  <w:vAlign w:val="center"/>
                </w:tcPr>
                <w:p>
                  <w:pPr>
                    <w:snapToGrid w:val="0"/>
                    <w:jc w:val="center"/>
                    <w:rPr>
                      <w:szCs w:val="21"/>
                    </w:rPr>
                  </w:pPr>
                  <w:r>
                    <w:rPr>
                      <w:szCs w:val="21"/>
                    </w:rPr>
                    <w:t>标准</w:t>
                  </w:r>
                </w:p>
              </w:tc>
              <w:tc>
                <w:tcPr>
                  <w:tcW w:w="1618" w:type="dxa"/>
                  <w:vAlign w:val="center"/>
                </w:tcPr>
                <w:p>
                  <w:pPr>
                    <w:snapToGrid w:val="0"/>
                    <w:jc w:val="center"/>
                    <w:rPr>
                      <w:szCs w:val="21"/>
                    </w:rPr>
                  </w:pPr>
                  <w:r>
                    <w:rPr>
                      <w:szCs w:val="21"/>
                    </w:rPr>
                    <w:t>昼间</w:t>
                  </w:r>
                </w:p>
              </w:tc>
              <w:tc>
                <w:tcPr>
                  <w:tcW w:w="2123" w:type="dxa"/>
                  <w:vAlign w:val="center"/>
                </w:tcPr>
                <w:p>
                  <w:pPr>
                    <w:snapToGrid w:val="0"/>
                    <w:jc w:val="center"/>
                    <w:rPr>
                      <w:szCs w:val="21"/>
                    </w:rPr>
                  </w:pPr>
                  <w:r>
                    <w:rPr>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747" w:type="dxa"/>
                  <w:vAlign w:val="center"/>
                </w:tcPr>
                <w:p>
                  <w:pPr>
                    <w:snapToGrid w:val="0"/>
                    <w:jc w:val="center"/>
                    <w:rPr>
                      <w:szCs w:val="21"/>
                    </w:rPr>
                  </w:pPr>
                  <w:r>
                    <w:rPr>
                      <w:szCs w:val="21"/>
                    </w:rPr>
                    <w:t>《工业企业厂界环境噪声排放标准》</w:t>
                  </w:r>
                  <w:r>
                    <w:rPr>
                      <w:rFonts w:hint="eastAsia"/>
                      <w:szCs w:val="21"/>
                    </w:rPr>
                    <w:t>3</w:t>
                  </w:r>
                  <w:r>
                    <w:rPr>
                      <w:szCs w:val="21"/>
                    </w:rPr>
                    <w:t>类</w:t>
                  </w:r>
                </w:p>
              </w:tc>
              <w:tc>
                <w:tcPr>
                  <w:tcW w:w="1618" w:type="dxa"/>
                  <w:vAlign w:val="center"/>
                </w:tcPr>
                <w:p>
                  <w:pPr>
                    <w:snapToGrid w:val="0"/>
                    <w:jc w:val="center"/>
                    <w:rPr>
                      <w:szCs w:val="21"/>
                    </w:rPr>
                  </w:pPr>
                  <w:r>
                    <w:rPr>
                      <w:szCs w:val="21"/>
                    </w:rPr>
                    <w:t>6</w:t>
                  </w:r>
                  <w:r>
                    <w:rPr>
                      <w:rFonts w:hint="eastAsia"/>
                      <w:szCs w:val="21"/>
                    </w:rPr>
                    <w:t>5</w:t>
                  </w:r>
                </w:p>
              </w:tc>
              <w:tc>
                <w:tcPr>
                  <w:tcW w:w="2123" w:type="dxa"/>
                  <w:vAlign w:val="center"/>
                </w:tcPr>
                <w:p>
                  <w:pPr>
                    <w:snapToGrid w:val="0"/>
                    <w:jc w:val="center"/>
                    <w:rPr>
                      <w:szCs w:val="21"/>
                    </w:rPr>
                  </w:pPr>
                  <w:r>
                    <w:rPr>
                      <w:szCs w:val="21"/>
                    </w:rPr>
                    <w:t>5</w:t>
                  </w:r>
                  <w:r>
                    <w:rPr>
                      <w:rFonts w:hint="eastAsia"/>
                      <w:szCs w:val="21"/>
                    </w:rPr>
                    <w:t>5</w:t>
                  </w:r>
                </w:p>
              </w:tc>
            </w:tr>
          </w:tbl>
          <w:p>
            <w:pPr>
              <w:adjustRightInd w:val="0"/>
              <w:snapToGrid w:val="0"/>
              <w:spacing w:line="360" w:lineRule="auto"/>
              <w:rPr>
                <w:b/>
                <w:sz w:val="24"/>
              </w:rPr>
            </w:pPr>
            <w:r>
              <w:rPr>
                <w:rFonts w:hint="eastAsia"/>
                <w:b/>
                <w:sz w:val="24"/>
              </w:rPr>
              <w:t>4、固体废物</w:t>
            </w:r>
          </w:p>
          <w:p>
            <w:pPr>
              <w:snapToGrid w:val="0"/>
              <w:spacing w:line="360" w:lineRule="auto"/>
              <w:ind w:firstLine="540" w:firstLineChars="225"/>
              <w:rPr>
                <w:bCs/>
                <w:sz w:val="24"/>
              </w:rPr>
            </w:pPr>
            <w:r>
              <w:rPr>
                <w:sz w:val="24"/>
              </w:rPr>
              <w:t>固体废物处置执行《一般工业固体废物贮存、处置场污染控制标准》</w:t>
            </w:r>
            <w:r>
              <w:rPr>
                <w:rFonts w:hint="eastAsia"/>
                <w:sz w:val="24"/>
              </w:rPr>
              <w:t>（</w:t>
            </w:r>
            <w:r>
              <w:rPr>
                <w:sz w:val="24"/>
              </w:rPr>
              <w:t>GB18599</w:t>
            </w:r>
            <w:r>
              <w:rPr>
                <w:rFonts w:hint="eastAsia"/>
                <w:sz w:val="24"/>
              </w:rPr>
              <w:t>-</w:t>
            </w:r>
            <w:r>
              <w:rPr>
                <w:sz w:val="24"/>
              </w:rPr>
              <w:t>2001</w:t>
            </w:r>
            <w:r>
              <w:rPr>
                <w:rFonts w:hint="eastAsia"/>
                <w:sz w:val="24"/>
              </w:rPr>
              <w:t>））</w:t>
            </w:r>
            <w:r>
              <w:rPr>
                <w:sz w:val="24"/>
              </w:rPr>
              <w:t>和《危险废物贮存污染控制标准》</w:t>
            </w:r>
            <w:r>
              <w:rPr>
                <w:rFonts w:hint="eastAsia"/>
                <w:sz w:val="24"/>
              </w:rPr>
              <w:t>（</w:t>
            </w:r>
            <w:r>
              <w:rPr>
                <w:sz w:val="24"/>
              </w:rPr>
              <w:t>GB18597</w:t>
            </w:r>
            <w:r>
              <w:rPr>
                <w:rFonts w:hint="eastAsia"/>
                <w:sz w:val="24"/>
              </w:rPr>
              <w:t>-</w:t>
            </w:r>
            <w:r>
              <w:rPr>
                <w:sz w:val="24"/>
              </w:rPr>
              <w:t>2001</w:t>
            </w:r>
            <w:r>
              <w:rPr>
                <w:rFonts w:hint="eastAsia"/>
                <w:sz w:val="24"/>
              </w:rPr>
              <w:t>）及修改单。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jc w:val="center"/>
              <w:rPr>
                <w:sz w:val="24"/>
                <w:szCs w:val="24"/>
              </w:rPr>
            </w:pPr>
            <w:r>
              <w:rPr>
                <w:sz w:val="24"/>
                <w:szCs w:val="24"/>
              </w:rPr>
              <w:t>总量控制</w:t>
            </w:r>
          </w:p>
        </w:tc>
        <w:tc>
          <w:tcPr>
            <w:tcW w:w="8714" w:type="dxa"/>
            <w:vAlign w:val="center"/>
          </w:tcPr>
          <w:p>
            <w:pPr>
              <w:snapToGrid w:val="0"/>
              <w:spacing w:line="360" w:lineRule="auto"/>
              <w:ind w:firstLine="480" w:firstLineChars="200"/>
              <w:rPr>
                <w:rFonts w:hAnsi="宋体"/>
                <w:sz w:val="24"/>
                <w:szCs w:val="24"/>
              </w:rPr>
            </w:pPr>
            <w:r>
              <w:rPr>
                <w:rFonts w:hint="eastAsia" w:hAnsi="宋体"/>
                <w:sz w:val="24"/>
                <w:szCs w:val="24"/>
              </w:rPr>
              <w:t>根据国家环保部总量控制要求及安徽省环保厅《关于进一步加强建设项目新增大气污染物总量指标管理工作的通知》（皖环发[2017]19号），结合本项目生产特点，确定总量控制因子如下：</w:t>
            </w:r>
          </w:p>
          <w:p>
            <w:pPr>
              <w:snapToGrid w:val="0"/>
              <w:spacing w:line="360" w:lineRule="auto"/>
              <w:ind w:firstLine="480" w:firstLineChars="200"/>
              <w:rPr>
                <w:rFonts w:hAnsi="宋体"/>
                <w:sz w:val="24"/>
                <w:szCs w:val="24"/>
              </w:rPr>
            </w:pPr>
            <w:r>
              <w:rPr>
                <w:rFonts w:hint="eastAsia" w:hAnsi="宋体"/>
                <w:sz w:val="24"/>
                <w:szCs w:val="24"/>
              </w:rPr>
              <w:t>大气污染物总量控制因子：VOCs、颗粒物</w:t>
            </w:r>
          </w:p>
          <w:p>
            <w:pPr>
              <w:snapToGrid w:val="0"/>
              <w:spacing w:line="360" w:lineRule="auto"/>
              <w:ind w:firstLine="480" w:firstLineChars="200"/>
              <w:rPr>
                <w:rFonts w:hAnsi="宋体"/>
                <w:sz w:val="24"/>
                <w:szCs w:val="24"/>
              </w:rPr>
            </w:pPr>
            <w:r>
              <w:rPr>
                <w:rFonts w:hint="eastAsia" w:hAnsi="宋体"/>
                <w:sz w:val="24"/>
                <w:szCs w:val="24"/>
              </w:rPr>
              <w:t>水污染物总量控制因子：COD、NH</w:t>
            </w:r>
            <w:r>
              <w:rPr>
                <w:rFonts w:hint="eastAsia" w:hAnsi="宋体"/>
                <w:sz w:val="24"/>
                <w:szCs w:val="24"/>
                <w:vertAlign w:val="subscript"/>
              </w:rPr>
              <w:t>3</w:t>
            </w:r>
            <w:r>
              <w:rPr>
                <w:rFonts w:hint="eastAsia" w:hAnsi="宋体"/>
                <w:sz w:val="24"/>
                <w:szCs w:val="24"/>
              </w:rPr>
              <w:t>-N</w:t>
            </w:r>
          </w:p>
          <w:p>
            <w:pPr>
              <w:snapToGrid w:val="0"/>
              <w:spacing w:line="360" w:lineRule="auto"/>
              <w:ind w:firstLine="480" w:firstLineChars="200"/>
              <w:rPr>
                <w:b/>
                <w:sz w:val="24"/>
              </w:rPr>
            </w:pPr>
            <w:r>
              <w:rPr>
                <w:rFonts w:hint="eastAsia" w:hAnsi="宋体"/>
                <w:sz w:val="24"/>
                <w:szCs w:val="24"/>
              </w:rPr>
              <w:t>拟建项目水污染物总量控制因子COD、NH</w:t>
            </w:r>
            <w:r>
              <w:rPr>
                <w:rFonts w:hint="eastAsia" w:hAnsi="宋体"/>
                <w:sz w:val="24"/>
                <w:szCs w:val="24"/>
                <w:vertAlign w:val="subscript"/>
              </w:rPr>
              <w:t>3</w:t>
            </w:r>
            <w:r>
              <w:rPr>
                <w:rFonts w:hint="eastAsia" w:hAnsi="宋体"/>
                <w:sz w:val="24"/>
                <w:szCs w:val="24"/>
              </w:rPr>
              <w:t>-N不重新申请总量，纳入到淮南首创第一污水处理厂的总量之中。</w:t>
            </w:r>
          </w:p>
        </w:tc>
      </w:tr>
    </w:tbl>
    <w:p>
      <w:pPr>
        <w:rPr>
          <w:b/>
          <w:sz w:val="32"/>
          <w:szCs w:val="32"/>
        </w:rPr>
        <w:sectPr>
          <w:pgSz w:w="11906" w:h="16838"/>
          <w:pgMar w:top="1440" w:right="1286" w:bottom="1440" w:left="1474" w:header="851" w:footer="992" w:gutter="0"/>
          <w:cols w:space="720" w:num="1"/>
          <w:docGrid w:type="lines" w:linePitch="312" w:charSpace="0"/>
        </w:sectPr>
      </w:pPr>
    </w:p>
    <w:p>
      <w:pPr>
        <w:rPr>
          <w:b/>
          <w:sz w:val="32"/>
          <w:szCs w:val="32"/>
        </w:rPr>
      </w:pPr>
      <w:r>
        <w:rPr>
          <w:b/>
          <w:sz w:val="32"/>
          <w:szCs w:val="32"/>
        </w:rPr>
        <w:t>建设项目工程分析</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9" w:hRule="atLeast"/>
        </w:trPr>
        <w:tc>
          <w:tcPr>
            <w:tcW w:w="9130" w:type="dxa"/>
          </w:tcPr>
          <w:p>
            <w:pPr>
              <w:rPr>
                <w:b/>
                <w:sz w:val="24"/>
                <w:szCs w:val="24"/>
              </w:rPr>
            </w:pPr>
            <w:r>
              <w:rPr>
                <w:b/>
                <w:sz w:val="24"/>
                <w:szCs w:val="24"/>
              </w:rPr>
              <w:t>工艺流程简图（图示）</w:t>
            </w:r>
          </w:p>
          <w:p>
            <w:pPr>
              <w:spacing w:line="360" w:lineRule="auto"/>
              <w:rPr>
                <w:sz w:val="24"/>
                <w:szCs w:val="24"/>
              </w:rPr>
            </w:pPr>
            <w:r>
              <w:rPr>
                <w:sz w:val="24"/>
                <w:szCs w:val="24"/>
              </w:rPr>
              <w:t>施工期间工艺流程图</w:t>
            </w:r>
          </w:p>
          <w:p>
            <w:pPr>
              <w:spacing w:after="40" w:line="300" w:lineRule="atLeast"/>
              <w:outlineLvl w:val="2"/>
              <w:rPr>
                <w:sz w:val="24"/>
                <w:szCs w:val="24"/>
              </w:rPr>
            </w:pPr>
            <w:r>
              <w:rPr>
                <w:sz w:val="24"/>
                <w:szCs w:val="24"/>
              </w:rPr>
              <w:t>施工期主要环境问题是项目设备安装期间产生的污染。</w:t>
            </w:r>
          </w:p>
          <w:p>
            <w:pPr>
              <w:spacing w:after="40" w:line="300" w:lineRule="atLeast"/>
              <w:jc w:val="center"/>
              <w:outlineLvl w:val="2"/>
              <w:rPr>
                <w:rFonts w:eastAsia="楷体_GB2312"/>
              </w:rPr>
            </w:pPr>
            <w:r>
              <w:rPr>
                <w:rFonts w:eastAsia="楷体_GB2312"/>
              </w:rPr>
              <w:pict>
                <v:group id="Group 2" o:spid="_x0000_s3366" o:spt="203" style="position:absolute;left:0pt;margin-left:135.65pt;margin-top:13.65pt;height:76.4pt;width:170.15pt;z-index:251657216;mso-width-relative:page;mso-height-relative:page;" coordsize="2760,1350">
                  <o:lock v:ext="edit"/>
                  <v:shape id="Text Box 3" o:spid="_x0000_s3367" o:spt="202" type="#_x0000_t202" style="position:absolute;left:765;top:0;height:435;width:1260;" coordsize="21600,21600">
                    <v:path/>
                    <v:fill focussize="0,0"/>
                    <v:stroke joinstyle="miter"/>
                    <v:imagedata o:title=""/>
                    <o:lock v:ext="edit"/>
                    <v:textbox>
                      <w:txbxContent>
                        <w:p>
                          <w:pPr>
                            <w:jc w:val="center"/>
                          </w:pPr>
                          <w:r>
                            <w:rPr>
                              <w:rFonts w:hint="eastAsia"/>
                            </w:rPr>
                            <w:t>设备安装期</w:t>
                          </w:r>
                        </w:p>
                      </w:txbxContent>
                    </v:textbox>
                  </v:shape>
                  <v:line id="箭头 54" o:spid="_x0000_s3368" o:spt="20" style="position:absolute;left:1396;top:448;height:435;width:1;" coordsize="21600,21600">
                    <v:path arrowok="t"/>
                    <v:fill focussize="0,0"/>
                    <v:stroke weight="1.25pt" dashstyle="1 1" endarrow="block"/>
                    <v:imagedata o:title=""/>
                    <o:lock v:ext="edit"/>
                  </v:line>
                  <v:shape id="Text Box 5" o:spid="_x0000_s3369" o:spt="202" type="#_x0000_t202" style="position:absolute;left:0;top:916;height:435;width:2760;" stroked="f" coordsize="21600,21600">
                    <v:path/>
                    <v:fill focussize="0,0"/>
                    <v:stroke on="f" joinstyle="miter"/>
                    <v:imagedata o:title=""/>
                    <o:lock v:ext="edit"/>
                    <v:textbox inset="7.19992125984252pt,1.27mm,7.19992125984252pt,1.27mm">
                      <w:txbxContent>
                        <w:p>
                          <w:pPr>
                            <w:jc w:val="center"/>
                          </w:pPr>
                          <w:r>
                            <w:rPr>
                              <w:rFonts w:hint="eastAsia"/>
                            </w:rPr>
                            <w:t>废气、废水、噪声、固废</w:t>
                          </w:r>
                        </w:p>
                      </w:txbxContent>
                    </v:textbox>
                  </v:shape>
                </v:group>
              </w:pict>
            </w:r>
          </w:p>
          <w:p>
            <w:pPr>
              <w:spacing w:before="156" w:beforeLines="50" w:line="360" w:lineRule="auto"/>
              <w:rPr>
                <w:b/>
                <w:bCs/>
                <w:sz w:val="24"/>
              </w:rPr>
            </w:pPr>
          </w:p>
          <w:p>
            <w:pPr>
              <w:jc w:val="center"/>
              <w:rPr>
                <w:b/>
                <w:bCs/>
                <w:szCs w:val="21"/>
              </w:rPr>
            </w:pPr>
          </w:p>
          <w:p>
            <w:pPr>
              <w:jc w:val="center"/>
              <w:rPr>
                <w:b/>
                <w:bCs/>
                <w:szCs w:val="21"/>
              </w:rPr>
            </w:pPr>
          </w:p>
          <w:p>
            <w:pPr>
              <w:rPr>
                <w:b/>
                <w:bCs/>
                <w:szCs w:val="21"/>
              </w:rPr>
            </w:pPr>
          </w:p>
          <w:p>
            <w:pPr>
              <w:jc w:val="center"/>
              <w:rPr>
                <w:b/>
                <w:bCs/>
                <w:szCs w:val="21"/>
              </w:rPr>
            </w:pPr>
            <w:r>
              <w:rPr>
                <w:b/>
                <w:bCs/>
                <w:szCs w:val="21"/>
              </w:rPr>
              <w:t>图1施工期工艺流程及产污节点图</w:t>
            </w:r>
          </w:p>
          <w:p>
            <w:pPr>
              <w:spacing w:line="360" w:lineRule="auto"/>
              <w:rPr>
                <w:sz w:val="24"/>
                <w:szCs w:val="24"/>
              </w:rPr>
            </w:pPr>
            <w:r>
              <w:rPr>
                <w:b/>
                <w:sz w:val="24"/>
                <w:szCs w:val="24"/>
              </w:rPr>
              <w:t>施工期污染源简析：</w:t>
            </w:r>
          </w:p>
          <w:p>
            <w:pPr>
              <w:spacing w:line="360" w:lineRule="auto"/>
              <w:ind w:firstLine="480" w:firstLineChars="200"/>
              <w:rPr>
                <w:sz w:val="24"/>
                <w:szCs w:val="24"/>
              </w:rPr>
            </w:pPr>
            <w:r>
              <w:rPr>
                <w:sz w:val="24"/>
                <w:szCs w:val="24"/>
              </w:rPr>
              <w:t>本项目位于</w:t>
            </w:r>
            <w:r>
              <w:rPr>
                <w:rFonts w:hint="eastAsia"/>
                <w:sz w:val="24"/>
                <w:szCs w:val="24"/>
              </w:rPr>
              <w:t>淮南市大通区康宝路北侧大通工业聚集区标准化厂房</w:t>
            </w:r>
            <w:r>
              <w:rPr>
                <w:sz w:val="24"/>
                <w:szCs w:val="24"/>
              </w:rPr>
              <w:t>，无土方开挖、结构、装饰等施工期作业，主要为设备安装时期施工人员产生的少量生活废水和生活垃圾等，本次环评对施工期的环境影响不做分析。</w:t>
            </w:r>
          </w:p>
          <w:p>
            <w:pPr>
              <w:spacing w:line="480" w:lineRule="exact"/>
              <w:rPr>
                <w:b/>
                <w:sz w:val="24"/>
                <w:szCs w:val="24"/>
              </w:rPr>
            </w:pPr>
            <w:r>
              <w:rPr>
                <w:rFonts w:hint="eastAsia"/>
                <w:b/>
                <w:sz w:val="24"/>
                <w:szCs w:val="24"/>
              </w:rPr>
              <w:t>营运期生产工艺及流程图</w:t>
            </w:r>
          </w:p>
          <w:p>
            <w:pPr>
              <w:snapToGrid w:val="0"/>
              <w:spacing w:line="360" w:lineRule="auto"/>
              <w:rPr>
                <w:b/>
                <w:sz w:val="24"/>
                <w:szCs w:val="24"/>
              </w:rPr>
            </w:pPr>
            <w:r>
              <w:rPr>
                <w:sz w:val="24"/>
                <w:szCs w:val="24"/>
              </w:rPr>
              <w:pict>
                <v:group id="_x0000_s3882" o:spid="_x0000_s3882" o:spt="203" style="height:180.75pt;width:450.45pt;" coordorigin="1617,5196" coordsize="9009,3615" editas="canvas">
                  <o:lock v:ext="edit"/>
                  <v:shape id="_x0000_s3883" o:spid="_x0000_s3883" o:spt="75" type="#_x0000_t75" style="position:absolute;left:1617;top:5196;height:3615;width:9009;" filled="f" o:preferrelative="f" stroked="f" coordsize="21600,21600">
                    <v:fill on="f" focussize="0,0"/>
                    <v:stroke on="f" joinstyle="miter"/>
                    <v:imagedata o:title=""/>
                    <o:lock v:ext="edit" text="t" aspectratio="t"/>
                  </v:shape>
                  <v:rect id="_x0000_s3884" o:spid="_x0000_s3884" o:spt="1" style="position:absolute;left:1617;top:5542;height:504;width:808;" coordsize="21600,21600">
                    <v:path/>
                    <v:fill focussize="0,0"/>
                    <v:stroke/>
                    <v:imagedata o:title=""/>
                    <o:lock v:ext="edit"/>
                    <v:textbox>
                      <w:txbxContent>
                        <w:p>
                          <w:pPr>
                            <w:rPr>
                              <w:szCs w:val="21"/>
                            </w:rPr>
                          </w:pPr>
                          <w:r>
                            <w:rPr>
                              <w:rFonts w:hint="eastAsia"/>
                              <w:szCs w:val="21"/>
                            </w:rPr>
                            <w:t>钢材</w:t>
                          </w:r>
                        </w:p>
                      </w:txbxContent>
                    </v:textbox>
                  </v:rect>
                  <v:shape id="_x0000_s3885" o:spid="_x0000_s3885" o:spt="32" type="#_x0000_t32" style="position:absolute;left:2413;top:5738;height:1;width:307;" o:connectortype="straight" filled="f" coordsize="21600,21600">
                    <v:path arrowok="t"/>
                    <v:fill on="f" focussize="0,0"/>
                    <v:stroke endarrow="block"/>
                    <v:imagedata o:title=""/>
                    <o:lock v:ext="edit"/>
                  </v:shape>
                  <v:rect id="_x0000_s3886" o:spid="_x0000_s3886" o:spt="1" style="position:absolute;left:2729;top:5558;height:420;width:867;" coordsize="21600,21600">
                    <v:path/>
                    <v:fill focussize="0,0"/>
                    <v:stroke/>
                    <v:imagedata o:title=""/>
                    <o:lock v:ext="edit"/>
                    <v:textbox>
                      <w:txbxContent>
                        <w:p>
                          <w:pPr>
                            <w:rPr>
                              <w:szCs w:val="21"/>
                            </w:rPr>
                          </w:pPr>
                          <w:r>
                            <w:rPr>
                              <w:rFonts w:hint="eastAsia"/>
                              <w:szCs w:val="21"/>
                            </w:rPr>
                            <w:t>下料</w:t>
                          </w:r>
                        </w:p>
                      </w:txbxContent>
                    </v:textbox>
                  </v:rect>
                  <v:rect id="_x0000_s3887" o:spid="_x0000_s3887" o:spt="1" style="position:absolute;left:3922;top:5556;height:420;width:869;" coordsize="21600,21600">
                    <v:path/>
                    <v:fill focussize="0,0"/>
                    <v:stroke/>
                    <v:imagedata o:title=""/>
                    <o:lock v:ext="edit"/>
                    <v:textbox>
                      <w:txbxContent>
                        <w:p>
                          <w:pPr>
                            <w:rPr>
                              <w:szCs w:val="21"/>
                            </w:rPr>
                          </w:pPr>
                          <w:r>
                            <w:rPr>
                              <w:rFonts w:hint="eastAsia"/>
                              <w:szCs w:val="21"/>
                            </w:rPr>
                            <w:t>钻孔</w:t>
                          </w:r>
                        </w:p>
                      </w:txbxContent>
                    </v:textbox>
                  </v:rect>
                  <v:shape id="_x0000_s3888" o:spid="_x0000_s3888" o:spt="32" type="#_x0000_t32" style="position:absolute;left:4343;top:5976;height:448;width:2;" o:connectortype="straight" filled="f" coordsize="21600,21600">
                    <v:path arrowok="t"/>
                    <v:fill on="f" focussize="0,0"/>
                    <v:stroke dashstyle="dash" endarrow="block"/>
                    <v:imagedata o:title=""/>
                    <o:lock v:ext="edit"/>
                  </v:shape>
                  <v:rect id="_x0000_s3889" o:spid="_x0000_s3889" o:spt="1" style="position:absolute;left:2413;top:6260;height:543;width:1372;" filled="f" stroked="f" coordsize="21600,21600">
                    <v:path/>
                    <v:fill on="f" focussize="0,0"/>
                    <v:stroke on="f"/>
                    <v:imagedata o:title=""/>
                    <o:lock v:ext="edit"/>
                    <v:textbox>
                      <w:txbxContent>
                        <w:p>
                          <w:pPr>
                            <w:rPr>
                              <w:szCs w:val="21"/>
                            </w:rPr>
                          </w:pPr>
                          <w:r>
                            <w:rPr>
                              <w:rFonts w:hint="eastAsia"/>
                              <w:szCs w:val="21"/>
                            </w:rPr>
                            <w:t>G1、S1、N1</w:t>
                          </w:r>
                        </w:p>
                      </w:txbxContent>
                    </v:textbox>
                  </v:rect>
                  <v:rect id="_x0000_s3890" o:spid="_x0000_s3890" o:spt="1" style="position:absolute;left:3754;top:6299;height:530;width:1118;" filled="f" stroked="f" coordsize="21600,21600">
                    <v:path/>
                    <v:fill on="f" focussize="0,0"/>
                    <v:stroke on="f"/>
                    <v:imagedata o:title=""/>
                    <o:lock v:ext="edit"/>
                    <v:textbox>
                      <w:txbxContent>
                        <w:p>
                          <w:pPr>
                            <w:rPr>
                              <w:szCs w:val="21"/>
                            </w:rPr>
                          </w:pPr>
                          <w:r>
                            <w:rPr>
                              <w:rFonts w:hint="eastAsia"/>
                              <w:szCs w:val="21"/>
                            </w:rPr>
                            <w:t>S2、N1</w:t>
                          </w:r>
                        </w:p>
                      </w:txbxContent>
                    </v:textbox>
                  </v:rect>
                  <v:rect id="_x0000_s3891" o:spid="_x0000_s3891" o:spt="1" style="position:absolute;left:1695;top:7600;height:980;width:5683;" filled="f" stroked="f" coordsize="21600,21600">
                    <v:path/>
                    <v:fill on="f" focussize="0,0"/>
                    <v:stroke on="f" weight="0.25pt"/>
                    <v:imagedata o:title=""/>
                    <o:lock v:ext="edit"/>
                    <v:textbox>
                      <w:txbxContent>
                        <w:p>
                          <w:r>
                            <w:rPr>
                              <w:rFonts w:hint="eastAsia"/>
                            </w:rPr>
                            <w:t>注：G-废气、S-固废、N-噪声</w:t>
                          </w:r>
                        </w:p>
                        <w:p>
                          <w:r>
                            <w:rPr>
                              <w:rFonts w:hint="eastAsia"/>
                            </w:rPr>
                            <w:t>G1-激光切割烟尘、G2-焊接烟尘、S1-边角料、S2-废铁屑、N1-设备噪声</w:t>
                          </w:r>
                        </w:p>
                      </w:txbxContent>
                    </v:textbox>
                  </v:rect>
                  <v:rect id="_x0000_s3892" o:spid="_x0000_s3892" o:spt="1" style="position:absolute;left:6922;top:6936;height:422;width:1199;" coordsize="21600,21600">
                    <v:path/>
                    <v:fill focussize="0,0"/>
                    <v:stroke/>
                    <v:imagedata o:title=""/>
                    <o:lock v:ext="edit"/>
                    <v:textbox>
                      <w:txbxContent>
                        <w:p>
                          <w:pPr>
                            <w:rPr>
                              <w:szCs w:val="21"/>
                            </w:rPr>
                          </w:pPr>
                          <w:r>
                            <w:rPr>
                              <w:rFonts w:hint="eastAsia"/>
                              <w:szCs w:val="21"/>
                            </w:rPr>
                            <w:t>包装入库</w:t>
                          </w:r>
                        </w:p>
                      </w:txbxContent>
                    </v:textbox>
                  </v:rect>
                  <v:shape id="_x0000_s3893" o:spid="_x0000_s3893" o:spt="32" type="#_x0000_t32" style="position:absolute;left:3629;top:5745;height:1;width:307;" o:connectortype="straight" filled="f" coordsize="21600,21600">
                    <v:path arrowok="t"/>
                    <v:fill on="f" focussize="0,0"/>
                    <v:stroke endarrow="block"/>
                    <v:imagedata o:title=""/>
                    <o:lock v:ext="edit"/>
                  </v:shape>
                  <v:shape id="_x0000_s3894" o:spid="_x0000_s3894" o:spt="32" type="#_x0000_t32" style="position:absolute;left:4777;top:5740;height:1;width:307;" o:connectortype="straight" filled="f" coordsize="21600,21600">
                    <v:path arrowok="t"/>
                    <v:fill on="f" focussize="0,0"/>
                    <v:stroke endarrow="block"/>
                    <v:imagedata o:title=""/>
                    <o:lock v:ext="edit"/>
                  </v:shape>
                  <v:rect id="_x0000_s3895" o:spid="_x0000_s3895" o:spt="1" style="position:absolute;left:5084;top:5556;height:420;width:869;" coordsize="21600,21600">
                    <v:path/>
                    <v:fill focussize="0,0"/>
                    <v:stroke/>
                    <v:imagedata o:title=""/>
                    <o:lock v:ext="edit"/>
                    <v:textbox>
                      <w:txbxContent>
                        <w:p>
                          <w:pPr>
                            <w:rPr>
                              <w:szCs w:val="21"/>
                            </w:rPr>
                          </w:pPr>
                          <w:r>
                            <w:rPr>
                              <w:rFonts w:hint="eastAsia"/>
                              <w:szCs w:val="21"/>
                            </w:rPr>
                            <w:t>车床</w:t>
                          </w:r>
                        </w:p>
                      </w:txbxContent>
                    </v:textbox>
                  </v:rect>
                  <v:shape id="_x0000_s3896" o:spid="_x0000_s3896" o:spt="32" type="#_x0000_t32" style="position:absolute;left:5953;top:5739;height:1;width:307;" o:connectortype="straight" filled="f" coordsize="21600,21600">
                    <v:path arrowok="t"/>
                    <v:fill on="f" focussize="0,0"/>
                    <v:stroke endarrow="block"/>
                    <v:imagedata o:title=""/>
                    <o:lock v:ext="edit"/>
                  </v:shape>
                  <v:rect id="_x0000_s3897" o:spid="_x0000_s3897" o:spt="1" style="position:absolute;left:6260;top:5540;height:420;width:869;" coordsize="21600,21600">
                    <v:path/>
                    <v:fill focussize="0,0"/>
                    <v:stroke/>
                    <v:imagedata o:title=""/>
                    <o:lock v:ext="edit"/>
                    <v:textbox>
                      <w:txbxContent>
                        <w:p>
                          <w:pPr>
                            <w:rPr>
                              <w:szCs w:val="21"/>
                            </w:rPr>
                          </w:pPr>
                          <w:r>
                            <w:rPr>
                              <w:rFonts w:hint="eastAsia"/>
                              <w:szCs w:val="21"/>
                            </w:rPr>
                            <w:t>铣床</w:t>
                          </w:r>
                        </w:p>
                      </w:txbxContent>
                    </v:textbox>
                  </v:rect>
                  <v:shape id="_x0000_s3898" o:spid="_x0000_s3898" o:spt="32" type="#_x0000_t32" style="position:absolute;left:7129;top:5738;height:1;width:307;" o:connectortype="straight" filled="f" coordsize="21600,21600">
                    <v:path arrowok="t"/>
                    <v:fill on="f" focussize="0,0"/>
                    <v:stroke endarrow="block"/>
                    <v:imagedata o:title=""/>
                    <o:lock v:ext="edit"/>
                  </v:shape>
                  <v:shape id="_x0000_s3899" o:spid="_x0000_s3899" o:spt="32" type="#_x0000_t32" style="position:absolute;left:8305;top:5737;height:1;width:307;" o:connectortype="straight" filled="f" coordsize="21600,21600">
                    <v:path arrowok="t"/>
                    <v:fill on="f" focussize="0,0"/>
                    <v:stroke endarrow="block"/>
                    <v:imagedata o:title=""/>
                    <o:lock v:ext="edit"/>
                  </v:shape>
                  <v:rect id="_x0000_s3900" o:spid="_x0000_s3900" o:spt="1" style="position:absolute;left:7436;top:5540;height:420;width:869;" coordsize="21600,21600">
                    <v:path/>
                    <v:fill focussize="0,0"/>
                    <v:stroke/>
                    <v:imagedata o:title=""/>
                    <o:lock v:ext="edit"/>
                    <v:textbox>
                      <w:txbxContent>
                        <w:p>
                          <w:pPr>
                            <w:rPr>
                              <w:szCs w:val="21"/>
                            </w:rPr>
                          </w:pPr>
                          <w:r>
                            <w:rPr>
                              <w:rFonts w:hint="eastAsia"/>
                              <w:szCs w:val="21"/>
                            </w:rPr>
                            <w:t>磨床</w:t>
                          </w:r>
                        </w:p>
                      </w:txbxContent>
                    </v:textbox>
                  </v:rect>
                  <v:shape id="_x0000_s3901" o:spid="_x0000_s3901" o:spt="32" type="#_x0000_t32" style="position:absolute;left:5403;top:5976;height:448;width:2;" o:connectortype="straight" filled="f" coordsize="21600,21600">
                    <v:path arrowok="t"/>
                    <v:fill on="f" focussize="0,0"/>
                    <v:stroke dashstyle="dash" endarrow="block"/>
                    <v:imagedata o:title=""/>
                    <o:lock v:ext="edit"/>
                  </v:shape>
                  <v:shape id="_x0000_s3902" o:spid="_x0000_s3902" o:spt="32" type="#_x0000_t32" style="position:absolute;left:3131;top:5962;height:422;width:1;" o:connectortype="straight" filled="f" coordsize="21600,21600">
                    <v:path arrowok="t"/>
                    <v:fill on="f" focussize="0,0"/>
                    <v:stroke dashstyle="dash" endarrow="block"/>
                    <v:imagedata o:title=""/>
                    <o:lock v:ext="edit"/>
                  </v:shape>
                  <v:rect id="_x0000_s3903" o:spid="_x0000_s3903" o:spt="1" style="position:absolute;left:4928;top:6271;height:530;width:1118;" filled="f" stroked="f" coordsize="21600,21600">
                    <v:path/>
                    <v:fill on="f" focussize="0,0"/>
                    <v:stroke on="f"/>
                    <v:imagedata o:title=""/>
                    <o:lock v:ext="edit"/>
                    <v:textbox>
                      <w:txbxContent>
                        <w:p>
                          <w:pPr>
                            <w:rPr>
                              <w:szCs w:val="21"/>
                            </w:rPr>
                          </w:pPr>
                          <w:r>
                            <w:rPr>
                              <w:rFonts w:hint="eastAsia"/>
                              <w:szCs w:val="21"/>
                            </w:rPr>
                            <w:t>S2、N1</w:t>
                          </w:r>
                        </w:p>
                      </w:txbxContent>
                    </v:textbox>
                  </v:rect>
                  <v:shape id="_x0000_s3904" o:spid="_x0000_s3904" o:spt="32" type="#_x0000_t32" style="position:absolute;left:6609;top:5976;height:448;width:2;" o:connectortype="straight" filled="f" coordsize="21600,21600">
                    <v:path arrowok="t"/>
                    <v:fill on="f" focussize="0,0"/>
                    <v:stroke dashstyle="dash" endarrow="block"/>
                    <v:imagedata o:title=""/>
                    <o:lock v:ext="edit"/>
                  </v:shape>
                  <v:rect id="_x0000_s3905" o:spid="_x0000_s3905" o:spt="1" style="position:absolute;left:6260;top:6381;height:420;width:1118;" filled="f" stroked="f" coordsize="21600,21600">
                    <v:path/>
                    <v:fill on="f" focussize="0,0"/>
                    <v:stroke on="f"/>
                    <v:imagedata o:title=""/>
                    <o:lock v:ext="edit"/>
                    <v:textbox>
                      <w:txbxContent>
                        <w:p>
                          <w:pPr>
                            <w:snapToGrid w:val="0"/>
                            <w:rPr>
                              <w:szCs w:val="21"/>
                            </w:rPr>
                          </w:pPr>
                          <w:r>
                            <w:rPr>
                              <w:rFonts w:hint="eastAsia"/>
                              <w:szCs w:val="21"/>
                            </w:rPr>
                            <w:t>N1、S2</w:t>
                          </w:r>
                        </w:p>
                      </w:txbxContent>
                    </v:textbox>
                  </v:rect>
                  <v:shape id="_x0000_s3906" o:spid="_x0000_s3906" o:spt="32" type="#_x0000_t32" style="position:absolute;left:7827;top:5960;height:448;width:2;" o:connectortype="straight" filled="f" coordsize="21600,21600">
                    <v:path arrowok="t"/>
                    <v:fill on="f" focussize="0,0"/>
                    <v:stroke dashstyle="dash" endarrow="block"/>
                    <v:imagedata o:title=""/>
                    <o:lock v:ext="edit"/>
                  </v:shape>
                  <v:rect id="_x0000_s3907" o:spid="_x0000_s3907" o:spt="1" style="position:absolute;left:7468;top:6299;height:420;width:1118;" filled="f" stroked="f" coordsize="21600,21600">
                    <v:path/>
                    <v:fill on="f" focussize="0,0"/>
                    <v:stroke on="f"/>
                    <v:imagedata o:title=""/>
                    <o:lock v:ext="edit"/>
                    <v:textbox>
                      <w:txbxContent>
                        <w:p>
                          <w:pPr>
                            <w:snapToGrid w:val="0"/>
                            <w:rPr>
                              <w:szCs w:val="21"/>
                            </w:rPr>
                          </w:pPr>
                          <w:r>
                            <w:rPr>
                              <w:rFonts w:hint="eastAsia"/>
                              <w:szCs w:val="21"/>
                            </w:rPr>
                            <w:t>N1、S2</w:t>
                          </w:r>
                        </w:p>
                      </w:txbxContent>
                    </v:textbox>
                  </v:rect>
                  <v:rect id="_x0000_s3908" o:spid="_x0000_s3908" o:spt="1" style="position:absolute;left:8612;top:5540;height:420;width:869;" coordsize="21600,21600">
                    <v:path/>
                    <v:fill focussize="0,0"/>
                    <v:stroke/>
                    <v:imagedata o:title=""/>
                    <o:lock v:ext="edit"/>
                    <v:textbox>
                      <w:txbxContent>
                        <w:p>
                          <w:pPr>
                            <w:rPr>
                              <w:szCs w:val="21"/>
                            </w:rPr>
                          </w:pPr>
                          <w:r>
                            <w:rPr>
                              <w:rFonts w:hint="eastAsia"/>
                              <w:szCs w:val="21"/>
                            </w:rPr>
                            <w:t>焊接</w:t>
                          </w:r>
                        </w:p>
                      </w:txbxContent>
                    </v:textbox>
                  </v:rect>
                  <v:shape id="_x0000_s3910" o:spid="_x0000_s3910" o:spt="32" type="#_x0000_t32" style="position:absolute;left:9174;top:5960;height:448;width:2;" o:connectortype="straight" filled="f" coordsize="21600,21600">
                    <v:path arrowok="t"/>
                    <v:fill on="f" focussize="0,0"/>
                    <v:stroke dashstyle="dash" endarrow="block"/>
                    <v:imagedata o:title=""/>
                    <o:lock v:ext="edit"/>
                  </v:shape>
                  <v:rect id="_x0000_s3911" o:spid="_x0000_s3911" o:spt="1" style="position:absolute;left:8945;top:6260;height:420;width:1118;" filled="f" stroked="f" coordsize="21600,21600">
                    <v:path/>
                    <v:fill on="f" focussize="0,0"/>
                    <v:stroke on="f"/>
                    <v:imagedata o:title=""/>
                    <o:lock v:ext="edit"/>
                    <v:textbox>
                      <w:txbxContent>
                        <w:p>
                          <w:pPr>
                            <w:snapToGrid w:val="0"/>
                            <w:rPr>
                              <w:szCs w:val="21"/>
                            </w:rPr>
                          </w:pPr>
                          <w:r>
                            <w:rPr>
                              <w:rFonts w:hint="eastAsia"/>
                              <w:szCs w:val="21"/>
                            </w:rPr>
                            <w:t>N1、G2</w:t>
                          </w:r>
                        </w:p>
                      </w:txbxContent>
                    </v:textbox>
                  </v:rect>
                  <v:rect id="_x0000_s3912" o:spid="_x0000_s3912" o:spt="1" style="position:absolute;left:8612;top:6936;height:420;width:869;" coordsize="21600,21600">
                    <v:path/>
                    <v:fill focussize="0,0"/>
                    <v:stroke/>
                    <v:imagedata o:title=""/>
                    <o:lock v:ext="edit"/>
                    <v:textbox>
                      <w:txbxContent>
                        <w:p>
                          <w:pPr>
                            <w:rPr>
                              <w:szCs w:val="21"/>
                            </w:rPr>
                          </w:pPr>
                          <w:r>
                            <w:rPr>
                              <w:rFonts w:hint="eastAsia"/>
                              <w:szCs w:val="21"/>
                            </w:rPr>
                            <w:t>组装</w:t>
                          </w:r>
                        </w:p>
                      </w:txbxContent>
                    </v:textbox>
                  </v:rect>
                  <v:shape id="_x0000_s3909" o:spid="_x0000_s3909" o:spt="32" type="#_x0000_t32" style="position:absolute;left:8945;top:6018;height:918;width:0;" o:connectortype="straight" filled="f" coordsize="21600,21600">
                    <v:path arrowok="t"/>
                    <v:fill on="f" focussize="0,0"/>
                    <v:stroke endarrow="block"/>
                    <v:imagedata o:title=""/>
                    <o:lock v:ext="edit"/>
                  </v:shape>
                  <v:shape id="_x0000_s3913" o:spid="_x0000_s3913" o:spt="32" type="#_x0000_t32" style="position:absolute;left:8111;top:7099;flip:x;height:0;width:475;" o:connectortype="straight" filled="f" coordsize="21600,21600">
                    <v:path arrowok="t"/>
                    <v:fill on="f" focussize="0,0"/>
                    <v:stroke endarrow="block"/>
                    <v:imagedata o:title=""/>
                    <o:lock v:ext="edit"/>
                  </v:shape>
                  <v:rect id="_x0000_s3914" o:spid="_x0000_s3914" o:spt="1" style="position:absolute;left:7648;top:7779;height:1032;width:2650;" coordsize="21600,21600">
                    <v:path/>
                    <v:fill focussize="0,0"/>
                    <v:stroke/>
                    <v:imagedata o:title=""/>
                    <o:lock v:ext="edit"/>
                    <v:textbox>
                      <w:txbxContent>
                        <w:p>
                          <w:pPr>
                            <w:rPr>
                              <w:szCs w:val="21"/>
                            </w:rPr>
                          </w:pPr>
                          <w:r>
                            <w:rPr>
                              <w:rFonts w:hint="eastAsia"/>
                              <w:bCs/>
                              <w:kern w:val="0"/>
                              <w:szCs w:val="21"/>
                            </w:rPr>
                            <w:t>液压件、胶管、单体支柱、油缸、智能控制板、液晶显示屏、连接导线</w:t>
                          </w:r>
                        </w:p>
                      </w:txbxContent>
                    </v:textbox>
                  </v:rect>
                  <v:shape id="_x0000_s3915" o:spid="_x0000_s3915" o:spt="32" type="#_x0000_t32" style="position:absolute;left:9061;top:7356;flip:y;height:394;width:0;" o:connectortype="straight" filled="f" coordsize="21600,21600">
                    <v:path arrowok="t"/>
                    <v:fill on="f" focussize="0,0"/>
                    <v:stroke endarrow="block"/>
                    <v:imagedata o:title=""/>
                    <o:lock v:ext="edit"/>
                  </v:shape>
                  <w10:wrap type="none"/>
                  <w10:anchorlock/>
                </v:group>
              </w:pict>
            </w:r>
          </w:p>
          <w:p>
            <w:pPr>
              <w:snapToGrid w:val="0"/>
              <w:jc w:val="center"/>
              <w:rPr>
                <w:b/>
                <w:bCs/>
                <w:szCs w:val="21"/>
              </w:rPr>
            </w:pPr>
            <w:r>
              <w:rPr>
                <w:b/>
                <w:bCs/>
                <w:szCs w:val="21"/>
              </w:rPr>
              <w:t>图</w:t>
            </w:r>
            <w:r>
              <w:rPr>
                <w:rFonts w:hint="eastAsia"/>
                <w:b/>
                <w:bCs/>
                <w:szCs w:val="21"/>
              </w:rPr>
              <w:t>2</w:t>
            </w:r>
            <w:r>
              <w:rPr>
                <w:b/>
                <w:bCs/>
                <w:szCs w:val="21"/>
              </w:rPr>
              <w:t>生产工艺流程及产污节点图</w:t>
            </w:r>
          </w:p>
          <w:p>
            <w:pPr>
              <w:spacing w:line="360" w:lineRule="auto"/>
              <w:rPr>
                <w:b/>
                <w:sz w:val="24"/>
                <w:szCs w:val="24"/>
              </w:rPr>
            </w:pPr>
            <w:r>
              <w:rPr>
                <w:b/>
                <w:sz w:val="24"/>
                <w:szCs w:val="24"/>
              </w:rPr>
              <w:t>生产工艺流程简述：</w:t>
            </w:r>
          </w:p>
          <w:p>
            <w:pPr>
              <w:spacing w:line="360" w:lineRule="auto"/>
              <w:ind w:firstLine="480" w:firstLineChars="200"/>
              <w:rPr>
                <w:bCs/>
                <w:sz w:val="24"/>
                <w:szCs w:val="24"/>
              </w:rPr>
            </w:pPr>
            <w:r>
              <w:rPr>
                <w:rFonts w:hint="eastAsia"/>
                <w:sz w:val="24"/>
                <w:szCs w:val="24"/>
              </w:rPr>
              <w:t>将外购的钢材通过激光切割下料或者剪板机下料，下料之后按照设计进行机加工，包括车、铣、钻、磨、数控加工中心等工序，机加工之后将各个部件焊接在一起，最后组装上</w:t>
            </w:r>
            <w:r>
              <w:rPr>
                <w:rFonts w:hint="eastAsia"/>
                <w:bCs/>
                <w:sz w:val="24"/>
                <w:szCs w:val="24"/>
              </w:rPr>
              <w:t>液压件、胶管、单体支柱、油缸、智能控制板、液晶显示屏、连接导线，即为成品即可包装入库。</w:t>
            </w:r>
          </w:p>
          <w:p>
            <w:pPr>
              <w:spacing w:line="360" w:lineRule="auto"/>
              <w:ind w:firstLine="480" w:firstLineChars="200"/>
              <w:rPr>
                <w:bCs/>
                <w:sz w:val="24"/>
                <w:szCs w:val="24"/>
              </w:rPr>
            </w:pPr>
          </w:p>
          <w:p>
            <w:pPr>
              <w:spacing w:line="360" w:lineRule="auto"/>
              <w:ind w:firstLine="480" w:firstLineChars="200"/>
              <w:rPr>
                <w:sz w:val="24"/>
                <w:szCs w:val="24"/>
              </w:rPr>
            </w:pPr>
          </w:p>
          <w:p>
            <w:pPr>
              <w:spacing w:line="360" w:lineRule="auto"/>
              <w:rPr>
                <w:b/>
                <w:sz w:val="24"/>
                <w:szCs w:val="24"/>
              </w:rPr>
            </w:pPr>
            <w:r>
              <w:rPr>
                <w:b/>
                <w:sz w:val="24"/>
                <w:szCs w:val="24"/>
              </w:rPr>
              <w:t>运营期主要污染工序：</w:t>
            </w:r>
          </w:p>
          <w:p>
            <w:pPr>
              <w:snapToGrid w:val="0"/>
              <w:spacing w:line="360" w:lineRule="auto"/>
              <w:ind w:firstLine="480" w:firstLineChars="200"/>
              <w:rPr>
                <w:sz w:val="24"/>
                <w:szCs w:val="24"/>
              </w:rPr>
            </w:pPr>
            <w:r>
              <w:rPr>
                <w:sz w:val="24"/>
                <w:szCs w:val="24"/>
              </w:rPr>
              <w:t>（1）废气</w:t>
            </w:r>
          </w:p>
          <w:p>
            <w:pPr>
              <w:snapToGrid w:val="0"/>
              <w:spacing w:line="360" w:lineRule="auto"/>
              <w:ind w:firstLine="480" w:firstLineChars="200"/>
              <w:rPr>
                <w:sz w:val="24"/>
                <w:szCs w:val="24"/>
              </w:rPr>
            </w:pPr>
            <w:r>
              <w:rPr>
                <w:sz w:val="24"/>
                <w:szCs w:val="24"/>
              </w:rPr>
              <w:t>本项目营运期</w:t>
            </w:r>
            <w:r>
              <w:rPr>
                <w:rFonts w:hint="eastAsia"/>
                <w:sz w:val="24"/>
                <w:szCs w:val="24"/>
              </w:rPr>
              <w:t>产生的废气主要为激光切割机下料过程中产生的切割烟尘、焊机焊接过程中产生的焊接烟尘。</w:t>
            </w:r>
          </w:p>
          <w:p>
            <w:pPr>
              <w:snapToGrid w:val="0"/>
              <w:spacing w:line="360" w:lineRule="auto"/>
              <w:ind w:firstLine="480" w:firstLineChars="200"/>
              <w:rPr>
                <w:sz w:val="24"/>
                <w:szCs w:val="24"/>
              </w:rPr>
            </w:pPr>
            <w:r>
              <w:rPr>
                <w:sz w:val="24"/>
                <w:szCs w:val="24"/>
              </w:rPr>
              <w:t>（2）废水</w:t>
            </w:r>
          </w:p>
          <w:p>
            <w:pPr>
              <w:snapToGrid w:val="0"/>
              <w:spacing w:line="360" w:lineRule="auto"/>
              <w:ind w:firstLine="480" w:firstLineChars="200"/>
              <w:rPr>
                <w:sz w:val="24"/>
                <w:szCs w:val="24"/>
              </w:rPr>
            </w:pPr>
            <w:r>
              <w:rPr>
                <w:sz w:val="24"/>
                <w:szCs w:val="24"/>
              </w:rPr>
              <w:t>本项目排放污水主要为职工生活污水，职工就餐为外送。其污染因子为COD</w:t>
            </w:r>
            <w:r>
              <w:rPr>
                <w:sz w:val="24"/>
                <w:szCs w:val="24"/>
                <w:vertAlign w:val="subscript"/>
              </w:rPr>
              <w:t>Cr</w:t>
            </w:r>
            <w:r>
              <w:rPr>
                <w:sz w:val="24"/>
                <w:szCs w:val="24"/>
              </w:rPr>
              <w:t>、BOD</w:t>
            </w:r>
            <w:r>
              <w:rPr>
                <w:sz w:val="24"/>
                <w:szCs w:val="24"/>
                <w:vertAlign w:val="subscript"/>
              </w:rPr>
              <w:t>5</w:t>
            </w:r>
            <w:r>
              <w:rPr>
                <w:sz w:val="24"/>
                <w:szCs w:val="24"/>
              </w:rPr>
              <w:t>、SS、氨氮等。</w:t>
            </w:r>
          </w:p>
          <w:p>
            <w:pPr>
              <w:snapToGrid w:val="0"/>
              <w:spacing w:line="360" w:lineRule="auto"/>
              <w:ind w:firstLine="480" w:firstLineChars="200"/>
              <w:rPr>
                <w:sz w:val="24"/>
                <w:szCs w:val="24"/>
              </w:rPr>
            </w:pPr>
            <w:r>
              <w:rPr>
                <w:sz w:val="24"/>
                <w:szCs w:val="24"/>
              </w:rPr>
              <w:t>（3）噪声</w:t>
            </w:r>
          </w:p>
          <w:p>
            <w:pPr>
              <w:snapToGrid w:val="0"/>
              <w:spacing w:line="360" w:lineRule="auto"/>
              <w:ind w:firstLine="480" w:firstLineChars="200"/>
              <w:rPr>
                <w:sz w:val="24"/>
                <w:szCs w:val="24"/>
              </w:rPr>
            </w:pPr>
            <w:r>
              <w:rPr>
                <w:bCs/>
                <w:sz w:val="24"/>
                <w:szCs w:val="24"/>
              </w:rPr>
              <w:t>项目主要噪声为各种生产设备运行及车辆进出产生的噪声。</w:t>
            </w:r>
            <w:r>
              <w:rPr>
                <w:sz w:val="24"/>
                <w:szCs w:val="24"/>
              </w:rPr>
              <w:t>本项目噪声污染主要来自设备。设备噪声源强为</w:t>
            </w:r>
            <w:r>
              <w:rPr>
                <w:rFonts w:hint="eastAsia"/>
                <w:sz w:val="24"/>
                <w:szCs w:val="24"/>
              </w:rPr>
              <w:t>75~90</w:t>
            </w:r>
            <w:r>
              <w:rPr>
                <w:sz w:val="24"/>
                <w:szCs w:val="24"/>
              </w:rPr>
              <w:t>dB（A）。</w:t>
            </w:r>
          </w:p>
          <w:p>
            <w:pPr>
              <w:snapToGrid w:val="0"/>
              <w:spacing w:line="360" w:lineRule="auto"/>
              <w:ind w:firstLine="480" w:firstLineChars="200"/>
              <w:rPr>
                <w:sz w:val="24"/>
                <w:szCs w:val="24"/>
              </w:rPr>
            </w:pPr>
            <w:r>
              <w:rPr>
                <w:sz w:val="24"/>
                <w:szCs w:val="24"/>
              </w:rPr>
              <w:t>（4）固体废物</w:t>
            </w:r>
          </w:p>
          <w:p>
            <w:pPr>
              <w:snapToGrid w:val="0"/>
              <w:spacing w:line="360" w:lineRule="auto"/>
              <w:ind w:firstLine="480" w:firstLineChars="200"/>
              <w:rPr>
                <w:sz w:val="24"/>
                <w:szCs w:val="24"/>
              </w:rPr>
            </w:pPr>
            <w:r>
              <w:rPr>
                <w:bCs/>
                <w:sz w:val="24"/>
                <w:szCs w:val="24"/>
              </w:rPr>
              <w:t>本项目产生的固废主要为：</w:t>
            </w:r>
            <w:r>
              <w:rPr>
                <w:rFonts w:hint="eastAsia"/>
                <w:sz w:val="24"/>
                <w:szCs w:val="24"/>
              </w:rPr>
              <w:t>生产车间产生边角料、废铁屑、维修设备产生的含油抹布手套、废机油、废乳化液等、职工生活垃圾</w:t>
            </w:r>
            <w:r>
              <w:rPr>
                <w:bCs/>
                <w:sz w:val="24"/>
                <w:szCs w:val="24"/>
              </w:rPr>
              <w:t>。</w:t>
            </w:r>
          </w:p>
          <w:p>
            <w:pPr>
              <w:spacing w:line="360" w:lineRule="auto"/>
              <w:rPr>
                <w:b/>
                <w:bCs/>
                <w:kern w:val="0"/>
                <w:sz w:val="24"/>
              </w:rPr>
            </w:pPr>
            <w:r>
              <w:rPr>
                <w:b/>
                <w:bCs/>
                <w:kern w:val="0"/>
                <w:sz w:val="24"/>
              </w:rPr>
              <w:t>主要</w:t>
            </w:r>
            <w:r>
              <w:rPr>
                <w:rFonts w:hint="eastAsia"/>
                <w:b/>
                <w:bCs/>
                <w:kern w:val="0"/>
                <w:sz w:val="24"/>
              </w:rPr>
              <w:t>污染源简析</w:t>
            </w:r>
          </w:p>
          <w:p>
            <w:pPr>
              <w:spacing w:line="360" w:lineRule="auto"/>
              <w:rPr>
                <w:b/>
                <w:bCs/>
                <w:kern w:val="0"/>
                <w:sz w:val="24"/>
              </w:rPr>
            </w:pPr>
            <w:r>
              <w:rPr>
                <w:rFonts w:hint="eastAsia"/>
                <w:b/>
                <w:bCs/>
                <w:kern w:val="0"/>
                <w:sz w:val="24"/>
              </w:rPr>
              <w:t>1、</w:t>
            </w:r>
            <w:r>
              <w:rPr>
                <w:b/>
                <w:bCs/>
                <w:kern w:val="0"/>
                <w:sz w:val="24"/>
              </w:rPr>
              <w:t>废水污染源分析</w:t>
            </w:r>
          </w:p>
          <w:p>
            <w:pPr>
              <w:pStyle w:val="150"/>
              <w:numPr>
                <w:ilvl w:val="0"/>
                <w:numId w:val="1"/>
              </w:numPr>
              <w:spacing w:line="360" w:lineRule="auto"/>
              <w:rPr>
                <w:kern w:val="0"/>
              </w:rPr>
            </w:pPr>
            <w:r>
              <w:rPr>
                <w:kern w:val="0"/>
              </w:rPr>
              <w:t>建设项目给、排水概况</w:t>
            </w:r>
          </w:p>
          <w:p>
            <w:pPr>
              <w:spacing w:line="360" w:lineRule="auto"/>
              <w:ind w:firstLine="480" w:firstLineChars="200"/>
              <w:rPr>
                <w:sz w:val="24"/>
              </w:rPr>
            </w:pPr>
            <w:r>
              <w:rPr>
                <w:sz w:val="24"/>
              </w:rPr>
              <w:t>项目产生的废水主要为生活污水，</w:t>
            </w:r>
            <w:r>
              <w:rPr>
                <w:rFonts w:hint="eastAsia"/>
                <w:sz w:val="24"/>
              </w:rPr>
              <w:t>经过托现有化粪池处理后排入市政污水管网进入淮南首创第一污水处理厂处理，处理达标后排入淮河。</w:t>
            </w:r>
          </w:p>
          <w:p>
            <w:pPr>
              <w:spacing w:line="360" w:lineRule="auto"/>
              <w:ind w:firstLine="480" w:firstLineChars="200"/>
              <w:rPr>
                <w:sz w:val="24"/>
                <w:szCs w:val="24"/>
              </w:rPr>
            </w:pPr>
            <w:r>
              <w:rPr>
                <w:sz w:val="24"/>
                <w:szCs w:val="24"/>
              </w:rPr>
              <w:t>本项目职工人数为</w:t>
            </w:r>
            <w:r>
              <w:rPr>
                <w:rFonts w:hint="eastAsia"/>
                <w:sz w:val="24"/>
                <w:szCs w:val="24"/>
              </w:rPr>
              <w:t>50人</w:t>
            </w:r>
            <w:r>
              <w:rPr>
                <w:sz w:val="24"/>
                <w:szCs w:val="24"/>
              </w:rPr>
              <w:t>，职工均不在项目区食宿，用水标准按50L/(人·d)，用水量为</w:t>
            </w:r>
            <w:r>
              <w:rPr>
                <w:rFonts w:hint="eastAsia"/>
                <w:sz w:val="24"/>
                <w:szCs w:val="24"/>
              </w:rPr>
              <w:t>2.5</w:t>
            </w:r>
            <w:r>
              <w:rPr>
                <w:sz w:val="24"/>
                <w:szCs w:val="24"/>
              </w:rPr>
              <w:t>m</w:t>
            </w:r>
            <w:r>
              <w:rPr>
                <w:sz w:val="24"/>
                <w:szCs w:val="24"/>
                <w:vertAlign w:val="superscript"/>
              </w:rPr>
              <w:t>3</w:t>
            </w:r>
            <w:r>
              <w:rPr>
                <w:sz w:val="24"/>
                <w:szCs w:val="24"/>
              </w:rPr>
              <w:t>/d，</w:t>
            </w:r>
            <w:r>
              <w:rPr>
                <w:rFonts w:hint="eastAsia"/>
                <w:sz w:val="24"/>
                <w:szCs w:val="24"/>
              </w:rPr>
              <w:t>750m</w:t>
            </w:r>
            <w:r>
              <w:rPr>
                <w:sz w:val="24"/>
                <w:szCs w:val="24"/>
                <w:vertAlign w:val="superscript"/>
              </w:rPr>
              <w:t>3</w:t>
            </w:r>
            <w:r>
              <w:rPr>
                <w:sz w:val="24"/>
                <w:szCs w:val="24"/>
              </w:rPr>
              <w:t>/a（一年按</w:t>
            </w:r>
            <w:r>
              <w:rPr>
                <w:rFonts w:hint="eastAsia"/>
                <w:sz w:val="24"/>
                <w:szCs w:val="24"/>
              </w:rPr>
              <w:t>300</w:t>
            </w:r>
            <w:r>
              <w:rPr>
                <w:sz w:val="24"/>
                <w:szCs w:val="24"/>
              </w:rPr>
              <w:t>天计算），排放系数按80%计，则污水量为</w:t>
            </w:r>
            <w:r>
              <w:rPr>
                <w:rFonts w:hint="eastAsia"/>
                <w:sz w:val="24"/>
                <w:szCs w:val="24"/>
              </w:rPr>
              <w:t>2.0</w:t>
            </w:r>
            <w:r>
              <w:rPr>
                <w:sz w:val="24"/>
                <w:szCs w:val="24"/>
              </w:rPr>
              <w:t>m</w:t>
            </w:r>
            <w:r>
              <w:rPr>
                <w:sz w:val="24"/>
                <w:szCs w:val="24"/>
                <w:vertAlign w:val="superscript"/>
              </w:rPr>
              <w:t>3</w:t>
            </w:r>
            <w:r>
              <w:rPr>
                <w:sz w:val="24"/>
                <w:szCs w:val="24"/>
              </w:rPr>
              <w:t>/d，600m</w:t>
            </w:r>
            <w:r>
              <w:rPr>
                <w:sz w:val="24"/>
                <w:szCs w:val="24"/>
                <w:vertAlign w:val="superscript"/>
              </w:rPr>
              <w:t>3</w:t>
            </w:r>
            <w:r>
              <w:rPr>
                <w:sz w:val="24"/>
                <w:szCs w:val="24"/>
              </w:rPr>
              <w:t>/a；</w:t>
            </w:r>
          </w:p>
          <w:p>
            <w:pPr>
              <w:spacing w:line="360" w:lineRule="auto"/>
              <w:rPr>
                <w:sz w:val="24"/>
              </w:rPr>
            </w:pPr>
            <w:r>
              <w:rPr>
                <w:sz w:val="24"/>
              </w:rPr>
              <w:pict>
                <v:group id="画布 512" o:spid="_x0000_s3764" o:spt="203" style="height:65.9pt;width:435.75pt;" coordorigin="1721,14073" coordsize="8715,1318" editas="canvas">
                  <o:lock v:ext="edit"/>
                  <v:shape id="画布 512" o:spid="_x0000_s3765" o:spt="75" type="#_x0000_t75" style="position:absolute;left:1721;top:14073;height:1318;width:8715;" filled="f" o:preferrelative="f" stroked="f" coordsize="21600,21600">
                    <v:fill on="f" focussize="0,0"/>
                    <v:stroke on="f" joinstyle="miter"/>
                    <v:imagedata o:title=""/>
                    <o:lock v:ext="edit" rotation="t" text="t" aspectratio="t"/>
                  </v:shape>
                  <v:rect id="矩形 515" o:spid="_x0000_s3767" o:spt="1" style="position:absolute;left:4594;top:14385;height:468;width:720;" stroked="f" coordsize="21600,21600">
                    <v:path/>
                    <v:fill focussize="0,0"/>
                    <v:stroke on="f"/>
                    <v:imagedata o:title=""/>
                    <o:lock v:ext="edit"/>
                    <v:textbox>
                      <w:txbxContent/>
                    </v:textbox>
                  </v:rect>
                  <v:group id="组合 516" o:spid="_x0000_s3768" o:spt="203" style="position:absolute;left:1721;top:14299;height:1092;width:1082;" coordorigin="1893,12201" coordsize="1082,1092">
                    <o:lock v:ext="edit"/>
                    <v:rect id="矩形 517" o:spid="_x0000_s3769" o:spt="1" style="position:absolute;left:1893;top:12201;height:469;width:1081;" stroked="f" coordsize="21600,21600">
                      <v:path/>
                      <v:fill focussize="0,0"/>
                      <v:stroke on="f"/>
                      <v:imagedata o:title=""/>
                      <o:lock v:ext="edit"/>
                      <v:textbox>
                        <w:txbxContent>
                          <w:p>
                            <w:r>
                              <w:rPr>
                                <w:rFonts w:hint="eastAsia"/>
                              </w:rPr>
                              <w:t>自来水</w:t>
                            </w:r>
                          </w:p>
                        </w:txbxContent>
                      </v:textbox>
                    </v:rect>
                    <v:rect id="矩形 518" o:spid="_x0000_s3770" o:spt="1" style="position:absolute;left:1894;top:12824;height:469;width:1081;" stroked="f" coordsize="21600,21600">
                      <v:path/>
                      <v:fill focussize="0,0"/>
                      <v:stroke on="f"/>
                      <v:imagedata o:title=""/>
                      <o:lock v:ext="edit"/>
                      <v:textbox>
                        <w:txbxContent>
                          <w:p>
                            <w:r>
                              <w:rPr>
                                <w:rFonts w:hint="eastAsia"/>
                              </w:rPr>
                              <w:t>2.5</w:t>
                            </w:r>
                          </w:p>
                        </w:txbxContent>
                      </v:textbox>
                    </v:rect>
                  </v:group>
                  <v:line id="直线 519" o:spid="_x0000_s3771" o:spt="20" style="position:absolute;left:1893;top:14893;height:1;width:1081;" coordsize="21600,21600">
                    <v:path arrowok="t"/>
                    <v:fill focussize="0,0"/>
                    <v:stroke endarrow="block"/>
                    <v:imagedata o:title=""/>
                    <o:lock v:ext="edit"/>
                  </v:line>
                  <v:rect id="矩形 520" o:spid="_x0000_s3772" o:spt="1" style="position:absolute;left:2974;top:14697;height:468;width:1620;" coordsize="21600,21600">
                    <v:path/>
                    <v:fill focussize="0,0"/>
                    <v:stroke/>
                    <v:imagedata o:title=""/>
                    <o:lock v:ext="edit"/>
                    <v:textbox>
                      <w:txbxContent>
                        <w:p>
                          <w:pPr>
                            <w:jc w:val="center"/>
                          </w:pPr>
                          <w:r>
                            <w:rPr>
                              <w:rFonts w:hint="eastAsia"/>
                            </w:rPr>
                            <w:t>生活用水</w:t>
                          </w:r>
                        </w:p>
                      </w:txbxContent>
                    </v:textbox>
                  </v:rect>
                  <v:group id="组合 521" o:spid="_x0000_s3773" o:spt="203" style="position:absolute;left:3874;top:14385;height:353;width:372;" coordorigin="4520,2614" coordsize="353,353">
                    <o:lock v:ext="edit"/>
                    <v:line id="直线 522" o:spid="_x0000_s3774" o:spt="20" style="position:absolute;left:4520;top:2655;flip:y;height:312;width:180;" coordsize="21600,21600">
                      <v:path arrowok="t"/>
                      <v:fill focussize="0,0"/>
                      <v:stroke/>
                      <v:imagedata o:title=""/>
                      <o:lock v:ext="edit"/>
                    </v:line>
                    <v:line id="直线 523" o:spid="_x0000_s3775" o:spt="20" style="position:absolute;left:4700;top:2655;height:197;width:57;" coordsize="21600,21600">
                      <v:path arrowok="t"/>
                      <v:fill focussize="0,0"/>
                      <v:stroke/>
                      <v:imagedata o:title=""/>
                      <o:lock v:ext="edit"/>
                    </v:line>
                    <v:line id="直线 524" o:spid="_x0000_s3776" o:spt="20" style="position:absolute;left:4761;top:2614;flip:y;height:256;width:112;" coordsize="21600,21600">
                      <v:path arrowok="t"/>
                      <v:fill focussize="0,0"/>
                      <v:stroke endarrow="block" endarrowwidth="narrow" endarrowlength="short"/>
                      <v:imagedata o:title=""/>
                      <o:lock v:ext="edit"/>
                    </v:line>
                  </v:group>
                  <v:rect id="矩形 525" o:spid="_x0000_s3777" o:spt="1" style="position:absolute;left:4054;top:14073;height:468;width:900;" filled="f" stroked="f" coordsize="21600,21600">
                    <v:path/>
                    <v:fill on="f" focussize="0,0"/>
                    <v:stroke on="f"/>
                    <v:imagedata o:title=""/>
                    <o:lock v:ext="edit"/>
                    <v:textbox>
                      <w:txbxContent>
                        <w:p>
                          <w:r>
                            <w:rPr>
                              <w:rFonts w:hint="eastAsia"/>
                            </w:rPr>
                            <w:t>0.5</w:t>
                          </w:r>
                        </w:p>
                      </w:txbxContent>
                    </v:textbox>
                  </v:rect>
                  <v:rect id="矩形 526" o:spid="_x0000_s3778" o:spt="1" style="position:absolute;left:5314;top:14641;height:468;width:1160;" coordsize="21600,21600">
                    <v:path/>
                    <v:fill focussize="0,0"/>
                    <v:stroke/>
                    <v:imagedata o:title=""/>
                    <o:lock v:ext="edit"/>
                    <v:textbox>
                      <w:txbxContent>
                        <w:p>
                          <w:r>
                            <w:rPr>
                              <w:rFonts w:hint="eastAsia"/>
                            </w:rPr>
                            <w:t>化粪池</w:t>
                          </w:r>
                        </w:p>
                      </w:txbxContent>
                    </v:textbox>
                  </v:rect>
                  <v:line id="直线 533" o:spid="_x0000_s3784" o:spt="20" style="position:absolute;left:4594;top:14853;height:1;width:720;" coordsize="21600,21600">
                    <v:path arrowok="t"/>
                    <v:fill focussize="0,0"/>
                    <v:stroke endarrow="block"/>
                    <v:imagedata o:title=""/>
                    <o:lock v:ext="edit"/>
                  </v:line>
                  <v:line id="直线 534" o:spid="_x0000_s3785" o:spt="20" style="position:absolute;left:6474;top:14854;height:1;width:720;" coordsize="21600,21600">
                    <v:path arrowok="t"/>
                    <v:fill focussize="0,0"/>
                    <v:stroke endarrow="block"/>
                    <v:imagedata o:title=""/>
                    <o:lock v:ext="edit"/>
                  </v:line>
                  <v:rect id="矩形 590" o:spid="_x0000_s3795" o:spt="1" style="position:absolute;left:7194;top:14530;height:861;width:1611;" coordsize="21600,21600">
                    <v:path/>
                    <v:fill focussize="0,0"/>
                    <v:stroke/>
                    <v:imagedata o:title=""/>
                    <o:lock v:ext="edit"/>
                    <v:textbox>
                      <w:txbxContent>
                        <w:p>
                          <w:r>
                            <w:rPr>
                              <w:rFonts w:hint="eastAsia"/>
                            </w:rPr>
                            <w:t>淮南首创第一污水处理厂</w:t>
                          </w:r>
                        </w:p>
                      </w:txbxContent>
                    </v:textbox>
                  </v:rect>
                  <v:line id="直线 534" o:spid="_x0000_s3855" o:spt="20" style="position:absolute;left:8805;top:14892;height:1;width:615;" coordsize="21600,21600">
                    <v:path arrowok="t"/>
                    <v:fill focussize="0,0"/>
                    <v:stroke endarrow="block"/>
                    <v:imagedata o:title=""/>
                    <o:lock v:ext="edit"/>
                  </v:line>
                  <v:rect id="矩形 515" o:spid="_x0000_s3799" o:spt="1" style="position:absolute;left:6474;top:14454;height:468;width:720;" filled="f" stroked="f" coordsize="21600,21600">
                    <v:path/>
                    <v:fill on="f" focussize="0,0"/>
                    <v:stroke on="f"/>
                    <v:imagedata o:title=""/>
                    <o:lock v:ext="edit"/>
                    <v:textbox style="mso-next-textbox:#矩形 515;">
                      <w:txbxContent>
                        <w:p>
                          <w:r>
                            <w:rPr>
                              <w:rFonts w:hint="eastAsia"/>
                            </w:rPr>
                            <w:t>2.0</w:t>
                          </w:r>
                        </w:p>
                      </w:txbxContent>
                    </v:textbox>
                  </v:rect>
                  <v:rect id="矩形 526" o:spid="_x0000_s3917" o:spt="1" style="position:absolute;left:9276;top:14623;height:468;width:1160;" coordsize="21600,21600">
                    <v:path/>
                    <v:fill focussize="0,0"/>
                    <v:stroke/>
                    <v:imagedata o:title=""/>
                    <o:lock v:ext="edit"/>
                    <v:textbox>
                      <w:txbxContent>
                        <w:p>
                          <w:r>
                            <w:rPr>
                              <w:rFonts w:hint="eastAsia"/>
                            </w:rPr>
                            <w:t>淮河</w:t>
                          </w:r>
                        </w:p>
                      </w:txbxContent>
                    </v:textbox>
                  </v:rect>
                  <w10:wrap type="none"/>
                  <w10:anchorlock/>
                </v:group>
              </w:pict>
            </w:r>
          </w:p>
          <w:p>
            <w:pPr>
              <w:spacing w:line="360" w:lineRule="auto"/>
              <w:jc w:val="center"/>
              <w:rPr>
                <w:b/>
                <w:szCs w:val="21"/>
              </w:rPr>
            </w:pPr>
            <w:r>
              <w:rPr>
                <w:b/>
                <w:szCs w:val="21"/>
              </w:rPr>
              <w:t>图</w:t>
            </w:r>
            <w:r>
              <w:rPr>
                <w:rFonts w:hint="eastAsia"/>
                <w:b/>
                <w:szCs w:val="21"/>
              </w:rPr>
              <w:t xml:space="preserve">3 </w:t>
            </w:r>
            <w:r>
              <w:rPr>
                <w:b/>
                <w:szCs w:val="21"/>
              </w:rPr>
              <w:t>项目水平衡图（单位：m</w:t>
            </w:r>
            <w:r>
              <w:rPr>
                <w:b/>
                <w:szCs w:val="21"/>
                <w:vertAlign w:val="superscript"/>
              </w:rPr>
              <w:t>3</w:t>
            </w:r>
            <w:r>
              <w:rPr>
                <w:b/>
                <w:szCs w:val="21"/>
              </w:rPr>
              <w:t>/d）</w:t>
            </w:r>
          </w:p>
          <w:p>
            <w:pPr>
              <w:spacing w:line="360" w:lineRule="auto"/>
              <w:ind w:firstLine="480" w:firstLineChars="200"/>
              <w:rPr>
                <w:b/>
                <w:sz w:val="28"/>
                <w:szCs w:val="28"/>
              </w:rPr>
            </w:pPr>
            <w:r>
              <w:rPr>
                <w:sz w:val="24"/>
                <w:szCs w:val="24"/>
              </w:rPr>
              <w:t>(2)废水污染物种类</w:t>
            </w:r>
          </w:p>
          <w:p>
            <w:pPr>
              <w:spacing w:line="360" w:lineRule="auto"/>
              <w:ind w:firstLine="480" w:firstLineChars="200"/>
              <w:rPr>
                <w:sz w:val="24"/>
                <w:szCs w:val="24"/>
              </w:rPr>
            </w:pPr>
            <w:r>
              <w:rPr>
                <w:sz w:val="24"/>
                <w:szCs w:val="24"/>
                <w:lang w:val="en-GB"/>
              </w:rPr>
              <w:t>根据建设项目特点，该项目排放废水主要为办公、生活废水。类比调查资料显示，本项目废水主要污染物为COD</w:t>
            </w:r>
            <w:r>
              <w:rPr>
                <w:rFonts w:eastAsia="仿宋_GB2312"/>
                <w:sz w:val="24"/>
                <w:vertAlign w:val="subscript"/>
              </w:rPr>
              <w:t>cr</w:t>
            </w:r>
            <w:r>
              <w:rPr>
                <w:sz w:val="24"/>
                <w:szCs w:val="24"/>
                <w:lang w:val="en-GB"/>
              </w:rPr>
              <w:t>、SS、氨氮等。项目废水污染物产生情况见下表：</w:t>
            </w:r>
          </w:p>
          <w:p>
            <w:pPr>
              <w:jc w:val="center"/>
              <w:rPr>
                <w:b/>
                <w:szCs w:val="21"/>
              </w:rPr>
            </w:pPr>
          </w:p>
          <w:p>
            <w:pPr>
              <w:jc w:val="center"/>
              <w:rPr>
                <w:b/>
                <w:szCs w:val="21"/>
              </w:rPr>
            </w:pPr>
          </w:p>
          <w:p>
            <w:pPr>
              <w:jc w:val="center"/>
              <w:rPr>
                <w:b/>
                <w:szCs w:val="21"/>
              </w:rPr>
            </w:pPr>
            <w:r>
              <w:rPr>
                <w:b/>
                <w:szCs w:val="21"/>
              </w:rPr>
              <w:t>表</w:t>
            </w:r>
            <w:r>
              <w:rPr>
                <w:rFonts w:hint="eastAsia"/>
                <w:b/>
                <w:szCs w:val="21"/>
              </w:rPr>
              <w:t>17</w:t>
            </w:r>
            <w:r>
              <w:rPr>
                <w:b/>
                <w:szCs w:val="21"/>
              </w:rPr>
              <w:t>废水水质指标  单位：mg/L（pH除外）</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32"/>
              <w:gridCol w:w="1148"/>
              <w:gridCol w:w="1833"/>
              <w:gridCol w:w="1207"/>
              <w:gridCol w:w="1467"/>
              <w:gridCol w:w="14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32" w:type="dxa"/>
                  <w:vAlign w:val="center"/>
                </w:tcPr>
                <w:p>
                  <w:pPr>
                    <w:jc w:val="center"/>
                    <w:rPr>
                      <w:rFonts w:eastAsia="仿宋_GB2312"/>
                      <w:caps/>
                      <w:szCs w:val="21"/>
                    </w:rPr>
                  </w:pPr>
                  <w:r>
                    <w:rPr>
                      <w:caps/>
                      <w:szCs w:val="21"/>
                    </w:rPr>
                    <w:t>种类</w:t>
                  </w:r>
                </w:p>
              </w:tc>
              <w:tc>
                <w:tcPr>
                  <w:tcW w:w="1148" w:type="dxa"/>
                  <w:vAlign w:val="center"/>
                </w:tcPr>
                <w:p>
                  <w:pPr>
                    <w:jc w:val="center"/>
                    <w:rPr>
                      <w:rFonts w:eastAsia="仿宋_GB2312"/>
                      <w:szCs w:val="21"/>
                    </w:rPr>
                  </w:pPr>
                  <w:r>
                    <w:rPr>
                      <w:rFonts w:eastAsia="仿宋_GB2312"/>
                      <w:szCs w:val="21"/>
                    </w:rPr>
                    <w:t>pH</w:t>
                  </w:r>
                </w:p>
              </w:tc>
              <w:tc>
                <w:tcPr>
                  <w:tcW w:w="1833" w:type="dxa"/>
                  <w:vAlign w:val="center"/>
                </w:tcPr>
                <w:p>
                  <w:pPr>
                    <w:jc w:val="center"/>
                    <w:rPr>
                      <w:rFonts w:eastAsia="仿宋_GB2312"/>
                      <w:caps/>
                      <w:szCs w:val="21"/>
                    </w:rPr>
                  </w:pPr>
                  <w:r>
                    <w:rPr>
                      <w:rFonts w:eastAsia="仿宋_GB2312"/>
                      <w:caps/>
                      <w:szCs w:val="21"/>
                    </w:rPr>
                    <w:t>COD</w:t>
                  </w:r>
                  <w:r>
                    <w:rPr>
                      <w:rFonts w:eastAsia="仿宋_GB2312"/>
                      <w:szCs w:val="21"/>
                      <w:vertAlign w:val="subscript"/>
                    </w:rPr>
                    <w:t>cr</w:t>
                  </w:r>
                </w:p>
              </w:tc>
              <w:tc>
                <w:tcPr>
                  <w:tcW w:w="1207" w:type="dxa"/>
                  <w:vAlign w:val="center"/>
                </w:tcPr>
                <w:p>
                  <w:pPr>
                    <w:jc w:val="center"/>
                    <w:rPr>
                      <w:rFonts w:eastAsia="仿宋_GB2312"/>
                      <w:caps/>
                      <w:szCs w:val="21"/>
                    </w:rPr>
                  </w:pPr>
                  <w:r>
                    <w:rPr>
                      <w:rFonts w:eastAsia="仿宋_GB2312"/>
                      <w:caps/>
                      <w:szCs w:val="21"/>
                    </w:rPr>
                    <w:t>BOD</w:t>
                  </w:r>
                  <w:r>
                    <w:rPr>
                      <w:rFonts w:eastAsia="仿宋_GB2312"/>
                      <w:caps/>
                      <w:szCs w:val="21"/>
                      <w:vertAlign w:val="subscript"/>
                    </w:rPr>
                    <w:t>5</w:t>
                  </w:r>
                </w:p>
              </w:tc>
              <w:tc>
                <w:tcPr>
                  <w:tcW w:w="1467" w:type="dxa"/>
                  <w:vAlign w:val="center"/>
                </w:tcPr>
                <w:p>
                  <w:pPr>
                    <w:jc w:val="center"/>
                    <w:rPr>
                      <w:rFonts w:eastAsia="仿宋_GB2312"/>
                      <w:caps/>
                      <w:szCs w:val="21"/>
                    </w:rPr>
                  </w:pPr>
                  <w:r>
                    <w:rPr>
                      <w:rFonts w:eastAsia="仿宋_GB2312"/>
                      <w:caps/>
                      <w:szCs w:val="21"/>
                    </w:rPr>
                    <w:t>SS</w:t>
                  </w:r>
                </w:p>
              </w:tc>
              <w:tc>
                <w:tcPr>
                  <w:tcW w:w="1417" w:type="dxa"/>
                  <w:vAlign w:val="center"/>
                </w:tcPr>
                <w:p>
                  <w:pPr>
                    <w:jc w:val="center"/>
                    <w:rPr>
                      <w:caps/>
                      <w:szCs w:val="21"/>
                    </w:rPr>
                  </w:pPr>
                  <w:r>
                    <w:rPr>
                      <w:caps/>
                      <w:szCs w:val="21"/>
                    </w:rPr>
                    <w:t>氨氮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832" w:type="dxa"/>
                  <w:vAlign w:val="center"/>
                </w:tcPr>
                <w:p>
                  <w:pPr>
                    <w:jc w:val="center"/>
                    <w:rPr>
                      <w:caps/>
                      <w:szCs w:val="21"/>
                    </w:rPr>
                  </w:pPr>
                  <w:r>
                    <w:rPr>
                      <w:caps/>
                      <w:szCs w:val="21"/>
                    </w:rPr>
                    <w:t>生活废水</w:t>
                  </w:r>
                </w:p>
              </w:tc>
              <w:tc>
                <w:tcPr>
                  <w:tcW w:w="1148" w:type="dxa"/>
                  <w:vAlign w:val="center"/>
                </w:tcPr>
                <w:p>
                  <w:pPr>
                    <w:jc w:val="center"/>
                    <w:rPr>
                      <w:rFonts w:eastAsia="仿宋_GB2312"/>
                      <w:caps/>
                      <w:szCs w:val="21"/>
                    </w:rPr>
                  </w:pPr>
                  <w:r>
                    <w:rPr>
                      <w:rFonts w:eastAsia="仿宋_GB2312"/>
                      <w:caps/>
                      <w:szCs w:val="21"/>
                    </w:rPr>
                    <w:t>6~8</w:t>
                  </w:r>
                </w:p>
              </w:tc>
              <w:tc>
                <w:tcPr>
                  <w:tcW w:w="1833" w:type="dxa"/>
                  <w:vAlign w:val="center"/>
                </w:tcPr>
                <w:p>
                  <w:pPr>
                    <w:jc w:val="center"/>
                    <w:rPr>
                      <w:rFonts w:eastAsia="仿宋_GB2312"/>
                      <w:caps/>
                      <w:szCs w:val="21"/>
                    </w:rPr>
                  </w:pPr>
                  <w:r>
                    <w:rPr>
                      <w:rFonts w:eastAsia="仿宋_GB2312"/>
                      <w:caps/>
                      <w:szCs w:val="21"/>
                    </w:rPr>
                    <w:t>350</w:t>
                  </w:r>
                </w:p>
              </w:tc>
              <w:tc>
                <w:tcPr>
                  <w:tcW w:w="1207" w:type="dxa"/>
                  <w:vAlign w:val="center"/>
                </w:tcPr>
                <w:p>
                  <w:pPr>
                    <w:jc w:val="center"/>
                    <w:rPr>
                      <w:rFonts w:eastAsia="仿宋_GB2312"/>
                      <w:caps/>
                      <w:szCs w:val="21"/>
                    </w:rPr>
                  </w:pPr>
                  <w:r>
                    <w:rPr>
                      <w:rFonts w:eastAsia="仿宋_GB2312"/>
                      <w:caps/>
                      <w:szCs w:val="21"/>
                    </w:rPr>
                    <w:t>250</w:t>
                  </w:r>
                </w:p>
              </w:tc>
              <w:tc>
                <w:tcPr>
                  <w:tcW w:w="1467" w:type="dxa"/>
                  <w:vAlign w:val="center"/>
                </w:tcPr>
                <w:p>
                  <w:pPr>
                    <w:jc w:val="center"/>
                    <w:rPr>
                      <w:rFonts w:eastAsia="仿宋_GB2312"/>
                      <w:caps/>
                      <w:szCs w:val="21"/>
                    </w:rPr>
                  </w:pPr>
                  <w:r>
                    <w:rPr>
                      <w:rFonts w:eastAsia="仿宋_GB2312"/>
                      <w:caps/>
                      <w:szCs w:val="21"/>
                    </w:rPr>
                    <w:t>200</w:t>
                  </w:r>
                </w:p>
              </w:tc>
              <w:tc>
                <w:tcPr>
                  <w:tcW w:w="1417" w:type="dxa"/>
                  <w:vAlign w:val="center"/>
                </w:tcPr>
                <w:p>
                  <w:pPr>
                    <w:jc w:val="center"/>
                    <w:rPr>
                      <w:rFonts w:eastAsia="仿宋_GB2312"/>
                      <w:caps/>
                      <w:szCs w:val="21"/>
                    </w:rPr>
                  </w:pPr>
                  <w:r>
                    <w:rPr>
                      <w:rFonts w:eastAsia="仿宋_GB2312"/>
                      <w:caps/>
                      <w:szCs w:val="21"/>
                    </w:rPr>
                    <w:t>20</w:t>
                  </w:r>
                </w:p>
              </w:tc>
            </w:tr>
          </w:tbl>
          <w:p>
            <w:pPr>
              <w:spacing w:line="360" w:lineRule="auto"/>
              <w:ind w:firstLine="240" w:firstLineChars="100"/>
              <w:rPr>
                <w:sz w:val="24"/>
                <w:szCs w:val="24"/>
              </w:rPr>
            </w:pPr>
            <w:r>
              <w:rPr>
                <w:sz w:val="24"/>
                <w:szCs w:val="24"/>
              </w:rPr>
              <w:t>(3)污水处理措施分析</w:t>
            </w:r>
          </w:p>
          <w:p>
            <w:pPr>
              <w:jc w:val="center"/>
              <w:rPr>
                <w:b/>
                <w:szCs w:val="21"/>
              </w:rPr>
            </w:pPr>
            <w:r>
              <w:rPr>
                <w:rFonts w:hint="eastAsia"/>
                <w:b/>
                <w:szCs w:val="21"/>
              </w:rPr>
              <w:t xml:space="preserve">表18 </w:t>
            </w:r>
            <w:r>
              <w:rPr>
                <w:b/>
                <w:szCs w:val="21"/>
              </w:rPr>
              <w:t>废水</w:t>
            </w:r>
            <w:r>
              <w:rPr>
                <w:rFonts w:hint="eastAsia"/>
                <w:b/>
                <w:szCs w:val="21"/>
              </w:rPr>
              <w:t>处理前后水质情况表</w:t>
            </w:r>
          </w:p>
          <w:tbl>
            <w:tblPr>
              <w:tblStyle w:val="30"/>
              <w:tblW w:w="890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466"/>
              <w:gridCol w:w="1436"/>
              <w:gridCol w:w="975"/>
              <w:gridCol w:w="1116"/>
              <w:gridCol w:w="958"/>
              <w:gridCol w:w="95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b/>
                      <w:szCs w:val="21"/>
                    </w:rPr>
                  </w:pPr>
                  <w:r>
                    <w:rPr>
                      <w:rFonts w:hint="eastAsia"/>
                      <w:b/>
                      <w:szCs w:val="21"/>
                    </w:rPr>
                    <w:t>名称</w:t>
                  </w:r>
                </w:p>
              </w:tc>
              <w:tc>
                <w:tcPr>
                  <w:tcW w:w="1436" w:type="dxa"/>
                  <w:vAlign w:val="center"/>
                </w:tcPr>
                <w:p>
                  <w:pPr>
                    <w:snapToGrid w:val="0"/>
                    <w:jc w:val="center"/>
                    <w:rPr>
                      <w:b/>
                      <w:szCs w:val="21"/>
                    </w:rPr>
                  </w:pPr>
                  <w:r>
                    <w:rPr>
                      <w:b/>
                      <w:szCs w:val="21"/>
                    </w:rPr>
                    <w:t>废水量(t/a)</w:t>
                  </w:r>
                </w:p>
              </w:tc>
              <w:tc>
                <w:tcPr>
                  <w:tcW w:w="975" w:type="dxa"/>
                  <w:vAlign w:val="center"/>
                </w:tcPr>
                <w:p>
                  <w:pPr>
                    <w:snapToGrid w:val="0"/>
                    <w:ind w:hanging="24"/>
                    <w:jc w:val="center"/>
                    <w:rPr>
                      <w:b/>
                      <w:szCs w:val="21"/>
                    </w:rPr>
                  </w:pPr>
                  <w:r>
                    <w:rPr>
                      <w:b/>
                      <w:szCs w:val="21"/>
                    </w:rPr>
                    <w:t>COD</w:t>
                  </w:r>
                </w:p>
              </w:tc>
              <w:tc>
                <w:tcPr>
                  <w:tcW w:w="1116" w:type="dxa"/>
                  <w:vAlign w:val="center"/>
                </w:tcPr>
                <w:p>
                  <w:pPr>
                    <w:snapToGrid w:val="0"/>
                    <w:ind w:hanging="24"/>
                    <w:jc w:val="center"/>
                    <w:rPr>
                      <w:b/>
                      <w:szCs w:val="21"/>
                    </w:rPr>
                  </w:pPr>
                  <w:r>
                    <w:rPr>
                      <w:b/>
                      <w:szCs w:val="21"/>
                    </w:rPr>
                    <w:t>BOD</w:t>
                  </w:r>
                  <w:r>
                    <w:rPr>
                      <w:b/>
                      <w:szCs w:val="21"/>
                      <w:vertAlign w:val="subscript"/>
                    </w:rPr>
                    <w:t>5</w:t>
                  </w:r>
                </w:p>
              </w:tc>
              <w:tc>
                <w:tcPr>
                  <w:tcW w:w="958" w:type="dxa"/>
                  <w:vAlign w:val="center"/>
                </w:tcPr>
                <w:p>
                  <w:pPr>
                    <w:snapToGrid w:val="0"/>
                    <w:ind w:hanging="24"/>
                    <w:jc w:val="center"/>
                    <w:rPr>
                      <w:b/>
                      <w:szCs w:val="21"/>
                    </w:rPr>
                  </w:pPr>
                  <w:r>
                    <w:rPr>
                      <w:b/>
                      <w:szCs w:val="21"/>
                    </w:rPr>
                    <w:t>SS</w:t>
                  </w:r>
                </w:p>
              </w:tc>
              <w:tc>
                <w:tcPr>
                  <w:tcW w:w="957" w:type="dxa"/>
                  <w:vAlign w:val="center"/>
                </w:tcPr>
                <w:p>
                  <w:pPr>
                    <w:snapToGrid w:val="0"/>
                    <w:jc w:val="center"/>
                    <w:rPr>
                      <w:b/>
                      <w:szCs w:val="21"/>
                    </w:rPr>
                  </w:pPr>
                  <w:r>
                    <w:rPr>
                      <w:rFonts w:hint="eastAsia"/>
                      <w:b/>
                      <w:bCs/>
                      <w:szCs w:val="21"/>
                    </w:rPr>
                    <w:t>氨氮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caps/>
                      <w:szCs w:val="21"/>
                    </w:rPr>
                  </w:pPr>
                  <w:r>
                    <w:rPr>
                      <w:rFonts w:hint="eastAsia"/>
                      <w:caps/>
                      <w:szCs w:val="21"/>
                    </w:rPr>
                    <w:t>生活污水</w:t>
                  </w:r>
                </w:p>
              </w:tc>
              <w:tc>
                <w:tcPr>
                  <w:tcW w:w="1436" w:type="dxa"/>
                  <w:vMerge w:val="restart"/>
                  <w:vAlign w:val="center"/>
                </w:tcPr>
                <w:p>
                  <w:pPr>
                    <w:snapToGrid w:val="0"/>
                    <w:jc w:val="center"/>
                    <w:rPr>
                      <w:szCs w:val="21"/>
                    </w:rPr>
                  </w:pPr>
                  <w:r>
                    <w:rPr>
                      <w:rFonts w:hint="eastAsia"/>
                      <w:szCs w:val="21"/>
                    </w:rPr>
                    <w:t>600</w:t>
                  </w:r>
                </w:p>
              </w:tc>
              <w:tc>
                <w:tcPr>
                  <w:tcW w:w="975" w:type="dxa"/>
                  <w:vAlign w:val="center"/>
                </w:tcPr>
                <w:p>
                  <w:pPr>
                    <w:snapToGrid w:val="0"/>
                    <w:jc w:val="center"/>
                    <w:rPr>
                      <w:szCs w:val="21"/>
                    </w:rPr>
                  </w:pPr>
                  <w:r>
                    <w:rPr>
                      <w:szCs w:val="21"/>
                    </w:rPr>
                    <w:t>350</w:t>
                  </w:r>
                </w:p>
              </w:tc>
              <w:tc>
                <w:tcPr>
                  <w:tcW w:w="1116" w:type="dxa"/>
                  <w:vAlign w:val="center"/>
                </w:tcPr>
                <w:p>
                  <w:pPr>
                    <w:snapToGrid w:val="0"/>
                    <w:jc w:val="center"/>
                    <w:rPr>
                      <w:szCs w:val="21"/>
                    </w:rPr>
                  </w:pPr>
                  <w:r>
                    <w:rPr>
                      <w:szCs w:val="21"/>
                    </w:rPr>
                    <w:t>250</w:t>
                  </w:r>
                </w:p>
              </w:tc>
              <w:tc>
                <w:tcPr>
                  <w:tcW w:w="958" w:type="dxa"/>
                  <w:vAlign w:val="center"/>
                </w:tcPr>
                <w:p>
                  <w:pPr>
                    <w:snapToGrid w:val="0"/>
                    <w:jc w:val="center"/>
                    <w:rPr>
                      <w:szCs w:val="21"/>
                    </w:rPr>
                  </w:pPr>
                  <w:r>
                    <w:rPr>
                      <w:szCs w:val="21"/>
                    </w:rPr>
                    <w:t>200</w:t>
                  </w:r>
                </w:p>
              </w:tc>
              <w:tc>
                <w:tcPr>
                  <w:tcW w:w="957" w:type="dxa"/>
                  <w:vAlign w:val="center"/>
                </w:tcPr>
                <w:p>
                  <w:pPr>
                    <w:snapToGrid w:val="0"/>
                    <w:jc w:val="center"/>
                    <w:rPr>
                      <w:szCs w:val="21"/>
                    </w:rPr>
                  </w:pPr>
                  <w:r>
                    <w:rPr>
                      <w:szCs w:val="21"/>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szCs w:val="21"/>
                    </w:rPr>
                  </w:pPr>
                  <w:r>
                    <w:rPr>
                      <w:szCs w:val="21"/>
                    </w:rPr>
                    <w:t>产生量（t/a）</w:t>
                  </w:r>
                </w:p>
              </w:tc>
              <w:tc>
                <w:tcPr>
                  <w:tcW w:w="1436" w:type="dxa"/>
                  <w:vMerge w:val="continue"/>
                  <w:vAlign w:val="center"/>
                </w:tcPr>
                <w:p>
                  <w:pPr>
                    <w:snapToGrid w:val="0"/>
                    <w:jc w:val="center"/>
                    <w:rPr>
                      <w:bCs/>
                      <w:szCs w:val="21"/>
                      <w:lang w:val="en-GB"/>
                    </w:rPr>
                  </w:pPr>
                </w:p>
              </w:tc>
              <w:tc>
                <w:tcPr>
                  <w:tcW w:w="975" w:type="dxa"/>
                  <w:vAlign w:val="center"/>
                </w:tcPr>
                <w:p>
                  <w:pPr>
                    <w:jc w:val="center"/>
                    <w:rPr>
                      <w:color w:val="000000"/>
                      <w:szCs w:val="21"/>
                    </w:rPr>
                  </w:pPr>
                  <w:r>
                    <w:rPr>
                      <w:color w:val="000000"/>
                      <w:szCs w:val="21"/>
                    </w:rPr>
                    <w:t>0.21</w:t>
                  </w:r>
                </w:p>
              </w:tc>
              <w:tc>
                <w:tcPr>
                  <w:tcW w:w="1116" w:type="dxa"/>
                  <w:vAlign w:val="center"/>
                </w:tcPr>
                <w:p>
                  <w:pPr>
                    <w:jc w:val="center"/>
                    <w:rPr>
                      <w:color w:val="000000"/>
                      <w:szCs w:val="21"/>
                    </w:rPr>
                  </w:pPr>
                  <w:r>
                    <w:rPr>
                      <w:color w:val="000000"/>
                      <w:szCs w:val="21"/>
                    </w:rPr>
                    <w:t>0.15</w:t>
                  </w:r>
                </w:p>
              </w:tc>
              <w:tc>
                <w:tcPr>
                  <w:tcW w:w="958" w:type="dxa"/>
                  <w:vAlign w:val="center"/>
                </w:tcPr>
                <w:p>
                  <w:pPr>
                    <w:jc w:val="center"/>
                    <w:rPr>
                      <w:color w:val="000000"/>
                      <w:szCs w:val="21"/>
                    </w:rPr>
                  </w:pPr>
                  <w:r>
                    <w:rPr>
                      <w:color w:val="000000"/>
                      <w:szCs w:val="21"/>
                    </w:rPr>
                    <w:t>0.12</w:t>
                  </w:r>
                </w:p>
              </w:tc>
              <w:tc>
                <w:tcPr>
                  <w:tcW w:w="957" w:type="dxa"/>
                  <w:vAlign w:val="center"/>
                </w:tcPr>
                <w:p>
                  <w:pPr>
                    <w:jc w:val="center"/>
                    <w:rPr>
                      <w:color w:val="000000"/>
                      <w:szCs w:val="21"/>
                    </w:rPr>
                  </w:pPr>
                  <w:r>
                    <w:rPr>
                      <w:color w:val="000000"/>
                      <w:szCs w:val="21"/>
                    </w:rPr>
                    <w:t>0.012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szCs w:val="21"/>
                    </w:rPr>
                  </w:pPr>
                  <w:r>
                    <w:rPr>
                      <w:rFonts w:hint="eastAsia"/>
                      <w:szCs w:val="21"/>
                    </w:rPr>
                    <w:t>化粪池</w:t>
                  </w:r>
                  <w:r>
                    <w:rPr>
                      <w:szCs w:val="21"/>
                    </w:rPr>
                    <w:t>排放浓度（</w:t>
                  </w:r>
                  <w:r>
                    <w:rPr>
                      <w:bCs/>
                      <w:szCs w:val="21"/>
                    </w:rPr>
                    <w:t>mg/L</w:t>
                  </w:r>
                  <w:r>
                    <w:rPr>
                      <w:szCs w:val="21"/>
                    </w:rPr>
                    <w:t>）</w:t>
                  </w:r>
                </w:p>
              </w:tc>
              <w:tc>
                <w:tcPr>
                  <w:tcW w:w="1436" w:type="dxa"/>
                  <w:vMerge w:val="continue"/>
                  <w:vAlign w:val="center"/>
                </w:tcPr>
                <w:p>
                  <w:pPr>
                    <w:snapToGrid w:val="0"/>
                    <w:jc w:val="center"/>
                    <w:rPr>
                      <w:bCs/>
                      <w:szCs w:val="21"/>
                      <w:lang w:val="en-GB"/>
                    </w:rPr>
                  </w:pPr>
                </w:p>
              </w:tc>
              <w:tc>
                <w:tcPr>
                  <w:tcW w:w="975" w:type="dxa"/>
                  <w:vAlign w:val="center"/>
                </w:tcPr>
                <w:p>
                  <w:pPr>
                    <w:snapToGrid w:val="0"/>
                    <w:jc w:val="center"/>
                    <w:rPr>
                      <w:szCs w:val="21"/>
                    </w:rPr>
                  </w:pPr>
                  <w:r>
                    <w:rPr>
                      <w:rFonts w:hint="eastAsia"/>
                      <w:szCs w:val="21"/>
                    </w:rPr>
                    <w:t>296</w:t>
                  </w:r>
                </w:p>
              </w:tc>
              <w:tc>
                <w:tcPr>
                  <w:tcW w:w="1116" w:type="dxa"/>
                  <w:vAlign w:val="center"/>
                </w:tcPr>
                <w:p>
                  <w:pPr>
                    <w:snapToGrid w:val="0"/>
                    <w:jc w:val="center"/>
                    <w:rPr>
                      <w:szCs w:val="21"/>
                    </w:rPr>
                  </w:pPr>
                  <w:r>
                    <w:rPr>
                      <w:rFonts w:hint="eastAsia"/>
                      <w:szCs w:val="21"/>
                    </w:rPr>
                    <w:t>185</w:t>
                  </w:r>
                </w:p>
              </w:tc>
              <w:tc>
                <w:tcPr>
                  <w:tcW w:w="958" w:type="dxa"/>
                  <w:vAlign w:val="center"/>
                </w:tcPr>
                <w:p>
                  <w:pPr>
                    <w:snapToGrid w:val="0"/>
                    <w:jc w:val="center"/>
                    <w:rPr>
                      <w:szCs w:val="21"/>
                    </w:rPr>
                  </w:pPr>
                  <w:r>
                    <w:rPr>
                      <w:rFonts w:hint="eastAsia"/>
                      <w:szCs w:val="21"/>
                    </w:rPr>
                    <w:t>180</w:t>
                  </w:r>
                </w:p>
              </w:tc>
              <w:tc>
                <w:tcPr>
                  <w:tcW w:w="957" w:type="dxa"/>
                  <w:vAlign w:val="center"/>
                </w:tcPr>
                <w:p>
                  <w:pPr>
                    <w:snapToGrid w:val="0"/>
                    <w:jc w:val="center"/>
                    <w:rPr>
                      <w:szCs w:val="21"/>
                    </w:rPr>
                  </w:pPr>
                  <w:r>
                    <w:rPr>
                      <w:rFonts w:hint="eastAsia"/>
                      <w:szCs w:val="21"/>
                    </w:rPr>
                    <w:t>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szCs w:val="21"/>
                    </w:rPr>
                  </w:pPr>
                  <w:r>
                    <w:rPr>
                      <w:szCs w:val="21"/>
                    </w:rPr>
                    <w:t>排放量（t/a）</w:t>
                  </w:r>
                </w:p>
              </w:tc>
              <w:tc>
                <w:tcPr>
                  <w:tcW w:w="1436" w:type="dxa"/>
                  <w:vMerge w:val="continue"/>
                  <w:vAlign w:val="center"/>
                </w:tcPr>
                <w:p>
                  <w:pPr>
                    <w:snapToGrid w:val="0"/>
                    <w:jc w:val="center"/>
                    <w:rPr>
                      <w:bCs/>
                      <w:szCs w:val="21"/>
                      <w:lang w:val="en-GB"/>
                    </w:rPr>
                  </w:pPr>
                </w:p>
              </w:tc>
              <w:tc>
                <w:tcPr>
                  <w:tcW w:w="975" w:type="dxa"/>
                  <w:vAlign w:val="center"/>
                </w:tcPr>
                <w:p>
                  <w:pPr>
                    <w:jc w:val="center"/>
                    <w:rPr>
                      <w:color w:val="000000"/>
                      <w:szCs w:val="21"/>
                    </w:rPr>
                  </w:pPr>
                  <w:r>
                    <w:rPr>
                      <w:color w:val="000000"/>
                      <w:szCs w:val="21"/>
                    </w:rPr>
                    <w:t>0.1776</w:t>
                  </w:r>
                </w:p>
              </w:tc>
              <w:tc>
                <w:tcPr>
                  <w:tcW w:w="1116" w:type="dxa"/>
                  <w:vAlign w:val="center"/>
                </w:tcPr>
                <w:p>
                  <w:pPr>
                    <w:jc w:val="center"/>
                    <w:rPr>
                      <w:color w:val="000000"/>
                      <w:szCs w:val="21"/>
                    </w:rPr>
                  </w:pPr>
                  <w:r>
                    <w:rPr>
                      <w:color w:val="000000"/>
                      <w:szCs w:val="21"/>
                    </w:rPr>
                    <w:t>0.111</w:t>
                  </w:r>
                </w:p>
              </w:tc>
              <w:tc>
                <w:tcPr>
                  <w:tcW w:w="958" w:type="dxa"/>
                  <w:vAlign w:val="center"/>
                </w:tcPr>
                <w:p>
                  <w:pPr>
                    <w:jc w:val="center"/>
                    <w:rPr>
                      <w:color w:val="000000"/>
                      <w:szCs w:val="21"/>
                    </w:rPr>
                  </w:pPr>
                  <w:r>
                    <w:rPr>
                      <w:color w:val="000000"/>
                      <w:szCs w:val="21"/>
                    </w:rPr>
                    <w:t>0.108</w:t>
                  </w:r>
                </w:p>
              </w:tc>
              <w:tc>
                <w:tcPr>
                  <w:tcW w:w="957" w:type="dxa"/>
                  <w:vAlign w:val="center"/>
                </w:tcPr>
                <w:p>
                  <w:pPr>
                    <w:jc w:val="center"/>
                    <w:rPr>
                      <w:color w:val="000000"/>
                      <w:szCs w:val="21"/>
                    </w:rPr>
                  </w:pPr>
                  <w:r>
                    <w:rPr>
                      <w:color w:val="000000"/>
                      <w:szCs w:val="21"/>
                    </w:rPr>
                    <w:t>0.012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3466" w:type="dxa"/>
                  <w:vAlign w:val="center"/>
                </w:tcPr>
                <w:p>
                  <w:pPr>
                    <w:snapToGrid w:val="0"/>
                    <w:jc w:val="center"/>
                    <w:rPr>
                      <w:szCs w:val="21"/>
                      <w:lang w:val="en-GB"/>
                    </w:rPr>
                  </w:pPr>
                  <w:r>
                    <w:rPr>
                      <w:rFonts w:hint="eastAsia" w:hAnsi="宋体"/>
                      <w:szCs w:val="21"/>
                    </w:rPr>
                    <w:t>《污水排入城市下水道水质标准》（GB/T 31962-2015）B级标准</w:t>
                  </w:r>
                </w:p>
              </w:tc>
              <w:tc>
                <w:tcPr>
                  <w:tcW w:w="1436" w:type="dxa"/>
                  <w:vAlign w:val="center"/>
                </w:tcPr>
                <w:p>
                  <w:pPr>
                    <w:snapToGrid w:val="0"/>
                    <w:jc w:val="center"/>
                    <w:rPr>
                      <w:bCs/>
                      <w:szCs w:val="21"/>
                      <w:lang w:val="en-GB"/>
                    </w:rPr>
                  </w:pPr>
                </w:p>
              </w:tc>
              <w:tc>
                <w:tcPr>
                  <w:tcW w:w="975" w:type="dxa"/>
                  <w:vAlign w:val="center"/>
                </w:tcPr>
                <w:p>
                  <w:pPr>
                    <w:snapToGrid w:val="0"/>
                    <w:jc w:val="center"/>
                    <w:rPr>
                      <w:szCs w:val="21"/>
                    </w:rPr>
                  </w:pPr>
                  <w:r>
                    <w:rPr>
                      <w:rFonts w:hint="eastAsia"/>
                    </w:rPr>
                    <w:t>500</w:t>
                  </w:r>
                </w:p>
              </w:tc>
              <w:tc>
                <w:tcPr>
                  <w:tcW w:w="1116" w:type="dxa"/>
                  <w:vAlign w:val="center"/>
                </w:tcPr>
                <w:p>
                  <w:pPr>
                    <w:snapToGrid w:val="0"/>
                    <w:jc w:val="center"/>
                    <w:rPr>
                      <w:szCs w:val="21"/>
                    </w:rPr>
                  </w:pPr>
                  <w:r>
                    <w:rPr>
                      <w:rFonts w:hint="eastAsia"/>
                    </w:rPr>
                    <w:t>300</w:t>
                  </w:r>
                </w:p>
              </w:tc>
              <w:tc>
                <w:tcPr>
                  <w:tcW w:w="958" w:type="dxa"/>
                  <w:vAlign w:val="center"/>
                </w:tcPr>
                <w:p>
                  <w:pPr>
                    <w:snapToGrid w:val="0"/>
                    <w:jc w:val="center"/>
                    <w:rPr>
                      <w:szCs w:val="21"/>
                    </w:rPr>
                  </w:pPr>
                  <w:r>
                    <w:rPr>
                      <w:rFonts w:hint="eastAsia"/>
                    </w:rPr>
                    <w:t>400</w:t>
                  </w:r>
                </w:p>
              </w:tc>
              <w:tc>
                <w:tcPr>
                  <w:tcW w:w="957" w:type="dxa"/>
                  <w:vAlign w:val="center"/>
                </w:tcPr>
                <w:p>
                  <w:pPr>
                    <w:snapToGrid w:val="0"/>
                    <w:jc w:val="center"/>
                    <w:rPr>
                      <w:szCs w:val="21"/>
                    </w:rPr>
                  </w:pPr>
                  <w:r>
                    <w:rPr>
                      <w:rFonts w:hint="eastAsia"/>
                    </w:rPr>
                    <w:t>45</w:t>
                  </w:r>
                </w:p>
              </w:tc>
            </w:tr>
          </w:tbl>
          <w:p>
            <w:pPr>
              <w:spacing w:line="360" w:lineRule="auto"/>
              <w:ind w:firstLine="480" w:firstLineChars="200"/>
              <w:rPr>
                <w:bCs/>
                <w:sz w:val="24"/>
                <w:szCs w:val="24"/>
              </w:rPr>
            </w:pPr>
            <w:r>
              <w:rPr>
                <w:bCs/>
                <w:sz w:val="24"/>
                <w:szCs w:val="24"/>
              </w:rPr>
              <w:t>由上表可知，项目</w:t>
            </w:r>
            <w:r>
              <w:rPr>
                <w:rFonts w:hint="eastAsia"/>
                <w:bCs/>
                <w:sz w:val="24"/>
                <w:szCs w:val="24"/>
              </w:rPr>
              <w:t>产生的生活污水</w:t>
            </w:r>
            <w:r>
              <w:rPr>
                <w:bCs/>
                <w:sz w:val="24"/>
                <w:szCs w:val="24"/>
              </w:rPr>
              <w:t>经</w:t>
            </w:r>
            <w:r>
              <w:rPr>
                <w:rFonts w:hint="eastAsia"/>
                <w:bCs/>
                <w:sz w:val="24"/>
                <w:szCs w:val="24"/>
              </w:rPr>
              <w:t>化粪池</w:t>
            </w:r>
            <w:r>
              <w:rPr>
                <w:bCs/>
                <w:sz w:val="24"/>
                <w:szCs w:val="24"/>
              </w:rPr>
              <w:t>处理后</w:t>
            </w:r>
            <w:r>
              <w:rPr>
                <w:rFonts w:hint="eastAsia"/>
                <w:bCs/>
                <w:sz w:val="24"/>
                <w:szCs w:val="24"/>
              </w:rPr>
              <w:t>，项目废水排放浓度能</w:t>
            </w:r>
            <w:r>
              <w:rPr>
                <w:bCs/>
                <w:sz w:val="24"/>
                <w:szCs w:val="24"/>
              </w:rPr>
              <w:t>达到</w:t>
            </w:r>
            <w:r>
              <w:rPr>
                <w:rFonts w:hint="eastAsia"/>
                <w:bCs/>
                <w:sz w:val="24"/>
                <w:szCs w:val="24"/>
              </w:rPr>
              <w:t>《污水排入城镇下水道水质标准》（GB/T 31962-2015）中B等级放标准，排入淮南首创第一污水处理厂处理，达到《城镇污水处理厂污染物排放标准》(GB18918-2002)一级标准A标准，主要污染物的排放浓度为COD：50mg/l、BOD</w:t>
            </w:r>
            <w:r>
              <w:rPr>
                <w:rFonts w:hint="eastAsia"/>
                <w:bCs/>
                <w:sz w:val="24"/>
                <w:szCs w:val="24"/>
                <w:vertAlign w:val="subscript"/>
              </w:rPr>
              <w:t>5</w:t>
            </w:r>
            <w:r>
              <w:rPr>
                <w:rFonts w:hint="eastAsia"/>
                <w:bCs/>
                <w:sz w:val="24"/>
                <w:szCs w:val="24"/>
              </w:rPr>
              <w:t>:10mg/l、SS：10mg/l、NH</w:t>
            </w:r>
            <w:r>
              <w:rPr>
                <w:rFonts w:hint="eastAsia"/>
                <w:bCs/>
                <w:sz w:val="24"/>
                <w:szCs w:val="24"/>
                <w:vertAlign w:val="subscript"/>
              </w:rPr>
              <w:t>3</w:t>
            </w:r>
            <w:r>
              <w:rPr>
                <w:rFonts w:hint="eastAsia"/>
                <w:bCs/>
                <w:sz w:val="24"/>
                <w:szCs w:val="24"/>
              </w:rPr>
              <w:t>-N：5（8）mg/l，主要污染物排放量为COD：0.03t/a、BOD5：0.006t/a、SS：0.006t/a、NH</w:t>
            </w:r>
            <w:r>
              <w:rPr>
                <w:rFonts w:hint="eastAsia"/>
                <w:bCs/>
                <w:sz w:val="24"/>
                <w:szCs w:val="24"/>
                <w:vertAlign w:val="subscript"/>
              </w:rPr>
              <w:t>3</w:t>
            </w:r>
            <w:r>
              <w:rPr>
                <w:rFonts w:hint="eastAsia"/>
                <w:bCs/>
                <w:sz w:val="24"/>
                <w:szCs w:val="24"/>
              </w:rPr>
              <w:t>-N：0.003t/a，最终排入淮河，对地表水质影响不大。</w:t>
            </w:r>
          </w:p>
          <w:p>
            <w:pPr>
              <w:spacing w:line="360" w:lineRule="auto"/>
              <w:rPr>
                <w:sz w:val="24"/>
                <w:szCs w:val="24"/>
              </w:rPr>
            </w:pPr>
            <w:r>
              <w:rPr>
                <w:rFonts w:hint="eastAsia"/>
                <w:sz w:val="24"/>
                <w:szCs w:val="24"/>
              </w:rPr>
              <w:t>2、</w:t>
            </w:r>
            <w:r>
              <w:rPr>
                <w:sz w:val="24"/>
                <w:szCs w:val="24"/>
              </w:rPr>
              <w:t>大气</w:t>
            </w:r>
            <w:r>
              <w:rPr>
                <w:rFonts w:hint="eastAsia"/>
                <w:sz w:val="24"/>
                <w:szCs w:val="24"/>
              </w:rPr>
              <w:t>污染源简析</w:t>
            </w:r>
          </w:p>
          <w:p>
            <w:pPr>
              <w:spacing w:line="360" w:lineRule="auto"/>
              <w:ind w:firstLine="480" w:firstLineChars="200"/>
              <w:rPr>
                <w:bCs/>
                <w:sz w:val="24"/>
                <w:szCs w:val="24"/>
              </w:rPr>
            </w:pPr>
            <w:r>
              <w:rPr>
                <w:bCs/>
                <w:sz w:val="24"/>
                <w:szCs w:val="24"/>
              </w:rPr>
              <w:t>本项目营运期</w:t>
            </w:r>
            <w:r>
              <w:rPr>
                <w:rFonts w:hint="eastAsia"/>
                <w:bCs/>
                <w:sz w:val="24"/>
                <w:szCs w:val="24"/>
              </w:rPr>
              <w:t>产生的废气主要为激光切割机下料过程中产生的切割烟尘、焊机焊接过程中产生的焊接烟尘。</w:t>
            </w:r>
          </w:p>
          <w:p>
            <w:pPr>
              <w:spacing w:line="360" w:lineRule="auto"/>
              <w:ind w:firstLine="480" w:firstLineChars="200"/>
              <w:rPr>
                <w:bCs/>
                <w:sz w:val="24"/>
                <w:szCs w:val="24"/>
              </w:rPr>
            </w:pPr>
            <w:r>
              <w:rPr>
                <w:rFonts w:hint="eastAsia"/>
                <w:bCs/>
                <w:sz w:val="24"/>
                <w:szCs w:val="24"/>
              </w:rPr>
              <w:t>（1）激光切割机下料过程中产生的切割烟尘</w:t>
            </w:r>
          </w:p>
          <w:p>
            <w:pPr>
              <w:spacing w:line="360" w:lineRule="auto"/>
              <w:ind w:firstLine="480" w:firstLineChars="200"/>
              <w:rPr>
                <w:bCs/>
                <w:sz w:val="24"/>
                <w:szCs w:val="24"/>
              </w:rPr>
            </w:pPr>
            <w:r>
              <w:rPr>
                <w:rFonts w:hint="eastAsia"/>
                <w:bCs/>
                <w:sz w:val="24"/>
                <w:szCs w:val="24"/>
              </w:rPr>
              <w:t>项目设1台激光切割机切割机，年工作</w:t>
            </w:r>
            <w:r>
              <w:rPr>
                <w:bCs/>
                <w:sz w:val="24"/>
                <w:szCs w:val="24"/>
              </w:rPr>
              <w:t>300d</w:t>
            </w:r>
            <w:r>
              <w:rPr>
                <w:rFonts w:hint="eastAsia"/>
                <w:bCs/>
                <w:sz w:val="24"/>
                <w:szCs w:val="24"/>
              </w:rPr>
              <w:t>，每天工作2</w:t>
            </w:r>
            <w:r>
              <w:rPr>
                <w:bCs/>
                <w:sz w:val="24"/>
                <w:szCs w:val="24"/>
              </w:rPr>
              <w:t>h</w:t>
            </w:r>
            <w:r>
              <w:rPr>
                <w:rFonts w:hint="eastAsia"/>
                <w:bCs/>
                <w:sz w:val="24"/>
                <w:szCs w:val="24"/>
              </w:rPr>
              <w:t>，年工作6</w:t>
            </w:r>
            <w:r>
              <w:rPr>
                <w:bCs/>
                <w:sz w:val="24"/>
                <w:szCs w:val="24"/>
              </w:rPr>
              <w:t>00h</w:t>
            </w:r>
            <w:r>
              <w:rPr>
                <w:rFonts w:hint="eastAsia"/>
                <w:bCs/>
                <w:sz w:val="24"/>
                <w:szCs w:val="24"/>
              </w:rPr>
              <w:t>。激光切割钢板过程中会产生一定量的切割烟尘，切割烟尘产生量为切割钢板量的</w:t>
            </w:r>
            <w:r>
              <w:rPr>
                <w:bCs/>
                <w:sz w:val="24"/>
                <w:szCs w:val="24"/>
              </w:rPr>
              <w:t>0.01%</w:t>
            </w:r>
            <w:r>
              <w:rPr>
                <w:rFonts w:hint="eastAsia"/>
                <w:bCs/>
                <w:sz w:val="24"/>
                <w:szCs w:val="24"/>
              </w:rPr>
              <w:t>，项目激光切割机年切割钢板量为500t，则产生的切割烟尘量为0.05t/a，产生速率为0.084</w:t>
            </w:r>
            <w:r>
              <w:rPr>
                <w:bCs/>
                <w:sz w:val="24"/>
                <w:szCs w:val="24"/>
              </w:rPr>
              <w:t>kg/h</w:t>
            </w:r>
            <w:r>
              <w:rPr>
                <w:rFonts w:hint="eastAsia"/>
                <w:bCs/>
                <w:sz w:val="24"/>
                <w:szCs w:val="24"/>
              </w:rPr>
              <w:t>，产生的切割烟尘通过激光切割机自带的收尘管收集，通过管道连接至1台移动式焊烟净化器处理，烟尘收集效率约为90%，则收集到的切割烟尘量为0.045t/a，未被收集到的切割烟尘量为0.005t/a，移动式焊烟净化器处理效率为85%，经过移动焊烟净化器处理后切割烟尘排放量为0.00675 t/a。处理后的切割烟尘以无组织形式排放。综上项目切割烟尘无组织排放量为</w:t>
            </w:r>
            <w:r>
              <w:rPr>
                <w:bCs/>
                <w:sz w:val="24"/>
                <w:szCs w:val="24"/>
              </w:rPr>
              <w:t>0.0</w:t>
            </w:r>
            <w:r>
              <w:rPr>
                <w:rFonts w:hint="eastAsia"/>
                <w:bCs/>
                <w:sz w:val="24"/>
                <w:szCs w:val="24"/>
              </w:rPr>
              <w:t>1175</w:t>
            </w:r>
            <w:r>
              <w:rPr>
                <w:bCs/>
                <w:sz w:val="24"/>
                <w:szCs w:val="24"/>
              </w:rPr>
              <w:t>t/a</w:t>
            </w:r>
            <w:r>
              <w:rPr>
                <w:rFonts w:hint="eastAsia"/>
                <w:bCs/>
                <w:sz w:val="24"/>
                <w:szCs w:val="24"/>
              </w:rPr>
              <w:t>，</w:t>
            </w:r>
            <w:r>
              <w:rPr>
                <w:bCs/>
                <w:sz w:val="24"/>
                <w:szCs w:val="24"/>
              </w:rPr>
              <w:t>0.0</w:t>
            </w:r>
            <w:r>
              <w:rPr>
                <w:rFonts w:hint="eastAsia"/>
                <w:bCs/>
                <w:sz w:val="24"/>
                <w:szCs w:val="24"/>
              </w:rPr>
              <w:t>196</w:t>
            </w:r>
            <w:r>
              <w:rPr>
                <w:bCs/>
                <w:sz w:val="24"/>
                <w:szCs w:val="24"/>
              </w:rPr>
              <w:t>kg/h</w:t>
            </w:r>
            <w:r>
              <w:rPr>
                <w:rFonts w:hint="eastAsia"/>
                <w:bCs/>
                <w:sz w:val="24"/>
                <w:szCs w:val="24"/>
              </w:rPr>
              <w:t>。生产车间采用全面通风方式，烟尘排出室外。采取以上措施后下料烟尘对周围环境影响较小。</w:t>
            </w:r>
          </w:p>
          <w:p>
            <w:pPr>
              <w:spacing w:line="360" w:lineRule="auto"/>
              <w:ind w:firstLine="480" w:firstLineChars="200"/>
              <w:rPr>
                <w:bCs/>
                <w:sz w:val="24"/>
                <w:szCs w:val="24"/>
              </w:rPr>
            </w:pPr>
            <w:r>
              <w:rPr>
                <w:rFonts w:hint="eastAsia"/>
                <w:bCs/>
                <w:sz w:val="24"/>
                <w:szCs w:val="24"/>
              </w:rPr>
              <w:t>（2）焊接烟尘</w:t>
            </w:r>
          </w:p>
          <w:p>
            <w:pPr>
              <w:spacing w:line="360" w:lineRule="auto"/>
              <w:ind w:firstLine="480" w:firstLineChars="200"/>
              <w:rPr>
                <w:bCs/>
                <w:sz w:val="24"/>
                <w:szCs w:val="24"/>
              </w:rPr>
            </w:pPr>
            <w:r>
              <w:rPr>
                <w:rFonts w:hint="eastAsia"/>
                <w:bCs/>
                <w:sz w:val="24"/>
                <w:szCs w:val="24"/>
              </w:rPr>
              <w:t>本项目采用的为环保无铅焊丝，焊接烟尘主要来自焊条的药皮，少量来自焊芯及被焊工件。焊接时的有焊接烟气产生，焊接烟气中的烟尘是一种十分复杂的物质，已在烟尘中发现的元素多达</w:t>
            </w:r>
            <w:r>
              <w:rPr>
                <w:bCs/>
                <w:sz w:val="24"/>
                <w:szCs w:val="24"/>
              </w:rPr>
              <w:t>20</w:t>
            </w:r>
            <w:r>
              <w:rPr>
                <w:rFonts w:hint="eastAsia"/>
                <w:bCs/>
                <w:sz w:val="24"/>
                <w:szCs w:val="24"/>
              </w:rPr>
              <w:t>种以上，其中含量最多的是</w:t>
            </w:r>
            <w:r>
              <w:rPr>
                <w:bCs/>
                <w:sz w:val="24"/>
                <w:szCs w:val="24"/>
              </w:rPr>
              <w:t>Fe</w:t>
            </w:r>
            <w:r>
              <w:rPr>
                <w:rFonts w:hint="eastAsia"/>
                <w:bCs/>
                <w:sz w:val="24"/>
                <w:szCs w:val="24"/>
              </w:rPr>
              <w:t>、</w:t>
            </w:r>
            <w:r>
              <w:rPr>
                <w:bCs/>
                <w:sz w:val="24"/>
                <w:szCs w:val="24"/>
              </w:rPr>
              <w:t>Ca</w:t>
            </w:r>
            <w:r>
              <w:rPr>
                <w:rFonts w:hint="eastAsia"/>
                <w:bCs/>
                <w:sz w:val="24"/>
                <w:szCs w:val="24"/>
              </w:rPr>
              <w:t>、</w:t>
            </w:r>
            <w:r>
              <w:rPr>
                <w:bCs/>
                <w:sz w:val="24"/>
                <w:szCs w:val="24"/>
              </w:rPr>
              <w:t>Na</w:t>
            </w:r>
            <w:r>
              <w:rPr>
                <w:rFonts w:hint="eastAsia"/>
                <w:bCs/>
                <w:sz w:val="24"/>
                <w:szCs w:val="24"/>
              </w:rPr>
              <w:t>等，其次是</w:t>
            </w:r>
            <w:r>
              <w:rPr>
                <w:bCs/>
                <w:sz w:val="24"/>
                <w:szCs w:val="24"/>
              </w:rPr>
              <w:t>Si</w:t>
            </w:r>
            <w:r>
              <w:rPr>
                <w:rFonts w:hint="eastAsia"/>
                <w:bCs/>
                <w:sz w:val="24"/>
                <w:szCs w:val="24"/>
              </w:rPr>
              <w:t>、</w:t>
            </w:r>
            <w:r>
              <w:rPr>
                <w:bCs/>
                <w:sz w:val="24"/>
                <w:szCs w:val="24"/>
              </w:rPr>
              <w:t>Al</w:t>
            </w:r>
            <w:r>
              <w:rPr>
                <w:rFonts w:hint="eastAsia"/>
                <w:bCs/>
                <w:sz w:val="24"/>
                <w:szCs w:val="24"/>
              </w:rPr>
              <w:t>、</w:t>
            </w:r>
            <w:r>
              <w:rPr>
                <w:bCs/>
                <w:sz w:val="24"/>
                <w:szCs w:val="24"/>
              </w:rPr>
              <w:t>Mn</w:t>
            </w:r>
            <w:r>
              <w:rPr>
                <w:rFonts w:hint="eastAsia"/>
                <w:bCs/>
                <w:sz w:val="24"/>
                <w:szCs w:val="24"/>
              </w:rPr>
              <w:t>、</w:t>
            </w:r>
            <w:r>
              <w:rPr>
                <w:bCs/>
                <w:sz w:val="24"/>
                <w:szCs w:val="24"/>
              </w:rPr>
              <w:t>Ti</w:t>
            </w:r>
            <w:r>
              <w:rPr>
                <w:rFonts w:hint="eastAsia"/>
                <w:bCs/>
                <w:sz w:val="24"/>
                <w:szCs w:val="24"/>
              </w:rPr>
              <w:t>、</w:t>
            </w:r>
            <w:r>
              <w:rPr>
                <w:bCs/>
                <w:sz w:val="24"/>
                <w:szCs w:val="24"/>
              </w:rPr>
              <w:t>Cu</w:t>
            </w:r>
            <w:r>
              <w:rPr>
                <w:rFonts w:hint="eastAsia"/>
                <w:bCs/>
                <w:sz w:val="24"/>
                <w:szCs w:val="24"/>
              </w:rPr>
              <w:t>等。焊接烟尘中的主要有害物质为</w:t>
            </w:r>
            <w:r>
              <w:rPr>
                <w:bCs/>
                <w:sz w:val="24"/>
                <w:szCs w:val="24"/>
              </w:rPr>
              <w:t>Fe</w:t>
            </w:r>
            <w:r>
              <w:rPr>
                <w:bCs/>
                <w:sz w:val="24"/>
                <w:szCs w:val="24"/>
                <w:vertAlign w:val="subscript"/>
              </w:rPr>
              <w:t>2</w:t>
            </w:r>
            <w:r>
              <w:rPr>
                <w:bCs/>
                <w:sz w:val="24"/>
                <w:szCs w:val="24"/>
              </w:rPr>
              <w:t>O</w:t>
            </w:r>
            <w:r>
              <w:rPr>
                <w:bCs/>
                <w:sz w:val="24"/>
                <w:szCs w:val="24"/>
                <w:vertAlign w:val="subscript"/>
              </w:rPr>
              <w:t>3</w:t>
            </w:r>
            <w:r>
              <w:rPr>
                <w:rFonts w:hint="eastAsia"/>
                <w:bCs/>
                <w:sz w:val="24"/>
                <w:szCs w:val="24"/>
              </w:rPr>
              <w:t>、</w:t>
            </w:r>
            <w:r>
              <w:rPr>
                <w:bCs/>
                <w:sz w:val="24"/>
                <w:szCs w:val="24"/>
              </w:rPr>
              <w:t>SiO</w:t>
            </w:r>
            <w:r>
              <w:rPr>
                <w:bCs/>
                <w:sz w:val="24"/>
                <w:szCs w:val="24"/>
                <w:vertAlign w:val="subscript"/>
              </w:rPr>
              <w:t>2</w:t>
            </w:r>
            <w:r>
              <w:rPr>
                <w:rFonts w:hint="eastAsia"/>
                <w:bCs/>
                <w:sz w:val="24"/>
                <w:szCs w:val="24"/>
              </w:rPr>
              <w:t>、</w:t>
            </w:r>
            <w:r>
              <w:rPr>
                <w:bCs/>
                <w:sz w:val="24"/>
                <w:szCs w:val="24"/>
              </w:rPr>
              <w:t>MnO</w:t>
            </w:r>
            <w:r>
              <w:rPr>
                <w:rFonts w:hint="eastAsia"/>
                <w:bCs/>
                <w:sz w:val="24"/>
                <w:szCs w:val="24"/>
              </w:rPr>
              <w:t>等，其中含量最多的为</w:t>
            </w:r>
            <w:r>
              <w:rPr>
                <w:bCs/>
                <w:sz w:val="24"/>
                <w:szCs w:val="24"/>
              </w:rPr>
              <w:t>Fe</w:t>
            </w:r>
            <w:r>
              <w:rPr>
                <w:bCs/>
                <w:sz w:val="24"/>
                <w:szCs w:val="24"/>
                <w:vertAlign w:val="subscript"/>
              </w:rPr>
              <w:t>2</w:t>
            </w:r>
            <w:r>
              <w:rPr>
                <w:bCs/>
                <w:sz w:val="24"/>
                <w:szCs w:val="24"/>
              </w:rPr>
              <w:t>O</w:t>
            </w:r>
            <w:r>
              <w:rPr>
                <w:bCs/>
                <w:sz w:val="24"/>
                <w:szCs w:val="24"/>
                <w:vertAlign w:val="subscript"/>
              </w:rPr>
              <w:t>3</w:t>
            </w:r>
            <w:r>
              <w:rPr>
                <w:rFonts w:hint="eastAsia"/>
                <w:bCs/>
                <w:sz w:val="24"/>
                <w:szCs w:val="24"/>
              </w:rPr>
              <w:t>，一般占烟尘总量的</w:t>
            </w:r>
            <w:r>
              <w:rPr>
                <w:bCs/>
                <w:sz w:val="24"/>
                <w:szCs w:val="24"/>
              </w:rPr>
              <w:t>35.56%</w:t>
            </w:r>
            <w:r>
              <w:rPr>
                <w:rFonts w:hint="eastAsia"/>
                <w:bCs/>
                <w:sz w:val="24"/>
                <w:szCs w:val="24"/>
              </w:rPr>
              <w:t>，其次是</w:t>
            </w:r>
            <w:r>
              <w:rPr>
                <w:bCs/>
                <w:sz w:val="24"/>
                <w:szCs w:val="24"/>
              </w:rPr>
              <w:t>SiO</w:t>
            </w:r>
            <w:r>
              <w:rPr>
                <w:bCs/>
                <w:sz w:val="24"/>
                <w:szCs w:val="24"/>
                <w:vertAlign w:val="subscript"/>
              </w:rPr>
              <w:t>2</w:t>
            </w:r>
            <w:r>
              <w:rPr>
                <w:rFonts w:hint="eastAsia"/>
                <w:bCs/>
                <w:sz w:val="24"/>
                <w:szCs w:val="24"/>
              </w:rPr>
              <w:t>，其含量占</w:t>
            </w:r>
            <w:r>
              <w:rPr>
                <w:bCs/>
                <w:sz w:val="24"/>
                <w:szCs w:val="24"/>
              </w:rPr>
              <w:t>10</w:t>
            </w:r>
            <w:r>
              <w:rPr>
                <w:rFonts w:hint="eastAsia"/>
                <w:bCs/>
                <w:sz w:val="24"/>
                <w:szCs w:val="24"/>
              </w:rPr>
              <w:t>～</w:t>
            </w:r>
            <w:r>
              <w:rPr>
                <w:bCs/>
                <w:sz w:val="24"/>
                <w:szCs w:val="24"/>
              </w:rPr>
              <w:t>20</w:t>
            </w:r>
            <w:r>
              <w:rPr>
                <w:rFonts w:hint="eastAsia"/>
                <w:bCs/>
                <w:sz w:val="24"/>
                <w:szCs w:val="24"/>
              </w:rPr>
              <w:t>％，</w:t>
            </w:r>
            <w:r>
              <w:rPr>
                <w:bCs/>
                <w:sz w:val="24"/>
                <w:szCs w:val="24"/>
              </w:rPr>
              <w:t>MnO</w:t>
            </w:r>
            <w:r>
              <w:rPr>
                <w:rFonts w:hint="eastAsia"/>
                <w:bCs/>
                <w:sz w:val="24"/>
                <w:szCs w:val="24"/>
              </w:rPr>
              <w:t>占</w:t>
            </w:r>
            <w:r>
              <w:rPr>
                <w:bCs/>
                <w:sz w:val="24"/>
                <w:szCs w:val="24"/>
              </w:rPr>
              <w:t>5</w:t>
            </w:r>
            <w:r>
              <w:rPr>
                <w:rFonts w:hint="eastAsia"/>
                <w:bCs/>
                <w:sz w:val="24"/>
                <w:szCs w:val="24"/>
              </w:rPr>
              <w:t>～</w:t>
            </w:r>
            <w:r>
              <w:rPr>
                <w:bCs/>
                <w:sz w:val="24"/>
                <w:szCs w:val="24"/>
              </w:rPr>
              <w:t>20</w:t>
            </w:r>
            <w:r>
              <w:rPr>
                <w:rFonts w:hint="eastAsia"/>
                <w:bCs/>
                <w:sz w:val="24"/>
                <w:szCs w:val="24"/>
              </w:rPr>
              <w:t>％左右。焊接过程产生的烟尘，由《焊接工作的劳动保护》可知，电焊的发尘量约</w:t>
            </w:r>
            <w:r>
              <w:rPr>
                <w:bCs/>
                <w:sz w:val="24"/>
                <w:szCs w:val="24"/>
              </w:rPr>
              <w:t>7-9kg/t</w:t>
            </w:r>
            <w:r>
              <w:rPr>
                <w:rFonts w:hint="eastAsia"/>
                <w:bCs/>
                <w:sz w:val="24"/>
                <w:szCs w:val="24"/>
              </w:rPr>
              <w:t>焊丝，本次评价取值</w:t>
            </w:r>
            <w:r>
              <w:rPr>
                <w:bCs/>
                <w:sz w:val="24"/>
                <w:szCs w:val="24"/>
              </w:rPr>
              <w:t>9kg/t</w:t>
            </w:r>
            <w:r>
              <w:rPr>
                <w:rFonts w:hint="eastAsia"/>
                <w:bCs/>
                <w:sz w:val="24"/>
                <w:szCs w:val="24"/>
              </w:rPr>
              <w:t>焊丝。本项目焊丝年用量为1吨，年工作</w:t>
            </w:r>
            <w:r>
              <w:rPr>
                <w:bCs/>
                <w:sz w:val="24"/>
                <w:szCs w:val="24"/>
              </w:rPr>
              <w:t>300</w:t>
            </w:r>
            <w:r>
              <w:rPr>
                <w:rFonts w:hint="eastAsia"/>
                <w:bCs/>
                <w:sz w:val="24"/>
                <w:szCs w:val="24"/>
              </w:rPr>
              <w:t>天，每天工作4小时，焊接工段年工作时间约12</w:t>
            </w:r>
            <w:r>
              <w:rPr>
                <w:bCs/>
                <w:sz w:val="24"/>
                <w:szCs w:val="24"/>
              </w:rPr>
              <w:t>00h</w:t>
            </w:r>
            <w:r>
              <w:rPr>
                <w:rFonts w:hint="eastAsia"/>
                <w:bCs/>
                <w:sz w:val="24"/>
                <w:szCs w:val="24"/>
              </w:rPr>
              <w:t>，则焊接烟尘产生量约为0.009</w:t>
            </w:r>
            <w:r>
              <w:rPr>
                <w:bCs/>
                <w:sz w:val="24"/>
                <w:szCs w:val="24"/>
              </w:rPr>
              <w:t>t/a</w:t>
            </w:r>
            <w:r>
              <w:rPr>
                <w:rFonts w:hint="eastAsia"/>
                <w:bCs/>
                <w:sz w:val="24"/>
                <w:szCs w:val="24"/>
              </w:rPr>
              <w:t>，</w:t>
            </w:r>
            <w:r>
              <w:rPr>
                <w:bCs/>
                <w:sz w:val="24"/>
                <w:szCs w:val="24"/>
              </w:rPr>
              <w:t>0.0</w:t>
            </w:r>
            <w:r>
              <w:rPr>
                <w:rFonts w:hint="eastAsia"/>
                <w:bCs/>
                <w:sz w:val="24"/>
                <w:szCs w:val="24"/>
              </w:rPr>
              <w:t>075</w:t>
            </w:r>
            <w:r>
              <w:rPr>
                <w:bCs/>
                <w:sz w:val="24"/>
                <w:szCs w:val="24"/>
              </w:rPr>
              <w:t>kg/h</w:t>
            </w:r>
            <w:r>
              <w:rPr>
                <w:rFonts w:hint="eastAsia"/>
                <w:bCs/>
                <w:sz w:val="24"/>
                <w:szCs w:val="24"/>
              </w:rPr>
              <w:t>。项目设置4个焊接工位，产生的焊接烟尘建设单位拟采用在焊接工位上端安装集气罩收集焊接烟尘，收集到的焊接烟尘经移动式焊接烟尘收集装置进行处置，移动式焊接烟尘收集装置是一种专门针对治理焊接、切割、打磨时，产生在空气中大量悬浮对人体有害的细小金属颗粒而设计的净化装置，适应于单双工位，它净化效率高，轻巧灵活，配有</w:t>
            </w:r>
            <w:r>
              <w:rPr>
                <w:bCs/>
                <w:sz w:val="24"/>
                <w:szCs w:val="24"/>
              </w:rPr>
              <w:t>2-3</w:t>
            </w:r>
            <w:r>
              <w:rPr>
                <w:rFonts w:hint="eastAsia"/>
                <w:bCs/>
                <w:sz w:val="24"/>
                <w:szCs w:val="24"/>
              </w:rPr>
              <w:t>米长的柔性吸气臂，在不同的工作地点移动更灵活，操作更方便，产生的烟尘经收集后经过装置内的滤筒过滤，过滤后排放。项目集气罩收集效率约</w:t>
            </w:r>
            <w:r>
              <w:rPr>
                <w:bCs/>
                <w:sz w:val="24"/>
                <w:szCs w:val="24"/>
              </w:rPr>
              <w:t>85%</w:t>
            </w:r>
            <w:r>
              <w:rPr>
                <w:rFonts w:hint="eastAsia"/>
                <w:bCs/>
                <w:sz w:val="24"/>
                <w:szCs w:val="24"/>
              </w:rPr>
              <w:t>，则被收集到进入焊接烟尘净化装置处理的焊接烟尘量为</w:t>
            </w:r>
            <w:r>
              <w:rPr>
                <w:bCs/>
                <w:sz w:val="24"/>
                <w:szCs w:val="24"/>
              </w:rPr>
              <w:t>0.0</w:t>
            </w:r>
            <w:r>
              <w:rPr>
                <w:rFonts w:hint="eastAsia"/>
                <w:bCs/>
                <w:sz w:val="24"/>
                <w:szCs w:val="24"/>
              </w:rPr>
              <w:t>0765</w:t>
            </w:r>
            <w:r>
              <w:rPr>
                <w:bCs/>
                <w:sz w:val="24"/>
                <w:szCs w:val="24"/>
              </w:rPr>
              <w:t>t/a</w:t>
            </w:r>
            <w:r>
              <w:rPr>
                <w:rFonts w:hint="eastAsia"/>
                <w:bCs/>
                <w:sz w:val="24"/>
                <w:szCs w:val="24"/>
              </w:rPr>
              <w:t>，</w:t>
            </w:r>
            <w:r>
              <w:rPr>
                <w:bCs/>
                <w:sz w:val="24"/>
                <w:szCs w:val="24"/>
              </w:rPr>
              <w:t>0.0</w:t>
            </w:r>
            <w:r>
              <w:rPr>
                <w:rFonts w:hint="eastAsia"/>
                <w:bCs/>
                <w:sz w:val="24"/>
                <w:szCs w:val="24"/>
              </w:rPr>
              <w:t>064</w:t>
            </w:r>
            <w:r>
              <w:rPr>
                <w:bCs/>
                <w:sz w:val="24"/>
                <w:szCs w:val="24"/>
              </w:rPr>
              <w:t>kg/h</w:t>
            </w:r>
            <w:r>
              <w:rPr>
                <w:rFonts w:hint="eastAsia"/>
                <w:bCs/>
                <w:sz w:val="24"/>
                <w:szCs w:val="24"/>
              </w:rPr>
              <w:t>，焊接烟尘净化装置处理效率可达</w:t>
            </w:r>
            <w:r>
              <w:rPr>
                <w:bCs/>
                <w:sz w:val="24"/>
                <w:szCs w:val="24"/>
              </w:rPr>
              <w:t>85%</w:t>
            </w:r>
            <w:r>
              <w:rPr>
                <w:rFonts w:hint="eastAsia"/>
                <w:bCs/>
                <w:sz w:val="24"/>
                <w:szCs w:val="24"/>
              </w:rPr>
              <w:t>，焊接烟尘排放量为</w:t>
            </w:r>
            <w:r>
              <w:rPr>
                <w:bCs/>
                <w:sz w:val="24"/>
                <w:szCs w:val="24"/>
              </w:rPr>
              <w:t>0.0</w:t>
            </w:r>
            <w:r>
              <w:rPr>
                <w:rFonts w:hint="eastAsia"/>
                <w:bCs/>
                <w:sz w:val="24"/>
                <w:szCs w:val="24"/>
              </w:rPr>
              <w:t>0115</w:t>
            </w:r>
            <w:r>
              <w:rPr>
                <w:bCs/>
                <w:sz w:val="24"/>
                <w:szCs w:val="24"/>
              </w:rPr>
              <w:t>t/a</w:t>
            </w:r>
            <w:r>
              <w:rPr>
                <w:rFonts w:hint="eastAsia"/>
                <w:bCs/>
                <w:sz w:val="24"/>
                <w:szCs w:val="24"/>
              </w:rPr>
              <w:t>，排放速率</w:t>
            </w:r>
            <w:r>
              <w:rPr>
                <w:bCs/>
                <w:sz w:val="24"/>
                <w:szCs w:val="24"/>
              </w:rPr>
              <w:t xml:space="preserve"> 0.00</w:t>
            </w:r>
            <w:r>
              <w:rPr>
                <w:rFonts w:hint="eastAsia"/>
                <w:bCs/>
                <w:sz w:val="24"/>
                <w:szCs w:val="24"/>
              </w:rPr>
              <w:t>096</w:t>
            </w:r>
            <w:r>
              <w:rPr>
                <w:bCs/>
                <w:sz w:val="24"/>
                <w:szCs w:val="24"/>
              </w:rPr>
              <w:t>kg/h</w:t>
            </w:r>
            <w:r>
              <w:rPr>
                <w:rFonts w:hint="eastAsia"/>
                <w:bCs/>
                <w:sz w:val="24"/>
                <w:szCs w:val="24"/>
              </w:rPr>
              <w:t>，处理后的焊接烟尘以无组织形式排放。另未被集气罩收集的焊接烟尘量为</w:t>
            </w:r>
            <w:r>
              <w:rPr>
                <w:bCs/>
                <w:sz w:val="24"/>
                <w:szCs w:val="24"/>
              </w:rPr>
              <w:t>0.0</w:t>
            </w:r>
            <w:r>
              <w:rPr>
                <w:rFonts w:hint="eastAsia"/>
                <w:bCs/>
                <w:sz w:val="24"/>
                <w:szCs w:val="24"/>
              </w:rPr>
              <w:t>0135</w:t>
            </w:r>
            <w:r>
              <w:rPr>
                <w:bCs/>
                <w:sz w:val="24"/>
                <w:szCs w:val="24"/>
              </w:rPr>
              <w:t>t/a</w:t>
            </w:r>
            <w:r>
              <w:rPr>
                <w:rFonts w:hint="eastAsia"/>
                <w:bCs/>
                <w:sz w:val="24"/>
                <w:szCs w:val="24"/>
              </w:rPr>
              <w:t>，</w:t>
            </w:r>
            <w:r>
              <w:rPr>
                <w:bCs/>
                <w:sz w:val="24"/>
                <w:szCs w:val="24"/>
              </w:rPr>
              <w:t>0.0</w:t>
            </w:r>
            <w:r>
              <w:rPr>
                <w:rFonts w:hint="eastAsia"/>
                <w:bCs/>
                <w:sz w:val="24"/>
                <w:szCs w:val="24"/>
              </w:rPr>
              <w:t>011</w:t>
            </w:r>
            <w:r>
              <w:rPr>
                <w:bCs/>
                <w:sz w:val="24"/>
                <w:szCs w:val="24"/>
              </w:rPr>
              <w:t>kg/h</w:t>
            </w:r>
            <w:r>
              <w:rPr>
                <w:rFonts w:hint="eastAsia"/>
                <w:bCs/>
                <w:sz w:val="24"/>
                <w:szCs w:val="24"/>
              </w:rPr>
              <w:t>。综上项目焊接烟尘无组织排放量为</w:t>
            </w:r>
            <w:r>
              <w:rPr>
                <w:bCs/>
                <w:sz w:val="24"/>
                <w:szCs w:val="24"/>
              </w:rPr>
              <w:t>0.0</w:t>
            </w:r>
            <w:r>
              <w:rPr>
                <w:rFonts w:hint="eastAsia"/>
                <w:bCs/>
                <w:sz w:val="24"/>
                <w:szCs w:val="24"/>
              </w:rPr>
              <w:t>025</w:t>
            </w:r>
            <w:r>
              <w:rPr>
                <w:bCs/>
                <w:sz w:val="24"/>
                <w:szCs w:val="24"/>
              </w:rPr>
              <w:t>t/a</w:t>
            </w:r>
            <w:r>
              <w:rPr>
                <w:rFonts w:hint="eastAsia"/>
                <w:bCs/>
                <w:sz w:val="24"/>
                <w:szCs w:val="24"/>
              </w:rPr>
              <w:t>，</w:t>
            </w:r>
            <w:r>
              <w:rPr>
                <w:bCs/>
                <w:sz w:val="24"/>
                <w:szCs w:val="24"/>
              </w:rPr>
              <w:t>0.0</w:t>
            </w:r>
            <w:r>
              <w:rPr>
                <w:rFonts w:hint="eastAsia"/>
                <w:bCs/>
                <w:sz w:val="24"/>
                <w:szCs w:val="24"/>
              </w:rPr>
              <w:t>0206</w:t>
            </w:r>
            <w:r>
              <w:rPr>
                <w:bCs/>
                <w:sz w:val="24"/>
                <w:szCs w:val="24"/>
              </w:rPr>
              <w:t>kg/h</w:t>
            </w:r>
            <w:r>
              <w:rPr>
                <w:rFonts w:hint="eastAsia"/>
                <w:bCs/>
                <w:sz w:val="24"/>
                <w:szCs w:val="24"/>
              </w:rPr>
              <w:t>。生产车间采用全面通风方式，焊烟排出室外。并且员工在焊接时需做好防护措施，佩戴防尘面罩。采取以上措施后焊接烟尘对周围环境影响较小。</w:t>
            </w:r>
          </w:p>
          <w:p>
            <w:pPr>
              <w:jc w:val="center"/>
              <w:rPr>
                <w:b/>
                <w:szCs w:val="21"/>
              </w:rPr>
            </w:pPr>
            <w:r>
              <w:rPr>
                <w:b/>
                <w:szCs w:val="21"/>
              </w:rPr>
              <w:t>表</w:t>
            </w:r>
            <w:r>
              <w:rPr>
                <w:rFonts w:hint="eastAsia"/>
                <w:b/>
                <w:szCs w:val="21"/>
              </w:rPr>
              <w:t>19 项目废气产生和排放情况见下表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747"/>
              <w:gridCol w:w="1128"/>
              <w:gridCol w:w="1125"/>
              <w:gridCol w:w="2236"/>
              <w:gridCol w:w="1097"/>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160" w:type="dxa"/>
                  <w:gridSpan w:val="3"/>
                  <w:vMerge w:val="restart"/>
                  <w:vAlign w:val="center"/>
                </w:tcPr>
                <w:p>
                  <w:pPr>
                    <w:snapToGrid w:val="0"/>
                    <w:jc w:val="center"/>
                    <w:rPr>
                      <w:szCs w:val="21"/>
                    </w:rPr>
                  </w:pPr>
                  <w:r>
                    <w:rPr>
                      <w:szCs w:val="21"/>
                    </w:rPr>
                    <w:t>污染物</w:t>
                  </w:r>
                </w:p>
              </w:tc>
              <w:tc>
                <w:tcPr>
                  <w:tcW w:w="2253" w:type="dxa"/>
                  <w:gridSpan w:val="2"/>
                  <w:vAlign w:val="center"/>
                </w:tcPr>
                <w:p>
                  <w:pPr>
                    <w:snapToGrid w:val="0"/>
                    <w:jc w:val="center"/>
                    <w:rPr>
                      <w:szCs w:val="21"/>
                    </w:rPr>
                  </w:pPr>
                  <w:r>
                    <w:rPr>
                      <w:szCs w:val="21"/>
                    </w:rPr>
                    <w:t>产生情况</w:t>
                  </w:r>
                </w:p>
              </w:tc>
              <w:tc>
                <w:tcPr>
                  <w:tcW w:w="2236" w:type="dxa"/>
                  <w:vMerge w:val="restart"/>
                  <w:vAlign w:val="center"/>
                </w:tcPr>
                <w:p>
                  <w:pPr>
                    <w:snapToGrid w:val="0"/>
                    <w:jc w:val="center"/>
                    <w:rPr>
                      <w:szCs w:val="21"/>
                    </w:rPr>
                  </w:pPr>
                  <w:r>
                    <w:rPr>
                      <w:szCs w:val="21"/>
                    </w:rPr>
                    <w:t>措施</w:t>
                  </w:r>
                </w:p>
              </w:tc>
              <w:tc>
                <w:tcPr>
                  <w:tcW w:w="2255" w:type="dxa"/>
                  <w:gridSpan w:val="2"/>
                  <w:vAlign w:val="center"/>
                </w:tcPr>
                <w:p>
                  <w:pPr>
                    <w:snapToGrid w:val="0"/>
                    <w:jc w:val="center"/>
                    <w:rPr>
                      <w:szCs w:val="21"/>
                    </w:rPr>
                  </w:pPr>
                  <w:r>
                    <w:rPr>
                      <w:szCs w:val="21"/>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160" w:type="dxa"/>
                  <w:gridSpan w:val="3"/>
                  <w:vMerge w:val="continue"/>
                  <w:vAlign w:val="center"/>
                </w:tcPr>
                <w:p>
                  <w:pPr>
                    <w:snapToGrid w:val="0"/>
                    <w:jc w:val="center"/>
                    <w:rPr>
                      <w:szCs w:val="21"/>
                    </w:rPr>
                  </w:pPr>
                </w:p>
              </w:tc>
              <w:tc>
                <w:tcPr>
                  <w:tcW w:w="1128" w:type="dxa"/>
                  <w:vAlign w:val="center"/>
                </w:tcPr>
                <w:p>
                  <w:pPr>
                    <w:snapToGrid w:val="0"/>
                    <w:jc w:val="center"/>
                    <w:rPr>
                      <w:szCs w:val="21"/>
                    </w:rPr>
                  </w:pPr>
                  <w:r>
                    <w:rPr>
                      <w:szCs w:val="21"/>
                    </w:rPr>
                    <w:t>产生量</w:t>
                  </w:r>
                </w:p>
                <w:p>
                  <w:pPr>
                    <w:snapToGrid w:val="0"/>
                    <w:jc w:val="center"/>
                    <w:rPr>
                      <w:szCs w:val="21"/>
                    </w:rPr>
                  </w:pPr>
                  <w:r>
                    <w:rPr>
                      <w:rFonts w:hint="eastAsia"/>
                      <w:szCs w:val="21"/>
                    </w:rPr>
                    <w:t>t</w:t>
                  </w:r>
                  <w:r>
                    <w:rPr>
                      <w:szCs w:val="21"/>
                    </w:rPr>
                    <w:t>/a</w:t>
                  </w:r>
                </w:p>
              </w:tc>
              <w:tc>
                <w:tcPr>
                  <w:tcW w:w="1125" w:type="dxa"/>
                  <w:vAlign w:val="center"/>
                </w:tcPr>
                <w:p>
                  <w:pPr>
                    <w:snapToGrid w:val="0"/>
                    <w:jc w:val="center"/>
                    <w:rPr>
                      <w:szCs w:val="21"/>
                    </w:rPr>
                  </w:pPr>
                  <w:r>
                    <w:rPr>
                      <w:szCs w:val="21"/>
                    </w:rPr>
                    <w:t>产生速率</w:t>
                  </w:r>
                </w:p>
                <w:p>
                  <w:pPr>
                    <w:snapToGrid w:val="0"/>
                    <w:jc w:val="center"/>
                    <w:rPr>
                      <w:szCs w:val="21"/>
                    </w:rPr>
                  </w:pPr>
                  <w:r>
                    <w:rPr>
                      <w:szCs w:val="21"/>
                    </w:rPr>
                    <w:t>kg/h</w:t>
                  </w:r>
                </w:p>
              </w:tc>
              <w:tc>
                <w:tcPr>
                  <w:tcW w:w="2236" w:type="dxa"/>
                  <w:vMerge w:val="continue"/>
                  <w:vAlign w:val="center"/>
                </w:tcPr>
                <w:p>
                  <w:pPr>
                    <w:snapToGrid w:val="0"/>
                    <w:jc w:val="center"/>
                    <w:rPr>
                      <w:szCs w:val="21"/>
                    </w:rPr>
                  </w:pPr>
                </w:p>
              </w:tc>
              <w:tc>
                <w:tcPr>
                  <w:tcW w:w="1097" w:type="dxa"/>
                  <w:vAlign w:val="center"/>
                </w:tcPr>
                <w:p>
                  <w:pPr>
                    <w:snapToGrid w:val="0"/>
                    <w:jc w:val="center"/>
                    <w:rPr>
                      <w:szCs w:val="21"/>
                    </w:rPr>
                  </w:pPr>
                  <w:r>
                    <w:rPr>
                      <w:szCs w:val="21"/>
                    </w:rPr>
                    <w:t>产生量</w:t>
                  </w:r>
                </w:p>
                <w:p>
                  <w:pPr>
                    <w:snapToGrid w:val="0"/>
                    <w:jc w:val="center"/>
                    <w:rPr>
                      <w:szCs w:val="21"/>
                    </w:rPr>
                  </w:pPr>
                  <w:r>
                    <w:rPr>
                      <w:rFonts w:hint="eastAsia"/>
                      <w:szCs w:val="21"/>
                    </w:rPr>
                    <w:t>t</w:t>
                  </w:r>
                  <w:r>
                    <w:rPr>
                      <w:szCs w:val="21"/>
                    </w:rPr>
                    <w:t>/a</w:t>
                  </w:r>
                </w:p>
              </w:tc>
              <w:tc>
                <w:tcPr>
                  <w:tcW w:w="1158" w:type="dxa"/>
                  <w:vAlign w:val="center"/>
                </w:tcPr>
                <w:p>
                  <w:pPr>
                    <w:snapToGrid w:val="0"/>
                    <w:jc w:val="center"/>
                    <w:rPr>
                      <w:szCs w:val="21"/>
                    </w:rPr>
                  </w:pPr>
                  <w:r>
                    <w:rPr>
                      <w:szCs w:val="21"/>
                    </w:rPr>
                    <w:t>产生速率</w:t>
                  </w:r>
                </w:p>
                <w:p>
                  <w:pPr>
                    <w:snapToGrid w:val="0"/>
                    <w:jc w:val="center"/>
                    <w:rPr>
                      <w:szCs w:val="21"/>
                    </w:rPr>
                  </w:pPr>
                  <w:r>
                    <w:rPr>
                      <w:szCs w:val="21"/>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snapToGrid w:val="0"/>
                    <w:jc w:val="center"/>
                    <w:rPr>
                      <w:szCs w:val="21"/>
                    </w:rPr>
                  </w:pPr>
                  <w:r>
                    <w:rPr>
                      <w:szCs w:val="21"/>
                    </w:rPr>
                    <w:t>无组织排放</w:t>
                  </w:r>
                </w:p>
              </w:tc>
              <w:tc>
                <w:tcPr>
                  <w:tcW w:w="709" w:type="dxa"/>
                  <w:vAlign w:val="center"/>
                </w:tcPr>
                <w:p>
                  <w:pPr>
                    <w:snapToGrid w:val="0"/>
                    <w:jc w:val="center"/>
                    <w:rPr>
                      <w:szCs w:val="21"/>
                    </w:rPr>
                  </w:pPr>
                  <w:r>
                    <w:rPr>
                      <w:rFonts w:hint="eastAsia"/>
                      <w:szCs w:val="21"/>
                    </w:rPr>
                    <w:t>切割</w:t>
                  </w:r>
                  <w:r>
                    <w:rPr>
                      <w:szCs w:val="21"/>
                    </w:rPr>
                    <w:t>工段</w:t>
                  </w:r>
                </w:p>
              </w:tc>
              <w:tc>
                <w:tcPr>
                  <w:tcW w:w="747" w:type="dxa"/>
                  <w:vAlign w:val="center"/>
                </w:tcPr>
                <w:p>
                  <w:pPr>
                    <w:snapToGrid w:val="0"/>
                    <w:jc w:val="center"/>
                    <w:rPr>
                      <w:szCs w:val="21"/>
                    </w:rPr>
                  </w:pPr>
                  <w:r>
                    <w:rPr>
                      <w:szCs w:val="21"/>
                    </w:rPr>
                    <w:t>烟尘</w:t>
                  </w:r>
                </w:p>
              </w:tc>
              <w:tc>
                <w:tcPr>
                  <w:tcW w:w="1128" w:type="dxa"/>
                  <w:vAlign w:val="center"/>
                </w:tcPr>
                <w:p>
                  <w:pPr>
                    <w:snapToGrid w:val="0"/>
                    <w:jc w:val="center"/>
                    <w:rPr>
                      <w:szCs w:val="21"/>
                    </w:rPr>
                  </w:pPr>
                  <w:r>
                    <w:rPr>
                      <w:rFonts w:hint="eastAsia"/>
                      <w:szCs w:val="21"/>
                    </w:rPr>
                    <w:t>0.05</w:t>
                  </w:r>
                </w:p>
              </w:tc>
              <w:tc>
                <w:tcPr>
                  <w:tcW w:w="1125" w:type="dxa"/>
                  <w:vAlign w:val="center"/>
                </w:tcPr>
                <w:p>
                  <w:pPr>
                    <w:snapToGrid w:val="0"/>
                    <w:jc w:val="center"/>
                    <w:rPr>
                      <w:szCs w:val="21"/>
                    </w:rPr>
                  </w:pPr>
                  <w:r>
                    <w:rPr>
                      <w:rFonts w:hint="eastAsia"/>
                      <w:szCs w:val="21"/>
                    </w:rPr>
                    <w:t>0.084</w:t>
                  </w:r>
                </w:p>
              </w:tc>
              <w:tc>
                <w:tcPr>
                  <w:tcW w:w="2236" w:type="dxa"/>
                  <w:vAlign w:val="center"/>
                </w:tcPr>
                <w:p>
                  <w:pPr>
                    <w:snapToGrid w:val="0"/>
                    <w:jc w:val="center"/>
                    <w:rPr>
                      <w:szCs w:val="21"/>
                    </w:rPr>
                  </w:pPr>
                  <w:r>
                    <w:rPr>
                      <w:rFonts w:hint="eastAsia"/>
                      <w:szCs w:val="21"/>
                    </w:rPr>
                    <w:t>移动式焊烟净化器</w:t>
                  </w:r>
                </w:p>
              </w:tc>
              <w:tc>
                <w:tcPr>
                  <w:tcW w:w="1097" w:type="dxa"/>
                  <w:vAlign w:val="center"/>
                </w:tcPr>
                <w:p>
                  <w:pPr>
                    <w:snapToGrid w:val="0"/>
                    <w:jc w:val="center"/>
                    <w:rPr>
                      <w:szCs w:val="21"/>
                    </w:rPr>
                  </w:pPr>
                  <w:r>
                    <w:rPr>
                      <w:rFonts w:hint="eastAsia"/>
                      <w:szCs w:val="21"/>
                    </w:rPr>
                    <w:t>0.01175</w:t>
                  </w:r>
                </w:p>
              </w:tc>
              <w:tc>
                <w:tcPr>
                  <w:tcW w:w="1158" w:type="dxa"/>
                  <w:vAlign w:val="center"/>
                </w:tcPr>
                <w:p>
                  <w:pPr>
                    <w:snapToGrid w:val="0"/>
                    <w:jc w:val="center"/>
                    <w:rPr>
                      <w:szCs w:val="21"/>
                    </w:rPr>
                  </w:pPr>
                  <w:r>
                    <w:rPr>
                      <w:rFonts w:hint="eastAsia"/>
                      <w:szCs w:val="21"/>
                    </w:rPr>
                    <w:t>0.0196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vAlign w:val="center"/>
                </w:tcPr>
                <w:p>
                  <w:pPr>
                    <w:snapToGrid w:val="0"/>
                    <w:jc w:val="center"/>
                    <w:rPr>
                      <w:szCs w:val="21"/>
                    </w:rPr>
                  </w:pPr>
                </w:p>
              </w:tc>
              <w:tc>
                <w:tcPr>
                  <w:tcW w:w="709" w:type="dxa"/>
                  <w:vAlign w:val="center"/>
                </w:tcPr>
                <w:p>
                  <w:pPr>
                    <w:snapToGrid w:val="0"/>
                    <w:jc w:val="center"/>
                    <w:rPr>
                      <w:szCs w:val="21"/>
                    </w:rPr>
                  </w:pPr>
                  <w:r>
                    <w:rPr>
                      <w:rFonts w:hint="eastAsia"/>
                      <w:szCs w:val="21"/>
                    </w:rPr>
                    <w:t>焊接工段</w:t>
                  </w:r>
                </w:p>
              </w:tc>
              <w:tc>
                <w:tcPr>
                  <w:tcW w:w="747" w:type="dxa"/>
                  <w:vAlign w:val="center"/>
                </w:tcPr>
                <w:p>
                  <w:pPr>
                    <w:snapToGrid w:val="0"/>
                    <w:jc w:val="center"/>
                    <w:rPr>
                      <w:szCs w:val="21"/>
                    </w:rPr>
                  </w:pPr>
                  <w:r>
                    <w:rPr>
                      <w:rFonts w:hint="eastAsia"/>
                      <w:szCs w:val="21"/>
                    </w:rPr>
                    <w:t>烟尘</w:t>
                  </w:r>
                </w:p>
              </w:tc>
              <w:tc>
                <w:tcPr>
                  <w:tcW w:w="1128" w:type="dxa"/>
                  <w:vAlign w:val="center"/>
                </w:tcPr>
                <w:p>
                  <w:pPr>
                    <w:snapToGrid w:val="0"/>
                    <w:jc w:val="center"/>
                    <w:rPr>
                      <w:szCs w:val="21"/>
                    </w:rPr>
                  </w:pPr>
                  <w:r>
                    <w:rPr>
                      <w:rFonts w:hint="eastAsia"/>
                      <w:szCs w:val="21"/>
                    </w:rPr>
                    <w:t>0.009</w:t>
                  </w:r>
                </w:p>
              </w:tc>
              <w:tc>
                <w:tcPr>
                  <w:tcW w:w="1125" w:type="dxa"/>
                  <w:vAlign w:val="center"/>
                </w:tcPr>
                <w:p>
                  <w:pPr>
                    <w:snapToGrid w:val="0"/>
                    <w:jc w:val="center"/>
                    <w:rPr>
                      <w:szCs w:val="21"/>
                    </w:rPr>
                  </w:pPr>
                  <w:r>
                    <w:rPr>
                      <w:rFonts w:hint="eastAsia"/>
                      <w:szCs w:val="21"/>
                    </w:rPr>
                    <w:t>0.0075</w:t>
                  </w:r>
                </w:p>
              </w:tc>
              <w:tc>
                <w:tcPr>
                  <w:tcW w:w="2236" w:type="dxa"/>
                  <w:vAlign w:val="center"/>
                </w:tcPr>
                <w:p>
                  <w:pPr>
                    <w:snapToGrid w:val="0"/>
                    <w:jc w:val="center"/>
                    <w:rPr>
                      <w:szCs w:val="21"/>
                    </w:rPr>
                  </w:pPr>
                  <w:r>
                    <w:rPr>
                      <w:rFonts w:hint="eastAsia"/>
                      <w:szCs w:val="21"/>
                    </w:rPr>
                    <w:t>集气罩收集+移动式焊烟净化器</w:t>
                  </w:r>
                </w:p>
              </w:tc>
              <w:tc>
                <w:tcPr>
                  <w:tcW w:w="1097" w:type="dxa"/>
                  <w:vAlign w:val="center"/>
                </w:tcPr>
                <w:p>
                  <w:pPr>
                    <w:snapToGrid w:val="0"/>
                    <w:jc w:val="center"/>
                    <w:rPr>
                      <w:szCs w:val="21"/>
                    </w:rPr>
                  </w:pPr>
                  <w:r>
                    <w:rPr>
                      <w:rFonts w:hint="eastAsia"/>
                      <w:szCs w:val="21"/>
                    </w:rPr>
                    <w:t>0.0025</w:t>
                  </w:r>
                </w:p>
              </w:tc>
              <w:tc>
                <w:tcPr>
                  <w:tcW w:w="1158" w:type="dxa"/>
                  <w:vAlign w:val="center"/>
                </w:tcPr>
                <w:p>
                  <w:pPr>
                    <w:snapToGrid w:val="0"/>
                    <w:jc w:val="center"/>
                    <w:rPr>
                      <w:szCs w:val="21"/>
                    </w:rPr>
                  </w:pPr>
                  <w:r>
                    <w:rPr>
                      <w:rFonts w:hint="eastAsia"/>
                      <w:szCs w:val="21"/>
                    </w:rPr>
                    <w:t>0.00206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gridSpan w:val="2"/>
                  <w:vAlign w:val="center"/>
                </w:tcPr>
                <w:p>
                  <w:pPr>
                    <w:snapToGrid w:val="0"/>
                    <w:jc w:val="center"/>
                    <w:rPr>
                      <w:szCs w:val="21"/>
                    </w:rPr>
                  </w:pPr>
                  <w:r>
                    <w:rPr>
                      <w:rFonts w:hint="eastAsia"/>
                      <w:szCs w:val="21"/>
                    </w:rPr>
                    <w:t>合计</w:t>
                  </w:r>
                </w:p>
              </w:tc>
              <w:tc>
                <w:tcPr>
                  <w:tcW w:w="747" w:type="dxa"/>
                  <w:vAlign w:val="center"/>
                </w:tcPr>
                <w:p>
                  <w:pPr>
                    <w:snapToGrid w:val="0"/>
                    <w:jc w:val="center"/>
                    <w:rPr>
                      <w:szCs w:val="21"/>
                    </w:rPr>
                  </w:pPr>
                  <w:r>
                    <w:rPr>
                      <w:rFonts w:hint="eastAsia"/>
                      <w:szCs w:val="21"/>
                    </w:rPr>
                    <w:t>烟尘</w:t>
                  </w:r>
                </w:p>
              </w:tc>
              <w:tc>
                <w:tcPr>
                  <w:tcW w:w="1128" w:type="dxa"/>
                  <w:vAlign w:val="center"/>
                </w:tcPr>
                <w:p>
                  <w:pPr>
                    <w:jc w:val="center"/>
                    <w:rPr>
                      <w:rFonts w:ascii="宋体" w:hAnsi="宋体" w:cs="宋体"/>
                      <w:color w:val="000000"/>
                      <w:szCs w:val="21"/>
                    </w:rPr>
                  </w:pPr>
                  <w:r>
                    <w:rPr>
                      <w:rFonts w:hint="eastAsia"/>
                      <w:color w:val="000000"/>
                      <w:szCs w:val="21"/>
                    </w:rPr>
                    <w:t>0.059</w:t>
                  </w:r>
                </w:p>
              </w:tc>
              <w:tc>
                <w:tcPr>
                  <w:tcW w:w="1125" w:type="dxa"/>
                  <w:vAlign w:val="center"/>
                </w:tcPr>
                <w:p>
                  <w:pPr>
                    <w:jc w:val="center"/>
                    <w:rPr>
                      <w:rFonts w:ascii="宋体" w:hAnsi="宋体" w:cs="宋体"/>
                      <w:color w:val="000000"/>
                      <w:szCs w:val="21"/>
                    </w:rPr>
                  </w:pPr>
                  <w:r>
                    <w:rPr>
                      <w:rFonts w:hint="eastAsia"/>
                      <w:color w:val="000000"/>
                      <w:szCs w:val="21"/>
                    </w:rPr>
                    <w:t>0.0915</w:t>
                  </w:r>
                </w:p>
              </w:tc>
              <w:tc>
                <w:tcPr>
                  <w:tcW w:w="2236" w:type="dxa"/>
                  <w:vAlign w:val="center"/>
                </w:tcPr>
                <w:p>
                  <w:pPr>
                    <w:jc w:val="center"/>
                    <w:rPr>
                      <w:rFonts w:ascii="宋体" w:hAnsi="宋体" w:cs="宋体"/>
                      <w:color w:val="000000"/>
                      <w:szCs w:val="21"/>
                    </w:rPr>
                  </w:pPr>
                  <w:r>
                    <w:rPr>
                      <w:rFonts w:hint="eastAsia"/>
                      <w:color w:val="000000"/>
                      <w:szCs w:val="21"/>
                    </w:rPr>
                    <w:t>/</w:t>
                  </w:r>
                </w:p>
              </w:tc>
              <w:tc>
                <w:tcPr>
                  <w:tcW w:w="1097" w:type="dxa"/>
                  <w:vAlign w:val="center"/>
                </w:tcPr>
                <w:p>
                  <w:pPr>
                    <w:jc w:val="center"/>
                    <w:rPr>
                      <w:rFonts w:ascii="宋体" w:hAnsi="宋体" w:cs="宋体"/>
                      <w:color w:val="000000"/>
                      <w:szCs w:val="21"/>
                    </w:rPr>
                  </w:pPr>
                  <w:r>
                    <w:rPr>
                      <w:rFonts w:hint="eastAsia"/>
                      <w:color w:val="000000"/>
                      <w:szCs w:val="21"/>
                    </w:rPr>
                    <w:t>0.01425</w:t>
                  </w:r>
                </w:p>
              </w:tc>
              <w:tc>
                <w:tcPr>
                  <w:tcW w:w="1158" w:type="dxa"/>
                  <w:vAlign w:val="center"/>
                </w:tcPr>
                <w:p>
                  <w:pPr>
                    <w:jc w:val="center"/>
                    <w:rPr>
                      <w:rFonts w:ascii="宋体" w:hAnsi="宋体" w:cs="宋体"/>
                      <w:color w:val="000000"/>
                      <w:szCs w:val="21"/>
                    </w:rPr>
                  </w:pPr>
                  <w:r>
                    <w:rPr>
                      <w:rFonts w:hint="eastAsia"/>
                      <w:color w:val="000000"/>
                      <w:szCs w:val="21"/>
                    </w:rPr>
                    <w:t>0.02166</w:t>
                  </w:r>
                </w:p>
              </w:tc>
            </w:tr>
          </w:tbl>
          <w:p>
            <w:pPr>
              <w:spacing w:line="360" w:lineRule="auto"/>
              <w:rPr>
                <w:sz w:val="24"/>
                <w:szCs w:val="24"/>
              </w:rPr>
            </w:pPr>
            <w:r>
              <w:rPr>
                <w:rFonts w:hint="eastAsia"/>
                <w:sz w:val="24"/>
                <w:szCs w:val="24"/>
              </w:rPr>
              <w:t>3、</w:t>
            </w:r>
            <w:r>
              <w:rPr>
                <w:sz w:val="24"/>
                <w:szCs w:val="24"/>
              </w:rPr>
              <w:t>噪声</w:t>
            </w:r>
            <w:r>
              <w:rPr>
                <w:rFonts w:hint="eastAsia"/>
                <w:sz w:val="24"/>
                <w:szCs w:val="24"/>
              </w:rPr>
              <w:t>污染源简析</w:t>
            </w:r>
          </w:p>
          <w:p>
            <w:pPr>
              <w:spacing w:line="360" w:lineRule="auto"/>
              <w:ind w:firstLine="480" w:firstLineChars="200"/>
              <w:rPr>
                <w:sz w:val="24"/>
              </w:rPr>
            </w:pPr>
            <w:r>
              <w:rPr>
                <w:bCs/>
                <w:sz w:val="24"/>
                <w:szCs w:val="24"/>
              </w:rPr>
              <w:t>项目主要噪声</w:t>
            </w:r>
            <w:r>
              <w:rPr>
                <w:rFonts w:hint="eastAsia"/>
                <w:bCs/>
                <w:sz w:val="24"/>
                <w:szCs w:val="24"/>
              </w:rPr>
              <w:t>为各种生产设备运行产生的噪声，</w:t>
            </w:r>
            <w:r>
              <w:rPr>
                <w:sz w:val="24"/>
              </w:rPr>
              <w:t>拟建工程主要噪声源情况见下表：</w:t>
            </w:r>
          </w:p>
          <w:p>
            <w:pPr>
              <w:pStyle w:val="45"/>
              <w:snapToGrid w:val="0"/>
              <w:spacing w:line="240" w:lineRule="auto"/>
              <w:ind w:firstLine="0"/>
              <w:jc w:val="center"/>
              <w:rPr>
                <w:rFonts w:ascii="Times New Roman" w:hAnsi="Times New Roman"/>
                <w:b/>
                <w:kern w:val="0"/>
                <w:sz w:val="21"/>
                <w:szCs w:val="21"/>
              </w:rPr>
            </w:pPr>
            <w:r>
              <w:rPr>
                <w:rFonts w:ascii="Times New Roman" w:hAnsi="Times New Roman"/>
                <w:b/>
                <w:kern w:val="0"/>
                <w:sz w:val="21"/>
                <w:szCs w:val="21"/>
              </w:rPr>
              <w:t>表</w:t>
            </w:r>
            <w:r>
              <w:rPr>
                <w:rFonts w:hint="eastAsia" w:ascii="Times New Roman" w:hAnsi="Times New Roman"/>
                <w:b/>
                <w:kern w:val="0"/>
                <w:sz w:val="21"/>
                <w:szCs w:val="21"/>
              </w:rPr>
              <w:t>20拟建工程主要噪声设备噪声级</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134"/>
              <w:gridCol w:w="2268"/>
              <w:gridCol w:w="2296"/>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38" w:type="dxa"/>
                  <w:vAlign w:val="center"/>
                </w:tcPr>
                <w:p>
                  <w:pPr>
                    <w:spacing w:line="360" w:lineRule="exact"/>
                    <w:jc w:val="center"/>
                    <w:rPr>
                      <w:szCs w:val="21"/>
                    </w:rPr>
                  </w:pPr>
                  <w:r>
                    <w:rPr>
                      <w:rFonts w:hAnsi="宋体"/>
                      <w:szCs w:val="21"/>
                    </w:rPr>
                    <w:t>设备</w:t>
                  </w:r>
                </w:p>
              </w:tc>
              <w:tc>
                <w:tcPr>
                  <w:tcW w:w="1134" w:type="dxa"/>
                  <w:vAlign w:val="center"/>
                </w:tcPr>
                <w:p>
                  <w:pPr>
                    <w:spacing w:line="360" w:lineRule="exact"/>
                    <w:jc w:val="center"/>
                    <w:rPr>
                      <w:rFonts w:hAnsi="宋体"/>
                      <w:szCs w:val="21"/>
                    </w:rPr>
                  </w:pPr>
                  <w:r>
                    <w:rPr>
                      <w:rFonts w:hint="eastAsia" w:hAnsi="宋体"/>
                      <w:szCs w:val="21"/>
                    </w:rPr>
                    <w:t>数量（台）</w:t>
                  </w:r>
                </w:p>
              </w:tc>
              <w:tc>
                <w:tcPr>
                  <w:tcW w:w="2268" w:type="dxa"/>
                  <w:vAlign w:val="center"/>
                </w:tcPr>
                <w:p>
                  <w:pPr>
                    <w:spacing w:line="360" w:lineRule="exact"/>
                    <w:jc w:val="center"/>
                    <w:rPr>
                      <w:szCs w:val="21"/>
                    </w:rPr>
                  </w:pPr>
                  <w:r>
                    <w:rPr>
                      <w:rFonts w:hAnsi="宋体"/>
                      <w:szCs w:val="21"/>
                    </w:rPr>
                    <w:t>声级范围</w:t>
                  </w:r>
                  <w:r>
                    <w:rPr>
                      <w:szCs w:val="21"/>
                    </w:rPr>
                    <w:t>dB</w:t>
                  </w:r>
                  <w:r>
                    <w:rPr>
                      <w:rFonts w:hAnsi="宋体"/>
                      <w:szCs w:val="21"/>
                    </w:rPr>
                    <w:t>（</w:t>
                  </w:r>
                  <w:r>
                    <w:rPr>
                      <w:szCs w:val="21"/>
                    </w:rPr>
                    <w:t>A</w:t>
                  </w:r>
                  <w:r>
                    <w:rPr>
                      <w:rFonts w:hAnsi="宋体"/>
                      <w:szCs w:val="21"/>
                    </w:rPr>
                    <w:t>）</w:t>
                  </w:r>
                </w:p>
              </w:tc>
              <w:tc>
                <w:tcPr>
                  <w:tcW w:w="2296" w:type="dxa"/>
                  <w:vAlign w:val="center"/>
                </w:tcPr>
                <w:p>
                  <w:pPr>
                    <w:adjustRightInd w:val="0"/>
                    <w:snapToGrid w:val="0"/>
                    <w:jc w:val="center"/>
                    <w:rPr>
                      <w:szCs w:val="21"/>
                    </w:rPr>
                  </w:pPr>
                  <w:r>
                    <w:rPr>
                      <w:szCs w:val="21"/>
                    </w:rPr>
                    <w:t>防噪措施</w:t>
                  </w:r>
                </w:p>
              </w:tc>
              <w:tc>
                <w:tcPr>
                  <w:tcW w:w="1368" w:type="dxa"/>
                  <w:vAlign w:val="center"/>
                </w:tcPr>
                <w:p>
                  <w:pPr>
                    <w:adjustRightInd w:val="0"/>
                    <w:snapToGrid w:val="0"/>
                    <w:jc w:val="center"/>
                    <w:rPr>
                      <w:szCs w:val="21"/>
                    </w:rPr>
                  </w:pPr>
                  <w:r>
                    <w:rPr>
                      <w:szCs w:val="21"/>
                    </w:rPr>
                    <w:t>降噪效果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数控车床</w:t>
                  </w:r>
                </w:p>
              </w:tc>
              <w:tc>
                <w:tcPr>
                  <w:tcW w:w="1134" w:type="dxa"/>
                  <w:vAlign w:val="center"/>
                </w:tcPr>
                <w:p>
                  <w:pPr>
                    <w:adjustRightInd w:val="0"/>
                    <w:snapToGrid w:val="0"/>
                    <w:jc w:val="center"/>
                    <w:rPr>
                      <w:szCs w:val="21"/>
                    </w:rPr>
                  </w:pPr>
                  <w:r>
                    <w:rPr>
                      <w:szCs w:val="21"/>
                    </w:rPr>
                    <w:t>3</w:t>
                  </w:r>
                </w:p>
              </w:tc>
              <w:tc>
                <w:tcPr>
                  <w:tcW w:w="2268" w:type="dxa"/>
                  <w:vAlign w:val="center"/>
                </w:tcPr>
                <w:p>
                  <w:pPr>
                    <w:jc w:val="center"/>
                    <w:rPr>
                      <w:szCs w:val="21"/>
                    </w:rPr>
                  </w:pPr>
                  <w:r>
                    <w:rPr>
                      <w:rFonts w:hint="eastAsia"/>
                      <w:szCs w:val="21"/>
                    </w:rPr>
                    <w:t>75~80</w:t>
                  </w:r>
                </w:p>
              </w:tc>
              <w:tc>
                <w:tcPr>
                  <w:tcW w:w="2296" w:type="dxa"/>
                  <w:vMerge w:val="restart"/>
                  <w:vAlign w:val="center"/>
                </w:tcPr>
                <w:p>
                  <w:pPr>
                    <w:adjustRightInd w:val="0"/>
                    <w:snapToGrid w:val="0"/>
                    <w:jc w:val="center"/>
                    <w:rPr>
                      <w:szCs w:val="21"/>
                    </w:rPr>
                  </w:pPr>
                  <w:r>
                    <w:rPr>
                      <w:szCs w:val="21"/>
                    </w:rPr>
                    <w:t>选用低噪声设备、设置减振基座、厂房隔声</w:t>
                  </w: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数控加工中心</w:t>
                  </w:r>
                </w:p>
              </w:tc>
              <w:tc>
                <w:tcPr>
                  <w:tcW w:w="1134" w:type="dxa"/>
                  <w:vAlign w:val="center"/>
                </w:tcPr>
                <w:p>
                  <w:pPr>
                    <w:adjustRightInd w:val="0"/>
                    <w:snapToGrid w:val="0"/>
                    <w:jc w:val="center"/>
                    <w:rPr>
                      <w:szCs w:val="21"/>
                    </w:rPr>
                  </w:pPr>
                  <w:r>
                    <w:rPr>
                      <w:szCs w:val="21"/>
                    </w:rPr>
                    <w:t>2</w:t>
                  </w:r>
                </w:p>
              </w:tc>
              <w:tc>
                <w:tcPr>
                  <w:tcW w:w="2268" w:type="dxa"/>
                  <w:vAlign w:val="center"/>
                </w:tcPr>
                <w:p>
                  <w:pPr>
                    <w:jc w:val="center"/>
                    <w:rPr>
                      <w:szCs w:val="21"/>
                    </w:rPr>
                  </w:pPr>
                  <w:r>
                    <w:rPr>
                      <w:rFonts w:hint="eastAsia"/>
                      <w:szCs w:val="21"/>
                    </w:rPr>
                    <w:t>75~80</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激光数控切割机</w:t>
                  </w:r>
                </w:p>
              </w:tc>
              <w:tc>
                <w:tcPr>
                  <w:tcW w:w="1134" w:type="dxa"/>
                  <w:vAlign w:val="center"/>
                </w:tcPr>
                <w:p>
                  <w:pPr>
                    <w:adjustRightInd w:val="0"/>
                    <w:snapToGrid w:val="0"/>
                    <w:jc w:val="center"/>
                    <w:rPr>
                      <w:szCs w:val="21"/>
                    </w:rPr>
                  </w:pPr>
                  <w:r>
                    <w:rPr>
                      <w:szCs w:val="21"/>
                    </w:rPr>
                    <w:t>1</w:t>
                  </w:r>
                </w:p>
              </w:tc>
              <w:tc>
                <w:tcPr>
                  <w:tcW w:w="2268" w:type="dxa"/>
                  <w:vAlign w:val="center"/>
                </w:tcPr>
                <w:p>
                  <w:pPr>
                    <w:jc w:val="center"/>
                    <w:rPr>
                      <w:szCs w:val="21"/>
                    </w:rPr>
                  </w:pPr>
                  <w:r>
                    <w:rPr>
                      <w:rFonts w:hint="eastAsia"/>
                      <w:szCs w:val="21"/>
                    </w:rPr>
                    <w:t>75~85</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普通车床</w:t>
                  </w:r>
                </w:p>
              </w:tc>
              <w:tc>
                <w:tcPr>
                  <w:tcW w:w="1134" w:type="dxa"/>
                  <w:vAlign w:val="center"/>
                </w:tcPr>
                <w:p>
                  <w:pPr>
                    <w:adjustRightInd w:val="0"/>
                    <w:snapToGrid w:val="0"/>
                    <w:jc w:val="center"/>
                    <w:rPr>
                      <w:szCs w:val="21"/>
                    </w:rPr>
                  </w:pPr>
                  <w:r>
                    <w:rPr>
                      <w:szCs w:val="21"/>
                    </w:rPr>
                    <w:t>2</w:t>
                  </w:r>
                </w:p>
              </w:tc>
              <w:tc>
                <w:tcPr>
                  <w:tcW w:w="2268" w:type="dxa"/>
                  <w:vAlign w:val="center"/>
                </w:tcPr>
                <w:p>
                  <w:pPr>
                    <w:jc w:val="center"/>
                    <w:rPr>
                      <w:szCs w:val="21"/>
                    </w:rPr>
                  </w:pPr>
                  <w:r>
                    <w:rPr>
                      <w:rFonts w:hint="eastAsia"/>
                      <w:szCs w:val="21"/>
                    </w:rPr>
                    <w:t>75~80</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滚齿机</w:t>
                  </w:r>
                </w:p>
              </w:tc>
              <w:tc>
                <w:tcPr>
                  <w:tcW w:w="1134" w:type="dxa"/>
                  <w:vAlign w:val="center"/>
                </w:tcPr>
                <w:p>
                  <w:pPr>
                    <w:adjustRightInd w:val="0"/>
                    <w:snapToGrid w:val="0"/>
                    <w:jc w:val="center"/>
                    <w:rPr>
                      <w:szCs w:val="21"/>
                    </w:rPr>
                  </w:pPr>
                  <w:r>
                    <w:rPr>
                      <w:szCs w:val="21"/>
                    </w:rPr>
                    <w:t>1</w:t>
                  </w:r>
                </w:p>
              </w:tc>
              <w:tc>
                <w:tcPr>
                  <w:tcW w:w="2268" w:type="dxa"/>
                  <w:vAlign w:val="center"/>
                </w:tcPr>
                <w:p>
                  <w:pPr>
                    <w:jc w:val="center"/>
                    <w:rPr>
                      <w:szCs w:val="21"/>
                    </w:rPr>
                  </w:pPr>
                  <w:r>
                    <w:rPr>
                      <w:rFonts w:hint="eastAsia"/>
                      <w:szCs w:val="21"/>
                    </w:rPr>
                    <w:t>75~80</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外圆磨床</w:t>
                  </w:r>
                </w:p>
              </w:tc>
              <w:tc>
                <w:tcPr>
                  <w:tcW w:w="1134" w:type="dxa"/>
                  <w:vAlign w:val="center"/>
                </w:tcPr>
                <w:p>
                  <w:pPr>
                    <w:adjustRightInd w:val="0"/>
                    <w:snapToGrid w:val="0"/>
                    <w:jc w:val="center"/>
                    <w:rPr>
                      <w:szCs w:val="21"/>
                    </w:rPr>
                  </w:pPr>
                  <w:r>
                    <w:rPr>
                      <w:szCs w:val="21"/>
                    </w:rPr>
                    <w:t>1</w:t>
                  </w:r>
                </w:p>
              </w:tc>
              <w:tc>
                <w:tcPr>
                  <w:tcW w:w="2268" w:type="dxa"/>
                  <w:vAlign w:val="center"/>
                </w:tcPr>
                <w:p>
                  <w:pPr>
                    <w:jc w:val="center"/>
                    <w:rPr>
                      <w:szCs w:val="21"/>
                    </w:rPr>
                  </w:pPr>
                  <w:r>
                    <w:rPr>
                      <w:rFonts w:hint="eastAsia"/>
                      <w:szCs w:val="21"/>
                    </w:rPr>
                    <w:t>75~85</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工具磨床</w:t>
                  </w:r>
                </w:p>
              </w:tc>
              <w:tc>
                <w:tcPr>
                  <w:tcW w:w="1134" w:type="dxa"/>
                  <w:vAlign w:val="center"/>
                </w:tcPr>
                <w:p>
                  <w:pPr>
                    <w:adjustRightInd w:val="0"/>
                    <w:snapToGrid w:val="0"/>
                    <w:jc w:val="center"/>
                    <w:rPr>
                      <w:szCs w:val="21"/>
                    </w:rPr>
                  </w:pPr>
                  <w:r>
                    <w:rPr>
                      <w:szCs w:val="21"/>
                    </w:rPr>
                    <w:t>1</w:t>
                  </w:r>
                </w:p>
              </w:tc>
              <w:tc>
                <w:tcPr>
                  <w:tcW w:w="2268" w:type="dxa"/>
                  <w:vAlign w:val="center"/>
                </w:tcPr>
                <w:p>
                  <w:pPr>
                    <w:jc w:val="center"/>
                    <w:rPr>
                      <w:szCs w:val="21"/>
                    </w:rPr>
                  </w:pPr>
                  <w:r>
                    <w:rPr>
                      <w:rFonts w:hint="eastAsia"/>
                      <w:szCs w:val="21"/>
                    </w:rPr>
                    <w:t>75~85</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万能铣床</w:t>
                  </w:r>
                </w:p>
              </w:tc>
              <w:tc>
                <w:tcPr>
                  <w:tcW w:w="1134" w:type="dxa"/>
                  <w:vAlign w:val="center"/>
                </w:tcPr>
                <w:p>
                  <w:pPr>
                    <w:adjustRightInd w:val="0"/>
                    <w:snapToGrid w:val="0"/>
                    <w:jc w:val="center"/>
                    <w:rPr>
                      <w:szCs w:val="21"/>
                    </w:rPr>
                  </w:pPr>
                  <w:r>
                    <w:rPr>
                      <w:szCs w:val="21"/>
                    </w:rPr>
                    <w:t>1</w:t>
                  </w:r>
                </w:p>
              </w:tc>
              <w:tc>
                <w:tcPr>
                  <w:tcW w:w="2268" w:type="dxa"/>
                  <w:vAlign w:val="center"/>
                </w:tcPr>
                <w:p>
                  <w:pPr>
                    <w:jc w:val="center"/>
                    <w:rPr>
                      <w:szCs w:val="21"/>
                    </w:rPr>
                  </w:pPr>
                  <w:r>
                    <w:rPr>
                      <w:rFonts w:hint="eastAsia"/>
                      <w:szCs w:val="21"/>
                    </w:rPr>
                    <w:t>75~80</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剪板机</w:t>
                  </w:r>
                </w:p>
              </w:tc>
              <w:tc>
                <w:tcPr>
                  <w:tcW w:w="1134" w:type="dxa"/>
                  <w:vAlign w:val="center"/>
                </w:tcPr>
                <w:p>
                  <w:pPr>
                    <w:adjustRightInd w:val="0"/>
                    <w:snapToGrid w:val="0"/>
                    <w:jc w:val="center"/>
                    <w:rPr>
                      <w:szCs w:val="21"/>
                    </w:rPr>
                  </w:pPr>
                  <w:r>
                    <w:rPr>
                      <w:szCs w:val="21"/>
                    </w:rPr>
                    <w:t>1</w:t>
                  </w:r>
                </w:p>
              </w:tc>
              <w:tc>
                <w:tcPr>
                  <w:tcW w:w="2268" w:type="dxa"/>
                  <w:vAlign w:val="center"/>
                </w:tcPr>
                <w:p>
                  <w:pPr>
                    <w:jc w:val="center"/>
                    <w:rPr>
                      <w:szCs w:val="21"/>
                    </w:rPr>
                  </w:pPr>
                  <w:r>
                    <w:rPr>
                      <w:rFonts w:hint="eastAsia"/>
                      <w:szCs w:val="21"/>
                    </w:rPr>
                    <w:t>75~85</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自动焊机</w:t>
                  </w:r>
                </w:p>
              </w:tc>
              <w:tc>
                <w:tcPr>
                  <w:tcW w:w="1134" w:type="dxa"/>
                  <w:vAlign w:val="center"/>
                </w:tcPr>
                <w:p>
                  <w:pPr>
                    <w:adjustRightInd w:val="0"/>
                    <w:snapToGrid w:val="0"/>
                    <w:jc w:val="center"/>
                    <w:rPr>
                      <w:szCs w:val="21"/>
                    </w:rPr>
                  </w:pPr>
                  <w:r>
                    <w:rPr>
                      <w:szCs w:val="21"/>
                    </w:rPr>
                    <w:t>2</w:t>
                  </w:r>
                </w:p>
              </w:tc>
              <w:tc>
                <w:tcPr>
                  <w:tcW w:w="2268" w:type="dxa"/>
                  <w:vAlign w:val="center"/>
                </w:tcPr>
                <w:p>
                  <w:pPr>
                    <w:jc w:val="center"/>
                    <w:rPr>
                      <w:szCs w:val="21"/>
                    </w:rPr>
                  </w:pPr>
                  <w:r>
                    <w:rPr>
                      <w:rFonts w:hint="eastAsia"/>
                      <w:szCs w:val="21"/>
                    </w:rPr>
                    <w:t>75~80</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电焊机</w:t>
                  </w:r>
                </w:p>
              </w:tc>
              <w:tc>
                <w:tcPr>
                  <w:tcW w:w="1134" w:type="dxa"/>
                  <w:vAlign w:val="center"/>
                </w:tcPr>
                <w:p>
                  <w:pPr>
                    <w:adjustRightInd w:val="0"/>
                    <w:snapToGrid w:val="0"/>
                    <w:jc w:val="center"/>
                    <w:rPr>
                      <w:szCs w:val="21"/>
                    </w:rPr>
                  </w:pPr>
                  <w:r>
                    <w:rPr>
                      <w:szCs w:val="21"/>
                    </w:rPr>
                    <w:t>2</w:t>
                  </w:r>
                </w:p>
              </w:tc>
              <w:tc>
                <w:tcPr>
                  <w:tcW w:w="2268" w:type="dxa"/>
                  <w:vAlign w:val="center"/>
                </w:tcPr>
                <w:p>
                  <w:pPr>
                    <w:jc w:val="center"/>
                    <w:rPr>
                      <w:szCs w:val="21"/>
                    </w:rPr>
                  </w:pPr>
                  <w:r>
                    <w:rPr>
                      <w:rFonts w:hint="eastAsia"/>
                      <w:szCs w:val="21"/>
                    </w:rPr>
                    <w:t>75~80</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台钻</w:t>
                  </w:r>
                </w:p>
              </w:tc>
              <w:tc>
                <w:tcPr>
                  <w:tcW w:w="1134" w:type="dxa"/>
                  <w:vAlign w:val="center"/>
                </w:tcPr>
                <w:p>
                  <w:pPr>
                    <w:adjustRightInd w:val="0"/>
                    <w:snapToGrid w:val="0"/>
                    <w:jc w:val="center"/>
                    <w:rPr>
                      <w:szCs w:val="21"/>
                    </w:rPr>
                  </w:pPr>
                  <w:r>
                    <w:rPr>
                      <w:szCs w:val="21"/>
                    </w:rPr>
                    <w:t>2</w:t>
                  </w:r>
                </w:p>
              </w:tc>
              <w:tc>
                <w:tcPr>
                  <w:tcW w:w="2268" w:type="dxa"/>
                  <w:vAlign w:val="center"/>
                </w:tcPr>
                <w:p>
                  <w:pPr>
                    <w:jc w:val="center"/>
                    <w:rPr>
                      <w:szCs w:val="21"/>
                    </w:rPr>
                  </w:pPr>
                  <w:r>
                    <w:rPr>
                      <w:rFonts w:hint="eastAsia"/>
                      <w:szCs w:val="21"/>
                    </w:rPr>
                    <w:t>75~85</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摇臂钻床</w:t>
                  </w:r>
                </w:p>
              </w:tc>
              <w:tc>
                <w:tcPr>
                  <w:tcW w:w="1134" w:type="dxa"/>
                  <w:vAlign w:val="center"/>
                </w:tcPr>
                <w:p>
                  <w:pPr>
                    <w:adjustRightInd w:val="0"/>
                    <w:snapToGrid w:val="0"/>
                    <w:jc w:val="center"/>
                    <w:rPr>
                      <w:szCs w:val="21"/>
                    </w:rPr>
                  </w:pPr>
                  <w:r>
                    <w:rPr>
                      <w:szCs w:val="21"/>
                    </w:rPr>
                    <w:t>1</w:t>
                  </w:r>
                </w:p>
              </w:tc>
              <w:tc>
                <w:tcPr>
                  <w:tcW w:w="2268" w:type="dxa"/>
                  <w:vAlign w:val="center"/>
                </w:tcPr>
                <w:p>
                  <w:pPr>
                    <w:jc w:val="center"/>
                    <w:rPr>
                      <w:szCs w:val="21"/>
                    </w:rPr>
                  </w:pPr>
                  <w:r>
                    <w:rPr>
                      <w:rFonts w:hint="eastAsia"/>
                      <w:szCs w:val="21"/>
                    </w:rPr>
                    <w:t>75~85</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1838" w:type="dxa"/>
                  <w:vAlign w:val="center"/>
                </w:tcPr>
                <w:p>
                  <w:pPr>
                    <w:adjustRightInd w:val="0"/>
                    <w:snapToGrid w:val="0"/>
                    <w:jc w:val="center"/>
                    <w:rPr>
                      <w:szCs w:val="21"/>
                    </w:rPr>
                  </w:pPr>
                  <w:r>
                    <w:rPr>
                      <w:rFonts w:hint="eastAsia"/>
                      <w:bCs/>
                      <w:szCs w:val="21"/>
                    </w:rPr>
                    <w:t>空压机</w:t>
                  </w:r>
                </w:p>
              </w:tc>
              <w:tc>
                <w:tcPr>
                  <w:tcW w:w="1134" w:type="dxa"/>
                  <w:vAlign w:val="center"/>
                </w:tcPr>
                <w:p>
                  <w:pPr>
                    <w:adjustRightInd w:val="0"/>
                    <w:snapToGrid w:val="0"/>
                    <w:jc w:val="center"/>
                    <w:rPr>
                      <w:szCs w:val="21"/>
                    </w:rPr>
                  </w:pPr>
                  <w:r>
                    <w:rPr>
                      <w:szCs w:val="21"/>
                    </w:rPr>
                    <w:t>1</w:t>
                  </w:r>
                </w:p>
              </w:tc>
              <w:tc>
                <w:tcPr>
                  <w:tcW w:w="2268" w:type="dxa"/>
                  <w:vAlign w:val="center"/>
                </w:tcPr>
                <w:p>
                  <w:pPr>
                    <w:jc w:val="center"/>
                    <w:rPr>
                      <w:szCs w:val="21"/>
                    </w:rPr>
                  </w:pPr>
                  <w:r>
                    <w:rPr>
                      <w:rFonts w:hint="eastAsia"/>
                      <w:szCs w:val="21"/>
                    </w:rPr>
                    <w:t>80~90</w:t>
                  </w:r>
                </w:p>
              </w:tc>
              <w:tc>
                <w:tcPr>
                  <w:tcW w:w="2296" w:type="dxa"/>
                  <w:vMerge w:val="continue"/>
                  <w:vAlign w:val="center"/>
                </w:tcPr>
                <w:p>
                  <w:pPr>
                    <w:adjustRightInd w:val="0"/>
                    <w:snapToGrid w:val="0"/>
                    <w:jc w:val="center"/>
                    <w:rPr>
                      <w:szCs w:val="21"/>
                    </w:rPr>
                  </w:pPr>
                </w:p>
              </w:tc>
              <w:tc>
                <w:tcPr>
                  <w:tcW w:w="1368" w:type="dxa"/>
                  <w:vAlign w:val="center"/>
                </w:tcPr>
                <w:p>
                  <w:pPr>
                    <w:adjustRightInd w:val="0"/>
                    <w:snapToGrid w:val="0"/>
                    <w:jc w:val="center"/>
                    <w:rPr>
                      <w:szCs w:val="21"/>
                    </w:rPr>
                  </w:pPr>
                  <w:r>
                    <w:rPr>
                      <w:rFonts w:hint="eastAsia"/>
                      <w:szCs w:val="21"/>
                    </w:rPr>
                    <w:t>10~25</w:t>
                  </w:r>
                </w:p>
              </w:tc>
            </w:tr>
          </w:tbl>
          <w:p>
            <w:pPr>
              <w:snapToGrid w:val="0"/>
              <w:spacing w:line="360" w:lineRule="auto"/>
              <w:rPr>
                <w:sz w:val="24"/>
                <w:szCs w:val="24"/>
              </w:rPr>
            </w:pPr>
            <w:r>
              <w:rPr>
                <w:rFonts w:hint="eastAsia"/>
                <w:sz w:val="24"/>
                <w:szCs w:val="24"/>
              </w:rPr>
              <w:t>4、</w:t>
            </w:r>
            <w:r>
              <w:rPr>
                <w:sz w:val="24"/>
                <w:szCs w:val="24"/>
              </w:rPr>
              <w:t>固体废弃物</w:t>
            </w:r>
            <w:r>
              <w:rPr>
                <w:rFonts w:hint="eastAsia"/>
                <w:sz w:val="24"/>
                <w:szCs w:val="24"/>
              </w:rPr>
              <w:t>污染源简析</w:t>
            </w:r>
          </w:p>
          <w:p>
            <w:pPr>
              <w:spacing w:line="360" w:lineRule="auto"/>
              <w:ind w:firstLine="480" w:firstLineChars="200"/>
              <w:rPr>
                <w:sz w:val="24"/>
                <w:szCs w:val="24"/>
              </w:rPr>
            </w:pPr>
            <w:r>
              <w:rPr>
                <w:bCs/>
                <w:sz w:val="24"/>
                <w:szCs w:val="24"/>
              </w:rPr>
              <w:t>本项目产生</w:t>
            </w:r>
            <w:r>
              <w:rPr>
                <w:rFonts w:hint="eastAsia"/>
                <w:bCs/>
                <w:sz w:val="24"/>
                <w:szCs w:val="24"/>
              </w:rPr>
              <w:t>的</w:t>
            </w:r>
            <w:r>
              <w:rPr>
                <w:bCs/>
                <w:sz w:val="24"/>
                <w:szCs w:val="24"/>
              </w:rPr>
              <w:t>固废主要为：</w:t>
            </w:r>
            <w:r>
              <w:rPr>
                <w:rFonts w:hint="eastAsia"/>
                <w:sz w:val="24"/>
                <w:szCs w:val="24"/>
              </w:rPr>
              <w:t>生产车间产生边角料、废铁屑、维修设备产生的含油抹布手套、废机油、废乳化液等、职工生活垃圾</w:t>
            </w:r>
            <w:r>
              <w:rPr>
                <w:sz w:val="24"/>
                <w:szCs w:val="24"/>
              </w:rPr>
              <w:t>。</w:t>
            </w:r>
          </w:p>
          <w:p>
            <w:pPr>
              <w:spacing w:line="360" w:lineRule="auto"/>
              <w:rPr>
                <w:bCs/>
                <w:sz w:val="24"/>
                <w:szCs w:val="24"/>
              </w:rPr>
            </w:pPr>
            <w:r>
              <w:rPr>
                <w:rFonts w:hint="eastAsia"/>
                <w:bCs/>
                <w:sz w:val="24"/>
                <w:szCs w:val="24"/>
              </w:rPr>
              <w:t>（1）生活垃圾和含油抹布、手套</w:t>
            </w:r>
          </w:p>
          <w:p>
            <w:pPr>
              <w:spacing w:line="360" w:lineRule="auto"/>
              <w:ind w:firstLine="480" w:firstLineChars="200"/>
              <w:rPr>
                <w:sz w:val="24"/>
                <w:szCs w:val="24"/>
              </w:rPr>
            </w:pPr>
            <w:r>
              <w:rPr>
                <w:rFonts w:hint="eastAsia"/>
                <w:sz w:val="24"/>
                <w:szCs w:val="24"/>
              </w:rPr>
              <w:t>项目</w:t>
            </w:r>
            <w:r>
              <w:rPr>
                <w:sz w:val="24"/>
                <w:szCs w:val="24"/>
              </w:rPr>
              <w:t>员工人</w:t>
            </w:r>
            <w:r>
              <w:rPr>
                <w:rFonts w:hint="eastAsia"/>
                <w:sz w:val="24"/>
                <w:szCs w:val="24"/>
              </w:rPr>
              <w:t>50</w:t>
            </w:r>
            <w:r>
              <w:rPr>
                <w:sz w:val="24"/>
                <w:szCs w:val="24"/>
              </w:rPr>
              <w:t>人，生活垃圾产生量按0.5kg/d•人计算，则生活垃圾产生量约为</w:t>
            </w:r>
            <w:r>
              <w:rPr>
                <w:rFonts w:hint="eastAsia"/>
                <w:sz w:val="24"/>
                <w:szCs w:val="24"/>
              </w:rPr>
              <w:t>25</w:t>
            </w:r>
            <w:r>
              <w:rPr>
                <w:sz w:val="24"/>
                <w:szCs w:val="24"/>
              </w:rPr>
              <w:t>kg/d，</w:t>
            </w:r>
            <w:r>
              <w:rPr>
                <w:rFonts w:hint="eastAsia"/>
                <w:sz w:val="24"/>
                <w:szCs w:val="24"/>
              </w:rPr>
              <w:t>7.5</w:t>
            </w:r>
            <w:r>
              <w:rPr>
                <w:sz w:val="24"/>
                <w:szCs w:val="24"/>
              </w:rPr>
              <w:t>t/a。生活垃圾袋装化后，由环卫部门统一收集、</w:t>
            </w:r>
            <w:r>
              <w:rPr>
                <w:rFonts w:hint="eastAsia"/>
                <w:sz w:val="24"/>
                <w:szCs w:val="24"/>
              </w:rPr>
              <w:t>处置</w:t>
            </w:r>
            <w:r>
              <w:rPr>
                <w:sz w:val="24"/>
                <w:szCs w:val="24"/>
              </w:rPr>
              <w:t>。根据《危险废物名录》（2016年）</w:t>
            </w:r>
            <w:r>
              <w:rPr>
                <w:rFonts w:hint="eastAsia"/>
                <w:sz w:val="24"/>
                <w:szCs w:val="24"/>
              </w:rPr>
              <w:t>，本项目</w:t>
            </w:r>
            <w:r>
              <w:rPr>
                <w:bCs/>
                <w:sz w:val="24"/>
                <w:szCs w:val="24"/>
              </w:rPr>
              <w:t>含油抹布、手套（</w:t>
            </w:r>
            <w:r>
              <w:rPr>
                <w:sz w:val="24"/>
                <w:szCs w:val="24"/>
              </w:rPr>
              <w:t>900-041-49</w:t>
            </w:r>
            <w:r>
              <w:rPr>
                <w:bCs/>
                <w:sz w:val="24"/>
                <w:szCs w:val="24"/>
              </w:rPr>
              <w:t>）</w:t>
            </w:r>
            <w:r>
              <w:rPr>
                <w:rFonts w:hint="eastAsia"/>
                <w:bCs/>
                <w:sz w:val="24"/>
                <w:szCs w:val="24"/>
              </w:rPr>
              <w:t>满足豁免条件</w:t>
            </w:r>
            <w:r>
              <w:rPr>
                <w:bCs/>
                <w:sz w:val="24"/>
                <w:szCs w:val="24"/>
              </w:rPr>
              <w:t>不属于危险废物</w:t>
            </w:r>
            <w:r>
              <w:rPr>
                <w:rFonts w:hint="eastAsia"/>
                <w:bCs/>
                <w:sz w:val="24"/>
                <w:szCs w:val="24"/>
              </w:rPr>
              <w:t>，产生量约0.002</w:t>
            </w:r>
            <w:r>
              <w:rPr>
                <w:sz w:val="24"/>
                <w:szCs w:val="24"/>
              </w:rPr>
              <w:t xml:space="preserve"> t/a</w:t>
            </w:r>
            <w:r>
              <w:rPr>
                <w:rFonts w:hint="eastAsia"/>
                <w:sz w:val="24"/>
                <w:szCs w:val="24"/>
              </w:rPr>
              <w:t>，收集后与生活垃圾一并</w:t>
            </w:r>
            <w:r>
              <w:rPr>
                <w:sz w:val="24"/>
                <w:szCs w:val="24"/>
              </w:rPr>
              <w:t>由环卫部门统一收集、</w:t>
            </w:r>
            <w:r>
              <w:rPr>
                <w:rFonts w:hint="eastAsia"/>
                <w:sz w:val="24"/>
                <w:szCs w:val="24"/>
              </w:rPr>
              <w:t>处置。</w:t>
            </w:r>
          </w:p>
          <w:p>
            <w:pPr>
              <w:spacing w:line="360" w:lineRule="auto"/>
              <w:rPr>
                <w:bCs/>
                <w:sz w:val="24"/>
                <w:szCs w:val="24"/>
              </w:rPr>
            </w:pPr>
            <w:r>
              <w:rPr>
                <w:rFonts w:hint="eastAsia"/>
                <w:bCs/>
                <w:sz w:val="24"/>
                <w:szCs w:val="24"/>
              </w:rPr>
              <w:t>（2）生产车间产生边角料、废铁屑</w:t>
            </w:r>
          </w:p>
          <w:p>
            <w:pPr>
              <w:spacing w:line="360" w:lineRule="auto"/>
              <w:ind w:firstLine="480" w:firstLineChars="200"/>
              <w:rPr>
                <w:sz w:val="24"/>
                <w:szCs w:val="24"/>
              </w:rPr>
            </w:pPr>
            <w:r>
              <w:rPr>
                <w:rFonts w:hint="eastAsia"/>
                <w:sz w:val="24"/>
                <w:szCs w:val="24"/>
              </w:rPr>
              <w:t>项目生产过程中会产生一定量的边角料、废铁屑，产生量约为1.5t/a，收集后交物资回收公司回收利用。</w:t>
            </w:r>
          </w:p>
          <w:p>
            <w:pPr>
              <w:spacing w:line="360" w:lineRule="auto"/>
              <w:ind w:firstLine="480" w:firstLineChars="200"/>
              <w:rPr>
                <w:sz w:val="24"/>
                <w:szCs w:val="24"/>
              </w:rPr>
            </w:pPr>
            <w:r>
              <w:rPr>
                <w:rFonts w:hint="eastAsia"/>
                <w:sz w:val="24"/>
                <w:szCs w:val="24"/>
              </w:rPr>
              <w:t>（3）废乳化液、机修产生的废机油</w:t>
            </w:r>
          </w:p>
          <w:p>
            <w:pPr>
              <w:spacing w:line="360" w:lineRule="auto"/>
              <w:ind w:firstLine="480" w:firstLineChars="200"/>
              <w:rPr>
                <w:bCs/>
                <w:sz w:val="24"/>
                <w:szCs w:val="24"/>
              </w:rPr>
            </w:pPr>
            <w:r>
              <w:rPr>
                <w:rFonts w:hint="eastAsia"/>
                <w:sz w:val="24"/>
                <w:szCs w:val="24"/>
              </w:rPr>
              <w:t>项目属于机加工项目，设有车床、铣床、数控机床，在加工过程中会产生一定量的废乳化液，产生量约为0.1t/a。</w:t>
            </w:r>
            <w:r>
              <w:rPr>
                <w:sz w:val="24"/>
                <w:szCs w:val="24"/>
              </w:rPr>
              <w:t>根据《危险废物名录》（2016年）</w:t>
            </w:r>
            <w:r>
              <w:rPr>
                <w:rFonts w:hint="eastAsia"/>
                <w:sz w:val="24"/>
                <w:szCs w:val="24"/>
              </w:rPr>
              <w:t>，产生的废乳化液</w:t>
            </w:r>
            <w:r>
              <w:rPr>
                <w:bCs/>
                <w:sz w:val="24"/>
                <w:szCs w:val="24"/>
              </w:rPr>
              <w:t>属于危险废物</w:t>
            </w:r>
            <w:r>
              <w:rPr>
                <w:rFonts w:hint="eastAsia"/>
                <w:bCs/>
                <w:sz w:val="24"/>
                <w:szCs w:val="24"/>
              </w:rPr>
              <w:t>，属于</w:t>
            </w:r>
            <w:r>
              <w:rPr>
                <w:bCs/>
                <w:sz w:val="24"/>
                <w:szCs w:val="24"/>
              </w:rPr>
              <w:t>HW0</w:t>
            </w:r>
            <w:r>
              <w:rPr>
                <w:rFonts w:hint="eastAsia"/>
                <w:bCs/>
                <w:sz w:val="24"/>
                <w:szCs w:val="24"/>
              </w:rPr>
              <w:t>9油/水、烃/水混合物或乳化液，废物代码为 900-006-09，定期收集后暂存于项目区危险废物临时贮存点，定期交有资质单位处理；项目机油过程中会产生一定量的废机油，产生量约为0.2</w:t>
            </w:r>
            <w:r>
              <w:rPr>
                <w:rFonts w:hint="eastAsia"/>
                <w:sz w:val="24"/>
                <w:szCs w:val="24"/>
              </w:rPr>
              <w:t xml:space="preserve"> </w:t>
            </w:r>
            <w:r>
              <w:rPr>
                <w:rFonts w:hint="eastAsia"/>
                <w:bCs/>
                <w:sz w:val="24"/>
                <w:szCs w:val="24"/>
              </w:rPr>
              <w:t>t/a，</w:t>
            </w:r>
            <w:r>
              <w:rPr>
                <w:bCs/>
                <w:sz w:val="24"/>
                <w:szCs w:val="24"/>
              </w:rPr>
              <w:t>根据《危险废物名录》（2016年）</w:t>
            </w:r>
            <w:r>
              <w:rPr>
                <w:rFonts w:hint="eastAsia"/>
                <w:bCs/>
                <w:sz w:val="24"/>
                <w:szCs w:val="24"/>
              </w:rPr>
              <w:t>，产生的废乳化液</w:t>
            </w:r>
            <w:r>
              <w:rPr>
                <w:bCs/>
                <w:sz w:val="24"/>
                <w:szCs w:val="24"/>
              </w:rPr>
              <w:t>属于危险废物</w:t>
            </w:r>
            <w:r>
              <w:rPr>
                <w:rFonts w:hint="eastAsia"/>
                <w:bCs/>
                <w:sz w:val="24"/>
                <w:szCs w:val="24"/>
              </w:rPr>
              <w:t>，属于</w:t>
            </w:r>
            <w:r>
              <w:rPr>
                <w:bCs/>
                <w:sz w:val="24"/>
                <w:szCs w:val="24"/>
              </w:rPr>
              <w:t>HW0</w:t>
            </w:r>
            <w:r>
              <w:rPr>
                <w:rFonts w:hint="eastAsia"/>
                <w:bCs/>
                <w:sz w:val="24"/>
                <w:szCs w:val="24"/>
              </w:rPr>
              <w:t>8废矿物油与含矿物油废物，废物代码为 900-249-08，定期收集后暂存于项目区危险废物临时贮存点，定期交有资质单位处理。</w:t>
            </w:r>
          </w:p>
          <w:p>
            <w:pPr>
              <w:pStyle w:val="45"/>
              <w:snapToGrid w:val="0"/>
              <w:spacing w:line="240" w:lineRule="auto"/>
              <w:ind w:firstLine="0"/>
              <w:jc w:val="center"/>
              <w:rPr>
                <w:rFonts w:ascii="Times New Roman" w:hAnsi="Times New Roman"/>
                <w:b/>
                <w:kern w:val="0"/>
                <w:sz w:val="21"/>
                <w:szCs w:val="21"/>
              </w:rPr>
            </w:pPr>
          </w:p>
          <w:p>
            <w:pPr>
              <w:pStyle w:val="45"/>
              <w:snapToGrid w:val="0"/>
              <w:spacing w:line="240" w:lineRule="auto"/>
              <w:ind w:firstLine="0"/>
              <w:jc w:val="center"/>
              <w:rPr>
                <w:rFonts w:ascii="Times New Roman" w:hAnsi="Times New Roman"/>
                <w:b/>
                <w:kern w:val="0"/>
                <w:sz w:val="21"/>
                <w:szCs w:val="21"/>
              </w:rPr>
            </w:pPr>
          </w:p>
          <w:p>
            <w:pPr>
              <w:pStyle w:val="45"/>
              <w:snapToGrid w:val="0"/>
              <w:spacing w:line="240" w:lineRule="auto"/>
              <w:ind w:firstLine="0"/>
              <w:jc w:val="center"/>
              <w:rPr>
                <w:rFonts w:ascii="Times New Roman" w:hAnsi="Times New Roman"/>
                <w:b/>
                <w:kern w:val="0"/>
                <w:sz w:val="21"/>
                <w:szCs w:val="21"/>
              </w:rPr>
            </w:pPr>
          </w:p>
          <w:p>
            <w:pPr>
              <w:pStyle w:val="45"/>
              <w:snapToGrid w:val="0"/>
              <w:spacing w:line="240" w:lineRule="auto"/>
              <w:ind w:firstLine="0"/>
              <w:jc w:val="center"/>
              <w:rPr>
                <w:rFonts w:ascii="Times New Roman" w:hAnsi="Times New Roman"/>
                <w:b/>
                <w:kern w:val="0"/>
                <w:sz w:val="21"/>
                <w:szCs w:val="21"/>
              </w:rPr>
            </w:pPr>
          </w:p>
          <w:p>
            <w:pPr>
              <w:pStyle w:val="45"/>
              <w:snapToGrid w:val="0"/>
              <w:spacing w:line="240" w:lineRule="auto"/>
              <w:ind w:firstLine="0"/>
              <w:jc w:val="center"/>
              <w:rPr>
                <w:rFonts w:ascii="Times New Roman" w:hAnsi="Times New Roman"/>
                <w:b/>
                <w:kern w:val="0"/>
                <w:sz w:val="21"/>
                <w:szCs w:val="21"/>
              </w:rPr>
            </w:pPr>
            <w:r>
              <w:rPr>
                <w:rFonts w:ascii="Times New Roman" w:hAnsi="Times New Roman"/>
                <w:b/>
                <w:kern w:val="0"/>
                <w:sz w:val="21"/>
                <w:szCs w:val="21"/>
              </w:rPr>
              <w:t>表</w:t>
            </w:r>
            <w:r>
              <w:rPr>
                <w:rFonts w:hint="eastAsia" w:ascii="Times New Roman" w:hAnsi="Times New Roman"/>
                <w:b/>
                <w:kern w:val="0"/>
                <w:sz w:val="21"/>
                <w:szCs w:val="21"/>
              </w:rPr>
              <w:t>21</w:t>
            </w:r>
            <w:r>
              <w:rPr>
                <w:rFonts w:ascii="Times New Roman" w:hAnsi="Times New Roman"/>
                <w:b/>
                <w:kern w:val="0"/>
                <w:sz w:val="21"/>
                <w:szCs w:val="21"/>
              </w:rPr>
              <w:t>项目固废排放量及处置情况表</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334"/>
              <w:gridCol w:w="1364"/>
              <w:gridCol w:w="1050"/>
              <w:gridCol w:w="753"/>
              <w:gridCol w:w="1169"/>
              <w:gridCol w:w="194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Align w:val="center"/>
                </w:tcPr>
                <w:p>
                  <w:pPr>
                    <w:snapToGrid w:val="0"/>
                    <w:jc w:val="center"/>
                    <w:rPr>
                      <w:bCs/>
                      <w:szCs w:val="21"/>
                    </w:rPr>
                  </w:pPr>
                  <w:r>
                    <w:rPr>
                      <w:bCs/>
                      <w:szCs w:val="21"/>
                    </w:rPr>
                    <w:t>序号</w:t>
                  </w:r>
                </w:p>
              </w:tc>
              <w:tc>
                <w:tcPr>
                  <w:tcW w:w="1370" w:type="dxa"/>
                  <w:vAlign w:val="center"/>
                </w:tcPr>
                <w:p>
                  <w:pPr>
                    <w:snapToGrid w:val="0"/>
                    <w:jc w:val="center"/>
                    <w:rPr>
                      <w:bCs/>
                      <w:szCs w:val="21"/>
                    </w:rPr>
                  </w:pPr>
                  <w:r>
                    <w:rPr>
                      <w:rFonts w:hint="eastAsia"/>
                      <w:bCs/>
                      <w:szCs w:val="21"/>
                    </w:rPr>
                    <w:t>固废</w:t>
                  </w:r>
                  <w:r>
                    <w:rPr>
                      <w:bCs/>
                      <w:szCs w:val="21"/>
                    </w:rPr>
                    <w:t>类别</w:t>
                  </w:r>
                </w:p>
              </w:tc>
              <w:tc>
                <w:tcPr>
                  <w:tcW w:w="1401" w:type="dxa"/>
                  <w:vAlign w:val="center"/>
                </w:tcPr>
                <w:p>
                  <w:pPr>
                    <w:snapToGrid w:val="0"/>
                    <w:jc w:val="center"/>
                    <w:rPr>
                      <w:bCs/>
                      <w:szCs w:val="21"/>
                    </w:rPr>
                  </w:pPr>
                  <w:r>
                    <w:rPr>
                      <w:rFonts w:hint="eastAsia"/>
                      <w:bCs/>
                      <w:szCs w:val="21"/>
                    </w:rPr>
                    <w:t>危险废物代码</w:t>
                  </w:r>
                </w:p>
              </w:tc>
              <w:tc>
                <w:tcPr>
                  <w:tcW w:w="1077" w:type="dxa"/>
                  <w:vAlign w:val="center"/>
                </w:tcPr>
                <w:p>
                  <w:pPr>
                    <w:snapToGrid w:val="0"/>
                    <w:jc w:val="center"/>
                    <w:rPr>
                      <w:bCs/>
                      <w:szCs w:val="21"/>
                    </w:rPr>
                  </w:pPr>
                  <w:r>
                    <w:rPr>
                      <w:bCs/>
                      <w:szCs w:val="21"/>
                    </w:rPr>
                    <w:t>主要成分</w:t>
                  </w:r>
                </w:p>
              </w:tc>
              <w:tc>
                <w:tcPr>
                  <w:tcW w:w="770" w:type="dxa"/>
                  <w:vAlign w:val="center"/>
                </w:tcPr>
                <w:p>
                  <w:pPr>
                    <w:snapToGrid w:val="0"/>
                    <w:jc w:val="center"/>
                    <w:rPr>
                      <w:bCs/>
                      <w:szCs w:val="21"/>
                    </w:rPr>
                  </w:pPr>
                  <w:r>
                    <w:rPr>
                      <w:bCs/>
                      <w:szCs w:val="21"/>
                    </w:rPr>
                    <w:t>性状</w:t>
                  </w:r>
                </w:p>
              </w:tc>
              <w:tc>
                <w:tcPr>
                  <w:tcW w:w="1200" w:type="dxa"/>
                  <w:vAlign w:val="center"/>
                </w:tcPr>
                <w:p>
                  <w:pPr>
                    <w:snapToGrid w:val="0"/>
                    <w:jc w:val="center"/>
                    <w:rPr>
                      <w:bCs/>
                      <w:szCs w:val="21"/>
                    </w:rPr>
                  </w:pPr>
                  <w:r>
                    <w:rPr>
                      <w:bCs/>
                      <w:szCs w:val="21"/>
                    </w:rPr>
                    <w:t>产生量(t/a)</w:t>
                  </w:r>
                </w:p>
              </w:tc>
              <w:tc>
                <w:tcPr>
                  <w:tcW w:w="1998" w:type="dxa"/>
                  <w:vAlign w:val="center"/>
                </w:tcPr>
                <w:p>
                  <w:pPr>
                    <w:snapToGrid w:val="0"/>
                    <w:jc w:val="center"/>
                    <w:rPr>
                      <w:bCs/>
                      <w:szCs w:val="21"/>
                    </w:rPr>
                  </w:pPr>
                  <w:r>
                    <w:rPr>
                      <w:bCs/>
                      <w:szCs w:val="21"/>
                    </w:rPr>
                    <w:t>处置方式</w:t>
                  </w:r>
                </w:p>
              </w:tc>
              <w:tc>
                <w:tcPr>
                  <w:tcW w:w="922" w:type="dxa"/>
                  <w:vAlign w:val="center"/>
                </w:tcPr>
                <w:p>
                  <w:pPr>
                    <w:snapToGrid w:val="0"/>
                    <w:jc w:val="center"/>
                    <w:rPr>
                      <w:bCs/>
                      <w:szCs w:val="21"/>
                    </w:rPr>
                  </w:pPr>
                  <w:r>
                    <w:rPr>
                      <w:bCs/>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Align w:val="center"/>
                </w:tcPr>
                <w:p>
                  <w:pPr>
                    <w:snapToGrid w:val="0"/>
                    <w:jc w:val="center"/>
                    <w:rPr>
                      <w:bCs/>
                      <w:szCs w:val="21"/>
                    </w:rPr>
                  </w:pPr>
                  <w:r>
                    <w:rPr>
                      <w:bCs/>
                      <w:szCs w:val="21"/>
                    </w:rPr>
                    <w:t>1</w:t>
                  </w:r>
                </w:p>
              </w:tc>
              <w:tc>
                <w:tcPr>
                  <w:tcW w:w="1370" w:type="dxa"/>
                  <w:vAlign w:val="center"/>
                </w:tcPr>
                <w:p>
                  <w:pPr>
                    <w:snapToGrid w:val="0"/>
                    <w:jc w:val="center"/>
                    <w:rPr>
                      <w:bCs/>
                      <w:szCs w:val="21"/>
                    </w:rPr>
                  </w:pPr>
                  <w:r>
                    <w:rPr>
                      <w:rFonts w:hint="eastAsia"/>
                      <w:bCs/>
                      <w:szCs w:val="21"/>
                    </w:rPr>
                    <w:t>生活垃圾</w:t>
                  </w:r>
                </w:p>
              </w:tc>
              <w:tc>
                <w:tcPr>
                  <w:tcW w:w="1401" w:type="dxa"/>
                  <w:vAlign w:val="center"/>
                </w:tcPr>
                <w:p>
                  <w:pPr>
                    <w:snapToGrid w:val="0"/>
                    <w:jc w:val="center"/>
                    <w:rPr>
                      <w:bCs/>
                      <w:szCs w:val="21"/>
                    </w:rPr>
                  </w:pPr>
                  <w:r>
                    <w:rPr>
                      <w:rFonts w:hint="eastAsia"/>
                      <w:bCs/>
                      <w:szCs w:val="21"/>
                    </w:rPr>
                    <w:t>一般固废</w:t>
                  </w:r>
                </w:p>
              </w:tc>
              <w:tc>
                <w:tcPr>
                  <w:tcW w:w="1077" w:type="dxa"/>
                  <w:vAlign w:val="center"/>
                </w:tcPr>
                <w:p>
                  <w:pPr>
                    <w:snapToGrid w:val="0"/>
                    <w:jc w:val="center"/>
                    <w:rPr>
                      <w:bCs/>
                      <w:szCs w:val="21"/>
                    </w:rPr>
                  </w:pPr>
                  <w:r>
                    <w:rPr>
                      <w:rFonts w:hint="eastAsia"/>
                      <w:bCs/>
                      <w:szCs w:val="21"/>
                    </w:rPr>
                    <w:t>生活垃圾</w:t>
                  </w:r>
                </w:p>
              </w:tc>
              <w:tc>
                <w:tcPr>
                  <w:tcW w:w="770" w:type="dxa"/>
                  <w:vAlign w:val="center"/>
                </w:tcPr>
                <w:p>
                  <w:pPr>
                    <w:snapToGrid w:val="0"/>
                    <w:jc w:val="center"/>
                    <w:rPr>
                      <w:bCs/>
                      <w:szCs w:val="21"/>
                    </w:rPr>
                  </w:pPr>
                  <w:r>
                    <w:rPr>
                      <w:bCs/>
                      <w:szCs w:val="21"/>
                    </w:rPr>
                    <w:t>固态</w:t>
                  </w:r>
                </w:p>
              </w:tc>
              <w:tc>
                <w:tcPr>
                  <w:tcW w:w="1200" w:type="dxa"/>
                  <w:vAlign w:val="center"/>
                </w:tcPr>
                <w:p>
                  <w:pPr>
                    <w:snapToGrid w:val="0"/>
                    <w:jc w:val="center"/>
                    <w:rPr>
                      <w:bCs/>
                      <w:szCs w:val="21"/>
                    </w:rPr>
                  </w:pPr>
                  <w:r>
                    <w:rPr>
                      <w:rFonts w:hint="eastAsia"/>
                      <w:bCs/>
                      <w:szCs w:val="21"/>
                    </w:rPr>
                    <w:t>7.5</w:t>
                  </w:r>
                </w:p>
              </w:tc>
              <w:tc>
                <w:tcPr>
                  <w:tcW w:w="1998" w:type="dxa"/>
                  <w:vAlign w:val="center"/>
                </w:tcPr>
                <w:p>
                  <w:pPr>
                    <w:snapToGrid w:val="0"/>
                    <w:jc w:val="center"/>
                    <w:rPr>
                      <w:bCs/>
                      <w:szCs w:val="21"/>
                    </w:rPr>
                  </w:pPr>
                  <w:r>
                    <w:rPr>
                      <w:bCs/>
                      <w:szCs w:val="21"/>
                    </w:rPr>
                    <w:t>环卫部门集中送至垃圾处理场</w:t>
                  </w:r>
                  <w:r>
                    <w:rPr>
                      <w:rFonts w:hint="eastAsia"/>
                      <w:bCs/>
                      <w:szCs w:val="21"/>
                    </w:rPr>
                    <w:t>卫生填埋</w:t>
                  </w:r>
                </w:p>
              </w:tc>
              <w:tc>
                <w:tcPr>
                  <w:tcW w:w="922" w:type="dxa"/>
                  <w:vAlign w:val="center"/>
                </w:tcPr>
                <w:p>
                  <w:pPr>
                    <w:snapToGrid w:val="0"/>
                    <w:jc w:val="cente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Align w:val="center"/>
                </w:tcPr>
                <w:p>
                  <w:pPr>
                    <w:snapToGrid w:val="0"/>
                    <w:jc w:val="center"/>
                    <w:rPr>
                      <w:bCs/>
                      <w:szCs w:val="21"/>
                    </w:rPr>
                  </w:pPr>
                  <w:r>
                    <w:rPr>
                      <w:bCs/>
                      <w:szCs w:val="21"/>
                    </w:rPr>
                    <w:t>2</w:t>
                  </w:r>
                </w:p>
              </w:tc>
              <w:tc>
                <w:tcPr>
                  <w:tcW w:w="1370" w:type="dxa"/>
                  <w:vAlign w:val="center"/>
                </w:tcPr>
                <w:p>
                  <w:pPr>
                    <w:snapToGrid w:val="0"/>
                    <w:jc w:val="center"/>
                    <w:rPr>
                      <w:bCs/>
                      <w:szCs w:val="21"/>
                    </w:rPr>
                  </w:pPr>
                  <w:r>
                    <w:rPr>
                      <w:rFonts w:hint="eastAsia"/>
                      <w:bCs/>
                      <w:szCs w:val="21"/>
                    </w:rPr>
                    <w:t>边角料和废铁屑</w:t>
                  </w:r>
                </w:p>
              </w:tc>
              <w:tc>
                <w:tcPr>
                  <w:tcW w:w="1401" w:type="dxa"/>
                  <w:vAlign w:val="center"/>
                </w:tcPr>
                <w:p>
                  <w:pPr>
                    <w:snapToGrid w:val="0"/>
                    <w:jc w:val="center"/>
                    <w:rPr>
                      <w:bCs/>
                      <w:szCs w:val="21"/>
                    </w:rPr>
                  </w:pPr>
                  <w:r>
                    <w:rPr>
                      <w:rFonts w:hint="eastAsia"/>
                      <w:bCs/>
                      <w:szCs w:val="21"/>
                    </w:rPr>
                    <w:t>一般固废</w:t>
                  </w:r>
                </w:p>
              </w:tc>
              <w:tc>
                <w:tcPr>
                  <w:tcW w:w="1077" w:type="dxa"/>
                  <w:vAlign w:val="center"/>
                </w:tcPr>
                <w:p>
                  <w:pPr>
                    <w:snapToGrid w:val="0"/>
                    <w:jc w:val="center"/>
                    <w:rPr>
                      <w:bCs/>
                      <w:szCs w:val="21"/>
                    </w:rPr>
                  </w:pPr>
                  <w:r>
                    <w:rPr>
                      <w:rFonts w:hint="eastAsia"/>
                      <w:bCs/>
                      <w:szCs w:val="21"/>
                    </w:rPr>
                    <w:t>铁</w:t>
                  </w:r>
                </w:p>
              </w:tc>
              <w:tc>
                <w:tcPr>
                  <w:tcW w:w="770" w:type="dxa"/>
                  <w:vAlign w:val="center"/>
                </w:tcPr>
                <w:p>
                  <w:pPr>
                    <w:snapToGrid w:val="0"/>
                    <w:jc w:val="center"/>
                    <w:rPr>
                      <w:bCs/>
                      <w:szCs w:val="21"/>
                    </w:rPr>
                  </w:pPr>
                  <w:r>
                    <w:rPr>
                      <w:bCs/>
                      <w:szCs w:val="21"/>
                    </w:rPr>
                    <w:t>固态</w:t>
                  </w:r>
                </w:p>
              </w:tc>
              <w:tc>
                <w:tcPr>
                  <w:tcW w:w="1200" w:type="dxa"/>
                  <w:vAlign w:val="center"/>
                </w:tcPr>
                <w:p>
                  <w:pPr>
                    <w:snapToGrid w:val="0"/>
                    <w:jc w:val="center"/>
                    <w:rPr>
                      <w:bCs/>
                      <w:szCs w:val="21"/>
                    </w:rPr>
                  </w:pPr>
                  <w:r>
                    <w:rPr>
                      <w:rFonts w:hint="eastAsia"/>
                      <w:bCs/>
                      <w:szCs w:val="21"/>
                    </w:rPr>
                    <w:t>1.5</w:t>
                  </w:r>
                </w:p>
              </w:tc>
              <w:tc>
                <w:tcPr>
                  <w:tcW w:w="1998" w:type="dxa"/>
                  <w:vAlign w:val="center"/>
                </w:tcPr>
                <w:p>
                  <w:pPr>
                    <w:snapToGrid w:val="0"/>
                    <w:jc w:val="center"/>
                    <w:rPr>
                      <w:bCs/>
                      <w:szCs w:val="21"/>
                    </w:rPr>
                  </w:pPr>
                  <w:r>
                    <w:rPr>
                      <w:bCs/>
                      <w:szCs w:val="21"/>
                    </w:rPr>
                    <w:t>外售或综合利用处置</w:t>
                  </w:r>
                </w:p>
              </w:tc>
              <w:tc>
                <w:tcPr>
                  <w:tcW w:w="922" w:type="dxa"/>
                  <w:vAlign w:val="center"/>
                </w:tcPr>
                <w:p>
                  <w:pPr>
                    <w:snapToGrid w:val="0"/>
                    <w:jc w:val="center"/>
                    <w:rPr>
                      <w:bCs/>
                      <w:szCs w:val="21"/>
                    </w:rPr>
                  </w:pPr>
                  <w:r>
                    <w:rPr>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Align w:val="center"/>
                </w:tcPr>
                <w:p>
                  <w:pPr>
                    <w:snapToGrid w:val="0"/>
                    <w:jc w:val="center"/>
                    <w:rPr>
                      <w:bCs/>
                      <w:szCs w:val="21"/>
                    </w:rPr>
                  </w:pPr>
                  <w:r>
                    <w:rPr>
                      <w:rFonts w:hint="eastAsia"/>
                      <w:bCs/>
                      <w:szCs w:val="21"/>
                    </w:rPr>
                    <w:t>3</w:t>
                  </w:r>
                </w:p>
              </w:tc>
              <w:tc>
                <w:tcPr>
                  <w:tcW w:w="1370" w:type="dxa"/>
                  <w:vAlign w:val="center"/>
                </w:tcPr>
                <w:p>
                  <w:pPr>
                    <w:snapToGrid w:val="0"/>
                    <w:jc w:val="center"/>
                    <w:rPr>
                      <w:bCs/>
                      <w:szCs w:val="21"/>
                    </w:rPr>
                  </w:pPr>
                  <w:r>
                    <w:rPr>
                      <w:rFonts w:hint="eastAsia"/>
                      <w:bCs/>
                      <w:szCs w:val="21"/>
                    </w:rPr>
                    <w:t>含油抹布、手套</w:t>
                  </w:r>
                </w:p>
              </w:tc>
              <w:tc>
                <w:tcPr>
                  <w:tcW w:w="1401" w:type="dxa"/>
                  <w:vAlign w:val="center"/>
                </w:tcPr>
                <w:p>
                  <w:pPr>
                    <w:snapToGrid w:val="0"/>
                    <w:jc w:val="center"/>
                    <w:rPr>
                      <w:bCs/>
                      <w:szCs w:val="21"/>
                    </w:rPr>
                  </w:pPr>
                  <w:r>
                    <w:rPr>
                      <w:bCs/>
                      <w:szCs w:val="21"/>
                    </w:rPr>
                    <w:t>900-041-49</w:t>
                  </w:r>
                </w:p>
              </w:tc>
              <w:tc>
                <w:tcPr>
                  <w:tcW w:w="1077" w:type="dxa"/>
                  <w:vAlign w:val="center"/>
                </w:tcPr>
                <w:p>
                  <w:pPr>
                    <w:snapToGrid w:val="0"/>
                    <w:jc w:val="center"/>
                    <w:rPr>
                      <w:bCs/>
                      <w:szCs w:val="21"/>
                    </w:rPr>
                  </w:pPr>
                  <w:r>
                    <w:rPr>
                      <w:rFonts w:hint="eastAsia"/>
                      <w:bCs/>
                      <w:szCs w:val="21"/>
                    </w:rPr>
                    <w:t>废矿物油</w:t>
                  </w:r>
                </w:p>
              </w:tc>
              <w:tc>
                <w:tcPr>
                  <w:tcW w:w="770" w:type="dxa"/>
                  <w:vAlign w:val="center"/>
                </w:tcPr>
                <w:p>
                  <w:pPr>
                    <w:snapToGrid w:val="0"/>
                    <w:jc w:val="center"/>
                    <w:rPr>
                      <w:bCs/>
                      <w:szCs w:val="21"/>
                    </w:rPr>
                  </w:pPr>
                  <w:r>
                    <w:rPr>
                      <w:bCs/>
                      <w:szCs w:val="21"/>
                    </w:rPr>
                    <w:t>固态</w:t>
                  </w:r>
                </w:p>
              </w:tc>
              <w:tc>
                <w:tcPr>
                  <w:tcW w:w="1200" w:type="dxa"/>
                  <w:vAlign w:val="center"/>
                </w:tcPr>
                <w:p>
                  <w:pPr>
                    <w:snapToGrid w:val="0"/>
                    <w:jc w:val="center"/>
                    <w:rPr>
                      <w:bCs/>
                      <w:szCs w:val="21"/>
                    </w:rPr>
                  </w:pPr>
                  <w:r>
                    <w:rPr>
                      <w:rFonts w:hint="eastAsia"/>
                      <w:bCs/>
                      <w:szCs w:val="21"/>
                    </w:rPr>
                    <w:t>0.002</w:t>
                  </w:r>
                </w:p>
              </w:tc>
              <w:tc>
                <w:tcPr>
                  <w:tcW w:w="1998" w:type="dxa"/>
                  <w:vAlign w:val="center"/>
                </w:tcPr>
                <w:p>
                  <w:pPr>
                    <w:snapToGrid w:val="0"/>
                    <w:jc w:val="center"/>
                    <w:rPr>
                      <w:bCs/>
                      <w:szCs w:val="21"/>
                    </w:rPr>
                  </w:pPr>
                  <w:r>
                    <w:rPr>
                      <w:rFonts w:hint="eastAsia"/>
                      <w:bCs/>
                      <w:szCs w:val="21"/>
                    </w:rPr>
                    <w:t>满足豁免条件，收集后与生活垃圾一并</w:t>
                  </w:r>
                  <w:r>
                    <w:rPr>
                      <w:bCs/>
                      <w:szCs w:val="21"/>
                    </w:rPr>
                    <w:t>由环卫部门统一收集、</w:t>
                  </w:r>
                  <w:r>
                    <w:rPr>
                      <w:rFonts w:hint="eastAsia"/>
                      <w:bCs/>
                      <w:szCs w:val="21"/>
                    </w:rPr>
                    <w:t>处置</w:t>
                  </w:r>
                </w:p>
              </w:tc>
              <w:tc>
                <w:tcPr>
                  <w:tcW w:w="922" w:type="dxa"/>
                  <w:vAlign w:val="center"/>
                </w:tcPr>
                <w:p>
                  <w:pPr>
                    <w:snapToGrid w:val="0"/>
                    <w:jc w:val="center"/>
                    <w:rPr>
                      <w:bCs/>
                      <w:szCs w:val="21"/>
                    </w:rPr>
                  </w:pPr>
                  <w:r>
                    <w:rPr>
                      <w:rFonts w:hint="eastAsia"/>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Align w:val="center"/>
                </w:tcPr>
                <w:p>
                  <w:pPr>
                    <w:snapToGrid w:val="0"/>
                    <w:jc w:val="center"/>
                    <w:rPr>
                      <w:bCs/>
                      <w:szCs w:val="21"/>
                    </w:rPr>
                  </w:pPr>
                  <w:r>
                    <w:rPr>
                      <w:rFonts w:hint="eastAsia"/>
                      <w:bCs/>
                      <w:szCs w:val="21"/>
                    </w:rPr>
                    <w:t>4</w:t>
                  </w:r>
                </w:p>
              </w:tc>
              <w:tc>
                <w:tcPr>
                  <w:tcW w:w="1370" w:type="dxa"/>
                  <w:vAlign w:val="center"/>
                </w:tcPr>
                <w:p>
                  <w:pPr>
                    <w:snapToGrid w:val="0"/>
                    <w:jc w:val="center"/>
                    <w:rPr>
                      <w:bCs/>
                      <w:szCs w:val="21"/>
                    </w:rPr>
                  </w:pPr>
                  <w:r>
                    <w:rPr>
                      <w:rFonts w:hint="eastAsia"/>
                      <w:bCs/>
                      <w:szCs w:val="21"/>
                    </w:rPr>
                    <w:t>废乳化液</w:t>
                  </w:r>
                </w:p>
              </w:tc>
              <w:tc>
                <w:tcPr>
                  <w:tcW w:w="1401" w:type="dxa"/>
                  <w:vAlign w:val="center"/>
                </w:tcPr>
                <w:p>
                  <w:pPr>
                    <w:snapToGrid w:val="0"/>
                    <w:jc w:val="center"/>
                    <w:rPr>
                      <w:bCs/>
                      <w:szCs w:val="21"/>
                    </w:rPr>
                  </w:pPr>
                  <w:r>
                    <w:rPr>
                      <w:rFonts w:hint="eastAsia"/>
                      <w:bCs/>
                      <w:szCs w:val="21"/>
                    </w:rPr>
                    <w:t>900-006-09</w:t>
                  </w:r>
                </w:p>
              </w:tc>
              <w:tc>
                <w:tcPr>
                  <w:tcW w:w="1077" w:type="dxa"/>
                  <w:vAlign w:val="center"/>
                </w:tcPr>
                <w:p>
                  <w:pPr>
                    <w:snapToGrid w:val="0"/>
                    <w:jc w:val="center"/>
                    <w:rPr>
                      <w:bCs/>
                      <w:szCs w:val="21"/>
                    </w:rPr>
                  </w:pPr>
                  <w:r>
                    <w:rPr>
                      <w:rFonts w:hint="eastAsia"/>
                      <w:bCs/>
                      <w:szCs w:val="21"/>
                    </w:rPr>
                    <w:t>乳化液</w:t>
                  </w:r>
                </w:p>
              </w:tc>
              <w:tc>
                <w:tcPr>
                  <w:tcW w:w="770" w:type="dxa"/>
                  <w:vAlign w:val="center"/>
                </w:tcPr>
                <w:p>
                  <w:pPr>
                    <w:snapToGrid w:val="0"/>
                    <w:jc w:val="center"/>
                    <w:rPr>
                      <w:bCs/>
                      <w:szCs w:val="21"/>
                    </w:rPr>
                  </w:pPr>
                  <w:r>
                    <w:rPr>
                      <w:rFonts w:hint="eastAsia"/>
                      <w:bCs/>
                      <w:szCs w:val="21"/>
                    </w:rPr>
                    <w:t>液态</w:t>
                  </w:r>
                </w:p>
              </w:tc>
              <w:tc>
                <w:tcPr>
                  <w:tcW w:w="1200" w:type="dxa"/>
                  <w:vAlign w:val="center"/>
                </w:tcPr>
                <w:p>
                  <w:pPr>
                    <w:snapToGrid w:val="0"/>
                    <w:jc w:val="center"/>
                    <w:rPr>
                      <w:bCs/>
                      <w:szCs w:val="21"/>
                    </w:rPr>
                  </w:pPr>
                  <w:r>
                    <w:rPr>
                      <w:rFonts w:hint="eastAsia"/>
                      <w:bCs/>
                      <w:szCs w:val="21"/>
                    </w:rPr>
                    <w:t>0.1</w:t>
                  </w:r>
                </w:p>
              </w:tc>
              <w:tc>
                <w:tcPr>
                  <w:tcW w:w="1998" w:type="dxa"/>
                  <w:vMerge w:val="restart"/>
                  <w:vAlign w:val="center"/>
                </w:tcPr>
                <w:p>
                  <w:pPr>
                    <w:snapToGrid w:val="0"/>
                    <w:jc w:val="center"/>
                    <w:rPr>
                      <w:szCs w:val="21"/>
                    </w:rPr>
                  </w:pPr>
                  <w:r>
                    <w:rPr>
                      <w:rFonts w:hint="eastAsia"/>
                      <w:bCs/>
                      <w:szCs w:val="21"/>
                    </w:rPr>
                    <w:t>定期收集后暂存于项目区危险废物临时贮存点，定期交有资质单位处理</w:t>
                  </w:r>
                </w:p>
              </w:tc>
              <w:tc>
                <w:tcPr>
                  <w:tcW w:w="922" w:type="dxa"/>
                  <w:vAlign w:val="center"/>
                </w:tcPr>
                <w:p>
                  <w:pPr>
                    <w:snapToGrid w:val="0"/>
                    <w:jc w:val="center"/>
                    <w:rPr>
                      <w:bCs/>
                      <w:szCs w:val="21"/>
                    </w:rPr>
                  </w:pPr>
                  <w:r>
                    <w:rPr>
                      <w:rFonts w:hint="eastAsia"/>
                      <w:bCs/>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8" w:type="dxa"/>
                  <w:vAlign w:val="center"/>
                </w:tcPr>
                <w:p>
                  <w:pPr>
                    <w:snapToGrid w:val="0"/>
                    <w:jc w:val="center"/>
                    <w:rPr>
                      <w:bCs/>
                      <w:szCs w:val="21"/>
                    </w:rPr>
                  </w:pPr>
                  <w:r>
                    <w:rPr>
                      <w:rFonts w:hint="eastAsia"/>
                      <w:bCs/>
                      <w:szCs w:val="21"/>
                    </w:rPr>
                    <w:t>5</w:t>
                  </w:r>
                </w:p>
              </w:tc>
              <w:tc>
                <w:tcPr>
                  <w:tcW w:w="1370" w:type="dxa"/>
                  <w:vAlign w:val="center"/>
                </w:tcPr>
                <w:p>
                  <w:pPr>
                    <w:snapToGrid w:val="0"/>
                    <w:jc w:val="center"/>
                    <w:rPr>
                      <w:bCs/>
                      <w:szCs w:val="21"/>
                    </w:rPr>
                  </w:pPr>
                  <w:r>
                    <w:rPr>
                      <w:rFonts w:hint="eastAsia"/>
                      <w:bCs/>
                      <w:szCs w:val="21"/>
                    </w:rPr>
                    <w:t>废机油</w:t>
                  </w:r>
                </w:p>
              </w:tc>
              <w:tc>
                <w:tcPr>
                  <w:tcW w:w="1401" w:type="dxa"/>
                  <w:vAlign w:val="center"/>
                </w:tcPr>
                <w:p>
                  <w:pPr>
                    <w:snapToGrid w:val="0"/>
                    <w:jc w:val="center"/>
                    <w:rPr>
                      <w:bCs/>
                      <w:szCs w:val="21"/>
                    </w:rPr>
                  </w:pPr>
                  <w:r>
                    <w:rPr>
                      <w:rFonts w:hint="eastAsia"/>
                      <w:bCs/>
                      <w:szCs w:val="21"/>
                    </w:rPr>
                    <w:t>900-249-08</w:t>
                  </w:r>
                </w:p>
              </w:tc>
              <w:tc>
                <w:tcPr>
                  <w:tcW w:w="1077" w:type="dxa"/>
                  <w:vAlign w:val="center"/>
                </w:tcPr>
                <w:p>
                  <w:pPr>
                    <w:snapToGrid w:val="0"/>
                    <w:jc w:val="center"/>
                    <w:rPr>
                      <w:bCs/>
                      <w:szCs w:val="21"/>
                    </w:rPr>
                  </w:pPr>
                  <w:r>
                    <w:rPr>
                      <w:rFonts w:hint="eastAsia"/>
                      <w:bCs/>
                      <w:szCs w:val="21"/>
                    </w:rPr>
                    <w:t>矿物油</w:t>
                  </w:r>
                </w:p>
              </w:tc>
              <w:tc>
                <w:tcPr>
                  <w:tcW w:w="770" w:type="dxa"/>
                  <w:vAlign w:val="center"/>
                </w:tcPr>
                <w:p>
                  <w:pPr>
                    <w:snapToGrid w:val="0"/>
                    <w:jc w:val="center"/>
                    <w:rPr>
                      <w:bCs/>
                      <w:szCs w:val="21"/>
                    </w:rPr>
                  </w:pPr>
                  <w:r>
                    <w:rPr>
                      <w:rFonts w:hint="eastAsia"/>
                      <w:bCs/>
                      <w:szCs w:val="21"/>
                    </w:rPr>
                    <w:t>液态</w:t>
                  </w:r>
                </w:p>
              </w:tc>
              <w:tc>
                <w:tcPr>
                  <w:tcW w:w="1200" w:type="dxa"/>
                  <w:vAlign w:val="center"/>
                </w:tcPr>
                <w:p>
                  <w:pPr>
                    <w:snapToGrid w:val="0"/>
                    <w:jc w:val="center"/>
                    <w:rPr>
                      <w:bCs/>
                      <w:szCs w:val="21"/>
                    </w:rPr>
                  </w:pPr>
                  <w:r>
                    <w:rPr>
                      <w:rFonts w:hint="eastAsia"/>
                      <w:bCs/>
                      <w:szCs w:val="21"/>
                    </w:rPr>
                    <w:t>0.2</w:t>
                  </w:r>
                </w:p>
              </w:tc>
              <w:tc>
                <w:tcPr>
                  <w:tcW w:w="1998" w:type="dxa"/>
                  <w:vMerge w:val="continue"/>
                  <w:vAlign w:val="center"/>
                </w:tcPr>
                <w:p>
                  <w:pPr>
                    <w:snapToGrid w:val="0"/>
                    <w:jc w:val="center"/>
                    <w:rPr>
                      <w:szCs w:val="21"/>
                    </w:rPr>
                  </w:pPr>
                </w:p>
              </w:tc>
              <w:tc>
                <w:tcPr>
                  <w:tcW w:w="922" w:type="dxa"/>
                  <w:vAlign w:val="center"/>
                </w:tcPr>
                <w:p>
                  <w:pPr>
                    <w:snapToGrid w:val="0"/>
                    <w:jc w:val="center"/>
                    <w:rPr>
                      <w:bCs/>
                      <w:szCs w:val="21"/>
                    </w:rPr>
                  </w:pPr>
                  <w:r>
                    <w:rPr>
                      <w:rFonts w:hint="eastAsia"/>
                      <w:bCs/>
                      <w:szCs w:val="21"/>
                    </w:rPr>
                    <w:t>0</w:t>
                  </w:r>
                </w:p>
              </w:tc>
            </w:tr>
          </w:tbl>
          <w:p>
            <w:pPr>
              <w:spacing w:line="360" w:lineRule="auto"/>
              <w:ind w:firstLine="420" w:firstLineChars="200"/>
            </w:pPr>
          </w:p>
          <w:p>
            <w:pPr>
              <w:spacing w:line="360" w:lineRule="auto"/>
              <w:ind w:firstLine="420" w:firstLineChars="200"/>
            </w:pPr>
          </w:p>
          <w:p>
            <w:pPr>
              <w:snapToGrid w:val="0"/>
              <w:spacing w:line="360" w:lineRule="auto"/>
              <w:ind w:firstLine="480" w:firstLineChars="200"/>
              <w:rPr>
                <w:sz w:val="24"/>
                <w:szCs w:val="24"/>
              </w:rPr>
            </w:pPr>
          </w:p>
        </w:tc>
      </w:tr>
    </w:tbl>
    <w:p>
      <w:pPr>
        <w:pStyle w:val="18"/>
        <w:spacing w:line="360" w:lineRule="auto"/>
        <w:rPr>
          <w:b/>
          <w:bCs/>
          <w:sz w:val="32"/>
          <w:szCs w:val="32"/>
        </w:rPr>
        <w:sectPr>
          <w:pgSz w:w="11906" w:h="16838"/>
          <w:pgMar w:top="1440" w:right="1286" w:bottom="1440" w:left="1474" w:header="851" w:footer="992" w:gutter="0"/>
          <w:cols w:space="720" w:num="1"/>
          <w:docGrid w:type="lines" w:linePitch="312" w:charSpace="0"/>
        </w:sectPr>
      </w:pPr>
    </w:p>
    <w:p>
      <w:pPr>
        <w:pStyle w:val="18"/>
        <w:spacing w:line="360" w:lineRule="auto"/>
        <w:rPr>
          <w:b/>
          <w:bCs/>
          <w:sz w:val="32"/>
          <w:szCs w:val="32"/>
        </w:rPr>
      </w:pPr>
      <w:r>
        <w:rPr>
          <w:b/>
          <w:bCs/>
          <w:sz w:val="32"/>
          <w:szCs w:val="32"/>
        </w:rPr>
        <w:t>建设项目主要污染物产生及预计排放情况</w:t>
      </w:r>
    </w:p>
    <w:tbl>
      <w:tblPr>
        <w:tblStyle w:val="30"/>
        <w:tblW w:w="94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230"/>
        <w:gridCol w:w="15"/>
        <w:gridCol w:w="1245"/>
        <w:gridCol w:w="1513"/>
        <w:gridCol w:w="1727"/>
        <w:gridCol w:w="1525"/>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858" w:type="dxa"/>
            <w:vMerge w:val="restart"/>
            <w:tcBorders>
              <w:tl2br w:val="single" w:color="auto" w:sz="4" w:space="0"/>
            </w:tcBorders>
            <w:vAlign w:val="center"/>
          </w:tcPr>
          <w:p>
            <w:pPr>
              <w:spacing w:line="360" w:lineRule="auto"/>
              <w:jc w:val="right"/>
              <w:rPr>
                <w:sz w:val="24"/>
              </w:rPr>
            </w:pPr>
            <w:r>
              <w:rPr>
                <w:sz w:val="24"/>
              </w:rPr>
              <w:t>内容</w:t>
            </w:r>
          </w:p>
          <w:p>
            <w:pPr>
              <w:pStyle w:val="18"/>
              <w:spacing w:line="360" w:lineRule="auto"/>
              <w:rPr>
                <w:sz w:val="24"/>
                <w:szCs w:val="24"/>
              </w:rPr>
            </w:pPr>
            <w:r>
              <w:rPr>
                <w:sz w:val="24"/>
                <w:szCs w:val="24"/>
              </w:rPr>
              <w:t>类型</w:t>
            </w:r>
          </w:p>
        </w:tc>
        <w:tc>
          <w:tcPr>
            <w:tcW w:w="1230" w:type="dxa"/>
            <w:vMerge w:val="restart"/>
            <w:vAlign w:val="center"/>
          </w:tcPr>
          <w:p>
            <w:pPr>
              <w:pStyle w:val="18"/>
              <w:spacing w:line="360" w:lineRule="auto"/>
              <w:jc w:val="center"/>
              <w:rPr>
                <w:sz w:val="24"/>
                <w:szCs w:val="24"/>
              </w:rPr>
            </w:pPr>
            <w:r>
              <w:rPr>
                <w:sz w:val="24"/>
                <w:szCs w:val="24"/>
              </w:rPr>
              <w:t>排放源</w:t>
            </w:r>
          </w:p>
          <w:p>
            <w:r>
              <w:t>（编号）</w:t>
            </w:r>
          </w:p>
        </w:tc>
        <w:tc>
          <w:tcPr>
            <w:tcW w:w="1260" w:type="dxa"/>
            <w:gridSpan w:val="2"/>
            <w:vMerge w:val="restart"/>
            <w:vAlign w:val="center"/>
          </w:tcPr>
          <w:p>
            <w:pPr>
              <w:spacing w:line="360" w:lineRule="auto"/>
              <w:jc w:val="center"/>
              <w:rPr>
                <w:sz w:val="24"/>
              </w:rPr>
            </w:pPr>
            <w:r>
              <w:rPr>
                <w:sz w:val="24"/>
              </w:rPr>
              <w:t>污染物</w:t>
            </w:r>
          </w:p>
          <w:p>
            <w:pPr>
              <w:spacing w:line="360" w:lineRule="auto"/>
              <w:jc w:val="center"/>
              <w:rPr>
                <w:sz w:val="24"/>
              </w:rPr>
            </w:pPr>
            <w:r>
              <w:rPr>
                <w:sz w:val="24"/>
              </w:rPr>
              <w:t>名称</w:t>
            </w:r>
          </w:p>
        </w:tc>
        <w:tc>
          <w:tcPr>
            <w:tcW w:w="3240" w:type="dxa"/>
            <w:gridSpan w:val="2"/>
            <w:vAlign w:val="center"/>
          </w:tcPr>
          <w:p>
            <w:pPr>
              <w:spacing w:line="360" w:lineRule="auto"/>
              <w:jc w:val="center"/>
              <w:rPr>
                <w:sz w:val="24"/>
              </w:rPr>
            </w:pPr>
            <w:r>
              <w:rPr>
                <w:sz w:val="24"/>
              </w:rPr>
              <w:t>处理前产生浓度及产生量（单位）</w:t>
            </w:r>
          </w:p>
        </w:tc>
        <w:tc>
          <w:tcPr>
            <w:tcW w:w="2820" w:type="dxa"/>
            <w:gridSpan w:val="2"/>
            <w:vAlign w:val="center"/>
          </w:tcPr>
          <w:p>
            <w:pPr>
              <w:spacing w:line="360" w:lineRule="auto"/>
              <w:jc w:val="center"/>
              <w:rPr>
                <w:sz w:val="24"/>
              </w:rPr>
            </w:pPr>
            <w:r>
              <w:rPr>
                <w:sz w:val="24"/>
              </w:rPr>
              <w:t>排放浓度及排放量(单位)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858" w:type="dxa"/>
            <w:vMerge w:val="continue"/>
            <w:vAlign w:val="center"/>
          </w:tcPr>
          <w:p>
            <w:pPr>
              <w:spacing w:line="360" w:lineRule="auto"/>
              <w:jc w:val="center"/>
              <w:rPr>
                <w:sz w:val="24"/>
              </w:rPr>
            </w:pPr>
          </w:p>
        </w:tc>
        <w:tc>
          <w:tcPr>
            <w:tcW w:w="1230" w:type="dxa"/>
            <w:vMerge w:val="continue"/>
            <w:vAlign w:val="center"/>
          </w:tcPr>
          <w:p>
            <w:pPr>
              <w:spacing w:line="360" w:lineRule="auto"/>
              <w:rPr>
                <w:sz w:val="24"/>
              </w:rPr>
            </w:pPr>
          </w:p>
        </w:tc>
        <w:tc>
          <w:tcPr>
            <w:tcW w:w="1260" w:type="dxa"/>
            <w:gridSpan w:val="2"/>
            <w:vMerge w:val="continue"/>
            <w:vAlign w:val="center"/>
          </w:tcPr>
          <w:p>
            <w:pPr>
              <w:spacing w:line="360" w:lineRule="auto"/>
              <w:jc w:val="center"/>
              <w:rPr>
                <w:sz w:val="24"/>
              </w:rPr>
            </w:pPr>
          </w:p>
        </w:tc>
        <w:tc>
          <w:tcPr>
            <w:tcW w:w="1513" w:type="dxa"/>
            <w:vAlign w:val="center"/>
          </w:tcPr>
          <w:p>
            <w:pPr>
              <w:spacing w:line="360" w:lineRule="auto"/>
              <w:jc w:val="center"/>
              <w:rPr>
                <w:sz w:val="24"/>
              </w:rPr>
            </w:pPr>
            <w:r>
              <w:rPr>
                <w:sz w:val="24"/>
              </w:rPr>
              <w:t>浓度</w:t>
            </w:r>
          </w:p>
        </w:tc>
        <w:tc>
          <w:tcPr>
            <w:tcW w:w="1727" w:type="dxa"/>
            <w:vAlign w:val="center"/>
          </w:tcPr>
          <w:p>
            <w:pPr>
              <w:spacing w:line="360" w:lineRule="auto"/>
              <w:jc w:val="center"/>
              <w:rPr>
                <w:sz w:val="24"/>
              </w:rPr>
            </w:pPr>
            <w:r>
              <w:rPr>
                <w:sz w:val="24"/>
              </w:rPr>
              <w:t>产生量</w:t>
            </w:r>
          </w:p>
        </w:tc>
        <w:tc>
          <w:tcPr>
            <w:tcW w:w="1525" w:type="dxa"/>
            <w:vAlign w:val="center"/>
          </w:tcPr>
          <w:p>
            <w:pPr>
              <w:spacing w:line="360" w:lineRule="auto"/>
              <w:jc w:val="center"/>
              <w:rPr>
                <w:sz w:val="24"/>
              </w:rPr>
            </w:pPr>
            <w:r>
              <w:rPr>
                <w:sz w:val="24"/>
              </w:rPr>
              <w:t>浓度</w:t>
            </w:r>
          </w:p>
        </w:tc>
        <w:tc>
          <w:tcPr>
            <w:tcW w:w="1295" w:type="dxa"/>
            <w:vAlign w:val="center"/>
          </w:tcPr>
          <w:p>
            <w:pPr>
              <w:spacing w:line="360" w:lineRule="auto"/>
              <w:jc w:val="center"/>
              <w:rPr>
                <w:sz w:val="24"/>
              </w:rPr>
            </w:pPr>
            <w:r>
              <w:rPr>
                <w:sz w:val="24"/>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858" w:type="dxa"/>
            <w:vAlign w:val="center"/>
          </w:tcPr>
          <w:p>
            <w:pPr>
              <w:jc w:val="center"/>
              <w:rPr>
                <w:rFonts w:eastAsia="仿宋_GB2312"/>
                <w:sz w:val="24"/>
              </w:rPr>
            </w:pPr>
            <w:r>
              <w:rPr>
                <w:rFonts w:hint="eastAsia"/>
                <w:sz w:val="24"/>
              </w:rPr>
              <w:t>大气污染物</w:t>
            </w:r>
          </w:p>
        </w:tc>
        <w:tc>
          <w:tcPr>
            <w:tcW w:w="1245" w:type="dxa"/>
            <w:gridSpan w:val="2"/>
            <w:vAlign w:val="center"/>
          </w:tcPr>
          <w:p>
            <w:pPr>
              <w:spacing w:line="360" w:lineRule="auto"/>
              <w:jc w:val="center"/>
              <w:rPr>
                <w:sz w:val="24"/>
              </w:rPr>
            </w:pPr>
            <w:r>
              <w:rPr>
                <w:rFonts w:hint="eastAsia"/>
                <w:sz w:val="24"/>
              </w:rPr>
              <w:t>无组织排放</w:t>
            </w:r>
          </w:p>
        </w:tc>
        <w:tc>
          <w:tcPr>
            <w:tcW w:w="1245" w:type="dxa"/>
            <w:vAlign w:val="center"/>
          </w:tcPr>
          <w:p>
            <w:pPr>
              <w:spacing w:line="360" w:lineRule="auto"/>
              <w:jc w:val="center"/>
              <w:rPr>
                <w:sz w:val="24"/>
              </w:rPr>
            </w:pPr>
            <w:r>
              <w:rPr>
                <w:rFonts w:hint="eastAsia"/>
                <w:sz w:val="24"/>
              </w:rPr>
              <w:t>烟尘</w:t>
            </w:r>
          </w:p>
        </w:tc>
        <w:tc>
          <w:tcPr>
            <w:tcW w:w="3240" w:type="dxa"/>
            <w:gridSpan w:val="2"/>
            <w:vAlign w:val="center"/>
          </w:tcPr>
          <w:p>
            <w:pPr>
              <w:snapToGrid w:val="0"/>
              <w:jc w:val="center"/>
              <w:rPr>
                <w:sz w:val="24"/>
                <w:szCs w:val="24"/>
              </w:rPr>
            </w:pPr>
            <w:r>
              <w:rPr>
                <w:rFonts w:hint="eastAsia"/>
                <w:sz w:val="24"/>
                <w:szCs w:val="24"/>
              </w:rPr>
              <w:t>0.059</w:t>
            </w:r>
            <w:r>
              <w:rPr>
                <w:bCs/>
                <w:sz w:val="24"/>
                <w:szCs w:val="24"/>
              </w:rPr>
              <w:t>t/a</w:t>
            </w:r>
            <w:r>
              <w:rPr>
                <w:rFonts w:hint="eastAsia"/>
                <w:sz w:val="24"/>
                <w:szCs w:val="24"/>
              </w:rPr>
              <w:t>，0.0915</w:t>
            </w:r>
            <w:r>
              <w:rPr>
                <w:bCs/>
                <w:sz w:val="24"/>
                <w:szCs w:val="24"/>
              </w:rPr>
              <w:t xml:space="preserve"> kg/h</w:t>
            </w:r>
          </w:p>
        </w:tc>
        <w:tc>
          <w:tcPr>
            <w:tcW w:w="2820" w:type="dxa"/>
            <w:gridSpan w:val="2"/>
            <w:vAlign w:val="center"/>
          </w:tcPr>
          <w:p>
            <w:pPr>
              <w:snapToGrid w:val="0"/>
              <w:jc w:val="center"/>
              <w:rPr>
                <w:sz w:val="24"/>
                <w:szCs w:val="24"/>
              </w:rPr>
            </w:pPr>
            <w:r>
              <w:rPr>
                <w:rFonts w:hint="eastAsia"/>
                <w:sz w:val="24"/>
                <w:szCs w:val="24"/>
              </w:rPr>
              <w:t>0.01425</w:t>
            </w:r>
            <w:r>
              <w:rPr>
                <w:bCs/>
                <w:sz w:val="24"/>
                <w:szCs w:val="24"/>
              </w:rPr>
              <w:t>t/a</w:t>
            </w:r>
            <w:r>
              <w:rPr>
                <w:rFonts w:hint="eastAsia"/>
                <w:sz w:val="24"/>
                <w:szCs w:val="24"/>
              </w:rPr>
              <w:t>，0.02166</w:t>
            </w:r>
            <w:r>
              <w:rPr>
                <w:bCs/>
                <w:sz w:val="24"/>
                <w:szCs w:val="24"/>
              </w:rPr>
              <w:t>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858" w:type="dxa"/>
            <w:vMerge w:val="restart"/>
            <w:vAlign w:val="center"/>
          </w:tcPr>
          <w:p>
            <w:pPr>
              <w:spacing w:line="480" w:lineRule="auto"/>
              <w:rPr>
                <w:sz w:val="24"/>
              </w:rPr>
            </w:pPr>
            <w:r>
              <w:rPr>
                <w:sz w:val="24"/>
              </w:rPr>
              <w:t>水污染物质</w:t>
            </w:r>
          </w:p>
        </w:tc>
        <w:tc>
          <w:tcPr>
            <w:tcW w:w="1230" w:type="dxa"/>
            <w:vMerge w:val="restart"/>
            <w:vAlign w:val="center"/>
          </w:tcPr>
          <w:p>
            <w:pPr>
              <w:spacing w:line="360" w:lineRule="auto"/>
              <w:rPr>
                <w:sz w:val="24"/>
              </w:rPr>
            </w:pPr>
            <w:r>
              <w:rPr>
                <w:rFonts w:hint="eastAsia"/>
                <w:sz w:val="24"/>
              </w:rPr>
              <w:t>生活污水</w:t>
            </w:r>
          </w:p>
        </w:tc>
        <w:tc>
          <w:tcPr>
            <w:tcW w:w="1260" w:type="dxa"/>
            <w:gridSpan w:val="2"/>
            <w:vAlign w:val="center"/>
          </w:tcPr>
          <w:p>
            <w:pPr>
              <w:spacing w:line="360" w:lineRule="auto"/>
              <w:jc w:val="center"/>
              <w:rPr>
                <w:sz w:val="24"/>
              </w:rPr>
            </w:pPr>
            <w:r>
              <w:rPr>
                <w:rFonts w:hint="eastAsia"/>
                <w:sz w:val="24"/>
              </w:rPr>
              <w:t>废水量</w:t>
            </w:r>
          </w:p>
        </w:tc>
        <w:tc>
          <w:tcPr>
            <w:tcW w:w="3240" w:type="dxa"/>
            <w:gridSpan w:val="2"/>
            <w:vAlign w:val="center"/>
          </w:tcPr>
          <w:p>
            <w:pPr>
              <w:spacing w:line="360" w:lineRule="auto"/>
              <w:jc w:val="center"/>
              <w:rPr>
                <w:sz w:val="24"/>
                <w:szCs w:val="24"/>
              </w:rPr>
            </w:pPr>
            <w:r>
              <w:rPr>
                <w:rFonts w:hint="eastAsia"/>
                <w:sz w:val="24"/>
                <w:szCs w:val="24"/>
              </w:rPr>
              <w:t>600m</w:t>
            </w:r>
            <w:r>
              <w:rPr>
                <w:rFonts w:hint="eastAsia"/>
                <w:sz w:val="24"/>
                <w:szCs w:val="24"/>
                <w:vertAlign w:val="superscript"/>
              </w:rPr>
              <w:t>3</w:t>
            </w:r>
            <w:r>
              <w:rPr>
                <w:sz w:val="24"/>
                <w:szCs w:val="24"/>
              </w:rPr>
              <w:t>/a</w:t>
            </w:r>
          </w:p>
        </w:tc>
        <w:tc>
          <w:tcPr>
            <w:tcW w:w="2820" w:type="dxa"/>
            <w:gridSpan w:val="2"/>
            <w:vAlign w:val="center"/>
          </w:tcPr>
          <w:p>
            <w:pPr>
              <w:spacing w:line="360" w:lineRule="auto"/>
              <w:jc w:val="center"/>
              <w:rPr>
                <w:rFonts w:eastAsia="仿宋_GB2312"/>
                <w:sz w:val="24"/>
              </w:rPr>
            </w:pPr>
            <w:r>
              <w:rPr>
                <w:rFonts w:hint="eastAsia"/>
                <w:sz w:val="24"/>
                <w:szCs w:val="24"/>
              </w:rPr>
              <w:t>600m</w:t>
            </w:r>
            <w:r>
              <w:rPr>
                <w:rFonts w:hint="eastAsia"/>
                <w:sz w:val="24"/>
                <w:szCs w:val="24"/>
                <w:vertAlign w:val="superscript"/>
              </w:rPr>
              <w:t>3</w:t>
            </w:r>
            <w:r>
              <w:rPr>
                <w:sz w:val="24"/>
                <w:szCs w:val="24"/>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858" w:type="dxa"/>
            <w:vMerge w:val="continue"/>
            <w:vAlign w:val="center"/>
          </w:tcPr>
          <w:p>
            <w:pPr>
              <w:spacing w:line="480" w:lineRule="auto"/>
              <w:rPr>
                <w:sz w:val="24"/>
              </w:rPr>
            </w:pPr>
          </w:p>
        </w:tc>
        <w:tc>
          <w:tcPr>
            <w:tcW w:w="1230" w:type="dxa"/>
            <w:vMerge w:val="continue"/>
            <w:vAlign w:val="center"/>
          </w:tcPr>
          <w:p>
            <w:pPr>
              <w:spacing w:line="360" w:lineRule="auto"/>
              <w:rPr>
                <w:sz w:val="24"/>
              </w:rPr>
            </w:pPr>
          </w:p>
        </w:tc>
        <w:tc>
          <w:tcPr>
            <w:tcW w:w="1260" w:type="dxa"/>
            <w:gridSpan w:val="2"/>
            <w:vAlign w:val="center"/>
          </w:tcPr>
          <w:p>
            <w:pPr>
              <w:spacing w:line="360" w:lineRule="auto"/>
              <w:jc w:val="center"/>
              <w:rPr>
                <w:sz w:val="24"/>
              </w:rPr>
            </w:pPr>
            <w:r>
              <w:rPr>
                <w:rFonts w:hint="eastAsia"/>
                <w:sz w:val="24"/>
              </w:rPr>
              <w:t>COD</w:t>
            </w:r>
            <w:r>
              <w:rPr>
                <w:rFonts w:hint="eastAsia"/>
                <w:sz w:val="24"/>
                <w:vertAlign w:val="subscript"/>
              </w:rPr>
              <w:t>Cr</w:t>
            </w:r>
          </w:p>
        </w:tc>
        <w:tc>
          <w:tcPr>
            <w:tcW w:w="3240" w:type="dxa"/>
            <w:gridSpan w:val="2"/>
            <w:vAlign w:val="center"/>
          </w:tcPr>
          <w:p>
            <w:pPr>
              <w:spacing w:line="360" w:lineRule="auto"/>
              <w:jc w:val="center"/>
              <w:rPr>
                <w:sz w:val="24"/>
              </w:rPr>
            </w:pPr>
            <w:r>
              <w:rPr>
                <w:rFonts w:hint="eastAsia"/>
                <w:sz w:val="24"/>
              </w:rPr>
              <w:t>350</w:t>
            </w:r>
            <w:r>
              <w:rPr>
                <w:bCs/>
                <w:sz w:val="24"/>
                <w:szCs w:val="24"/>
              </w:rPr>
              <w:t>mg/L</w:t>
            </w:r>
            <w:r>
              <w:rPr>
                <w:rFonts w:hint="eastAsia"/>
                <w:bCs/>
                <w:sz w:val="24"/>
                <w:szCs w:val="24"/>
              </w:rPr>
              <w:t>，0.21</w:t>
            </w:r>
            <w:r>
              <w:rPr>
                <w:sz w:val="24"/>
                <w:szCs w:val="24"/>
              </w:rPr>
              <w:t>t/a</w:t>
            </w:r>
          </w:p>
        </w:tc>
        <w:tc>
          <w:tcPr>
            <w:tcW w:w="2820" w:type="dxa"/>
            <w:gridSpan w:val="2"/>
            <w:vAlign w:val="center"/>
          </w:tcPr>
          <w:p>
            <w:pPr>
              <w:spacing w:line="360" w:lineRule="auto"/>
              <w:jc w:val="center"/>
              <w:rPr>
                <w:rFonts w:eastAsia="仿宋_GB2312"/>
                <w:sz w:val="24"/>
              </w:rPr>
            </w:pPr>
            <w:r>
              <w:rPr>
                <w:rFonts w:hint="eastAsia" w:eastAsia="仿宋_GB2312"/>
                <w:sz w:val="24"/>
              </w:rPr>
              <w:t>50</w:t>
            </w:r>
            <w:r>
              <w:rPr>
                <w:bCs/>
                <w:sz w:val="24"/>
                <w:szCs w:val="24"/>
              </w:rPr>
              <w:t>mg/L</w:t>
            </w:r>
            <w:r>
              <w:rPr>
                <w:rFonts w:hint="eastAsia"/>
                <w:bCs/>
                <w:sz w:val="24"/>
                <w:szCs w:val="24"/>
              </w:rPr>
              <w:t>，0.03</w:t>
            </w:r>
            <w:r>
              <w:rPr>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858" w:type="dxa"/>
            <w:vMerge w:val="continue"/>
            <w:vAlign w:val="center"/>
          </w:tcPr>
          <w:p>
            <w:pPr>
              <w:spacing w:line="480" w:lineRule="auto"/>
              <w:rPr>
                <w:sz w:val="24"/>
              </w:rPr>
            </w:pPr>
          </w:p>
        </w:tc>
        <w:tc>
          <w:tcPr>
            <w:tcW w:w="1230" w:type="dxa"/>
            <w:vMerge w:val="continue"/>
            <w:vAlign w:val="center"/>
          </w:tcPr>
          <w:p>
            <w:pPr>
              <w:spacing w:line="360" w:lineRule="auto"/>
              <w:rPr>
                <w:sz w:val="24"/>
              </w:rPr>
            </w:pPr>
          </w:p>
        </w:tc>
        <w:tc>
          <w:tcPr>
            <w:tcW w:w="1260" w:type="dxa"/>
            <w:gridSpan w:val="2"/>
            <w:vAlign w:val="center"/>
          </w:tcPr>
          <w:p>
            <w:pPr>
              <w:spacing w:line="360" w:lineRule="auto"/>
              <w:jc w:val="center"/>
              <w:rPr>
                <w:sz w:val="24"/>
              </w:rPr>
            </w:pPr>
            <w:r>
              <w:rPr>
                <w:rFonts w:hint="eastAsia"/>
                <w:sz w:val="24"/>
              </w:rPr>
              <w:t>BOD</w:t>
            </w:r>
            <w:r>
              <w:rPr>
                <w:rFonts w:hint="eastAsia"/>
                <w:sz w:val="24"/>
                <w:vertAlign w:val="subscript"/>
              </w:rPr>
              <w:t>5</w:t>
            </w:r>
          </w:p>
        </w:tc>
        <w:tc>
          <w:tcPr>
            <w:tcW w:w="3240" w:type="dxa"/>
            <w:gridSpan w:val="2"/>
            <w:vAlign w:val="center"/>
          </w:tcPr>
          <w:p>
            <w:pPr>
              <w:spacing w:line="360" w:lineRule="auto"/>
              <w:jc w:val="center"/>
              <w:rPr>
                <w:sz w:val="24"/>
              </w:rPr>
            </w:pPr>
            <w:r>
              <w:rPr>
                <w:rFonts w:hint="eastAsia"/>
                <w:sz w:val="24"/>
              </w:rPr>
              <w:t>250</w:t>
            </w:r>
            <w:r>
              <w:rPr>
                <w:bCs/>
                <w:sz w:val="24"/>
                <w:szCs w:val="24"/>
              </w:rPr>
              <w:t>mg/L</w:t>
            </w:r>
            <w:r>
              <w:rPr>
                <w:rFonts w:hint="eastAsia"/>
                <w:bCs/>
                <w:sz w:val="24"/>
                <w:szCs w:val="24"/>
              </w:rPr>
              <w:t>，0.15</w:t>
            </w:r>
            <w:r>
              <w:rPr>
                <w:sz w:val="24"/>
                <w:szCs w:val="24"/>
              </w:rPr>
              <w:t>t/a</w:t>
            </w:r>
          </w:p>
        </w:tc>
        <w:tc>
          <w:tcPr>
            <w:tcW w:w="2820" w:type="dxa"/>
            <w:gridSpan w:val="2"/>
            <w:vAlign w:val="center"/>
          </w:tcPr>
          <w:p>
            <w:pPr>
              <w:spacing w:line="360" w:lineRule="auto"/>
              <w:jc w:val="center"/>
              <w:rPr>
                <w:rFonts w:eastAsia="仿宋_GB2312"/>
                <w:sz w:val="24"/>
              </w:rPr>
            </w:pPr>
            <w:r>
              <w:rPr>
                <w:rFonts w:hint="eastAsia" w:eastAsia="仿宋_GB2312"/>
                <w:sz w:val="24"/>
              </w:rPr>
              <w:t>10</w:t>
            </w:r>
            <w:r>
              <w:rPr>
                <w:bCs/>
                <w:sz w:val="24"/>
                <w:szCs w:val="24"/>
              </w:rPr>
              <w:t>mg/L</w:t>
            </w:r>
            <w:r>
              <w:rPr>
                <w:rFonts w:hint="eastAsia"/>
                <w:bCs/>
                <w:sz w:val="24"/>
                <w:szCs w:val="24"/>
              </w:rPr>
              <w:t>，0.006</w:t>
            </w:r>
            <w:r>
              <w:rPr>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 w:hRule="atLeast"/>
        </w:trPr>
        <w:tc>
          <w:tcPr>
            <w:tcW w:w="858" w:type="dxa"/>
            <w:vMerge w:val="continue"/>
            <w:vAlign w:val="center"/>
          </w:tcPr>
          <w:p>
            <w:pPr>
              <w:spacing w:line="480" w:lineRule="auto"/>
              <w:rPr>
                <w:sz w:val="24"/>
              </w:rPr>
            </w:pPr>
          </w:p>
        </w:tc>
        <w:tc>
          <w:tcPr>
            <w:tcW w:w="1230" w:type="dxa"/>
            <w:vMerge w:val="continue"/>
            <w:vAlign w:val="center"/>
          </w:tcPr>
          <w:p>
            <w:pPr>
              <w:spacing w:line="360" w:lineRule="auto"/>
              <w:rPr>
                <w:sz w:val="24"/>
              </w:rPr>
            </w:pPr>
          </w:p>
        </w:tc>
        <w:tc>
          <w:tcPr>
            <w:tcW w:w="1260" w:type="dxa"/>
            <w:gridSpan w:val="2"/>
            <w:vAlign w:val="center"/>
          </w:tcPr>
          <w:p>
            <w:pPr>
              <w:spacing w:line="360" w:lineRule="auto"/>
              <w:jc w:val="center"/>
              <w:rPr>
                <w:sz w:val="24"/>
              </w:rPr>
            </w:pPr>
            <w:r>
              <w:rPr>
                <w:rFonts w:hint="eastAsia"/>
                <w:sz w:val="24"/>
              </w:rPr>
              <w:t>氨氮</w:t>
            </w:r>
          </w:p>
        </w:tc>
        <w:tc>
          <w:tcPr>
            <w:tcW w:w="3240" w:type="dxa"/>
            <w:gridSpan w:val="2"/>
            <w:vAlign w:val="center"/>
          </w:tcPr>
          <w:p>
            <w:pPr>
              <w:spacing w:line="360" w:lineRule="auto"/>
              <w:jc w:val="center"/>
              <w:rPr>
                <w:sz w:val="24"/>
              </w:rPr>
            </w:pPr>
            <w:r>
              <w:rPr>
                <w:rFonts w:hint="eastAsia"/>
                <w:sz w:val="24"/>
              </w:rPr>
              <w:t>20</w:t>
            </w:r>
            <w:r>
              <w:rPr>
                <w:bCs/>
                <w:sz w:val="24"/>
                <w:szCs w:val="24"/>
              </w:rPr>
              <w:t>mg/L</w:t>
            </w:r>
            <w:r>
              <w:rPr>
                <w:rFonts w:hint="eastAsia"/>
                <w:bCs/>
                <w:sz w:val="24"/>
                <w:szCs w:val="24"/>
              </w:rPr>
              <w:t>，0.012</w:t>
            </w:r>
            <w:r>
              <w:rPr>
                <w:sz w:val="24"/>
                <w:szCs w:val="24"/>
              </w:rPr>
              <w:t>t/a</w:t>
            </w:r>
          </w:p>
        </w:tc>
        <w:tc>
          <w:tcPr>
            <w:tcW w:w="2820" w:type="dxa"/>
            <w:gridSpan w:val="2"/>
            <w:vAlign w:val="center"/>
          </w:tcPr>
          <w:p>
            <w:pPr>
              <w:spacing w:line="360" w:lineRule="auto"/>
              <w:jc w:val="center"/>
              <w:rPr>
                <w:rFonts w:eastAsia="仿宋_GB2312"/>
                <w:sz w:val="24"/>
              </w:rPr>
            </w:pPr>
            <w:r>
              <w:rPr>
                <w:rFonts w:hint="eastAsia" w:eastAsia="仿宋_GB2312"/>
                <w:sz w:val="24"/>
              </w:rPr>
              <w:t>5</w:t>
            </w:r>
            <w:r>
              <w:rPr>
                <w:bCs/>
                <w:sz w:val="24"/>
                <w:szCs w:val="24"/>
              </w:rPr>
              <w:t>mg/L</w:t>
            </w:r>
            <w:r>
              <w:rPr>
                <w:rFonts w:hint="eastAsia"/>
                <w:bCs/>
                <w:sz w:val="24"/>
                <w:szCs w:val="24"/>
              </w:rPr>
              <w:t>，0.003</w:t>
            </w:r>
            <w:r>
              <w:rPr>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858" w:type="dxa"/>
            <w:vMerge w:val="continue"/>
            <w:vAlign w:val="center"/>
          </w:tcPr>
          <w:p>
            <w:pPr>
              <w:spacing w:line="480" w:lineRule="auto"/>
              <w:rPr>
                <w:sz w:val="24"/>
              </w:rPr>
            </w:pPr>
          </w:p>
        </w:tc>
        <w:tc>
          <w:tcPr>
            <w:tcW w:w="1230" w:type="dxa"/>
            <w:vMerge w:val="continue"/>
            <w:vAlign w:val="center"/>
          </w:tcPr>
          <w:p>
            <w:pPr>
              <w:spacing w:line="360" w:lineRule="auto"/>
              <w:rPr>
                <w:sz w:val="24"/>
              </w:rPr>
            </w:pPr>
          </w:p>
        </w:tc>
        <w:tc>
          <w:tcPr>
            <w:tcW w:w="1260" w:type="dxa"/>
            <w:gridSpan w:val="2"/>
            <w:vAlign w:val="center"/>
          </w:tcPr>
          <w:p>
            <w:pPr>
              <w:spacing w:line="360" w:lineRule="auto"/>
              <w:jc w:val="center"/>
              <w:rPr>
                <w:sz w:val="24"/>
              </w:rPr>
            </w:pPr>
            <w:r>
              <w:rPr>
                <w:rFonts w:hint="eastAsia"/>
                <w:sz w:val="24"/>
              </w:rPr>
              <w:t>SS</w:t>
            </w:r>
          </w:p>
        </w:tc>
        <w:tc>
          <w:tcPr>
            <w:tcW w:w="3240" w:type="dxa"/>
            <w:gridSpan w:val="2"/>
            <w:vAlign w:val="center"/>
          </w:tcPr>
          <w:p>
            <w:pPr>
              <w:spacing w:line="360" w:lineRule="auto"/>
              <w:jc w:val="center"/>
              <w:rPr>
                <w:sz w:val="24"/>
              </w:rPr>
            </w:pPr>
            <w:r>
              <w:rPr>
                <w:rFonts w:hint="eastAsia"/>
                <w:sz w:val="24"/>
              </w:rPr>
              <w:t>200</w:t>
            </w:r>
            <w:r>
              <w:rPr>
                <w:bCs/>
                <w:sz w:val="24"/>
                <w:szCs w:val="24"/>
              </w:rPr>
              <w:t>mg/L</w:t>
            </w:r>
            <w:r>
              <w:rPr>
                <w:rFonts w:hint="eastAsia"/>
                <w:bCs/>
                <w:sz w:val="24"/>
                <w:szCs w:val="24"/>
              </w:rPr>
              <w:t>，0.12</w:t>
            </w:r>
            <w:r>
              <w:rPr>
                <w:sz w:val="24"/>
                <w:szCs w:val="24"/>
              </w:rPr>
              <w:t>/a</w:t>
            </w:r>
          </w:p>
        </w:tc>
        <w:tc>
          <w:tcPr>
            <w:tcW w:w="2820" w:type="dxa"/>
            <w:gridSpan w:val="2"/>
            <w:vAlign w:val="center"/>
          </w:tcPr>
          <w:p>
            <w:pPr>
              <w:spacing w:line="360" w:lineRule="auto"/>
              <w:jc w:val="center"/>
              <w:rPr>
                <w:rFonts w:eastAsia="仿宋_GB2312"/>
                <w:sz w:val="24"/>
              </w:rPr>
            </w:pPr>
            <w:r>
              <w:rPr>
                <w:rFonts w:hint="eastAsia" w:eastAsia="仿宋_GB2312"/>
                <w:sz w:val="24"/>
              </w:rPr>
              <w:t>10</w:t>
            </w:r>
            <w:r>
              <w:rPr>
                <w:bCs/>
                <w:sz w:val="24"/>
                <w:szCs w:val="24"/>
              </w:rPr>
              <w:t>mg/L</w:t>
            </w:r>
            <w:r>
              <w:rPr>
                <w:rFonts w:hint="eastAsia"/>
                <w:bCs/>
                <w:sz w:val="24"/>
                <w:szCs w:val="24"/>
              </w:rPr>
              <w:t>，0.006</w:t>
            </w:r>
            <w:r>
              <w:rPr>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8" w:type="dxa"/>
            <w:vMerge w:val="restart"/>
            <w:vAlign w:val="center"/>
          </w:tcPr>
          <w:p>
            <w:pPr>
              <w:jc w:val="center"/>
              <w:rPr>
                <w:sz w:val="24"/>
              </w:rPr>
            </w:pPr>
            <w:r>
              <w:rPr>
                <w:sz w:val="24"/>
              </w:rPr>
              <w:t>固体</w:t>
            </w:r>
          </w:p>
          <w:p>
            <w:pPr>
              <w:jc w:val="center"/>
              <w:rPr>
                <w:sz w:val="24"/>
              </w:rPr>
            </w:pPr>
            <w:r>
              <w:rPr>
                <w:sz w:val="24"/>
              </w:rPr>
              <w:t>废弃</w:t>
            </w:r>
          </w:p>
          <w:p>
            <w:pPr>
              <w:jc w:val="center"/>
              <w:rPr>
                <w:sz w:val="24"/>
              </w:rPr>
            </w:pPr>
            <w:r>
              <w:rPr>
                <w:sz w:val="24"/>
              </w:rPr>
              <w:t>物</w:t>
            </w:r>
          </w:p>
        </w:tc>
        <w:tc>
          <w:tcPr>
            <w:tcW w:w="2490" w:type="dxa"/>
            <w:gridSpan w:val="3"/>
            <w:vAlign w:val="center"/>
          </w:tcPr>
          <w:p>
            <w:pPr>
              <w:snapToGrid w:val="0"/>
              <w:spacing w:line="360" w:lineRule="auto"/>
              <w:jc w:val="center"/>
              <w:rPr>
                <w:sz w:val="24"/>
              </w:rPr>
            </w:pPr>
            <w:r>
              <w:rPr>
                <w:rFonts w:hint="eastAsia"/>
                <w:sz w:val="24"/>
              </w:rPr>
              <w:t>生活垃圾</w:t>
            </w:r>
          </w:p>
        </w:tc>
        <w:tc>
          <w:tcPr>
            <w:tcW w:w="3240" w:type="dxa"/>
            <w:gridSpan w:val="2"/>
            <w:vAlign w:val="center"/>
          </w:tcPr>
          <w:p>
            <w:pPr>
              <w:snapToGrid w:val="0"/>
              <w:spacing w:line="360" w:lineRule="auto"/>
              <w:jc w:val="center"/>
              <w:rPr>
                <w:sz w:val="24"/>
              </w:rPr>
            </w:pPr>
            <w:r>
              <w:rPr>
                <w:rFonts w:hint="eastAsia"/>
                <w:sz w:val="24"/>
              </w:rPr>
              <w:t>7.5</w:t>
            </w:r>
            <w:r>
              <w:rPr>
                <w:sz w:val="24"/>
                <w:szCs w:val="24"/>
              </w:rPr>
              <w:t>t/a</w:t>
            </w:r>
          </w:p>
        </w:tc>
        <w:tc>
          <w:tcPr>
            <w:tcW w:w="2820" w:type="dxa"/>
            <w:gridSpan w:val="2"/>
            <w:vAlign w:val="center"/>
          </w:tcPr>
          <w:p>
            <w:pPr>
              <w:snapToGrid w:val="0"/>
              <w:spacing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8" w:type="dxa"/>
            <w:vMerge w:val="continue"/>
            <w:vAlign w:val="center"/>
          </w:tcPr>
          <w:p>
            <w:pPr>
              <w:jc w:val="center"/>
              <w:rPr>
                <w:sz w:val="24"/>
              </w:rPr>
            </w:pPr>
          </w:p>
        </w:tc>
        <w:tc>
          <w:tcPr>
            <w:tcW w:w="2490" w:type="dxa"/>
            <w:gridSpan w:val="3"/>
            <w:vAlign w:val="center"/>
          </w:tcPr>
          <w:p>
            <w:pPr>
              <w:snapToGrid w:val="0"/>
              <w:spacing w:line="360" w:lineRule="auto"/>
              <w:jc w:val="center"/>
              <w:rPr>
                <w:sz w:val="24"/>
              </w:rPr>
            </w:pPr>
            <w:r>
              <w:rPr>
                <w:rFonts w:hint="eastAsia"/>
                <w:bCs/>
                <w:sz w:val="24"/>
                <w:szCs w:val="24"/>
              </w:rPr>
              <w:t>含油抹布、手套</w:t>
            </w:r>
          </w:p>
        </w:tc>
        <w:tc>
          <w:tcPr>
            <w:tcW w:w="3240" w:type="dxa"/>
            <w:gridSpan w:val="2"/>
            <w:vAlign w:val="center"/>
          </w:tcPr>
          <w:p>
            <w:pPr>
              <w:snapToGrid w:val="0"/>
              <w:spacing w:line="360" w:lineRule="auto"/>
              <w:jc w:val="center"/>
              <w:rPr>
                <w:sz w:val="24"/>
              </w:rPr>
            </w:pPr>
            <w:r>
              <w:rPr>
                <w:rFonts w:hint="eastAsia"/>
                <w:sz w:val="24"/>
              </w:rPr>
              <w:t>0.002</w:t>
            </w:r>
            <w:r>
              <w:rPr>
                <w:sz w:val="24"/>
              </w:rPr>
              <w:t xml:space="preserve"> t/a</w:t>
            </w:r>
          </w:p>
        </w:tc>
        <w:tc>
          <w:tcPr>
            <w:tcW w:w="2820" w:type="dxa"/>
            <w:gridSpan w:val="2"/>
            <w:vAlign w:val="center"/>
          </w:tcPr>
          <w:p>
            <w:pPr>
              <w:snapToGrid w:val="0"/>
              <w:spacing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8" w:type="dxa"/>
            <w:vMerge w:val="continue"/>
            <w:vAlign w:val="center"/>
          </w:tcPr>
          <w:p>
            <w:pPr>
              <w:jc w:val="center"/>
              <w:rPr>
                <w:sz w:val="24"/>
              </w:rPr>
            </w:pPr>
          </w:p>
        </w:tc>
        <w:tc>
          <w:tcPr>
            <w:tcW w:w="2490" w:type="dxa"/>
            <w:gridSpan w:val="3"/>
            <w:vAlign w:val="center"/>
          </w:tcPr>
          <w:p>
            <w:pPr>
              <w:snapToGrid w:val="0"/>
              <w:spacing w:line="360" w:lineRule="auto"/>
              <w:jc w:val="center"/>
              <w:rPr>
                <w:sz w:val="24"/>
              </w:rPr>
            </w:pPr>
            <w:r>
              <w:rPr>
                <w:rFonts w:hint="eastAsia"/>
                <w:sz w:val="24"/>
              </w:rPr>
              <w:t>边角料、废铁屑</w:t>
            </w:r>
          </w:p>
        </w:tc>
        <w:tc>
          <w:tcPr>
            <w:tcW w:w="3240" w:type="dxa"/>
            <w:gridSpan w:val="2"/>
            <w:vAlign w:val="center"/>
          </w:tcPr>
          <w:p>
            <w:pPr>
              <w:snapToGrid w:val="0"/>
              <w:spacing w:line="360" w:lineRule="auto"/>
              <w:jc w:val="center"/>
              <w:rPr>
                <w:sz w:val="24"/>
              </w:rPr>
            </w:pPr>
            <w:r>
              <w:rPr>
                <w:rFonts w:hint="eastAsia"/>
                <w:sz w:val="24"/>
              </w:rPr>
              <w:t>1.5</w:t>
            </w:r>
            <w:r>
              <w:rPr>
                <w:sz w:val="24"/>
              </w:rPr>
              <w:t>t/a</w:t>
            </w:r>
          </w:p>
        </w:tc>
        <w:tc>
          <w:tcPr>
            <w:tcW w:w="2820" w:type="dxa"/>
            <w:gridSpan w:val="2"/>
            <w:vAlign w:val="center"/>
          </w:tcPr>
          <w:p>
            <w:pPr>
              <w:snapToGrid w:val="0"/>
              <w:spacing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8" w:type="dxa"/>
            <w:vMerge w:val="continue"/>
            <w:vAlign w:val="center"/>
          </w:tcPr>
          <w:p>
            <w:pPr>
              <w:jc w:val="center"/>
              <w:rPr>
                <w:sz w:val="24"/>
              </w:rPr>
            </w:pPr>
          </w:p>
        </w:tc>
        <w:tc>
          <w:tcPr>
            <w:tcW w:w="2490" w:type="dxa"/>
            <w:gridSpan w:val="3"/>
            <w:vAlign w:val="center"/>
          </w:tcPr>
          <w:p>
            <w:pPr>
              <w:snapToGrid w:val="0"/>
              <w:spacing w:line="360" w:lineRule="auto"/>
              <w:jc w:val="center"/>
              <w:rPr>
                <w:bCs/>
                <w:sz w:val="24"/>
                <w:szCs w:val="24"/>
              </w:rPr>
            </w:pPr>
            <w:r>
              <w:rPr>
                <w:rFonts w:hint="eastAsia"/>
                <w:bCs/>
                <w:sz w:val="24"/>
                <w:szCs w:val="24"/>
              </w:rPr>
              <w:t>废乳化液</w:t>
            </w:r>
          </w:p>
        </w:tc>
        <w:tc>
          <w:tcPr>
            <w:tcW w:w="3240" w:type="dxa"/>
            <w:gridSpan w:val="2"/>
            <w:vAlign w:val="center"/>
          </w:tcPr>
          <w:p>
            <w:pPr>
              <w:snapToGrid w:val="0"/>
              <w:spacing w:line="360" w:lineRule="auto"/>
              <w:jc w:val="center"/>
              <w:rPr>
                <w:sz w:val="24"/>
              </w:rPr>
            </w:pPr>
            <w:r>
              <w:rPr>
                <w:rFonts w:hint="eastAsia"/>
                <w:sz w:val="24"/>
              </w:rPr>
              <w:t>0.1</w:t>
            </w:r>
            <w:r>
              <w:rPr>
                <w:sz w:val="24"/>
              </w:rPr>
              <w:t>t/a</w:t>
            </w:r>
          </w:p>
        </w:tc>
        <w:tc>
          <w:tcPr>
            <w:tcW w:w="2820" w:type="dxa"/>
            <w:gridSpan w:val="2"/>
            <w:vAlign w:val="center"/>
          </w:tcPr>
          <w:p>
            <w:pPr>
              <w:snapToGrid w:val="0"/>
              <w:spacing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858" w:type="dxa"/>
            <w:vMerge w:val="continue"/>
            <w:vAlign w:val="center"/>
          </w:tcPr>
          <w:p>
            <w:pPr>
              <w:jc w:val="center"/>
              <w:rPr>
                <w:sz w:val="24"/>
              </w:rPr>
            </w:pPr>
          </w:p>
        </w:tc>
        <w:tc>
          <w:tcPr>
            <w:tcW w:w="2490" w:type="dxa"/>
            <w:gridSpan w:val="3"/>
            <w:vAlign w:val="center"/>
          </w:tcPr>
          <w:p>
            <w:pPr>
              <w:snapToGrid w:val="0"/>
              <w:spacing w:line="360" w:lineRule="auto"/>
              <w:jc w:val="center"/>
              <w:rPr>
                <w:bCs/>
                <w:sz w:val="24"/>
                <w:szCs w:val="24"/>
              </w:rPr>
            </w:pPr>
            <w:r>
              <w:rPr>
                <w:rFonts w:hint="eastAsia"/>
                <w:bCs/>
                <w:sz w:val="24"/>
                <w:szCs w:val="24"/>
              </w:rPr>
              <w:t>废机油</w:t>
            </w:r>
          </w:p>
        </w:tc>
        <w:tc>
          <w:tcPr>
            <w:tcW w:w="3240" w:type="dxa"/>
            <w:gridSpan w:val="2"/>
            <w:vAlign w:val="center"/>
          </w:tcPr>
          <w:p>
            <w:pPr>
              <w:snapToGrid w:val="0"/>
              <w:spacing w:line="360" w:lineRule="auto"/>
              <w:jc w:val="center"/>
              <w:rPr>
                <w:sz w:val="24"/>
              </w:rPr>
            </w:pPr>
            <w:r>
              <w:rPr>
                <w:rFonts w:hint="eastAsia"/>
                <w:sz w:val="24"/>
              </w:rPr>
              <w:t>0.2</w:t>
            </w:r>
            <w:r>
              <w:rPr>
                <w:sz w:val="24"/>
              </w:rPr>
              <w:t>t/a</w:t>
            </w:r>
          </w:p>
        </w:tc>
        <w:tc>
          <w:tcPr>
            <w:tcW w:w="2820" w:type="dxa"/>
            <w:gridSpan w:val="2"/>
            <w:vAlign w:val="center"/>
          </w:tcPr>
          <w:p>
            <w:pPr>
              <w:snapToGrid w:val="0"/>
              <w:spacing w:line="360" w:lineRule="auto"/>
              <w:jc w:val="center"/>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858" w:type="dxa"/>
            <w:vAlign w:val="center"/>
          </w:tcPr>
          <w:p>
            <w:pPr>
              <w:spacing w:line="360" w:lineRule="auto"/>
              <w:jc w:val="center"/>
              <w:rPr>
                <w:sz w:val="24"/>
              </w:rPr>
            </w:pPr>
            <w:r>
              <w:rPr>
                <w:sz w:val="24"/>
              </w:rPr>
              <w:t>噪声</w:t>
            </w:r>
          </w:p>
        </w:tc>
        <w:tc>
          <w:tcPr>
            <w:tcW w:w="8550" w:type="dxa"/>
            <w:gridSpan w:val="7"/>
            <w:vAlign w:val="center"/>
          </w:tcPr>
          <w:p>
            <w:pPr>
              <w:spacing w:line="360" w:lineRule="auto"/>
              <w:ind w:firstLine="360" w:firstLineChars="150"/>
              <w:rPr>
                <w:sz w:val="24"/>
              </w:rPr>
            </w:pPr>
            <w:r>
              <w:rPr>
                <w:rFonts w:hint="eastAsia" w:hAnsi="宋体"/>
                <w:kern w:val="0"/>
                <w:sz w:val="24"/>
              </w:rPr>
              <w:t>生产厂房数控车床、数控加工中心、激光数控切割机、普通车床等设备，其声级值为75~90</w:t>
            </w:r>
            <w:r>
              <w:rPr>
                <w:rFonts w:hAnsi="宋体"/>
                <w:kern w:val="0"/>
                <w:sz w:val="24"/>
              </w:rPr>
              <w:t>dB（A）</w:t>
            </w:r>
            <w:r>
              <w:rPr>
                <w:rFonts w:hint="eastAsia" w:hAnsi="宋体"/>
                <w:kern w:val="0"/>
                <w:sz w:val="24"/>
              </w:rPr>
              <w:t>。</w:t>
            </w:r>
            <w:r>
              <w:rPr>
                <w:rFonts w:hAnsi="宋体"/>
                <w:kern w:val="0"/>
                <w:sz w:val="24"/>
              </w:rPr>
              <w:t>采取有效降噪措施</w:t>
            </w:r>
            <w:r>
              <w:rPr>
                <w:rFonts w:hint="eastAsia" w:hAnsi="宋体"/>
                <w:kern w:val="0"/>
                <w:sz w:val="24"/>
              </w:rPr>
              <w:t>、厂房加装隔声措施</w:t>
            </w:r>
            <w:r>
              <w:rPr>
                <w:rFonts w:hAnsi="宋体"/>
                <w:kern w:val="0"/>
                <w:sz w:val="24"/>
              </w:rPr>
              <w:t>，</w:t>
            </w:r>
            <w:r>
              <w:rPr>
                <w:rFonts w:hint="eastAsia" w:hAnsi="宋体"/>
                <w:kern w:val="0"/>
                <w:sz w:val="24"/>
              </w:rPr>
              <w:t>由于距离居民区较远，经距离衰减后，对居民生活不会产生不良影响。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9408" w:type="dxa"/>
            <w:gridSpan w:val="8"/>
            <w:vAlign w:val="center"/>
          </w:tcPr>
          <w:p>
            <w:pPr>
              <w:spacing w:line="360" w:lineRule="auto"/>
              <w:rPr>
                <w:b/>
                <w:bCs/>
                <w:sz w:val="24"/>
              </w:rPr>
            </w:pPr>
            <w:r>
              <w:rPr>
                <w:b/>
                <w:bCs/>
                <w:sz w:val="24"/>
              </w:rPr>
              <w:t>主要生态影响、保护措施及预期效果：</w:t>
            </w:r>
          </w:p>
          <w:p>
            <w:pPr>
              <w:spacing w:line="360" w:lineRule="auto"/>
              <w:ind w:firstLine="360" w:firstLineChars="150"/>
              <w:rPr>
                <w:rFonts w:hAnsi="宋体"/>
                <w:kern w:val="0"/>
                <w:sz w:val="24"/>
              </w:rPr>
            </w:pPr>
            <w:r>
              <w:rPr>
                <w:rFonts w:hint="eastAsia" w:hAnsi="宋体"/>
                <w:kern w:val="0"/>
                <w:sz w:val="24"/>
              </w:rPr>
              <w:t>本项目对生态环境基本无影响。本项目用地符合有关规定和当地规划，项目实施后，没有改变用地使用功能，不会对区域生态产生负面影响。</w:t>
            </w:r>
          </w:p>
          <w:p>
            <w:pPr>
              <w:spacing w:line="360" w:lineRule="auto"/>
              <w:rPr>
                <w:b/>
                <w:bCs/>
                <w:sz w:val="24"/>
              </w:rPr>
            </w:pPr>
          </w:p>
          <w:p>
            <w:pPr>
              <w:spacing w:line="360" w:lineRule="auto"/>
              <w:rPr>
                <w:b/>
                <w:bCs/>
                <w:sz w:val="24"/>
              </w:rPr>
            </w:pPr>
          </w:p>
          <w:p>
            <w:pPr>
              <w:spacing w:line="360" w:lineRule="auto"/>
              <w:rPr>
                <w:b/>
                <w:bCs/>
                <w:sz w:val="24"/>
              </w:rPr>
            </w:pPr>
          </w:p>
          <w:p>
            <w:pPr>
              <w:spacing w:line="360" w:lineRule="auto"/>
              <w:rPr>
                <w:sz w:val="24"/>
              </w:rPr>
            </w:pPr>
          </w:p>
        </w:tc>
      </w:tr>
    </w:tbl>
    <w:p>
      <w:pPr>
        <w:rPr>
          <w:rFonts w:eastAsia="仿宋_GB2312"/>
          <w:b/>
          <w:bCs/>
          <w:sz w:val="24"/>
        </w:rPr>
        <w:sectPr>
          <w:pgSz w:w="11906" w:h="16838"/>
          <w:pgMar w:top="1440" w:right="1286" w:bottom="1440" w:left="1474" w:header="851" w:footer="992" w:gutter="0"/>
          <w:cols w:space="720" w:num="1"/>
          <w:docGrid w:type="lines" w:linePitch="312" w:charSpace="0"/>
        </w:sectPr>
      </w:pPr>
    </w:p>
    <w:p>
      <w:pPr>
        <w:rPr>
          <w:b/>
          <w:bCs/>
          <w:sz w:val="32"/>
          <w:szCs w:val="32"/>
        </w:rPr>
      </w:pPr>
      <w:r>
        <w:rPr>
          <w:b/>
          <w:bCs/>
          <w:sz w:val="32"/>
          <w:szCs w:val="32"/>
        </w:rPr>
        <w:t>环境影响分析</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2" w:type="dxa"/>
          </w:tcPr>
          <w:p>
            <w:pPr>
              <w:spacing w:line="360" w:lineRule="auto"/>
              <w:ind w:right="-1048" w:rightChars="-499"/>
              <w:rPr>
                <w:b/>
                <w:bCs/>
                <w:sz w:val="24"/>
              </w:rPr>
            </w:pPr>
            <w:r>
              <w:rPr>
                <w:b/>
                <w:bCs/>
                <w:sz w:val="24"/>
              </w:rPr>
              <w:t>施工期间环境影响简要分析</w:t>
            </w:r>
          </w:p>
          <w:p>
            <w:pPr>
              <w:spacing w:line="360" w:lineRule="auto"/>
              <w:ind w:firstLine="480" w:firstLineChars="200"/>
              <w:rPr>
                <w:sz w:val="24"/>
                <w:szCs w:val="24"/>
              </w:rPr>
            </w:pPr>
            <w:r>
              <w:rPr>
                <w:sz w:val="24"/>
                <w:szCs w:val="24"/>
              </w:rPr>
              <w:t>本项目位于</w:t>
            </w:r>
            <w:r>
              <w:rPr>
                <w:rFonts w:hint="eastAsia"/>
                <w:sz w:val="24"/>
                <w:szCs w:val="24"/>
              </w:rPr>
              <w:t>淮南市大通区康宝路北侧大通工业聚集区标准化厂房</w:t>
            </w:r>
            <w:r>
              <w:rPr>
                <w:sz w:val="24"/>
                <w:szCs w:val="24"/>
              </w:rPr>
              <w:t>，无土方开挖、结构、装饰等施工期作业，主要为设备安装时期施工人员产生的少量生活废水和生活垃圾等，本次环评对施工期的环境影响不做分析。</w:t>
            </w:r>
          </w:p>
          <w:p>
            <w:pPr>
              <w:spacing w:line="360" w:lineRule="auto"/>
              <w:rPr>
                <w:b/>
                <w:bCs/>
                <w:sz w:val="24"/>
              </w:rPr>
            </w:pPr>
            <w:r>
              <w:rPr>
                <w:b/>
                <w:bCs/>
                <w:sz w:val="24"/>
              </w:rPr>
              <w:t>营运期环境影响分析：</w:t>
            </w:r>
          </w:p>
          <w:p>
            <w:pPr>
              <w:numPr>
                <w:ilvl w:val="0"/>
                <w:numId w:val="2"/>
              </w:numPr>
              <w:autoSpaceDE w:val="0"/>
              <w:autoSpaceDN w:val="0"/>
              <w:adjustRightInd w:val="0"/>
              <w:spacing w:line="360" w:lineRule="auto"/>
              <w:rPr>
                <w:b/>
                <w:bCs/>
                <w:kern w:val="0"/>
                <w:sz w:val="24"/>
              </w:rPr>
            </w:pPr>
            <w:r>
              <w:rPr>
                <w:b/>
                <w:bCs/>
                <w:kern w:val="0"/>
                <w:sz w:val="24"/>
              </w:rPr>
              <w:t>水环境影响分析</w:t>
            </w:r>
          </w:p>
          <w:p>
            <w:pPr>
              <w:snapToGrid w:val="0"/>
              <w:spacing w:line="360" w:lineRule="auto"/>
              <w:ind w:firstLine="480" w:firstLineChars="200"/>
              <w:rPr>
                <w:rStyle w:val="221"/>
                <w:rFonts w:hint="default"/>
                <w:color w:val="auto"/>
              </w:rPr>
            </w:pPr>
            <w:r>
              <w:rPr>
                <w:rFonts w:hint="eastAsia"/>
                <w:sz w:val="24"/>
              </w:rPr>
              <w:t>项目产生的废水主要为</w:t>
            </w:r>
            <w:r>
              <w:rPr>
                <w:rFonts w:hint="eastAsia"/>
                <w:bCs/>
                <w:sz w:val="24"/>
              </w:rPr>
              <w:t>生活污水，污水量为2.0</w:t>
            </w:r>
            <w:r>
              <w:rPr>
                <w:rFonts w:hint="eastAsia"/>
                <w:sz w:val="24"/>
                <w:szCs w:val="24"/>
              </w:rPr>
              <w:t>m</w:t>
            </w:r>
            <w:r>
              <w:rPr>
                <w:rFonts w:hint="eastAsia"/>
                <w:sz w:val="24"/>
                <w:szCs w:val="24"/>
                <w:vertAlign w:val="superscript"/>
              </w:rPr>
              <w:t>3</w:t>
            </w:r>
            <w:r>
              <w:rPr>
                <w:rFonts w:hint="eastAsia"/>
                <w:sz w:val="24"/>
                <w:szCs w:val="24"/>
              </w:rPr>
              <w:t>/d</w:t>
            </w:r>
            <w:r>
              <w:rPr>
                <w:sz w:val="24"/>
                <w:szCs w:val="24"/>
              </w:rPr>
              <w:t>。</w:t>
            </w:r>
            <w:r>
              <w:rPr>
                <w:bCs/>
                <w:sz w:val="24"/>
                <w:szCs w:val="24"/>
              </w:rPr>
              <w:t>项目</w:t>
            </w:r>
            <w:r>
              <w:rPr>
                <w:rFonts w:hint="eastAsia"/>
                <w:bCs/>
                <w:sz w:val="24"/>
                <w:szCs w:val="24"/>
              </w:rPr>
              <w:t>产生的生活污水</w:t>
            </w:r>
            <w:r>
              <w:rPr>
                <w:bCs/>
                <w:sz w:val="24"/>
                <w:szCs w:val="24"/>
              </w:rPr>
              <w:t>经</w:t>
            </w:r>
            <w:r>
              <w:rPr>
                <w:rFonts w:hint="eastAsia"/>
                <w:bCs/>
                <w:sz w:val="24"/>
                <w:szCs w:val="24"/>
              </w:rPr>
              <w:t>化粪池</w:t>
            </w:r>
            <w:r>
              <w:rPr>
                <w:bCs/>
                <w:sz w:val="24"/>
                <w:szCs w:val="24"/>
              </w:rPr>
              <w:t>处理后</w:t>
            </w:r>
            <w:r>
              <w:rPr>
                <w:rFonts w:hint="eastAsia"/>
                <w:bCs/>
                <w:sz w:val="24"/>
                <w:szCs w:val="24"/>
              </w:rPr>
              <w:t>，项目废水排放浓度能</w:t>
            </w:r>
            <w:r>
              <w:rPr>
                <w:sz w:val="24"/>
                <w:szCs w:val="24"/>
              </w:rPr>
              <w:t>达到</w:t>
            </w:r>
            <w:r>
              <w:rPr>
                <w:rFonts w:hint="eastAsia"/>
                <w:sz w:val="24"/>
                <w:szCs w:val="24"/>
              </w:rPr>
              <w:t>《污水排入城市下水道水质标准》（GB/T 31962-2015）B级标准，排入淮南首创第一污水处理厂处理，</w:t>
            </w:r>
            <w:r>
              <w:rPr>
                <w:sz w:val="24"/>
                <w:szCs w:val="24"/>
              </w:rPr>
              <w:t>出水水质达到《城镇污水处理厂污染物排放标准》(GB18918-2002)中的一级A标准，排入</w:t>
            </w:r>
            <w:r>
              <w:rPr>
                <w:rFonts w:hint="eastAsia"/>
                <w:sz w:val="24"/>
                <w:szCs w:val="24"/>
              </w:rPr>
              <w:t>淮河</w:t>
            </w:r>
            <w:r>
              <w:rPr>
                <w:sz w:val="24"/>
                <w:szCs w:val="24"/>
              </w:rPr>
              <w:t>，</w:t>
            </w:r>
            <w:r>
              <w:rPr>
                <w:rFonts w:hint="eastAsia"/>
                <w:sz w:val="24"/>
                <w:szCs w:val="24"/>
              </w:rPr>
              <w:t>淮河</w:t>
            </w:r>
            <w:r>
              <w:rPr>
                <w:sz w:val="24"/>
                <w:szCs w:val="24"/>
              </w:rPr>
              <w:t>水体功能为</w:t>
            </w:r>
            <w:r>
              <w:rPr>
                <w:rFonts w:hint="eastAsia"/>
                <w:sz w:val="24"/>
                <w:szCs w:val="24"/>
              </w:rPr>
              <w:t>Ⅲ类</w:t>
            </w:r>
            <w:r>
              <w:rPr>
                <w:sz w:val="24"/>
                <w:szCs w:val="24"/>
              </w:rPr>
              <w:t>，本项目外排废水中主要污染物为COD</w:t>
            </w:r>
            <w:r>
              <w:rPr>
                <w:rFonts w:hint="eastAsia"/>
                <w:sz w:val="24"/>
                <w:szCs w:val="24"/>
                <w:vertAlign w:val="subscript"/>
              </w:rPr>
              <w:t>Cr</w:t>
            </w:r>
            <w:r>
              <w:rPr>
                <w:rFonts w:hint="eastAsia"/>
                <w:sz w:val="24"/>
                <w:szCs w:val="24"/>
              </w:rPr>
              <w:t>、NH</w:t>
            </w:r>
            <w:r>
              <w:rPr>
                <w:rFonts w:hint="eastAsia"/>
                <w:sz w:val="24"/>
                <w:szCs w:val="24"/>
                <w:vertAlign w:val="subscript"/>
              </w:rPr>
              <w:t>3</w:t>
            </w:r>
            <w:r>
              <w:rPr>
                <w:rFonts w:hint="eastAsia"/>
                <w:sz w:val="24"/>
                <w:szCs w:val="24"/>
              </w:rPr>
              <w:t>-N</w:t>
            </w:r>
            <w:r>
              <w:rPr>
                <w:sz w:val="24"/>
                <w:szCs w:val="24"/>
              </w:rPr>
              <w:t>，废水排放</w:t>
            </w:r>
            <w:r>
              <w:rPr>
                <w:rFonts w:hint="eastAsia"/>
                <w:sz w:val="24"/>
                <w:szCs w:val="24"/>
              </w:rPr>
              <w:t>形式</w:t>
            </w:r>
            <w:r>
              <w:rPr>
                <w:sz w:val="24"/>
                <w:szCs w:val="24"/>
              </w:rPr>
              <w:t>为</w:t>
            </w:r>
            <w:r>
              <w:rPr>
                <w:rFonts w:hint="eastAsia"/>
                <w:sz w:val="24"/>
                <w:szCs w:val="24"/>
              </w:rPr>
              <w:t>连续</w:t>
            </w:r>
            <w:r>
              <w:rPr>
                <w:sz w:val="24"/>
                <w:szCs w:val="24"/>
              </w:rPr>
              <w:t>排放。</w:t>
            </w:r>
            <w:r>
              <w:rPr>
                <w:rFonts w:hint="eastAsia"/>
                <w:sz w:val="24"/>
                <w:szCs w:val="24"/>
              </w:rPr>
              <w:t>根据《环境影响评价技术导则</w:t>
            </w:r>
            <w:r>
              <w:rPr>
                <w:sz w:val="24"/>
                <w:szCs w:val="24"/>
              </w:rPr>
              <w:t>·</w:t>
            </w:r>
            <w:r>
              <w:rPr>
                <w:rFonts w:hint="eastAsia"/>
                <w:sz w:val="24"/>
                <w:szCs w:val="24"/>
              </w:rPr>
              <w:t>地面水环境》（</w:t>
            </w:r>
            <w:r>
              <w:rPr>
                <w:sz w:val="24"/>
                <w:szCs w:val="24"/>
              </w:rPr>
              <w:t>HJ/T2.3-2018</w:t>
            </w:r>
            <w:r>
              <w:rPr>
                <w:rFonts w:hint="eastAsia"/>
                <w:sz w:val="24"/>
                <w:szCs w:val="24"/>
              </w:rPr>
              <w:t>）地面水环境影响评价工作分级判据规定，确定拟建项目地表水环境影响评价工作级别为</w:t>
            </w:r>
            <w:r>
              <w:rPr>
                <w:sz w:val="24"/>
                <w:szCs w:val="24"/>
              </w:rPr>
              <w:t>“</w:t>
            </w:r>
            <w:r>
              <w:rPr>
                <w:rFonts w:hint="eastAsia"/>
                <w:sz w:val="24"/>
                <w:szCs w:val="24"/>
              </w:rPr>
              <w:t>三级</w:t>
            </w:r>
            <w:r>
              <w:rPr>
                <w:sz w:val="24"/>
                <w:szCs w:val="24"/>
              </w:rPr>
              <w:t>B”</w:t>
            </w:r>
            <w:r>
              <w:rPr>
                <w:rStyle w:val="221"/>
                <w:rFonts w:hint="default"/>
                <w:color w:val="auto"/>
              </w:rPr>
              <w:t>。</w:t>
            </w:r>
          </w:p>
          <w:p>
            <w:pPr>
              <w:autoSpaceDE w:val="0"/>
              <w:autoSpaceDN w:val="0"/>
              <w:adjustRightInd w:val="0"/>
              <w:snapToGrid w:val="0"/>
              <w:spacing w:line="360" w:lineRule="auto"/>
              <w:ind w:firstLine="480" w:firstLineChars="200"/>
              <w:rPr>
                <w:bCs/>
                <w:sz w:val="24"/>
              </w:rPr>
            </w:pPr>
            <w:r>
              <w:rPr>
                <w:bCs/>
                <w:sz w:val="24"/>
              </w:rPr>
              <w:t>依据《环境影响评价技术导则-地表水环境》（HJ2.3-2018），本项目地表水环境评价等级为三级B，根据导则要求进行废水污染源排放量核算。具体见下表。</w:t>
            </w:r>
          </w:p>
          <w:p>
            <w:pPr>
              <w:autoSpaceDE w:val="0"/>
              <w:autoSpaceDN w:val="0"/>
              <w:adjustRightInd w:val="0"/>
              <w:snapToGrid w:val="0"/>
              <w:jc w:val="center"/>
              <w:rPr>
                <w:b/>
                <w:bCs/>
                <w:kern w:val="0"/>
                <w:szCs w:val="21"/>
              </w:rPr>
            </w:pPr>
            <w:r>
              <w:rPr>
                <w:b/>
                <w:bCs/>
                <w:kern w:val="0"/>
                <w:szCs w:val="21"/>
              </w:rPr>
              <w:t>表</w:t>
            </w:r>
            <w:r>
              <w:rPr>
                <w:rFonts w:hint="eastAsia"/>
                <w:b/>
                <w:bCs/>
                <w:kern w:val="0"/>
                <w:szCs w:val="21"/>
              </w:rPr>
              <w:t>22</w:t>
            </w:r>
            <w:r>
              <w:rPr>
                <w:b/>
                <w:bCs/>
                <w:kern w:val="0"/>
                <w:szCs w:val="21"/>
              </w:rPr>
              <w:t xml:space="preserve"> 建设项目废水污染物排放信息表</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618"/>
              <w:gridCol w:w="680"/>
              <w:gridCol w:w="915"/>
              <w:gridCol w:w="738"/>
              <w:gridCol w:w="811"/>
              <w:gridCol w:w="861"/>
              <w:gridCol w:w="689"/>
              <w:gridCol w:w="689"/>
              <w:gridCol w:w="1009"/>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restart"/>
                  <w:vAlign w:val="center"/>
                </w:tcPr>
                <w:p>
                  <w:pPr>
                    <w:pStyle w:val="12"/>
                    <w:jc w:val="center"/>
                    <w:rPr>
                      <w:sz w:val="18"/>
                      <w:szCs w:val="18"/>
                    </w:rPr>
                  </w:pPr>
                  <w:r>
                    <w:rPr>
                      <w:sz w:val="18"/>
                      <w:szCs w:val="18"/>
                    </w:rPr>
                    <w:t>序号</w:t>
                  </w:r>
                </w:p>
              </w:tc>
              <w:tc>
                <w:tcPr>
                  <w:tcW w:w="338" w:type="pct"/>
                  <w:vMerge w:val="restart"/>
                  <w:vAlign w:val="center"/>
                </w:tcPr>
                <w:p>
                  <w:pPr>
                    <w:pStyle w:val="12"/>
                    <w:jc w:val="center"/>
                    <w:rPr>
                      <w:sz w:val="18"/>
                      <w:szCs w:val="18"/>
                    </w:rPr>
                  </w:pPr>
                  <w:r>
                    <w:rPr>
                      <w:sz w:val="18"/>
                      <w:szCs w:val="18"/>
                    </w:rPr>
                    <w:t>废水类别</w:t>
                  </w:r>
                </w:p>
              </w:tc>
              <w:tc>
                <w:tcPr>
                  <w:tcW w:w="372" w:type="pct"/>
                  <w:vMerge w:val="restart"/>
                  <w:vAlign w:val="center"/>
                </w:tcPr>
                <w:p>
                  <w:pPr>
                    <w:pStyle w:val="12"/>
                    <w:jc w:val="center"/>
                    <w:rPr>
                      <w:sz w:val="18"/>
                      <w:szCs w:val="18"/>
                    </w:rPr>
                  </w:pPr>
                  <w:r>
                    <w:rPr>
                      <w:sz w:val="18"/>
                      <w:szCs w:val="18"/>
                    </w:rPr>
                    <w:t>污染物种类</w:t>
                  </w:r>
                </w:p>
              </w:tc>
              <w:tc>
                <w:tcPr>
                  <w:tcW w:w="501" w:type="pct"/>
                  <w:vMerge w:val="restart"/>
                  <w:vAlign w:val="center"/>
                </w:tcPr>
                <w:p>
                  <w:pPr>
                    <w:pStyle w:val="12"/>
                    <w:jc w:val="center"/>
                    <w:rPr>
                      <w:sz w:val="18"/>
                      <w:szCs w:val="18"/>
                    </w:rPr>
                  </w:pPr>
                  <w:r>
                    <w:rPr>
                      <w:sz w:val="18"/>
                      <w:szCs w:val="18"/>
                    </w:rPr>
                    <w:t>排放去向</w:t>
                  </w:r>
                </w:p>
              </w:tc>
              <w:tc>
                <w:tcPr>
                  <w:tcW w:w="404" w:type="pct"/>
                  <w:vMerge w:val="restart"/>
                  <w:vAlign w:val="center"/>
                </w:tcPr>
                <w:p>
                  <w:pPr>
                    <w:pStyle w:val="12"/>
                    <w:jc w:val="center"/>
                    <w:rPr>
                      <w:sz w:val="18"/>
                      <w:szCs w:val="18"/>
                    </w:rPr>
                  </w:pPr>
                  <w:r>
                    <w:rPr>
                      <w:sz w:val="18"/>
                      <w:szCs w:val="18"/>
                    </w:rPr>
                    <w:t>排放规律</w:t>
                  </w:r>
                </w:p>
              </w:tc>
              <w:tc>
                <w:tcPr>
                  <w:tcW w:w="1292" w:type="pct"/>
                  <w:gridSpan w:val="3"/>
                  <w:vAlign w:val="center"/>
                </w:tcPr>
                <w:p>
                  <w:pPr>
                    <w:pStyle w:val="12"/>
                    <w:jc w:val="center"/>
                    <w:rPr>
                      <w:sz w:val="18"/>
                      <w:szCs w:val="18"/>
                    </w:rPr>
                  </w:pPr>
                  <w:r>
                    <w:rPr>
                      <w:sz w:val="18"/>
                      <w:szCs w:val="18"/>
                    </w:rPr>
                    <w:t>污染治理设施</w:t>
                  </w:r>
                </w:p>
              </w:tc>
              <w:tc>
                <w:tcPr>
                  <w:tcW w:w="377" w:type="pct"/>
                  <w:vMerge w:val="restart"/>
                  <w:vAlign w:val="center"/>
                </w:tcPr>
                <w:p>
                  <w:pPr>
                    <w:pStyle w:val="12"/>
                    <w:jc w:val="center"/>
                    <w:rPr>
                      <w:sz w:val="18"/>
                      <w:szCs w:val="18"/>
                    </w:rPr>
                  </w:pPr>
                  <w:r>
                    <w:rPr>
                      <w:sz w:val="18"/>
                      <w:szCs w:val="18"/>
                    </w:rPr>
                    <w:t>排放口编号</w:t>
                  </w:r>
                </w:p>
              </w:tc>
              <w:tc>
                <w:tcPr>
                  <w:tcW w:w="552" w:type="pct"/>
                  <w:vMerge w:val="restart"/>
                  <w:vAlign w:val="center"/>
                </w:tcPr>
                <w:p>
                  <w:pPr>
                    <w:pStyle w:val="12"/>
                    <w:jc w:val="center"/>
                    <w:rPr>
                      <w:sz w:val="18"/>
                      <w:szCs w:val="18"/>
                    </w:rPr>
                  </w:pPr>
                  <w:r>
                    <w:rPr>
                      <w:sz w:val="18"/>
                      <w:szCs w:val="18"/>
                    </w:rPr>
                    <w:t>排放口设置是否符合要求</w:t>
                  </w:r>
                </w:p>
              </w:tc>
              <w:tc>
                <w:tcPr>
                  <w:tcW w:w="884" w:type="pct"/>
                  <w:vMerge w:val="restart"/>
                  <w:vAlign w:val="center"/>
                </w:tcPr>
                <w:p>
                  <w:pPr>
                    <w:pStyle w:val="12"/>
                    <w:jc w:val="center"/>
                    <w:rPr>
                      <w:sz w:val="18"/>
                      <w:szCs w:val="18"/>
                    </w:rPr>
                  </w:pPr>
                  <w:r>
                    <w:rPr>
                      <w:sz w:val="18"/>
                      <w:szCs w:val="18"/>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continue"/>
                  <w:vAlign w:val="center"/>
                </w:tcPr>
                <w:p>
                  <w:pPr>
                    <w:pStyle w:val="12"/>
                    <w:jc w:val="center"/>
                    <w:rPr>
                      <w:sz w:val="18"/>
                      <w:szCs w:val="18"/>
                    </w:rPr>
                  </w:pPr>
                </w:p>
              </w:tc>
              <w:tc>
                <w:tcPr>
                  <w:tcW w:w="338" w:type="pct"/>
                  <w:vMerge w:val="continue"/>
                  <w:vAlign w:val="center"/>
                </w:tcPr>
                <w:p>
                  <w:pPr>
                    <w:pStyle w:val="12"/>
                    <w:jc w:val="center"/>
                    <w:rPr>
                      <w:sz w:val="18"/>
                      <w:szCs w:val="18"/>
                    </w:rPr>
                  </w:pPr>
                </w:p>
              </w:tc>
              <w:tc>
                <w:tcPr>
                  <w:tcW w:w="372" w:type="pct"/>
                  <w:vMerge w:val="continue"/>
                  <w:vAlign w:val="center"/>
                </w:tcPr>
                <w:p>
                  <w:pPr>
                    <w:pStyle w:val="12"/>
                    <w:jc w:val="center"/>
                    <w:rPr>
                      <w:sz w:val="18"/>
                      <w:szCs w:val="18"/>
                    </w:rPr>
                  </w:pPr>
                </w:p>
              </w:tc>
              <w:tc>
                <w:tcPr>
                  <w:tcW w:w="501" w:type="pct"/>
                  <w:vMerge w:val="continue"/>
                  <w:vAlign w:val="center"/>
                </w:tcPr>
                <w:p>
                  <w:pPr>
                    <w:pStyle w:val="12"/>
                    <w:jc w:val="center"/>
                    <w:rPr>
                      <w:sz w:val="18"/>
                      <w:szCs w:val="18"/>
                    </w:rPr>
                  </w:pPr>
                </w:p>
              </w:tc>
              <w:tc>
                <w:tcPr>
                  <w:tcW w:w="404" w:type="pct"/>
                  <w:vMerge w:val="continue"/>
                  <w:vAlign w:val="center"/>
                </w:tcPr>
                <w:p>
                  <w:pPr>
                    <w:pStyle w:val="12"/>
                    <w:jc w:val="center"/>
                    <w:rPr>
                      <w:sz w:val="18"/>
                      <w:szCs w:val="18"/>
                    </w:rPr>
                  </w:pPr>
                </w:p>
              </w:tc>
              <w:tc>
                <w:tcPr>
                  <w:tcW w:w="444" w:type="pct"/>
                  <w:vAlign w:val="center"/>
                </w:tcPr>
                <w:p>
                  <w:pPr>
                    <w:pStyle w:val="12"/>
                    <w:jc w:val="center"/>
                    <w:rPr>
                      <w:sz w:val="18"/>
                      <w:szCs w:val="18"/>
                    </w:rPr>
                  </w:pPr>
                  <w:r>
                    <w:rPr>
                      <w:sz w:val="18"/>
                      <w:szCs w:val="18"/>
                    </w:rPr>
                    <w:t>污染治理设施编号</w:t>
                  </w:r>
                </w:p>
              </w:tc>
              <w:tc>
                <w:tcPr>
                  <w:tcW w:w="471" w:type="pct"/>
                  <w:vAlign w:val="center"/>
                </w:tcPr>
                <w:p>
                  <w:pPr>
                    <w:pStyle w:val="12"/>
                    <w:jc w:val="center"/>
                    <w:rPr>
                      <w:sz w:val="18"/>
                      <w:szCs w:val="18"/>
                    </w:rPr>
                  </w:pPr>
                  <w:r>
                    <w:rPr>
                      <w:sz w:val="18"/>
                      <w:szCs w:val="18"/>
                    </w:rPr>
                    <w:t>污染治理设施名称</w:t>
                  </w:r>
                </w:p>
              </w:tc>
              <w:tc>
                <w:tcPr>
                  <w:tcW w:w="377" w:type="pct"/>
                  <w:vAlign w:val="center"/>
                </w:tcPr>
                <w:p>
                  <w:pPr>
                    <w:pStyle w:val="12"/>
                    <w:jc w:val="center"/>
                    <w:rPr>
                      <w:sz w:val="18"/>
                      <w:szCs w:val="18"/>
                    </w:rPr>
                  </w:pPr>
                  <w:r>
                    <w:rPr>
                      <w:sz w:val="18"/>
                      <w:szCs w:val="18"/>
                    </w:rPr>
                    <w:t>污染治理设施工艺</w:t>
                  </w:r>
                </w:p>
              </w:tc>
              <w:tc>
                <w:tcPr>
                  <w:tcW w:w="377" w:type="pct"/>
                  <w:vMerge w:val="continue"/>
                  <w:vAlign w:val="center"/>
                </w:tcPr>
                <w:p>
                  <w:pPr>
                    <w:pStyle w:val="12"/>
                    <w:jc w:val="center"/>
                    <w:rPr>
                      <w:sz w:val="18"/>
                      <w:szCs w:val="18"/>
                    </w:rPr>
                  </w:pPr>
                </w:p>
              </w:tc>
              <w:tc>
                <w:tcPr>
                  <w:tcW w:w="552" w:type="pct"/>
                  <w:vMerge w:val="continue"/>
                  <w:vAlign w:val="center"/>
                </w:tcPr>
                <w:p>
                  <w:pPr>
                    <w:pStyle w:val="12"/>
                    <w:jc w:val="center"/>
                    <w:rPr>
                      <w:sz w:val="18"/>
                      <w:szCs w:val="18"/>
                    </w:rPr>
                  </w:pPr>
                </w:p>
              </w:tc>
              <w:tc>
                <w:tcPr>
                  <w:tcW w:w="884" w:type="pct"/>
                  <w:vMerge w:val="continue"/>
                  <w:vAlign w:val="center"/>
                </w:tcPr>
                <w:p>
                  <w:pPr>
                    <w:pStyle w:val="1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 w:type="pct"/>
                  <w:vMerge w:val="restart"/>
                  <w:vAlign w:val="center"/>
                </w:tcPr>
                <w:p>
                  <w:pPr>
                    <w:pStyle w:val="12"/>
                    <w:jc w:val="center"/>
                    <w:rPr>
                      <w:sz w:val="18"/>
                      <w:szCs w:val="18"/>
                    </w:rPr>
                  </w:pPr>
                  <w:r>
                    <w:rPr>
                      <w:sz w:val="18"/>
                      <w:szCs w:val="18"/>
                    </w:rPr>
                    <w:t>1</w:t>
                  </w:r>
                </w:p>
              </w:tc>
              <w:tc>
                <w:tcPr>
                  <w:tcW w:w="338" w:type="pct"/>
                  <w:vMerge w:val="restart"/>
                  <w:vAlign w:val="center"/>
                </w:tcPr>
                <w:p>
                  <w:pPr>
                    <w:pStyle w:val="12"/>
                    <w:jc w:val="center"/>
                    <w:rPr>
                      <w:sz w:val="18"/>
                      <w:szCs w:val="18"/>
                    </w:rPr>
                  </w:pPr>
                  <w:r>
                    <w:rPr>
                      <w:rFonts w:hint="eastAsia"/>
                      <w:sz w:val="18"/>
                      <w:szCs w:val="18"/>
                    </w:rPr>
                    <w:t>生活污水</w:t>
                  </w:r>
                </w:p>
              </w:tc>
              <w:tc>
                <w:tcPr>
                  <w:tcW w:w="372" w:type="pct"/>
                  <w:vAlign w:val="center"/>
                </w:tcPr>
                <w:p>
                  <w:pPr>
                    <w:pStyle w:val="12"/>
                    <w:jc w:val="center"/>
                    <w:rPr>
                      <w:sz w:val="18"/>
                      <w:szCs w:val="18"/>
                    </w:rPr>
                  </w:pPr>
                  <w:r>
                    <w:rPr>
                      <w:sz w:val="18"/>
                      <w:szCs w:val="18"/>
                    </w:rPr>
                    <w:t>COD</w:t>
                  </w:r>
                </w:p>
              </w:tc>
              <w:tc>
                <w:tcPr>
                  <w:tcW w:w="501" w:type="pct"/>
                  <w:vMerge w:val="restart"/>
                  <w:vAlign w:val="center"/>
                </w:tcPr>
                <w:p>
                  <w:pPr>
                    <w:pStyle w:val="12"/>
                    <w:jc w:val="center"/>
                    <w:rPr>
                      <w:sz w:val="18"/>
                      <w:szCs w:val="18"/>
                    </w:rPr>
                  </w:pPr>
                  <w:r>
                    <w:rPr>
                      <w:rFonts w:hint="eastAsia"/>
                      <w:sz w:val="18"/>
                      <w:szCs w:val="18"/>
                    </w:rPr>
                    <w:t>排入</w:t>
                  </w:r>
                  <w:r>
                    <w:rPr>
                      <w:sz w:val="18"/>
                      <w:szCs w:val="18"/>
                    </w:rPr>
                    <w:t>淮南首创第一污水处理厂</w:t>
                  </w:r>
                </w:p>
              </w:tc>
              <w:tc>
                <w:tcPr>
                  <w:tcW w:w="404" w:type="pct"/>
                  <w:vMerge w:val="restart"/>
                  <w:vAlign w:val="center"/>
                </w:tcPr>
                <w:p>
                  <w:pPr>
                    <w:pStyle w:val="12"/>
                    <w:jc w:val="center"/>
                    <w:rPr>
                      <w:sz w:val="18"/>
                      <w:szCs w:val="18"/>
                    </w:rPr>
                  </w:pPr>
                  <w:r>
                    <w:rPr>
                      <w:sz w:val="18"/>
                      <w:szCs w:val="18"/>
                    </w:rPr>
                    <w:t>每日</w:t>
                  </w:r>
                </w:p>
              </w:tc>
              <w:tc>
                <w:tcPr>
                  <w:tcW w:w="444" w:type="pct"/>
                  <w:vMerge w:val="restart"/>
                  <w:vAlign w:val="center"/>
                </w:tcPr>
                <w:p>
                  <w:pPr>
                    <w:pStyle w:val="12"/>
                    <w:jc w:val="center"/>
                    <w:rPr>
                      <w:sz w:val="18"/>
                      <w:szCs w:val="18"/>
                    </w:rPr>
                  </w:pPr>
                  <w:r>
                    <w:rPr>
                      <w:sz w:val="18"/>
                      <w:szCs w:val="18"/>
                    </w:rPr>
                    <w:t>FS1</w:t>
                  </w:r>
                </w:p>
              </w:tc>
              <w:tc>
                <w:tcPr>
                  <w:tcW w:w="471" w:type="pct"/>
                  <w:vMerge w:val="restart"/>
                  <w:vAlign w:val="center"/>
                </w:tcPr>
                <w:p>
                  <w:pPr>
                    <w:pStyle w:val="12"/>
                    <w:jc w:val="center"/>
                    <w:rPr>
                      <w:sz w:val="18"/>
                      <w:szCs w:val="18"/>
                    </w:rPr>
                  </w:pPr>
                  <w:r>
                    <w:rPr>
                      <w:rFonts w:hint="eastAsia"/>
                      <w:sz w:val="18"/>
                      <w:szCs w:val="18"/>
                    </w:rPr>
                    <w:t>化粪池</w:t>
                  </w:r>
                </w:p>
              </w:tc>
              <w:tc>
                <w:tcPr>
                  <w:tcW w:w="377" w:type="pct"/>
                  <w:vMerge w:val="restart"/>
                  <w:vAlign w:val="center"/>
                </w:tcPr>
                <w:p>
                  <w:pPr>
                    <w:pStyle w:val="12"/>
                    <w:jc w:val="center"/>
                    <w:rPr>
                      <w:sz w:val="18"/>
                      <w:szCs w:val="18"/>
                    </w:rPr>
                  </w:pPr>
                  <w:r>
                    <w:rPr>
                      <w:rFonts w:hint="eastAsia"/>
                      <w:sz w:val="18"/>
                      <w:szCs w:val="18"/>
                    </w:rPr>
                    <w:t>/</w:t>
                  </w:r>
                </w:p>
              </w:tc>
              <w:tc>
                <w:tcPr>
                  <w:tcW w:w="377" w:type="pct"/>
                  <w:vMerge w:val="restart"/>
                  <w:vAlign w:val="center"/>
                </w:tcPr>
                <w:p>
                  <w:pPr>
                    <w:pStyle w:val="12"/>
                    <w:jc w:val="center"/>
                    <w:rPr>
                      <w:sz w:val="18"/>
                      <w:szCs w:val="18"/>
                    </w:rPr>
                  </w:pPr>
                  <w:r>
                    <w:rPr>
                      <w:sz w:val="18"/>
                      <w:szCs w:val="18"/>
                    </w:rPr>
                    <w:t>废水排放口1</w:t>
                  </w:r>
                </w:p>
              </w:tc>
              <w:tc>
                <w:tcPr>
                  <w:tcW w:w="552" w:type="pct"/>
                  <w:vMerge w:val="restart"/>
                  <w:vAlign w:val="center"/>
                </w:tcPr>
                <w:p>
                  <w:pPr>
                    <w:pStyle w:val="12"/>
                    <w:jc w:val="center"/>
                    <w:rPr>
                      <w:sz w:val="18"/>
                      <w:szCs w:val="18"/>
                    </w:rPr>
                  </w:pPr>
                  <w:r>
                    <w:rPr>
                      <w:sz w:val="18"/>
                      <w:szCs w:val="18"/>
                    </w:rPr>
                    <w:sym w:font="Wingdings 2" w:char="0052"/>
                  </w:r>
                  <w:r>
                    <w:rPr>
                      <w:sz w:val="18"/>
                      <w:szCs w:val="18"/>
                    </w:rPr>
                    <w:t>是</w:t>
                  </w:r>
                </w:p>
                <w:p>
                  <w:pPr>
                    <w:pStyle w:val="12"/>
                    <w:jc w:val="center"/>
                    <w:rPr>
                      <w:sz w:val="18"/>
                      <w:szCs w:val="18"/>
                    </w:rPr>
                  </w:pPr>
                  <w:r>
                    <w:rPr>
                      <w:sz w:val="18"/>
                      <w:szCs w:val="18"/>
                    </w:rPr>
                    <w:sym w:font="Wingdings 2" w:char="00A3"/>
                  </w:r>
                  <w:r>
                    <w:rPr>
                      <w:sz w:val="18"/>
                      <w:szCs w:val="18"/>
                    </w:rPr>
                    <w:t>否</w:t>
                  </w:r>
                </w:p>
              </w:tc>
              <w:tc>
                <w:tcPr>
                  <w:tcW w:w="884" w:type="pct"/>
                  <w:vMerge w:val="restart"/>
                  <w:vAlign w:val="center"/>
                </w:tcPr>
                <w:p>
                  <w:pPr>
                    <w:pStyle w:val="12"/>
                    <w:jc w:val="center"/>
                    <w:rPr>
                      <w:sz w:val="18"/>
                      <w:szCs w:val="18"/>
                    </w:rPr>
                  </w:pPr>
                  <w:r>
                    <w:rPr>
                      <w:sz w:val="18"/>
                      <w:szCs w:val="18"/>
                    </w:rPr>
                    <w:sym w:font="Wingdings 2" w:char="0052"/>
                  </w:r>
                  <w:r>
                    <w:rPr>
                      <w:sz w:val="18"/>
                      <w:szCs w:val="18"/>
                    </w:rPr>
                    <w:t>企业总排</w:t>
                  </w:r>
                </w:p>
                <w:p>
                  <w:pPr>
                    <w:pStyle w:val="12"/>
                    <w:jc w:val="center"/>
                    <w:rPr>
                      <w:sz w:val="18"/>
                      <w:szCs w:val="18"/>
                    </w:rPr>
                  </w:pPr>
                  <w:r>
                    <w:rPr>
                      <w:sz w:val="18"/>
                      <w:szCs w:val="18"/>
                    </w:rPr>
                    <w:t>口雨水排放</w:t>
                  </w:r>
                </w:p>
                <w:p>
                  <w:pPr>
                    <w:pStyle w:val="12"/>
                    <w:jc w:val="center"/>
                    <w:rPr>
                      <w:sz w:val="18"/>
                      <w:szCs w:val="18"/>
                    </w:rPr>
                  </w:pPr>
                  <w:r>
                    <w:rPr>
                      <w:sz w:val="18"/>
                      <w:szCs w:val="18"/>
                    </w:rPr>
                    <w:t>口清净下水排放</w:t>
                  </w:r>
                </w:p>
                <w:p>
                  <w:pPr>
                    <w:pStyle w:val="12"/>
                    <w:jc w:val="center"/>
                    <w:rPr>
                      <w:sz w:val="18"/>
                      <w:szCs w:val="18"/>
                    </w:rPr>
                  </w:pPr>
                  <w:r>
                    <w:rPr>
                      <w:sz w:val="18"/>
                      <w:szCs w:val="18"/>
                    </w:rPr>
                    <w:t>口温排水排放</w:t>
                  </w:r>
                </w:p>
                <w:p>
                  <w:pPr>
                    <w:pStyle w:val="12"/>
                    <w:jc w:val="center"/>
                    <w:rPr>
                      <w:sz w:val="18"/>
                      <w:szCs w:val="18"/>
                    </w:rPr>
                  </w:pPr>
                  <w:r>
                    <w:rPr>
                      <w:sz w:val="18"/>
                      <w:szCs w:val="18"/>
                    </w:rPr>
                    <w:t>口车间或车间处理设施排放量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 w:type="pct"/>
                  <w:vMerge w:val="continue"/>
                  <w:vAlign w:val="center"/>
                </w:tcPr>
                <w:p>
                  <w:pPr>
                    <w:pStyle w:val="12"/>
                    <w:jc w:val="center"/>
                    <w:rPr>
                      <w:sz w:val="18"/>
                      <w:szCs w:val="18"/>
                    </w:rPr>
                  </w:pPr>
                </w:p>
              </w:tc>
              <w:tc>
                <w:tcPr>
                  <w:tcW w:w="338" w:type="pct"/>
                  <w:vMerge w:val="continue"/>
                  <w:vAlign w:val="center"/>
                </w:tcPr>
                <w:p>
                  <w:pPr>
                    <w:pStyle w:val="12"/>
                    <w:jc w:val="center"/>
                    <w:rPr>
                      <w:sz w:val="18"/>
                      <w:szCs w:val="18"/>
                    </w:rPr>
                  </w:pPr>
                </w:p>
              </w:tc>
              <w:tc>
                <w:tcPr>
                  <w:tcW w:w="372" w:type="pct"/>
                  <w:vAlign w:val="center"/>
                </w:tcPr>
                <w:p>
                  <w:pPr>
                    <w:pStyle w:val="12"/>
                    <w:jc w:val="center"/>
                    <w:rPr>
                      <w:sz w:val="18"/>
                      <w:szCs w:val="18"/>
                    </w:rPr>
                  </w:pPr>
                  <w:r>
                    <w:rPr>
                      <w:sz w:val="18"/>
                      <w:szCs w:val="18"/>
                    </w:rPr>
                    <w:t>SS</w:t>
                  </w:r>
                </w:p>
              </w:tc>
              <w:tc>
                <w:tcPr>
                  <w:tcW w:w="501" w:type="pct"/>
                  <w:vMerge w:val="continue"/>
                  <w:vAlign w:val="center"/>
                </w:tcPr>
                <w:p>
                  <w:pPr>
                    <w:pStyle w:val="12"/>
                    <w:jc w:val="center"/>
                    <w:rPr>
                      <w:sz w:val="18"/>
                      <w:szCs w:val="18"/>
                    </w:rPr>
                  </w:pPr>
                </w:p>
              </w:tc>
              <w:tc>
                <w:tcPr>
                  <w:tcW w:w="404" w:type="pct"/>
                  <w:vMerge w:val="continue"/>
                  <w:vAlign w:val="center"/>
                </w:tcPr>
                <w:p>
                  <w:pPr>
                    <w:pStyle w:val="12"/>
                    <w:jc w:val="center"/>
                    <w:rPr>
                      <w:sz w:val="18"/>
                      <w:szCs w:val="18"/>
                    </w:rPr>
                  </w:pPr>
                </w:p>
              </w:tc>
              <w:tc>
                <w:tcPr>
                  <w:tcW w:w="444" w:type="pct"/>
                  <w:vMerge w:val="continue"/>
                  <w:vAlign w:val="center"/>
                </w:tcPr>
                <w:p>
                  <w:pPr>
                    <w:pStyle w:val="12"/>
                    <w:jc w:val="center"/>
                    <w:rPr>
                      <w:sz w:val="18"/>
                      <w:szCs w:val="18"/>
                    </w:rPr>
                  </w:pPr>
                </w:p>
              </w:tc>
              <w:tc>
                <w:tcPr>
                  <w:tcW w:w="471"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552" w:type="pct"/>
                  <w:vMerge w:val="continue"/>
                  <w:vAlign w:val="center"/>
                </w:tcPr>
                <w:p>
                  <w:pPr>
                    <w:pStyle w:val="12"/>
                    <w:jc w:val="center"/>
                    <w:rPr>
                      <w:sz w:val="18"/>
                      <w:szCs w:val="18"/>
                    </w:rPr>
                  </w:pPr>
                </w:p>
              </w:tc>
              <w:tc>
                <w:tcPr>
                  <w:tcW w:w="884" w:type="pct"/>
                  <w:vMerge w:val="continue"/>
                  <w:vAlign w:val="center"/>
                </w:tcPr>
                <w:p>
                  <w:pPr>
                    <w:pStyle w:val="1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80" w:type="pct"/>
                  <w:vMerge w:val="continue"/>
                  <w:vAlign w:val="center"/>
                </w:tcPr>
                <w:p>
                  <w:pPr>
                    <w:pStyle w:val="12"/>
                    <w:jc w:val="center"/>
                    <w:rPr>
                      <w:sz w:val="18"/>
                      <w:szCs w:val="18"/>
                    </w:rPr>
                  </w:pPr>
                </w:p>
              </w:tc>
              <w:tc>
                <w:tcPr>
                  <w:tcW w:w="338" w:type="pct"/>
                  <w:vMerge w:val="continue"/>
                  <w:vAlign w:val="center"/>
                </w:tcPr>
                <w:p>
                  <w:pPr>
                    <w:pStyle w:val="12"/>
                    <w:jc w:val="center"/>
                    <w:rPr>
                      <w:sz w:val="18"/>
                      <w:szCs w:val="18"/>
                    </w:rPr>
                  </w:pPr>
                </w:p>
              </w:tc>
              <w:tc>
                <w:tcPr>
                  <w:tcW w:w="372" w:type="pct"/>
                  <w:vAlign w:val="center"/>
                </w:tcPr>
                <w:p>
                  <w:pPr>
                    <w:pStyle w:val="12"/>
                    <w:jc w:val="center"/>
                    <w:rPr>
                      <w:sz w:val="18"/>
                      <w:szCs w:val="18"/>
                    </w:rPr>
                  </w:pPr>
                  <w:r>
                    <w:rPr>
                      <w:sz w:val="18"/>
                      <w:szCs w:val="18"/>
                    </w:rPr>
                    <w:t>BOD</w:t>
                  </w:r>
                  <w:r>
                    <w:rPr>
                      <w:sz w:val="18"/>
                      <w:szCs w:val="18"/>
                      <w:vertAlign w:val="subscript"/>
                    </w:rPr>
                    <w:t>5</w:t>
                  </w:r>
                </w:p>
              </w:tc>
              <w:tc>
                <w:tcPr>
                  <w:tcW w:w="501" w:type="pct"/>
                  <w:vMerge w:val="continue"/>
                  <w:vAlign w:val="center"/>
                </w:tcPr>
                <w:p>
                  <w:pPr>
                    <w:pStyle w:val="12"/>
                    <w:jc w:val="center"/>
                    <w:rPr>
                      <w:sz w:val="18"/>
                      <w:szCs w:val="18"/>
                    </w:rPr>
                  </w:pPr>
                </w:p>
              </w:tc>
              <w:tc>
                <w:tcPr>
                  <w:tcW w:w="404" w:type="pct"/>
                  <w:vMerge w:val="continue"/>
                  <w:vAlign w:val="center"/>
                </w:tcPr>
                <w:p>
                  <w:pPr>
                    <w:pStyle w:val="12"/>
                    <w:jc w:val="center"/>
                    <w:rPr>
                      <w:sz w:val="18"/>
                      <w:szCs w:val="18"/>
                    </w:rPr>
                  </w:pPr>
                </w:p>
              </w:tc>
              <w:tc>
                <w:tcPr>
                  <w:tcW w:w="444" w:type="pct"/>
                  <w:vMerge w:val="continue"/>
                  <w:vAlign w:val="center"/>
                </w:tcPr>
                <w:p>
                  <w:pPr>
                    <w:pStyle w:val="12"/>
                    <w:jc w:val="center"/>
                    <w:rPr>
                      <w:sz w:val="18"/>
                      <w:szCs w:val="18"/>
                    </w:rPr>
                  </w:pPr>
                </w:p>
              </w:tc>
              <w:tc>
                <w:tcPr>
                  <w:tcW w:w="471"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552" w:type="pct"/>
                  <w:vMerge w:val="continue"/>
                  <w:vAlign w:val="center"/>
                </w:tcPr>
                <w:p>
                  <w:pPr>
                    <w:pStyle w:val="12"/>
                    <w:jc w:val="center"/>
                    <w:rPr>
                      <w:sz w:val="18"/>
                      <w:szCs w:val="18"/>
                    </w:rPr>
                  </w:pPr>
                </w:p>
              </w:tc>
              <w:tc>
                <w:tcPr>
                  <w:tcW w:w="884" w:type="pct"/>
                  <w:vMerge w:val="continue"/>
                  <w:vAlign w:val="center"/>
                </w:tcPr>
                <w:p>
                  <w:pPr>
                    <w:pStyle w:val="12"/>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280" w:type="pct"/>
                  <w:vMerge w:val="continue"/>
                  <w:vAlign w:val="center"/>
                </w:tcPr>
                <w:p>
                  <w:pPr>
                    <w:pStyle w:val="12"/>
                    <w:jc w:val="center"/>
                    <w:rPr>
                      <w:sz w:val="18"/>
                      <w:szCs w:val="18"/>
                    </w:rPr>
                  </w:pPr>
                </w:p>
              </w:tc>
              <w:tc>
                <w:tcPr>
                  <w:tcW w:w="338" w:type="pct"/>
                  <w:vMerge w:val="continue"/>
                  <w:vAlign w:val="center"/>
                </w:tcPr>
                <w:p>
                  <w:pPr>
                    <w:pStyle w:val="12"/>
                    <w:jc w:val="center"/>
                    <w:rPr>
                      <w:sz w:val="18"/>
                      <w:szCs w:val="18"/>
                    </w:rPr>
                  </w:pPr>
                </w:p>
              </w:tc>
              <w:tc>
                <w:tcPr>
                  <w:tcW w:w="372" w:type="pct"/>
                  <w:vAlign w:val="center"/>
                </w:tcPr>
                <w:p>
                  <w:pPr>
                    <w:pStyle w:val="12"/>
                    <w:jc w:val="center"/>
                    <w:rPr>
                      <w:sz w:val="18"/>
                      <w:szCs w:val="18"/>
                    </w:rPr>
                  </w:pPr>
                  <w:r>
                    <w:rPr>
                      <w:sz w:val="18"/>
                      <w:szCs w:val="18"/>
                    </w:rPr>
                    <w:t>NH</w:t>
                  </w:r>
                  <w:r>
                    <w:rPr>
                      <w:sz w:val="18"/>
                      <w:szCs w:val="18"/>
                      <w:vertAlign w:val="subscript"/>
                    </w:rPr>
                    <w:t>3</w:t>
                  </w:r>
                  <w:r>
                    <w:rPr>
                      <w:sz w:val="18"/>
                      <w:szCs w:val="18"/>
                    </w:rPr>
                    <w:t>-N</w:t>
                  </w:r>
                </w:p>
              </w:tc>
              <w:tc>
                <w:tcPr>
                  <w:tcW w:w="501" w:type="pct"/>
                  <w:vMerge w:val="continue"/>
                  <w:vAlign w:val="center"/>
                </w:tcPr>
                <w:p>
                  <w:pPr>
                    <w:pStyle w:val="12"/>
                    <w:jc w:val="center"/>
                    <w:rPr>
                      <w:sz w:val="18"/>
                      <w:szCs w:val="18"/>
                    </w:rPr>
                  </w:pPr>
                </w:p>
              </w:tc>
              <w:tc>
                <w:tcPr>
                  <w:tcW w:w="404" w:type="pct"/>
                  <w:vMerge w:val="continue"/>
                  <w:vAlign w:val="center"/>
                </w:tcPr>
                <w:p>
                  <w:pPr>
                    <w:pStyle w:val="12"/>
                    <w:jc w:val="center"/>
                    <w:rPr>
                      <w:sz w:val="18"/>
                      <w:szCs w:val="18"/>
                    </w:rPr>
                  </w:pPr>
                </w:p>
              </w:tc>
              <w:tc>
                <w:tcPr>
                  <w:tcW w:w="444" w:type="pct"/>
                  <w:vMerge w:val="continue"/>
                  <w:vAlign w:val="center"/>
                </w:tcPr>
                <w:p>
                  <w:pPr>
                    <w:pStyle w:val="12"/>
                    <w:jc w:val="center"/>
                    <w:rPr>
                      <w:sz w:val="18"/>
                      <w:szCs w:val="18"/>
                    </w:rPr>
                  </w:pPr>
                </w:p>
              </w:tc>
              <w:tc>
                <w:tcPr>
                  <w:tcW w:w="471"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377" w:type="pct"/>
                  <w:vMerge w:val="continue"/>
                  <w:vAlign w:val="center"/>
                </w:tcPr>
                <w:p>
                  <w:pPr>
                    <w:pStyle w:val="12"/>
                    <w:jc w:val="center"/>
                    <w:rPr>
                      <w:sz w:val="18"/>
                      <w:szCs w:val="18"/>
                    </w:rPr>
                  </w:pPr>
                </w:p>
              </w:tc>
              <w:tc>
                <w:tcPr>
                  <w:tcW w:w="552" w:type="pct"/>
                  <w:vMerge w:val="continue"/>
                  <w:vAlign w:val="center"/>
                </w:tcPr>
                <w:p>
                  <w:pPr>
                    <w:pStyle w:val="12"/>
                    <w:jc w:val="center"/>
                    <w:rPr>
                      <w:sz w:val="18"/>
                      <w:szCs w:val="18"/>
                    </w:rPr>
                  </w:pPr>
                </w:p>
              </w:tc>
              <w:tc>
                <w:tcPr>
                  <w:tcW w:w="884" w:type="pct"/>
                  <w:vMerge w:val="continue"/>
                  <w:vAlign w:val="center"/>
                </w:tcPr>
                <w:p>
                  <w:pPr>
                    <w:pStyle w:val="12"/>
                    <w:jc w:val="center"/>
                    <w:rPr>
                      <w:sz w:val="18"/>
                      <w:szCs w:val="18"/>
                    </w:rPr>
                  </w:pPr>
                </w:p>
              </w:tc>
            </w:tr>
          </w:tbl>
          <w:p>
            <w:pPr>
              <w:autoSpaceDE w:val="0"/>
              <w:autoSpaceDN w:val="0"/>
              <w:adjustRightInd w:val="0"/>
              <w:snapToGrid w:val="0"/>
              <w:jc w:val="center"/>
              <w:rPr>
                <w:b/>
                <w:bCs/>
                <w:kern w:val="0"/>
                <w:szCs w:val="21"/>
              </w:rPr>
            </w:pPr>
            <w:r>
              <w:rPr>
                <w:b/>
                <w:bCs/>
                <w:kern w:val="0"/>
                <w:szCs w:val="21"/>
              </w:rPr>
              <w:t>表</w:t>
            </w:r>
            <w:r>
              <w:rPr>
                <w:rFonts w:hint="eastAsia"/>
                <w:b/>
                <w:bCs/>
                <w:kern w:val="0"/>
                <w:szCs w:val="21"/>
              </w:rPr>
              <w:t>23</w:t>
            </w:r>
            <w:r>
              <w:rPr>
                <w:b/>
                <w:bCs/>
                <w:kern w:val="0"/>
                <w:szCs w:val="21"/>
              </w:rPr>
              <w:t>废水排放口（间接）基本情况表</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713"/>
              <w:gridCol w:w="749"/>
              <w:gridCol w:w="751"/>
              <w:gridCol w:w="738"/>
              <w:gridCol w:w="1025"/>
              <w:gridCol w:w="647"/>
              <w:gridCol w:w="689"/>
              <w:gridCol w:w="665"/>
              <w:gridCol w:w="700"/>
              <w:gridCol w:w="1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restart"/>
                  <w:vAlign w:val="center"/>
                </w:tcPr>
                <w:p>
                  <w:pPr>
                    <w:jc w:val="center"/>
                    <w:rPr>
                      <w:sz w:val="18"/>
                      <w:szCs w:val="18"/>
                    </w:rPr>
                  </w:pPr>
                  <w:r>
                    <w:rPr>
                      <w:sz w:val="18"/>
                      <w:szCs w:val="18"/>
                    </w:rPr>
                    <w:t>序号</w:t>
                  </w:r>
                </w:p>
              </w:tc>
              <w:tc>
                <w:tcPr>
                  <w:tcW w:w="390" w:type="pct"/>
                  <w:vMerge w:val="restart"/>
                  <w:vAlign w:val="center"/>
                </w:tcPr>
                <w:p>
                  <w:pPr>
                    <w:jc w:val="center"/>
                    <w:rPr>
                      <w:sz w:val="18"/>
                      <w:szCs w:val="18"/>
                    </w:rPr>
                  </w:pPr>
                  <w:r>
                    <w:rPr>
                      <w:sz w:val="18"/>
                      <w:szCs w:val="18"/>
                    </w:rPr>
                    <w:t>排放口编号</w:t>
                  </w:r>
                </w:p>
              </w:tc>
              <w:tc>
                <w:tcPr>
                  <w:tcW w:w="821" w:type="pct"/>
                  <w:gridSpan w:val="2"/>
                  <w:vAlign w:val="center"/>
                </w:tcPr>
                <w:p>
                  <w:pPr>
                    <w:jc w:val="center"/>
                    <w:rPr>
                      <w:sz w:val="18"/>
                      <w:szCs w:val="18"/>
                    </w:rPr>
                  </w:pPr>
                  <w:r>
                    <w:rPr>
                      <w:sz w:val="18"/>
                      <w:szCs w:val="18"/>
                    </w:rPr>
                    <w:t>排放口坐标</w:t>
                  </w:r>
                </w:p>
              </w:tc>
              <w:tc>
                <w:tcPr>
                  <w:tcW w:w="404" w:type="pct"/>
                  <w:vMerge w:val="restart"/>
                  <w:vAlign w:val="center"/>
                </w:tcPr>
                <w:p>
                  <w:pPr>
                    <w:jc w:val="center"/>
                    <w:rPr>
                      <w:sz w:val="18"/>
                      <w:szCs w:val="18"/>
                    </w:rPr>
                  </w:pPr>
                  <w:r>
                    <w:rPr>
                      <w:sz w:val="18"/>
                      <w:szCs w:val="18"/>
                    </w:rPr>
                    <w:t>废水排放量（万t/a）</w:t>
                  </w:r>
                </w:p>
              </w:tc>
              <w:tc>
                <w:tcPr>
                  <w:tcW w:w="561" w:type="pct"/>
                  <w:vMerge w:val="restart"/>
                  <w:vAlign w:val="center"/>
                </w:tcPr>
                <w:p>
                  <w:pPr>
                    <w:jc w:val="center"/>
                    <w:rPr>
                      <w:sz w:val="18"/>
                      <w:szCs w:val="18"/>
                    </w:rPr>
                  </w:pPr>
                  <w:r>
                    <w:rPr>
                      <w:sz w:val="18"/>
                      <w:szCs w:val="18"/>
                    </w:rPr>
                    <w:t>排放去向</w:t>
                  </w:r>
                </w:p>
              </w:tc>
              <w:tc>
                <w:tcPr>
                  <w:tcW w:w="354" w:type="pct"/>
                  <w:vMerge w:val="restart"/>
                  <w:vAlign w:val="center"/>
                </w:tcPr>
                <w:p>
                  <w:pPr>
                    <w:jc w:val="center"/>
                    <w:rPr>
                      <w:sz w:val="18"/>
                      <w:szCs w:val="18"/>
                    </w:rPr>
                  </w:pPr>
                  <w:r>
                    <w:rPr>
                      <w:sz w:val="18"/>
                      <w:szCs w:val="18"/>
                    </w:rPr>
                    <w:t>排放规律</w:t>
                  </w:r>
                </w:p>
              </w:tc>
              <w:tc>
                <w:tcPr>
                  <w:tcW w:w="377" w:type="pct"/>
                  <w:vMerge w:val="restart"/>
                  <w:vAlign w:val="center"/>
                </w:tcPr>
                <w:p>
                  <w:pPr>
                    <w:jc w:val="center"/>
                    <w:rPr>
                      <w:sz w:val="18"/>
                      <w:szCs w:val="18"/>
                    </w:rPr>
                  </w:pPr>
                  <w:r>
                    <w:rPr>
                      <w:sz w:val="18"/>
                      <w:szCs w:val="18"/>
                    </w:rPr>
                    <w:t>间歇排放时段</w:t>
                  </w:r>
                </w:p>
              </w:tc>
              <w:tc>
                <w:tcPr>
                  <w:tcW w:w="1813" w:type="pct"/>
                  <w:gridSpan w:val="3"/>
                  <w:vAlign w:val="center"/>
                </w:tcPr>
                <w:p>
                  <w:pPr>
                    <w:jc w:val="center"/>
                    <w:rPr>
                      <w:sz w:val="18"/>
                      <w:szCs w:val="18"/>
                    </w:rPr>
                  </w:pPr>
                  <w:r>
                    <w:rPr>
                      <w:sz w:val="18"/>
                      <w:szCs w:val="18"/>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continue"/>
                  <w:vAlign w:val="center"/>
                </w:tcPr>
                <w:p>
                  <w:pPr>
                    <w:jc w:val="center"/>
                    <w:rPr>
                      <w:sz w:val="18"/>
                      <w:szCs w:val="18"/>
                    </w:rPr>
                  </w:pPr>
                </w:p>
              </w:tc>
              <w:tc>
                <w:tcPr>
                  <w:tcW w:w="390" w:type="pct"/>
                  <w:vMerge w:val="continue"/>
                  <w:vAlign w:val="center"/>
                </w:tcPr>
                <w:p>
                  <w:pPr>
                    <w:jc w:val="center"/>
                    <w:rPr>
                      <w:sz w:val="18"/>
                      <w:szCs w:val="18"/>
                    </w:rPr>
                  </w:pPr>
                </w:p>
              </w:tc>
              <w:tc>
                <w:tcPr>
                  <w:tcW w:w="410" w:type="pct"/>
                  <w:vAlign w:val="center"/>
                </w:tcPr>
                <w:p>
                  <w:pPr>
                    <w:jc w:val="center"/>
                    <w:rPr>
                      <w:sz w:val="18"/>
                      <w:szCs w:val="18"/>
                    </w:rPr>
                  </w:pPr>
                  <w:r>
                    <w:rPr>
                      <w:sz w:val="18"/>
                      <w:szCs w:val="18"/>
                    </w:rPr>
                    <w:t>经度</w:t>
                  </w:r>
                </w:p>
              </w:tc>
              <w:tc>
                <w:tcPr>
                  <w:tcW w:w="411" w:type="pct"/>
                  <w:vAlign w:val="center"/>
                </w:tcPr>
                <w:p>
                  <w:pPr>
                    <w:jc w:val="center"/>
                    <w:rPr>
                      <w:sz w:val="18"/>
                      <w:szCs w:val="18"/>
                    </w:rPr>
                  </w:pPr>
                  <w:r>
                    <w:rPr>
                      <w:sz w:val="18"/>
                      <w:szCs w:val="18"/>
                    </w:rPr>
                    <w:t>纬度</w:t>
                  </w:r>
                </w:p>
              </w:tc>
              <w:tc>
                <w:tcPr>
                  <w:tcW w:w="404" w:type="pct"/>
                  <w:vMerge w:val="continue"/>
                  <w:vAlign w:val="center"/>
                </w:tcPr>
                <w:p>
                  <w:pPr>
                    <w:jc w:val="center"/>
                    <w:rPr>
                      <w:sz w:val="18"/>
                      <w:szCs w:val="18"/>
                    </w:rPr>
                  </w:pPr>
                </w:p>
              </w:tc>
              <w:tc>
                <w:tcPr>
                  <w:tcW w:w="561" w:type="pct"/>
                  <w:vMerge w:val="continue"/>
                  <w:vAlign w:val="center"/>
                </w:tcPr>
                <w:p>
                  <w:pPr>
                    <w:jc w:val="center"/>
                    <w:rPr>
                      <w:sz w:val="18"/>
                      <w:szCs w:val="18"/>
                    </w:rPr>
                  </w:pPr>
                </w:p>
              </w:tc>
              <w:tc>
                <w:tcPr>
                  <w:tcW w:w="354" w:type="pct"/>
                  <w:vMerge w:val="continue"/>
                  <w:vAlign w:val="center"/>
                </w:tcPr>
                <w:p>
                  <w:pPr>
                    <w:jc w:val="center"/>
                    <w:rPr>
                      <w:sz w:val="18"/>
                      <w:szCs w:val="18"/>
                    </w:rPr>
                  </w:pPr>
                </w:p>
              </w:tc>
              <w:tc>
                <w:tcPr>
                  <w:tcW w:w="377" w:type="pct"/>
                  <w:vMerge w:val="continue"/>
                  <w:vAlign w:val="center"/>
                </w:tcPr>
                <w:p>
                  <w:pPr>
                    <w:jc w:val="center"/>
                    <w:rPr>
                      <w:sz w:val="18"/>
                      <w:szCs w:val="18"/>
                    </w:rPr>
                  </w:pPr>
                </w:p>
              </w:tc>
              <w:tc>
                <w:tcPr>
                  <w:tcW w:w="364" w:type="pct"/>
                  <w:vAlign w:val="center"/>
                </w:tcPr>
                <w:p>
                  <w:pPr>
                    <w:jc w:val="center"/>
                    <w:rPr>
                      <w:sz w:val="18"/>
                      <w:szCs w:val="18"/>
                    </w:rPr>
                  </w:pPr>
                  <w:r>
                    <w:rPr>
                      <w:sz w:val="18"/>
                      <w:szCs w:val="18"/>
                    </w:rPr>
                    <w:t>名称</w:t>
                  </w:r>
                </w:p>
              </w:tc>
              <w:tc>
                <w:tcPr>
                  <w:tcW w:w="383" w:type="pct"/>
                  <w:vAlign w:val="center"/>
                </w:tcPr>
                <w:p>
                  <w:pPr>
                    <w:jc w:val="center"/>
                    <w:rPr>
                      <w:sz w:val="18"/>
                      <w:szCs w:val="18"/>
                    </w:rPr>
                  </w:pPr>
                  <w:r>
                    <w:rPr>
                      <w:sz w:val="18"/>
                      <w:szCs w:val="18"/>
                    </w:rPr>
                    <w:t>污染物种类</w:t>
                  </w:r>
                </w:p>
              </w:tc>
              <w:tc>
                <w:tcPr>
                  <w:tcW w:w="1066" w:type="pct"/>
                  <w:vAlign w:val="center"/>
                </w:tcPr>
                <w:p>
                  <w:pPr>
                    <w:jc w:val="center"/>
                    <w:rPr>
                      <w:sz w:val="18"/>
                      <w:szCs w:val="18"/>
                    </w:rPr>
                  </w:pPr>
                  <w:r>
                    <w:rPr>
                      <w:sz w:val="18"/>
                      <w:szCs w:val="18"/>
                    </w:rPr>
                    <w:t>《城镇污水处理厂污染物排放标准》(GB18918-2002)中的一级A标准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restart"/>
                  <w:vAlign w:val="center"/>
                </w:tcPr>
                <w:p>
                  <w:pPr>
                    <w:jc w:val="center"/>
                    <w:rPr>
                      <w:sz w:val="18"/>
                      <w:szCs w:val="18"/>
                    </w:rPr>
                  </w:pPr>
                  <w:r>
                    <w:rPr>
                      <w:sz w:val="18"/>
                      <w:szCs w:val="18"/>
                    </w:rPr>
                    <w:t>1</w:t>
                  </w:r>
                </w:p>
              </w:tc>
              <w:tc>
                <w:tcPr>
                  <w:tcW w:w="390" w:type="pct"/>
                  <w:vMerge w:val="restart"/>
                  <w:vAlign w:val="center"/>
                </w:tcPr>
                <w:p>
                  <w:pPr>
                    <w:jc w:val="center"/>
                    <w:rPr>
                      <w:sz w:val="18"/>
                      <w:szCs w:val="18"/>
                    </w:rPr>
                  </w:pPr>
                  <w:r>
                    <w:rPr>
                      <w:sz w:val="18"/>
                      <w:szCs w:val="18"/>
                    </w:rPr>
                    <w:t>废水排放口1</w:t>
                  </w:r>
                </w:p>
              </w:tc>
              <w:tc>
                <w:tcPr>
                  <w:tcW w:w="410" w:type="pct"/>
                  <w:vMerge w:val="restart"/>
                  <w:vAlign w:val="center"/>
                </w:tcPr>
                <w:p>
                  <w:pPr>
                    <w:pStyle w:val="12"/>
                    <w:jc w:val="center"/>
                    <w:rPr>
                      <w:sz w:val="18"/>
                      <w:szCs w:val="18"/>
                    </w:rPr>
                  </w:pPr>
                  <w:r>
                    <w:rPr>
                      <w:sz w:val="18"/>
                      <w:szCs w:val="18"/>
                    </w:rPr>
                    <w:t>东经117.107266766</w:t>
                  </w:r>
                </w:p>
              </w:tc>
              <w:tc>
                <w:tcPr>
                  <w:tcW w:w="411" w:type="pct"/>
                  <w:vMerge w:val="restart"/>
                  <w:vAlign w:val="center"/>
                </w:tcPr>
                <w:p>
                  <w:pPr>
                    <w:pStyle w:val="12"/>
                    <w:jc w:val="center"/>
                    <w:rPr>
                      <w:sz w:val="18"/>
                      <w:szCs w:val="18"/>
                    </w:rPr>
                  </w:pPr>
                  <w:r>
                    <w:rPr>
                      <w:sz w:val="18"/>
                      <w:szCs w:val="18"/>
                    </w:rPr>
                    <w:t>北纬32.622290177</w:t>
                  </w:r>
                </w:p>
              </w:tc>
              <w:tc>
                <w:tcPr>
                  <w:tcW w:w="404" w:type="pct"/>
                  <w:vMerge w:val="restart"/>
                  <w:vAlign w:val="center"/>
                </w:tcPr>
                <w:p>
                  <w:pPr>
                    <w:jc w:val="center"/>
                    <w:rPr>
                      <w:sz w:val="18"/>
                      <w:szCs w:val="18"/>
                    </w:rPr>
                  </w:pPr>
                  <w:r>
                    <w:rPr>
                      <w:rFonts w:hint="eastAsia"/>
                      <w:sz w:val="18"/>
                      <w:szCs w:val="18"/>
                    </w:rPr>
                    <w:t>0.06</w:t>
                  </w:r>
                </w:p>
              </w:tc>
              <w:tc>
                <w:tcPr>
                  <w:tcW w:w="561" w:type="pct"/>
                  <w:vMerge w:val="restart"/>
                  <w:vAlign w:val="center"/>
                </w:tcPr>
                <w:p>
                  <w:pPr>
                    <w:jc w:val="center"/>
                    <w:rPr>
                      <w:sz w:val="18"/>
                      <w:szCs w:val="18"/>
                    </w:rPr>
                  </w:pPr>
                  <w:r>
                    <w:rPr>
                      <w:rFonts w:hint="eastAsia"/>
                      <w:sz w:val="18"/>
                      <w:szCs w:val="18"/>
                    </w:rPr>
                    <w:t>经化粪池预处理后排入</w:t>
                  </w:r>
                  <w:r>
                    <w:rPr>
                      <w:sz w:val="18"/>
                      <w:szCs w:val="18"/>
                    </w:rPr>
                    <w:t>淮南首创第一污水处理厂</w:t>
                  </w:r>
                </w:p>
              </w:tc>
              <w:tc>
                <w:tcPr>
                  <w:tcW w:w="354" w:type="pct"/>
                  <w:vMerge w:val="restart"/>
                  <w:vAlign w:val="center"/>
                </w:tcPr>
                <w:p>
                  <w:pPr>
                    <w:jc w:val="center"/>
                    <w:rPr>
                      <w:sz w:val="18"/>
                      <w:szCs w:val="18"/>
                    </w:rPr>
                  </w:pPr>
                  <w:r>
                    <w:rPr>
                      <w:sz w:val="18"/>
                      <w:szCs w:val="18"/>
                    </w:rPr>
                    <w:t>连续排放</w:t>
                  </w:r>
                </w:p>
              </w:tc>
              <w:tc>
                <w:tcPr>
                  <w:tcW w:w="377" w:type="pct"/>
                  <w:vMerge w:val="restart"/>
                  <w:vAlign w:val="center"/>
                </w:tcPr>
                <w:p>
                  <w:pPr>
                    <w:jc w:val="center"/>
                    <w:rPr>
                      <w:sz w:val="18"/>
                      <w:szCs w:val="18"/>
                    </w:rPr>
                  </w:pPr>
                  <w:r>
                    <w:rPr>
                      <w:sz w:val="18"/>
                      <w:szCs w:val="18"/>
                    </w:rPr>
                    <w:t>/</w:t>
                  </w:r>
                </w:p>
              </w:tc>
              <w:tc>
                <w:tcPr>
                  <w:tcW w:w="364" w:type="pct"/>
                  <w:vMerge w:val="restart"/>
                  <w:vAlign w:val="center"/>
                </w:tcPr>
                <w:p>
                  <w:pPr>
                    <w:jc w:val="center"/>
                    <w:rPr>
                      <w:sz w:val="18"/>
                      <w:szCs w:val="18"/>
                    </w:rPr>
                  </w:pPr>
                  <w:r>
                    <w:rPr>
                      <w:sz w:val="18"/>
                      <w:szCs w:val="18"/>
                    </w:rPr>
                    <w:t>淮南首创第一污水处理厂</w:t>
                  </w:r>
                </w:p>
              </w:tc>
              <w:tc>
                <w:tcPr>
                  <w:tcW w:w="383" w:type="pct"/>
                  <w:vAlign w:val="center"/>
                </w:tcPr>
                <w:p>
                  <w:pPr>
                    <w:jc w:val="center"/>
                    <w:rPr>
                      <w:sz w:val="18"/>
                      <w:szCs w:val="18"/>
                    </w:rPr>
                  </w:pPr>
                  <w:r>
                    <w:rPr>
                      <w:sz w:val="18"/>
                      <w:szCs w:val="18"/>
                    </w:rPr>
                    <w:t>COD</w:t>
                  </w:r>
                </w:p>
              </w:tc>
              <w:tc>
                <w:tcPr>
                  <w:tcW w:w="1066" w:type="pct"/>
                  <w:vAlign w:val="center"/>
                </w:tcPr>
                <w:p>
                  <w:pPr>
                    <w:jc w:val="center"/>
                    <w:rPr>
                      <w:sz w:val="18"/>
                      <w:szCs w:val="18"/>
                    </w:rPr>
                  </w:pPr>
                  <w:r>
                    <w:rPr>
                      <w:rFonts w:hint="eastAsia"/>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continue"/>
                  <w:vAlign w:val="center"/>
                </w:tcPr>
                <w:p>
                  <w:pPr>
                    <w:rPr>
                      <w:sz w:val="18"/>
                      <w:szCs w:val="18"/>
                    </w:rPr>
                  </w:pPr>
                </w:p>
              </w:tc>
              <w:tc>
                <w:tcPr>
                  <w:tcW w:w="390" w:type="pct"/>
                  <w:vMerge w:val="continue"/>
                  <w:vAlign w:val="center"/>
                </w:tcPr>
                <w:p>
                  <w:pPr>
                    <w:rPr>
                      <w:sz w:val="18"/>
                      <w:szCs w:val="18"/>
                    </w:rPr>
                  </w:pPr>
                </w:p>
              </w:tc>
              <w:tc>
                <w:tcPr>
                  <w:tcW w:w="410" w:type="pct"/>
                  <w:vMerge w:val="continue"/>
                  <w:vAlign w:val="center"/>
                </w:tcPr>
                <w:p>
                  <w:pPr>
                    <w:rPr>
                      <w:sz w:val="18"/>
                      <w:szCs w:val="18"/>
                    </w:rPr>
                  </w:pPr>
                </w:p>
              </w:tc>
              <w:tc>
                <w:tcPr>
                  <w:tcW w:w="411" w:type="pct"/>
                  <w:vMerge w:val="continue"/>
                  <w:vAlign w:val="center"/>
                </w:tcPr>
                <w:p>
                  <w:pPr>
                    <w:rPr>
                      <w:sz w:val="18"/>
                      <w:szCs w:val="18"/>
                    </w:rPr>
                  </w:pPr>
                </w:p>
              </w:tc>
              <w:tc>
                <w:tcPr>
                  <w:tcW w:w="404" w:type="pct"/>
                  <w:vMerge w:val="continue"/>
                  <w:vAlign w:val="center"/>
                </w:tcPr>
                <w:p>
                  <w:pPr>
                    <w:rPr>
                      <w:sz w:val="18"/>
                      <w:szCs w:val="18"/>
                    </w:rPr>
                  </w:pPr>
                </w:p>
              </w:tc>
              <w:tc>
                <w:tcPr>
                  <w:tcW w:w="561" w:type="pct"/>
                  <w:vMerge w:val="continue"/>
                  <w:vAlign w:val="center"/>
                </w:tcPr>
                <w:p>
                  <w:pPr>
                    <w:rPr>
                      <w:sz w:val="18"/>
                      <w:szCs w:val="18"/>
                    </w:rPr>
                  </w:pPr>
                </w:p>
              </w:tc>
              <w:tc>
                <w:tcPr>
                  <w:tcW w:w="354" w:type="pct"/>
                  <w:vMerge w:val="continue"/>
                  <w:vAlign w:val="center"/>
                </w:tcPr>
                <w:p>
                  <w:pPr>
                    <w:rPr>
                      <w:sz w:val="18"/>
                      <w:szCs w:val="18"/>
                    </w:rPr>
                  </w:pPr>
                </w:p>
              </w:tc>
              <w:tc>
                <w:tcPr>
                  <w:tcW w:w="377" w:type="pct"/>
                  <w:vMerge w:val="continue"/>
                  <w:vAlign w:val="center"/>
                </w:tcPr>
                <w:p>
                  <w:pPr>
                    <w:rPr>
                      <w:sz w:val="18"/>
                      <w:szCs w:val="18"/>
                    </w:rPr>
                  </w:pPr>
                </w:p>
              </w:tc>
              <w:tc>
                <w:tcPr>
                  <w:tcW w:w="364" w:type="pct"/>
                  <w:vMerge w:val="continue"/>
                  <w:vAlign w:val="center"/>
                </w:tcPr>
                <w:p>
                  <w:pPr>
                    <w:rPr>
                      <w:sz w:val="18"/>
                      <w:szCs w:val="18"/>
                    </w:rPr>
                  </w:pPr>
                </w:p>
              </w:tc>
              <w:tc>
                <w:tcPr>
                  <w:tcW w:w="383" w:type="pct"/>
                  <w:vAlign w:val="center"/>
                </w:tcPr>
                <w:p>
                  <w:pPr>
                    <w:jc w:val="center"/>
                    <w:rPr>
                      <w:sz w:val="18"/>
                      <w:szCs w:val="18"/>
                    </w:rPr>
                  </w:pPr>
                  <w:r>
                    <w:rPr>
                      <w:sz w:val="18"/>
                      <w:szCs w:val="18"/>
                    </w:rPr>
                    <w:t>SS</w:t>
                  </w:r>
                </w:p>
              </w:tc>
              <w:tc>
                <w:tcPr>
                  <w:tcW w:w="1066" w:type="pct"/>
                  <w:vAlign w:val="center"/>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 w:type="pct"/>
                  <w:vMerge w:val="continue"/>
                  <w:vAlign w:val="center"/>
                </w:tcPr>
                <w:p>
                  <w:pPr>
                    <w:rPr>
                      <w:sz w:val="18"/>
                      <w:szCs w:val="18"/>
                    </w:rPr>
                  </w:pPr>
                </w:p>
              </w:tc>
              <w:tc>
                <w:tcPr>
                  <w:tcW w:w="390" w:type="pct"/>
                  <w:vMerge w:val="continue"/>
                  <w:vAlign w:val="center"/>
                </w:tcPr>
                <w:p>
                  <w:pPr>
                    <w:rPr>
                      <w:sz w:val="18"/>
                      <w:szCs w:val="18"/>
                    </w:rPr>
                  </w:pPr>
                </w:p>
              </w:tc>
              <w:tc>
                <w:tcPr>
                  <w:tcW w:w="410" w:type="pct"/>
                  <w:vMerge w:val="continue"/>
                  <w:vAlign w:val="center"/>
                </w:tcPr>
                <w:p>
                  <w:pPr>
                    <w:rPr>
                      <w:sz w:val="18"/>
                      <w:szCs w:val="18"/>
                    </w:rPr>
                  </w:pPr>
                </w:p>
              </w:tc>
              <w:tc>
                <w:tcPr>
                  <w:tcW w:w="411" w:type="pct"/>
                  <w:vMerge w:val="continue"/>
                  <w:vAlign w:val="center"/>
                </w:tcPr>
                <w:p>
                  <w:pPr>
                    <w:rPr>
                      <w:sz w:val="18"/>
                      <w:szCs w:val="18"/>
                    </w:rPr>
                  </w:pPr>
                </w:p>
              </w:tc>
              <w:tc>
                <w:tcPr>
                  <w:tcW w:w="404" w:type="pct"/>
                  <w:vMerge w:val="continue"/>
                  <w:vAlign w:val="center"/>
                </w:tcPr>
                <w:p>
                  <w:pPr>
                    <w:rPr>
                      <w:sz w:val="18"/>
                      <w:szCs w:val="18"/>
                    </w:rPr>
                  </w:pPr>
                </w:p>
              </w:tc>
              <w:tc>
                <w:tcPr>
                  <w:tcW w:w="561" w:type="pct"/>
                  <w:vMerge w:val="continue"/>
                  <w:vAlign w:val="center"/>
                </w:tcPr>
                <w:p>
                  <w:pPr>
                    <w:rPr>
                      <w:sz w:val="18"/>
                      <w:szCs w:val="18"/>
                    </w:rPr>
                  </w:pPr>
                </w:p>
              </w:tc>
              <w:tc>
                <w:tcPr>
                  <w:tcW w:w="354" w:type="pct"/>
                  <w:vMerge w:val="continue"/>
                  <w:vAlign w:val="center"/>
                </w:tcPr>
                <w:p>
                  <w:pPr>
                    <w:rPr>
                      <w:sz w:val="18"/>
                      <w:szCs w:val="18"/>
                    </w:rPr>
                  </w:pPr>
                </w:p>
              </w:tc>
              <w:tc>
                <w:tcPr>
                  <w:tcW w:w="377" w:type="pct"/>
                  <w:vMerge w:val="continue"/>
                  <w:vAlign w:val="center"/>
                </w:tcPr>
                <w:p>
                  <w:pPr>
                    <w:rPr>
                      <w:sz w:val="18"/>
                      <w:szCs w:val="18"/>
                    </w:rPr>
                  </w:pPr>
                </w:p>
              </w:tc>
              <w:tc>
                <w:tcPr>
                  <w:tcW w:w="364" w:type="pct"/>
                  <w:vMerge w:val="continue"/>
                  <w:vAlign w:val="center"/>
                </w:tcPr>
                <w:p>
                  <w:pPr>
                    <w:rPr>
                      <w:sz w:val="18"/>
                      <w:szCs w:val="18"/>
                    </w:rPr>
                  </w:pPr>
                </w:p>
              </w:tc>
              <w:tc>
                <w:tcPr>
                  <w:tcW w:w="383" w:type="pct"/>
                  <w:vAlign w:val="center"/>
                </w:tcPr>
                <w:p>
                  <w:pPr>
                    <w:pStyle w:val="12"/>
                    <w:jc w:val="center"/>
                    <w:rPr>
                      <w:sz w:val="18"/>
                      <w:szCs w:val="18"/>
                    </w:rPr>
                  </w:pPr>
                  <w:r>
                    <w:rPr>
                      <w:sz w:val="18"/>
                      <w:szCs w:val="18"/>
                    </w:rPr>
                    <w:t>BOD</w:t>
                  </w:r>
                  <w:r>
                    <w:rPr>
                      <w:sz w:val="18"/>
                      <w:szCs w:val="18"/>
                      <w:vertAlign w:val="subscript"/>
                    </w:rPr>
                    <w:t>5</w:t>
                  </w:r>
                </w:p>
              </w:tc>
              <w:tc>
                <w:tcPr>
                  <w:tcW w:w="1066" w:type="pct"/>
                  <w:vAlign w:val="center"/>
                </w:tcPr>
                <w:p>
                  <w:pPr>
                    <w:jc w:val="cente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80" w:type="pct"/>
                  <w:vMerge w:val="continue"/>
                  <w:vAlign w:val="center"/>
                </w:tcPr>
                <w:p>
                  <w:pPr>
                    <w:rPr>
                      <w:sz w:val="18"/>
                      <w:szCs w:val="18"/>
                    </w:rPr>
                  </w:pPr>
                </w:p>
              </w:tc>
              <w:tc>
                <w:tcPr>
                  <w:tcW w:w="390" w:type="pct"/>
                  <w:vMerge w:val="continue"/>
                  <w:vAlign w:val="center"/>
                </w:tcPr>
                <w:p>
                  <w:pPr>
                    <w:rPr>
                      <w:sz w:val="18"/>
                      <w:szCs w:val="18"/>
                    </w:rPr>
                  </w:pPr>
                </w:p>
              </w:tc>
              <w:tc>
                <w:tcPr>
                  <w:tcW w:w="410" w:type="pct"/>
                  <w:vMerge w:val="continue"/>
                  <w:vAlign w:val="center"/>
                </w:tcPr>
                <w:p>
                  <w:pPr>
                    <w:rPr>
                      <w:sz w:val="18"/>
                      <w:szCs w:val="18"/>
                    </w:rPr>
                  </w:pPr>
                </w:p>
              </w:tc>
              <w:tc>
                <w:tcPr>
                  <w:tcW w:w="411" w:type="pct"/>
                  <w:vMerge w:val="continue"/>
                  <w:vAlign w:val="center"/>
                </w:tcPr>
                <w:p>
                  <w:pPr>
                    <w:rPr>
                      <w:sz w:val="18"/>
                      <w:szCs w:val="18"/>
                    </w:rPr>
                  </w:pPr>
                </w:p>
              </w:tc>
              <w:tc>
                <w:tcPr>
                  <w:tcW w:w="404" w:type="pct"/>
                  <w:vMerge w:val="continue"/>
                  <w:vAlign w:val="center"/>
                </w:tcPr>
                <w:p>
                  <w:pPr>
                    <w:rPr>
                      <w:sz w:val="18"/>
                      <w:szCs w:val="18"/>
                    </w:rPr>
                  </w:pPr>
                </w:p>
              </w:tc>
              <w:tc>
                <w:tcPr>
                  <w:tcW w:w="561" w:type="pct"/>
                  <w:vMerge w:val="continue"/>
                  <w:vAlign w:val="center"/>
                </w:tcPr>
                <w:p>
                  <w:pPr>
                    <w:rPr>
                      <w:sz w:val="18"/>
                      <w:szCs w:val="18"/>
                    </w:rPr>
                  </w:pPr>
                </w:p>
              </w:tc>
              <w:tc>
                <w:tcPr>
                  <w:tcW w:w="354" w:type="pct"/>
                  <w:vMerge w:val="continue"/>
                  <w:vAlign w:val="center"/>
                </w:tcPr>
                <w:p>
                  <w:pPr>
                    <w:rPr>
                      <w:sz w:val="18"/>
                      <w:szCs w:val="18"/>
                    </w:rPr>
                  </w:pPr>
                </w:p>
              </w:tc>
              <w:tc>
                <w:tcPr>
                  <w:tcW w:w="377" w:type="pct"/>
                  <w:vMerge w:val="continue"/>
                  <w:vAlign w:val="center"/>
                </w:tcPr>
                <w:p>
                  <w:pPr>
                    <w:rPr>
                      <w:sz w:val="18"/>
                      <w:szCs w:val="18"/>
                    </w:rPr>
                  </w:pPr>
                </w:p>
              </w:tc>
              <w:tc>
                <w:tcPr>
                  <w:tcW w:w="364" w:type="pct"/>
                  <w:vMerge w:val="continue"/>
                  <w:vAlign w:val="center"/>
                </w:tcPr>
                <w:p>
                  <w:pPr>
                    <w:rPr>
                      <w:sz w:val="18"/>
                      <w:szCs w:val="18"/>
                    </w:rPr>
                  </w:pPr>
                </w:p>
              </w:tc>
              <w:tc>
                <w:tcPr>
                  <w:tcW w:w="383" w:type="pct"/>
                  <w:vAlign w:val="center"/>
                </w:tcPr>
                <w:p>
                  <w:pPr>
                    <w:jc w:val="center"/>
                    <w:rPr>
                      <w:sz w:val="18"/>
                      <w:szCs w:val="18"/>
                    </w:rPr>
                  </w:pPr>
                  <w:r>
                    <w:rPr>
                      <w:sz w:val="18"/>
                      <w:szCs w:val="18"/>
                    </w:rPr>
                    <w:t>NH</w:t>
                  </w:r>
                  <w:r>
                    <w:rPr>
                      <w:sz w:val="18"/>
                      <w:szCs w:val="18"/>
                      <w:vertAlign w:val="subscript"/>
                    </w:rPr>
                    <w:t>3</w:t>
                  </w:r>
                  <w:r>
                    <w:rPr>
                      <w:sz w:val="18"/>
                      <w:szCs w:val="18"/>
                    </w:rPr>
                    <w:t>-N</w:t>
                  </w:r>
                </w:p>
              </w:tc>
              <w:tc>
                <w:tcPr>
                  <w:tcW w:w="1066" w:type="pct"/>
                  <w:vAlign w:val="center"/>
                </w:tcPr>
                <w:p>
                  <w:pPr>
                    <w:jc w:val="center"/>
                    <w:rPr>
                      <w:sz w:val="18"/>
                      <w:szCs w:val="18"/>
                    </w:rPr>
                  </w:pPr>
                  <w:r>
                    <w:rPr>
                      <w:rFonts w:hint="eastAsia"/>
                      <w:sz w:val="18"/>
                      <w:szCs w:val="18"/>
                    </w:rPr>
                    <w:t>5</w:t>
                  </w:r>
                </w:p>
              </w:tc>
            </w:tr>
          </w:tbl>
          <w:p>
            <w:pPr>
              <w:autoSpaceDE w:val="0"/>
              <w:autoSpaceDN w:val="0"/>
              <w:adjustRightInd w:val="0"/>
              <w:snapToGrid w:val="0"/>
              <w:jc w:val="center"/>
              <w:rPr>
                <w:b/>
                <w:bCs/>
                <w:kern w:val="0"/>
                <w:szCs w:val="21"/>
              </w:rPr>
            </w:pPr>
            <w:r>
              <w:rPr>
                <w:b/>
                <w:bCs/>
                <w:kern w:val="0"/>
                <w:szCs w:val="21"/>
              </w:rPr>
              <w:t>表</w:t>
            </w:r>
            <w:r>
              <w:rPr>
                <w:rFonts w:hint="eastAsia"/>
                <w:b/>
                <w:bCs/>
                <w:kern w:val="0"/>
                <w:szCs w:val="21"/>
              </w:rPr>
              <w:t>24</w:t>
            </w:r>
            <w:r>
              <w:rPr>
                <w:b/>
                <w:bCs/>
                <w:kern w:val="0"/>
                <w:szCs w:val="21"/>
              </w:rPr>
              <w:t>废水污染物排放信息表</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523"/>
              <w:gridCol w:w="1523"/>
              <w:gridCol w:w="1523"/>
              <w:gridCol w:w="1523"/>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Align w:val="center"/>
                </w:tcPr>
                <w:p>
                  <w:pPr>
                    <w:pStyle w:val="12"/>
                    <w:snapToGrid w:val="0"/>
                    <w:spacing w:after="0"/>
                    <w:jc w:val="center"/>
                    <w:rPr>
                      <w:szCs w:val="21"/>
                    </w:rPr>
                  </w:pPr>
                  <w:r>
                    <w:rPr>
                      <w:szCs w:val="21"/>
                    </w:rPr>
                    <w:t>序号</w:t>
                  </w:r>
                </w:p>
              </w:tc>
              <w:tc>
                <w:tcPr>
                  <w:tcW w:w="1523" w:type="dxa"/>
                  <w:vAlign w:val="center"/>
                </w:tcPr>
                <w:p>
                  <w:pPr>
                    <w:pStyle w:val="12"/>
                    <w:snapToGrid w:val="0"/>
                    <w:spacing w:after="0"/>
                    <w:jc w:val="center"/>
                    <w:rPr>
                      <w:szCs w:val="21"/>
                    </w:rPr>
                  </w:pPr>
                  <w:r>
                    <w:rPr>
                      <w:szCs w:val="21"/>
                    </w:rPr>
                    <w:t>排放口编号</w:t>
                  </w:r>
                </w:p>
              </w:tc>
              <w:tc>
                <w:tcPr>
                  <w:tcW w:w="1523" w:type="dxa"/>
                  <w:vAlign w:val="center"/>
                </w:tcPr>
                <w:p>
                  <w:pPr>
                    <w:pStyle w:val="12"/>
                    <w:snapToGrid w:val="0"/>
                    <w:spacing w:after="0"/>
                    <w:jc w:val="center"/>
                    <w:rPr>
                      <w:szCs w:val="21"/>
                    </w:rPr>
                  </w:pPr>
                  <w:r>
                    <w:rPr>
                      <w:szCs w:val="21"/>
                    </w:rPr>
                    <w:t>污染物种类</w:t>
                  </w:r>
                </w:p>
              </w:tc>
              <w:tc>
                <w:tcPr>
                  <w:tcW w:w="1523" w:type="dxa"/>
                  <w:vAlign w:val="center"/>
                </w:tcPr>
                <w:p>
                  <w:pPr>
                    <w:pStyle w:val="12"/>
                    <w:snapToGrid w:val="0"/>
                    <w:spacing w:after="0"/>
                    <w:jc w:val="center"/>
                    <w:rPr>
                      <w:szCs w:val="21"/>
                    </w:rPr>
                  </w:pPr>
                  <w:r>
                    <w:rPr>
                      <w:szCs w:val="21"/>
                    </w:rPr>
                    <w:t>排放浓度（mg/L）</w:t>
                  </w:r>
                </w:p>
              </w:tc>
              <w:tc>
                <w:tcPr>
                  <w:tcW w:w="1523" w:type="dxa"/>
                  <w:vAlign w:val="center"/>
                </w:tcPr>
                <w:p>
                  <w:pPr>
                    <w:pStyle w:val="12"/>
                    <w:snapToGrid w:val="0"/>
                    <w:spacing w:after="0"/>
                    <w:jc w:val="center"/>
                    <w:rPr>
                      <w:szCs w:val="21"/>
                    </w:rPr>
                  </w:pPr>
                  <w:r>
                    <w:rPr>
                      <w:szCs w:val="21"/>
                    </w:rPr>
                    <w:t>日排放量（kg/d）</w:t>
                  </w:r>
                </w:p>
              </w:tc>
              <w:tc>
                <w:tcPr>
                  <w:tcW w:w="1523" w:type="dxa"/>
                  <w:vAlign w:val="center"/>
                </w:tcPr>
                <w:p>
                  <w:pPr>
                    <w:pStyle w:val="12"/>
                    <w:snapToGrid w:val="0"/>
                    <w:spacing w:after="0"/>
                    <w:jc w:val="center"/>
                    <w:rPr>
                      <w:szCs w:val="21"/>
                    </w:rPr>
                  </w:pPr>
                  <w:r>
                    <w:rPr>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restart"/>
                  <w:vAlign w:val="center"/>
                </w:tcPr>
                <w:p>
                  <w:pPr>
                    <w:pStyle w:val="12"/>
                    <w:snapToGrid w:val="0"/>
                    <w:spacing w:after="0"/>
                    <w:jc w:val="center"/>
                    <w:rPr>
                      <w:szCs w:val="21"/>
                    </w:rPr>
                  </w:pPr>
                  <w:r>
                    <w:rPr>
                      <w:szCs w:val="21"/>
                    </w:rPr>
                    <w:t>1</w:t>
                  </w:r>
                </w:p>
              </w:tc>
              <w:tc>
                <w:tcPr>
                  <w:tcW w:w="1523" w:type="dxa"/>
                  <w:vMerge w:val="restart"/>
                  <w:vAlign w:val="center"/>
                </w:tcPr>
                <w:p>
                  <w:pPr>
                    <w:pStyle w:val="12"/>
                    <w:snapToGrid w:val="0"/>
                    <w:spacing w:after="0"/>
                    <w:jc w:val="center"/>
                    <w:rPr>
                      <w:szCs w:val="21"/>
                    </w:rPr>
                  </w:pPr>
                  <w:r>
                    <w:rPr>
                      <w:szCs w:val="21"/>
                    </w:rPr>
                    <w:t>废水排放口1</w:t>
                  </w:r>
                </w:p>
              </w:tc>
              <w:tc>
                <w:tcPr>
                  <w:tcW w:w="1523" w:type="dxa"/>
                  <w:vAlign w:val="center"/>
                </w:tcPr>
                <w:p>
                  <w:pPr>
                    <w:pStyle w:val="12"/>
                    <w:snapToGrid w:val="0"/>
                    <w:spacing w:after="0"/>
                    <w:jc w:val="center"/>
                    <w:rPr>
                      <w:szCs w:val="21"/>
                    </w:rPr>
                  </w:pPr>
                  <w:r>
                    <w:rPr>
                      <w:szCs w:val="21"/>
                    </w:rPr>
                    <w:t>COD</w:t>
                  </w:r>
                </w:p>
              </w:tc>
              <w:tc>
                <w:tcPr>
                  <w:tcW w:w="1523" w:type="dxa"/>
                  <w:vAlign w:val="center"/>
                </w:tcPr>
                <w:p>
                  <w:pPr>
                    <w:pStyle w:val="12"/>
                    <w:snapToGrid w:val="0"/>
                    <w:spacing w:after="0"/>
                    <w:jc w:val="center"/>
                    <w:rPr>
                      <w:szCs w:val="21"/>
                    </w:rPr>
                  </w:pPr>
                  <w:r>
                    <w:rPr>
                      <w:rFonts w:hint="eastAsia"/>
                      <w:szCs w:val="21"/>
                    </w:rPr>
                    <w:t>296</w:t>
                  </w:r>
                </w:p>
              </w:tc>
              <w:tc>
                <w:tcPr>
                  <w:tcW w:w="1523" w:type="dxa"/>
                  <w:vAlign w:val="center"/>
                </w:tcPr>
                <w:p>
                  <w:pPr>
                    <w:jc w:val="center"/>
                    <w:rPr>
                      <w:rFonts w:ascii="宋体" w:hAnsi="宋体" w:cs="宋体"/>
                      <w:color w:val="000000"/>
                      <w:sz w:val="22"/>
                      <w:szCs w:val="22"/>
                    </w:rPr>
                  </w:pPr>
                  <w:r>
                    <w:rPr>
                      <w:rFonts w:hint="eastAsia"/>
                      <w:color w:val="000000"/>
                      <w:sz w:val="22"/>
                      <w:szCs w:val="22"/>
                    </w:rPr>
                    <w:t>0.592</w:t>
                  </w:r>
                </w:p>
              </w:tc>
              <w:tc>
                <w:tcPr>
                  <w:tcW w:w="1523" w:type="dxa"/>
                  <w:vAlign w:val="center"/>
                </w:tcPr>
                <w:p>
                  <w:pPr>
                    <w:pStyle w:val="12"/>
                    <w:snapToGrid w:val="0"/>
                    <w:spacing w:after="0"/>
                    <w:jc w:val="center"/>
                    <w:rPr>
                      <w:szCs w:val="21"/>
                    </w:rPr>
                  </w:pPr>
                  <w:r>
                    <w:rPr>
                      <w:rFonts w:hint="eastAsia"/>
                      <w:szCs w:val="21"/>
                    </w:rPr>
                    <w:t>0.1776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vAlign w:val="center"/>
                </w:tcPr>
                <w:p>
                  <w:pPr>
                    <w:pStyle w:val="12"/>
                    <w:snapToGrid w:val="0"/>
                    <w:spacing w:after="0"/>
                    <w:jc w:val="center"/>
                    <w:rPr>
                      <w:szCs w:val="21"/>
                    </w:rPr>
                  </w:pPr>
                </w:p>
              </w:tc>
              <w:tc>
                <w:tcPr>
                  <w:tcW w:w="1523" w:type="dxa"/>
                  <w:vMerge w:val="continue"/>
                  <w:vAlign w:val="center"/>
                </w:tcPr>
                <w:p>
                  <w:pPr>
                    <w:pStyle w:val="12"/>
                    <w:snapToGrid w:val="0"/>
                    <w:spacing w:after="0"/>
                    <w:jc w:val="center"/>
                    <w:rPr>
                      <w:szCs w:val="21"/>
                    </w:rPr>
                  </w:pPr>
                </w:p>
              </w:tc>
              <w:tc>
                <w:tcPr>
                  <w:tcW w:w="1523" w:type="dxa"/>
                  <w:vAlign w:val="center"/>
                </w:tcPr>
                <w:p>
                  <w:pPr>
                    <w:pStyle w:val="12"/>
                    <w:snapToGrid w:val="0"/>
                    <w:spacing w:after="0"/>
                    <w:jc w:val="center"/>
                    <w:rPr>
                      <w:szCs w:val="21"/>
                    </w:rPr>
                  </w:pPr>
                  <w:r>
                    <w:rPr>
                      <w:szCs w:val="21"/>
                    </w:rPr>
                    <w:t>BOD</w:t>
                  </w:r>
                  <w:r>
                    <w:rPr>
                      <w:szCs w:val="21"/>
                      <w:vertAlign w:val="subscript"/>
                    </w:rPr>
                    <w:t>5</w:t>
                  </w:r>
                </w:p>
              </w:tc>
              <w:tc>
                <w:tcPr>
                  <w:tcW w:w="1523" w:type="dxa"/>
                  <w:vAlign w:val="center"/>
                </w:tcPr>
                <w:p>
                  <w:pPr>
                    <w:pStyle w:val="12"/>
                    <w:snapToGrid w:val="0"/>
                    <w:spacing w:after="0"/>
                    <w:jc w:val="center"/>
                    <w:rPr>
                      <w:szCs w:val="21"/>
                    </w:rPr>
                  </w:pPr>
                  <w:r>
                    <w:rPr>
                      <w:rFonts w:hint="eastAsia"/>
                      <w:szCs w:val="21"/>
                    </w:rPr>
                    <w:t>185</w:t>
                  </w:r>
                </w:p>
              </w:tc>
              <w:tc>
                <w:tcPr>
                  <w:tcW w:w="1523" w:type="dxa"/>
                  <w:vAlign w:val="center"/>
                </w:tcPr>
                <w:p>
                  <w:pPr>
                    <w:jc w:val="center"/>
                    <w:rPr>
                      <w:rFonts w:ascii="宋体" w:hAnsi="宋体" w:cs="宋体"/>
                      <w:color w:val="000000"/>
                      <w:sz w:val="22"/>
                      <w:szCs w:val="22"/>
                    </w:rPr>
                  </w:pPr>
                  <w:r>
                    <w:rPr>
                      <w:rFonts w:hint="eastAsia"/>
                      <w:color w:val="000000"/>
                      <w:sz w:val="22"/>
                      <w:szCs w:val="22"/>
                    </w:rPr>
                    <w:t>0.37</w:t>
                  </w:r>
                </w:p>
              </w:tc>
              <w:tc>
                <w:tcPr>
                  <w:tcW w:w="1523" w:type="dxa"/>
                  <w:vAlign w:val="center"/>
                </w:tcPr>
                <w:p>
                  <w:pPr>
                    <w:pStyle w:val="12"/>
                    <w:snapToGrid w:val="0"/>
                    <w:spacing w:after="0"/>
                    <w:jc w:val="center"/>
                    <w:rPr>
                      <w:szCs w:val="21"/>
                    </w:rPr>
                  </w:pPr>
                  <w:r>
                    <w:rPr>
                      <w:rFonts w:hint="eastAsia"/>
                      <w:szCs w:val="21"/>
                    </w:rPr>
                    <w:t>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1521" w:type="dxa"/>
                  <w:vMerge w:val="continue"/>
                  <w:vAlign w:val="center"/>
                </w:tcPr>
                <w:p>
                  <w:pPr>
                    <w:pStyle w:val="12"/>
                    <w:snapToGrid w:val="0"/>
                    <w:spacing w:after="0"/>
                    <w:jc w:val="center"/>
                    <w:rPr>
                      <w:szCs w:val="21"/>
                    </w:rPr>
                  </w:pPr>
                </w:p>
              </w:tc>
              <w:tc>
                <w:tcPr>
                  <w:tcW w:w="1523" w:type="dxa"/>
                  <w:vMerge w:val="continue"/>
                  <w:vAlign w:val="center"/>
                </w:tcPr>
                <w:p>
                  <w:pPr>
                    <w:pStyle w:val="12"/>
                    <w:snapToGrid w:val="0"/>
                    <w:spacing w:after="0"/>
                    <w:jc w:val="center"/>
                    <w:rPr>
                      <w:szCs w:val="21"/>
                    </w:rPr>
                  </w:pPr>
                </w:p>
              </w:tc>
              <w:tc>
                <w:tcPr>
                  <w:tcW w:w="1523" w:type="dxa"/>
                  <w:vAlign w:val="center"/>
                </w:tcPr>
                <w:p>
                  <w:pPr>
                    <w:pStyle w:val="12"/>
                    <w:snapToGrid w:val="0"/>
                    <w:spacing w:after="0"/>
                    <w:jc w:val="center"/>
                    <w:rPr>
                      <w:szCs w:val="21"/>
                    </w:rPr>
                  </w:pPr>
                  <w:r>
                    <w:rPr>
                      <w:szCs w:val="21"/>
                    </w:rPr>
                    <w:t>SS</w:t>
                  </w:r>
                </w:p>
              </w:tc>
              <w:tc>
                <w:tcPr>
                  <w:tcW w:w="1523" w:type="dxa"/>
                  <w:vAlign w:val="center"/>
                </w:tcPr>
                <w:p>
                  <w:pPr>
                    <w:pStyle w:val="12"/>
                    <w:snapToGrid w:val="0"/>
                    <w:spacing w:after="0"/>
                    <w:jc w:val="center"/>
                    <w:rPr>
                      <w:szCs w:val="21"/>
                    </w:rPr>
                  </w:pPr>
                  <w:r>
                    <w:rPr>
                      <w:rFonts w:hint="eastAsia"/>
                      <w:szCs w:val="21"/>
                    </w:rPr>
                    <w:t>180</w:t>
                  </w:r>
                </w:p>
              </w:tc>
              <w:tc>
                <w:tcPr>
                  <w:tcW w:w="1523" w:type="dxa"/>
                  <w:vAlign w:val="center"/>
                </w:tcPr>
                <w:p>
                  <w:pPr>
                    <w:jc w:val="center"/>
                    <w:rPr>
                      <w:rFonts w:ascii="宋体" w:hAnsi="宋体" w:cs="宋体"/>
                      <w:color w:val="000000"/>
                      <w:sz w:val="22"/>
                      <w:szCs w:val="22"/>
                    </w:rPr>
                  </w:pPr>
                  <w:r>
                    <w:rPr>
                      <w:rFonts w:hint="eastAsia"/>
                      <w:color w:val="000000"/>
                      <w:sz w:val="22"/>
                      <w:szCs w:val="22"/>
                    </w:rPr>
                    <w:t>0.36</w:t>
                  </w:r>
                </w:p>
              </w:tc>
              <w:tc>
                <w:tcPr>
                  <w:tcW w:w="1523" w:type="dxa"/>
                  <w:vAlign w:val="center"/>
                </w:tcPr>
                <w:p>
                  <w:pPr>
                    <w:pStyle w:val="12"/>
                    <w:snapToGrid w:val="0"/>
                    <w:spacing w:after="0"/>
                    <w:jc w:val="center"/>
                    <w:rPr>
                      <w:szCs w:val="21"/>
                    </w:rPr>
                  </w:pPr>
                  <w:r>
                    <w:rPr>
                      <w:rFonts w:hint="eastAsia"/>
                      <w:szCs w:val="21"/>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1" w:type="dxa"/>
                  <w:vMerge w:val="continue"/>
                  <w:vAlign w:val="center"/>
                </w:tcPr>
                <w:p>
                  <w:pPr>
                    <w:pStyle w:val="12"/>
                    <w:snapToGrid w:val="0"/>
                    <w:spacing w:after="0"/>
                    <w:jc w:val="center"/>
                    <w:rPr>
                      <w:szCs w:val="21"/>
                    </w:rPr>
                  </w:pPr>
                </w:p>
              </w:tc>
              <w:tc>
                <w:tcPr>
                  <w:tcW w:w="1523" w:type="dxa"/>
                  <w:vMerge w:val="continue"/>
                  <w:vAlign w:val="center"/>
                </w:tcPr>
                <w:p>
                  <w:pPr>
                    <w:pStyle w:val="12"/>
                    <w:snapToGrid w:val="0"/>
                    <w:spacing w:after="0"/>
                    <w:jc w:val="center"/>
                    <w:rPr>
                      <w:szCs w:val="21"/>
                    </w:rPr>
                  </w:pPr>
                </w:p>
              </w:tc>
              <w:tc>
                <w:tcPr>
                  <w:tcW w:w="1523" w:type="dxa"/>
                  <w:vAlign w:val="center"/>
                </w:tcPr>
                <w:p>
                  <w:pPr>
                    <w:snapToGrid w:val="0"/>
                    <w:jc w:val="center"/>
                    <w:rPr>
                      <w:szCs w:val="21"/>
                    </w:rPr>
                  </w:pPr>
                  <w:r>
                    <w:rPr>
                      <w:szCs w:val="21"/>
                    </w:rPr>
                    <w:t>NH</w:t>
                  </w:r>
                  <w:r>
                    <w:rPr>
                      <w:szCs w:val="21"/>
                      <w:vertAlign w:val="subscript"/>
                    </w:rPr>
                    <w:t>3</w:t>
                  </w:r>
                  <w:r>
                    <w:rPr>
                      <w:szCs w:val="21"/>
                    </w:rPr>
                    <w:t>-N</w:t>
                  </w:r>
                </w:p>
              </w:tc>
              <w:tc>
                <w:tcPr>
                  <w:tcW w:w="1523" w:type="dxa"/>
                  <w:vAlign w:val="center"/>
                </w:tcPr>
                <w:p>
                  <w:pPr>
                    <w:pStyle w:val="12"/>
                    <w:snapToGrid w:val="0"/>
                    <w:spacing w:after="0"/>
                    <w:jc w:val="center"/>
                    <w:rPr>
                      <w:szCs w:val="21"/>
                    </w:rPr>
                  </w:pPr>
                  <w:r>
                    <w:rPr>
                      <w:rFonts w:hint="eastAsia"/>
                      <w:szCs w:val="21"/>
                    </w:rPr>
                    <w:t>20</w:t>
                  </w:r>
                </w:p>
              </w:tc>
              <w:tc>
                <w:tcPr>
                  <w:tcW w:w="1523" w:type="dxa"/>
                  <w:vAlign w:val="center"/>
                </w:tcPr>
                <w:p>
                  <w:pPr>
                    <w:jc w:val="center"/>
                    <w:rPr>
                      <w:rFonts w:ascii="宋体" w:hAnsi="宋体" w:cs="宋体"/>
                      <w:color w:val="000000"/>
                      <w:sz w:val="22"/>
                      <w:szCs w:val="22"/>
                    </w:rPr>
                  </w:pPr>
                  <w:r>
                    <w:rPr>
                      <w:rFonts w:hint="eastAsia"/>
                      <w:color w:val="000000"/>
                      <w:sz w:val="22"/>
                      <w:szCs w:val="22"/>
                    </w:rPr>
                    <w:t>0.04</w:t>
                  </w:r>
                </w:p>
              </w:tc>
              <w:tc>
                <w:tcPr>
                  <w:tcW w:w="1523" w:type="dxa"/>
                  <w:vAlign w:val="center"/>
                </w:tcPr>
                <w:p>
                  <w:pPr>
                    <w:pStyle w:val="12"/>
                    <w:snapToGrid w:val="0"/>
                    <w:spacing w:after="0"/>
                    <w:jc w:val="center"/>
                    <w:rPr>
                      <w:szCs w:val="21"/>
                    </w:rPr>
                  </w:pPr>
                  <w:r>
                    <w:rPr>
                      <w:rFonts w:hint="eastAsia"/>
                      <w:szCs w:val="21"/>
                    </w:rPr>
                    <w:t>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4" w:type="dxa"/>
                  <w:gridSpan w:val="2"/>
                  <w:vMerge w:val="restart"/>
                  <w:vAlign w:val="center"/>
                </w:tcPr>
                <w:p>
                  <w:pPr>
                    <w:pStyle w:val="12"/>
                    <w:snapToGrid w:val="0"/>
                    <w:spacing w:after="0"/>
                    <w:jc w:val="center"/>
                    <w:rPr>
                      <w:szCs w:val="21"/>
                    </w:rPr>
                  </w:pPr>
                  <w:r>
                    <w:rPr>
                      <w:szCs w:val="21"/>
                    </w:rPr>
                    <w:t>全厂排放口统计</w:t>
                  </w:r>
                </w:p>
              </w:tc>
              <w:tc>
                <w:tcPr>
                  <w:tcW w:w="4569" w:type="dxa"/>
                  <w:gridSpan w:val="3"/>
                  <w:vAlign w:val="center"/>
                </w:tcPr>
                <w:p>
                  <w:pPr>
                    <w:pStyle w:val="12"/>
                    <w:snapToGrid w:val="0"/>
                    <w:spacing w:after="0"/>
                    <w:jc w:val="center"/>
                    <w:rPr>
                      <w:szCs w:val="21"/>
                    </w:rPr>
                  </w:pPr>
                  <w:r>
                    <w:rPr>
                      <w:szCs w:val="21"/>
                    </w:rPr>
                    <w:t>COD</w:t>
                  </w:r>
                </w:p>
              </w:tc>
              <w:tc>
                <w:tcPr>
                  <w:tcW w:w="1523" w:type="dxa"/>
                  <w:vAlign w:val="center"/>
                </w:tcPr>
                <w:p>
                  <w:pPr>
                    <w:pStyle w:val="12"/>
                    <w:snapToGrid w:val="0"/>
                    <w:spacing w:after="0"/>
                    <w:jc w:val="center"/>
                    <w:rPr>
                      <w:szCs w:val="21"/>
                    </w:rPr>
                  </w:pPr>
                  <w:r>
                    <w:rPr>
                      <w:rFonts w:hint="eastAsia"/>
                      <w:szCs w:val="21"/>
                    </w:rPr>
                    <w:t>0.1776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4" w:type="dxa"/>
                  <w:gridSpan w:val="2"/>
                  <w:vMerge w:val="continue"/>
                  <w:vAlign w:val="center"/>
                </w:tcPr>
                <w:p>
                  <w:pPr>
                    <w:pStyle w:val="12"/>
                    <w:snapToGrid w:val="0"/>
                    <w:spacing w:after="0"/>
                    <w:jc w:val="center"/>
                    <w:rPr>
                      <w:szCs w:val="21"/>
                    </w:rPr>
                  </w:pPr>
                </w:p>
              </w:tc>
              <w:tc>
                <w:tcPr>
                  <w:tcW w:w="4569" w:type="dxa"/>
                  <w:gridSpan w:val="3"/>
                  <w:vAlign w:val="center"/>
                </w:tcPr>
                <w:p>
                  <w:pPr>
                    <w:pStyle w:val="12"/>
                    <w:snapToGrid w:val="0"/>
                    <w:spacing w:after="0"/>
                    <w:jc w:val="center"/>
                    <w:rPr>
                      <w:szCs w:val="21"/>
                    </w:rPr>
                  </w:pPr>
                  <w:r>
                    <w:rPr>
                      <w:szCs w:val="21"/>
                    </w:rPr>
                    <w:t>SS</w:t>
                  </w:r>
                </w:p>
              </w:tc>
              <w:tc>
                <w:tcPr>
                  <w:tcW w:w="1523" w:type="dxa"/>
                  <w:vAlign w:val="center"/>
                </w:tcPr>
                <w:p>
                  <w:pPr>
                    <w:pStyle w:val="12"/>
                    <w:snapToGrid w:val="0"/>
                    <w:spacing w:after="0"/>
                    <w:jc w:val="center"/>
                    <w:rPr>
                      <w:szCs w:val="21"/>
                    </w:rPr>
                  </w:pPr>
                  <w:r>
                    <w:rPr>
                      <w:rFonts w:hint="eastAsia"/>
                      <w:szCs w:val="21"/>
                    </w:rPr>
                    <w:t>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4" w:type="dxa"/>
                  <w:gridSpan w:val="2"/>
                  <w:vMerge w:val="continue"/>
                  <w:vAlign w:val="center"/>
                </w:tcPr>
                <w:p>
                  <w:pPr>
                    <w:pStyle w:val="12"/>
                    <w:snapToGrid w:val="0"/>
                    <w:spacing w:after="0"/>
                    <w:jc w:val="center"/>
                    <w:rPr>
                      <w:szCs w:val="21"/>
                    </w:rPr>
                  </w:pPr>
                </w:p>
              </w:tc>
              <w:tc>
                <w:tcPr>
                  <w:tcW w:w="4569" w:type="dxa"/>
                  <w:gridSpan w:val="3"/>
                  <w:vAlign w:val="center"/>
                </w:tcPr>
                <w:p>
                  <w:pPr>
                    <w:pStyle w:val="12"/>
                    <w:snapToGrid w:val="0"/>
                    <w:spacing w:after="0"/>
                    <w:jc w:val="center"/>
                    <w:rPr>
                      <w:szCs w:val="21"/>
                    </w:rPr>
                  </w:pPr>
                  <w:r>
                    <w:rPr>
                      <w:szCs w:val="21"/>
                    </w:rPr>
                    <w:t>BOD</w:t>
                  </w:r>
                  <w:r>
                    <w:rPr>
                      <w:szCs w:val="21"/>
                      <w:vertAlign w:val="subscript"/>
                    </w:rPr>
                    <w:t>5</w:t>
                  </w:r>
                </w:p>
              </w:tc>
              <w:tc>
                <w:tcPr>
                  <w:tcW w:w="1523" w:type="dxa"/>
                  <w:vAlign w:val="center"/>
                </w:tcPr>
                <w:p>
                  <w:pPr>
                    <w:pStyle w:val="12"/>
                    <w:snapToGrid w:val="0"/>
                    <w:spacing w:after="0"/>
                    <w:jc w:val="center"/>
                    <w:rPr>
                      <w:szCs w:val="21"/>
                    </w:rPr>
                  </w:pPr>
                  <w:r>
                    <w:rPr>
                      <w:rFonts w:hint="eastAsia"/>
                      <w:szCs w:val="21"/>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4" w:type="dxa"/>
                  <w:gridSpan w:val="2"/>
                  <w:vMerge w:val="continue"/>
                  <w:vAlign w:val="center"/>
                </w:tcPr>
                <w:p>
                  <w:pPr>
                    <w:pStyle w:val="12"/>
                    <w:snapToGrid w:val="0"/>
                    <w:spacing w:after="0"/>
                    <w:jc w:val="center"/>
                    <w:rPr>
                      <w:szCs w:val="21"/>
                    </w:rPr>
                  </w:pPr>
                </w:p>
              </w:tc>
              <w:tc>
                <w:tcPr>
                  <w:tcW w:w="4569" w:type="dxa"/>
                  <w:gridSpan w:val="3"/>
                  <w:vAlign w:val="center"/>
                </w:tcPr>
                <w:p>
                  <w:pPr>
                    <w:snapToGrid w:val="0"/>
                    <w:jc w:val="center"/>
                    <w:rPr>
                      <w:szCs w:val="21"/>
                    </w:rPr>
                  </w:pPr>
                  <w:r>
                    <w:rPr>
                      <w:szCs w:val="21"/>
                    </w:rPr>
                    <w:t>NH</w:t>
                  </w:r>
                  <w:r>
                    <w:rPr>
                      <w:szCs w:val="21"/>
                      <w:vertAlign w:val="subscript"/>
                    </w:rPr>
                    <w:t>3</w:t>
                  </w:r>
                  <w:r>
                    <w:rPr>
                      <w:szCs w:val="21"/>
                    </w:rPr>
                    <w:t>-N</w:t>
                  </w:r>
                </w:p>
              </w:tc>
              <w:tc>
                <w:tcPr>
                  <w:tcW w:w="1523" w:type="dxa"/>
                  <w:vAlign w:val="center"/>
                </w:tcPr>
                <w:p>
                  <w:pPr>
                    <w:pStyle w:val="12"/>
                    <w:snapToGrid w:val="0"/>
                    <w:spacing w:after="0"/>
                    <w:jc w:val="center"/>
                    <w:rPr>
                      <w:szCs w:val="21"/>
                    </w:rPr>
                  </w:pPr>
                  <w:r>
                    <w:rPr>
                      <w:rFonts w:hint="eastAsia"/>
                      <w:szCs w:val="21"/>
                    </w:rPr>
                    <w:t>0.012</w:t>
                  </w:r>
                </w:p>
              </w:tc>
            </w:tr>
          </w:tbl>
          <w:p>
            <w:pPr>
              <w:autoSpaceDE w:val="0"/>
              <w:autoSpaceDN w:val="0"/>
              <w:adjustRightInd w:val="0"/>
              <w:snapToGrid w:val="0"/>
              <w:jc w:val="center"/>
              <w:rPr>
                <w:b/>
                <w:bCs/>
                <w:kern w:val="0"/>
                <w:szCs w:val="21"/>
              </w:rPr>
            </w:pPr>
            <w:r>
              <w:rPr>
                <w:rFonts w:hint="eastAsia"/>
                <w:b/>
                <w:bCs/>
                <w:kern w:val="0"/>
                <w:szCs w:val="21"/>
              </w:rPr>
              <w:t>表25</w:t>
            </w:r>
            <w:r>
              <w:rPr>
                <w:b/>
                <w:bCs/>
                <w:kern w:val="0"/>
                <w:szCs w:val="21"/>
              </w:rPr>
              <w:t xml:space="preserve"> </w:t>
            </w:r>
            <w:r>
              <w:rPr>
                <w:rFonts w:hint="eastAsia"/>
                <w:b/>
                <w:bCs/>
                <w:kern w:val="0"/>
                <w:szCs w:val="21"/>
              </w:rPr>
              <w:t>地表水环境影响评价自查表</w:t>
            </w:r>
          </w:p>
          <w:tbl>
            <w:tblPr>
              <w:tblStyle w:val="30"/>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8"/>
              <w:gridCol w:w="628"/>
              <w:gridCol w:w="644"/>
              <w:gridCol w:w="636"/>
              <w:gridCol w:w="626"/>
              <w:gridCol w:w="625"/>
              <w:gridCol w:w="620"/>
              <w:gridCol w:w="628"/>
              <w:gridCol w:w="627"/>
              <w:gridCol w:w="623"/>
              <w:gridCol w:w="622"/>
              <w:gridCol w:w="622"/>
              <w:gridCol w:w="609"/>
              <w:gridCol w:w="9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2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工作内容</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自查项目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影</w:t>
                  </w:r>
                </w:p>
                <w:p>
                  <w:pPr>
                    <w:widowControl/>
                    <w:snapToGrid w:val="0"/>
                    <w:jc w:val="center"/>
                    <w:textAlignment w:val="center"/>
                    <w:rPr>
                      <w:sz w:val="18"/>
                      <w:szCs w:val="18"/>
                    </w:rPr>
                  </w:pPr>
                  <w:r>
                    <w:rPr>
                      <w:rFonts w:hAnsi="宋体"/>
                      <w:kern w:val="0"/>
                      <w:sz w:val="18"/>
                      <w:szCs w:val="18"/>
                    </w:rPr>
                    <w:t>响</w:t>
                  </w:r>
                </w:p>
                <w:p>
                  <w:pPr>
                    <w:widowControl/>
                    <w:snapToGrid w:val="0"/>
                    <w:jc w:val="center"/>
                    <w:textAlignment w:val="center"/>
                    <w:rPr>
                      <w:sz w:val="18"/>
                      <w:szCs w:val="18"/>
                    </w:rPr>
                  </w:pPr>
                  <w:r>
                    <w:rPr>
                      <w:rFonts w:hAnsi="宋体"/>
                      <w:kern w:val="0"/>
                      <w:sz w:val="18"/>
                      <w:szCs w:val="18"/>
                    </w:rPr>
                    <w:t>识</w:t>
                  </w:r>
                </w:p>
                <w:p>
                  <w:pPr>
                    <w:widowControl/>
                    <w:snapToGrid w:val="0"/>
                    <w:jc w:val="center"/>
                    <w:textAlignment w:val="center"/>
                    <w:rPr>
                      <w:sz w:val="18"/>
                      <w:szCs w:val="18"/>
                    </w:rPr>
                  </w:pPr>
                  <w:r>
                    <w:rPr>
                      <w:rFonts w:hAnsi="宋体"/>
                      <w:kern w:val="0"/>
                      <w:sz w:val="18"/>
                      <w:szCs w:val="18"/>
                    </w:rPr>
                    <w:t>别</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影响类型</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水污染影响型</w:t>
                  </w:r>
                  <w:r>
                    <w:rPr>
                      <w:kern w:val="0"/>
                      <w:sz w:val="18"/>
                      <w:szCs w:val="18"/>
                    </w:rPr>
                    <w:t xml:space="preserve"> </w:t>
                  </w:r>
                  <w:r>
                    <w:rPr>
                      <w:rStyle w:val="222"/>
                      <w:color w:val="auto"/>
                    </w:rPr>
                    <w:sym w:font="Wingdings 2" w:char="0052"/>
                  </w:r>
                  <w:r>
                    <w:rPr>
                      <w:rStyle w:val="222"/>
                      <w:rFonts w:hAnsi="宋体"/>
                      <w:color w:val="auto"/>
                    </w:rPr>
                    <w:t>；水文要素影响型</w:t>
                  </w:r>
                  <w:r>
                    <w:rPr>
                      <w:rStyle w:val="222"/>
                      <w:color w:val="auto"/>
                    </w:rPr>
                    <w:t xml:space="preserve"> </w:t>
                  </w:r>
                  <w:r>
                    <w:rPr>
                      <w:rStyle w:val="222"/>
                      <w:color w:val="auto"/>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水环境保护目标</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饮用水水源保护区</w:t>
                  </w:r>
                  <w:r>
                    <w:rPr>
                      <w:kern w:val="0"/>
                      <w:sz w:val="18"/>
                      <w:szCs w:val="18"/>
                    </w:rPr>
                    <w:t xml:space="preserve"> □</w:t>
                  </w:r>
                  <w:r>
                    <w:rPr>
                      <w:rFonts w:hAnsi="宋体"/>
                      <w:kern w:val="0"/>
                      <w:sz w:val="18"/>
                      <w:szCs w:val="18"/>
                    </w:rPr>
                    <w:t>；饮用水取水口</w:t>
                  </w:r>
                  <w:r>
                    <w:rPr>
                      <w:kern w:val="0"/>
                      <w:sz w:val="18"/>
                      <w:szCs w:val="18"/>
                    </w:rPr>
                    <w:t xml:space="preserve"> □</w:t>
                  </w:r>
                  <w:r>
                    <w:rPr>
                      <w:rFonts w:hAnsi="宋体"/>
                      <w:kern w:val="0"/>
                      <w:sz w:val="18"/>
                      <w:szCs w:val="18"/>
                    </w:rPr>
                    <w:t>；涉水的自然保护区</w:t>
                  </w:r>
                  <w:r>
                    <w:rPr>
                      <w:kern w:val="0"/>
                      <w:sz w:val="18"/>
                      <w:szCs w:val="18"/>
                    </w:rPr>
                    <w:t xml:space="preserve"> </w:t>
                  </w:r>
                  <w:r>
                    <w:rPr>
                      <w:kern w:val="0"/>
                      <w:sz w:val="18"/>
                      <w:szCs w:val="18"/>
                    </w:rPr>
                    <w:sym w:font="Wingdings 2" w:char="00A3"/>
                  </w:r>
                  <w:r>
                    <w:rPr>
                      <w:rFonts w:hAnsi="宋体"/>
                      <w:kern w:val="0"/>
                      <w:sz w:val="18"/>
                      <w:szCs w:val="18"/>
                    </w:rPr>
                    <w:t>；重要湿地</w:t>
                  </w:r>
                  <w:r>
                    <w:rPr>
                      <w:kern w:val="0"/>
                      <w:sz w:val="18"/>
                      <w:szCs w:val="18"/>
                    </w:rPr>
                    <w:t xml:space="preserve"> □</w:t>
                  </w:r>
                  <w:r>
                    <w:rPr>
                      <w:rFonts w:hAnsi="宋体"/>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重点保护与珍稀水生生物的栖息地</w:t>
                  </w:r>
                  <w:r>
                    <w:rPr>
                      <w:kern w:val="0"/>
                      <w:sz w:val="18"/>
                      <w:szCs w:val="18"/>
                    </w:rPr>
                    <w:t xml:space="preserve"> □</w:t>
                  </w:r>
                  <w:r>
                    <w:rPr>
                      <w:rFonts w:hAnsi="宋体"/>
                      <w:kern w:val="0"/>
                      <w:sz w:val="18"/>
                      <w:szCs w:val="18"/>
                    </w:rPr>
                    <w:t>；重要水生生物的自然产卵场及索饵场、越冬场和洄游通道、天然渔场等渔业水体</w:t>
                  </w:r>
                  <w:r>
                    <w:rPr>
                      <w:kern w:val="0"/>
                      <w:sz w:val="18"/>
                      <w:szCs w:val="18"/>
                    </w:rPr>
                    <w:t xml:space="preserve"> □</w:t>
                  </w:r>
                  <w:r>
                    <w:rPr>
                      <w:rFonts w:hAnsi="宋体"/>
                      <w:kern w:val="0"/>
                      <w:sz w:val="18"/>
                      <w:szCs w:val="18"/>
                    </w:rPr>
                    <w:t>；涉水的风景名胜区</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影响途径</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水污染影响型</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水文要素影响型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直接排放</w:t>
                  </w:r>
                  <w:r>
                    <w:rPr>
                      <w:kern w:val="0"/>
                      <w:sz w:val="18"/>
                      <w:szCs w:val="18"/>
                    </w:rPr>
                    <w:t>□</w:t>
                  </w:r>
                  <w:r>
                    <w:rPr>
                      <w:rFonts w:hAnsi="宋体"/>
                      <w:kern w:val="0"/>
                      <w:sz w:val="18"/>
                      <w:szCs w:val="18"/>
                    </w:rPr>
                    <w:t>；间接排放</w:t>
                  </w:r>
                  <w:r>
                    <w:rPr>
                      <w:rFonts w:hAnsi="宋体"/>
                      <w:kern w:val="0"/>
                      <w:sz w:val="18"/>
                      <w:szCs w:val="18"/>
                    </w:rPr>
                    <w:sym w:font="Wingdings 2" w:char="0052"/>
                  </w:r>
                  <w:r>
                    <w:rPr>
                      <w:rStyle w:val="222"/>
                      <w:rFonts w:hAnsi="宋体"/>
                      <w:color w:val="auto"/>
                    </w:rPr>
                    <w:t>；其他</w:t>
                  </w:r>
                  <w:r>
                    <w:rPr>
                      <w:rStyle w:val="222"/>
                      <w:color w:val="auto"/>
                    </w:rPr>
                    <w:t xml:space="preserve"> □</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水温</w:t>
                  </w:r>
                  <w:r>
                    <w:rPr>
                      <w:kern w:val="0"/>
                      <w:sz w:val="18"/>
                      <w:szCs w:val="18"/>
                    </w:rPr>
                    <w:t xml:space="preserve"> □</w:t>
                  </w:r>
                  <w:r>
                    <w:rPr>
                      <w:rFonts w:hAnsi="宋体"/>
                      <w:kern w:val="0"/>
                      <w:sz w:val="18"/>
                      <w:szCs w:val="18"/>
                    </w:rPr>
                    <w:t>；径流</w:t>
                  </w:r>
                  <w:r>
                    <w:rPr>
                      <w:kern w:val="0"/>
                      <w:sz w:val="18"/>
                      <w:szCs w:val="18"/>
                    </w:rPr>
                    <w:t xml:space="preserve"> □</w:t>
                  </w:r>
                  <w:r>
                    <w:rPr>
                      <w:rFonts w:hAnsi="宋体"/>
                      <w:kern w:val="0"/>
                      <w:sz w:val="18"/>
                      <w:szCs w:val="18"/>
                    </w:rPr>
                    <w:t>；水域面积</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影响因子</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持久性污染物</w:t>
                  </w:r>
                  <w:r>
                    <w:rPr>
                      <w:kern w:val="0"/>
                      <w:sz w:val="18"/>
                      <w:szCs w:val="18"/>
                    </w:rPr>
                    <w:t xml:space="preserve"> □</w:t>
                  </w:r>
                  <w:r>
                    <w:rPr>
                      <w:rFonts w:hAnsi="宋体"/>
                      <w:kern w:val="0"/>
                      <w:sz w:val="18"/>
                      <w:szCs w:val="18"/>
                    </w:rPr>
                    <w:t>；有毒有害污染物</w:t>
                  </w:r>
                  <w:r>
                    <w:rPr>
                      <w:kern w:val="0"/>
                      <w:sz w:val="18"/>
                      <w:szCs w:val="18"/>
                    </w:rPr>
                    <w:t xml:space="preserve"> □</w:t>
                  </w:r>
                  <w:r>
                    <w:rPr>
                      <w:rFonts w:hAnsi="宋体"/>
                      <w:kern w:val="0"/>
                      <w:sz w:val="18"/>
                      <w:szCs w:val="18"/>
                    </w:rPr>
                    <w:t>；非持久性污染物</w:t>
                  </w:r>
                  <w:r>
                    <w:rPr>
                      <w:kern w:val="0"/>
                      <w:sz w:val="18"/>
                      <w:szCs w:val="18"/>
                    </w:rPr>
                    <w:t xml:space="preserve"> </w:t>
                  </w:r>
                  <w:r>
                    <w:rPr>
                      <w:kern w:val="0"/>
                      <w:sz w:val="18"/>
                      <w:szCs w:val="18"/>
                    </w:rPr>
                    <w:sym w:font="Wingdings 2" w:char="0052"/>
                  </w:r>
                  <w:r>
                    <w:rPr>
                      <w:rFonts w:hAnsi="宋体"/>
                      <w:kern w:val="0"/>
                      <w:sz w:val="18"/>
                      <w:szCs w:val="18"/>
                    </w:rPr>
                    <w:t>；</w:t>
                  </w:r>
                </w:p>
              </w:tc>
              <w:tc>
                <w:tcPr>
                  <w:tcW w:w="4114" w:type="dxa"/>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水温</w:t>
                  </w:r>
                  <w:r>
                    <w:rPr>
                      <w:kern w:val="0"/>
                      <w:sz w:val="18"/>
                      <w:szCs w:val="18"/>
                    </w:rPr>
                    <w:t xml:space="preserve"> □</w:t>
                  </w:r>
                  <w:r>
                    <w:rPr>
                      <w:rFonts w:hAnsi="宋体"/>
                      <w:kern w:val="0"/>
                      <w:sz w:val="18"/>
                      <w:szCs w:val="18"/>
                    </w:rPr>
                    <w:t>；水位（水深）</w:t>
                  </w:r>
                  <w:r>
                    <w:rPr>
                      <w:kern w:val="0"/>
                      <w:sz w:val="18"/>
                      <w:szCs w:val="18"/>
                    </w:rPr>
                    <w:t xml:space="preserve"> □</w:t>
                  </w:r>
                  <w:r>
                    <w:rPr>
                      <w:rFonts w:hAnsi="宋体"/>
                      <w:kern w:val="0"/>
                      <w:sz w:val="18"/>
                      <w:szCs w:val="18"/>
                    </w:rPr>
                    <w:t>；流速</w:t>
                  </w:r>
                  <w:r>
                    <w:rPr>
                      <w:kern w:val="0"/>
                      <w:sz w:val="18"/>
                      <w:szCs w:val="18"/>
                    </w:rPr>
                    <w:t xml:space="preserve"> □</w:t>
                  </w:r>
                  <w:r>
                    <w:rPr>
                      <w:rFonts w:hAnsi="宋体"/>
                      <w:kern w:val="0"/>
                      <w:sz w:val="18"/>
                      <w:szCs w:val="18"/>
                    </w:rPr>
                    <w:t>；流量</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kern w:val="0"/>
                      <w:sz w:val="18"/>
                      <w:szCs w:val="18"/>
                    </w:rPr>
                    <w:t>pH</w:t>
                  </w:r>
                  <w:r>
                    <w:rPr>
                      <w:rFonts w:hAnsi="宋体"/>
                      <w:kern w:val="0"/>
                      <w:sz w:val="18"/>
                      <w:szCs w:val="18"/>
                    </w:rPr>
                    <w:t>值</w:t>
                  </w:r>
                  <w:r>
                    <w:rPr>
                      <w:kern w:val="0"/>
                      <w:sz w:val="18"/>
                      <w:szCs w:val="18"/>
                    </w:rPr>
                    <w:t xml:space="preserve"> □</w:t>
                  </w:r>
                  <w:r>
                    <w:rPr>
                      <w:rFonts w:hAnsi="宋体"/>
                      <w:kern w:val="0"/>
                      <w:sz w:val="18"/>
                      <w:szCs w:val="18"/>
                    </w:rPr>
                    <w:t>；热污染</w:t>
                  </w:r>
                  <w:r>
                    <w:rPr>
                      <w:kern w:val="0"/>
                      <w:sz w:val="18"/>
                      <w:szCs w:val="18"/>
                    </w:rPr>
                    <w:t xml:space="preserve"> □</w:t>
                  </w:r>
                  <w:r>
                    <w:rPr>
                      <w:rFonts w:hAnsi="宋体"/>
                      <w:kern w:val="0"/>
                      <w:sz w:val="18"/>
                      <w:szCs w:val="18"/>
                    </w:rPr>
                    <w:t>；富营养化</w:t>
                  </w:r>
                  <w:r>
                    <w:rPr>
                      <w:kern w:val="0"/>
                      <w:sz w:val="18"/>
                      <w:szCs w:val="18"/>
                    </w:rPr>
                    <w:t xml:space="preserve"> □</w:t>
                  </w:r>
                  <w:r>
                    <w:rPr>
                      <w:rFonts w:hAnsi="宋体"/>
                      <w:kern w:val="0"/>
                      <w:sz w:val="18"/>
                      <w:szCs w:val="18"/>
                    </w:rPr>
                    <w:t>；其他</w:t>
                  </w:r>
                  <w:r>
                    <w:rPr>
                      <w:kern w:val="0"/>
                      <w:sz w:val="18"/>
                      <w:szCs w:val="18"/>
                    </w:rPr>
                    <w:t xml:space="preserve"> </w:t>
                  </w:r>
                  <w:r>
                    <w:rPr>
                      <w:rStyle w:val="222"/>
                      <w:color w:val="auto"/>
                    </w:rPr>
                    <w:sym w:font="Wingdings 2" w:char="00A3"/>
                  </w:r>
                </w:p>
              </w:tc>
              <w:tc>
                <w:tcPr>
                  <w:tcW w:w="14607"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258"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评价等级</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水污染影响型</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水文要素影响型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一级</w:t>
                  </w:r>
                  <w:r>
                    <w:rPr>
                      <w:kern w:val="0"/>
                      <w:sz w:val="18"/>
                      <w:szCs w:val="18"/>
                    </w:rPr>
                    <w:t xml:space="preserve"> □</w:t>
                  </w:r>
                  <w:r>
                    <w:rPr>
                      <w:rFonts w:hAnsi="宋体"/>
                      <w:kern w:val="0"/>
                      <w:sz w:val="18"/>
                      <w:szCs w:val="18"/>
                    </w:rPr>
                    <w:t>；二级</w:t>
                  </w:r>
                  <w:r>
                    <w:rPr>
                      <w:kern w:val="0"/>
                      <w:sz w:val="18"/>
                      <w:szCs w:val="18"/>
                    </w:rPr>
                    <w:t xml:space="preserve"> □</w:t>
                  </w:r>
                  <w:r>
                    <w:rPr>
                      <w:rFonts w:hAnsi="宋体"/>
                      <w:kern w:val="0"/>
                      <w:sz w:val="18"/>
                      <w:szCs w:val="18"/>
                    </w:rPr>
                    <w:t>；三级</w:t>
                  </w:r>
                  <w:r>
                    <w:rPr>
                      <w:rStyle w:val="223"/>
                      <w:color w:val="auto"/>
                      <w:sz w:val="18"/>
                      <w:szCs w:val="18"/>
                    </w:rPr>
                    <w:t xml:space="preserve">A </w:t>
                  </w:r>
                  <w:r>
                    <w:rPr>
                      <w:rStyle w:val="222"/>
                      <w:color w:val="auto"/>
                    </w:rPr>
                    <w:t>□</w:t>
                  </w:r>
                  <w:r>
                    <w:rPr>
                      <w:rStyle w:val="222"/>
                      <w:rFonts w:hAnsi="宋体"/>
                      <w:color w:val="auto"/>
                    </w:rPr>
                    <w:t>；三级</w:t>
                  </w:r>
                  <w:r>
                    <w:rPr>
                      <w:rStyle w:val="223"/>
                      <w:color w:val="auto"/>
                      <w:sz w:val="18"/>
                      <w:szCs w:val="18"/>
                    </w:rPr>
                    <w:t xml:space="preserve">B </w:t>
                  </w:r>
                  <w:r>
                    <w:rPr>
                      <w:rStyle w:val="222"/>
                      <w:color w:val="auto"/>
                    </w:rPr>
                    <w:sym w:font="Wingdings 2" w:char="0052"/>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一级</w:t>
                  </w:r>
                  <w:r>
                    <w:rPr>
                      <w:kern w:val="0"/>
                      <w:sz w:val="18"/>
                      <w:szCs w:val="18"/>
                    </w:rPr>
                    <w:t xml:space="preserve"> □</w:t>
                  </w:r>
                  <w:r>
                    <w:rPr>
                      <w:rFonts w:hAnsi="宋体"/>
                      <w:kern w:val="0"/>
                      <w:sz w:val="18"/>
                      <w:szCs w:val="18"/>
                    </w:rPr>
                    <w:t>；二级</w:t>
                  </w:r>
                  <w:r>
                    <w:rPr>
                      <w:kern w:val="0"/>
                      <w:sz w:val="18"/>
                      <w:szCs w:val="18"/>
                    </w:rPr>
                    <w:t xml:space="preserve"> □</w:t>
                  </w:r>
                  <w:r>
                    <w:rPr>
                      <w:rFonts w:hAnsi="宋体"/>
                      <w:kern w:val="0"/>
                      <w:sz w:val="18"/>
                      <w:szCs w:val="18"/>
                    </w:rPr>
                    <w:t>；三级</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现</w:t>
                  </w:r>
                </w:p>
                <w:p>
                  <w:pPr>
                    <w:widowControl/>
                    <w:snapToGrid w:val="0"/>
                    <w:jc w:val="center"/>
                    <w:textAlignment w:val="center"/>
                    <w:rPr>
                      <w:sz w:val="18"/>
                      <w:szCs w:val="18"/>
                    </w:rPr>
                  </w:pPr>
                  <w:r>
                    <w:rPr>
                      <w:rFonts w:hAnsi="宋体"/>
                      <w:kern w:val="0"/>
                      <w:sz w:val="18"/>
                      <w:szCs w:val="18"/>
                    </w:rPr>
                    <w:t>状</w:t>
                  </w:r>
                </w:p>
                <w:p>
                  <w:pPr>
                    <w:widowControl/>
                    <w:snapToGrid w:val="0"/>
                    <w:jc w:val="center"/>
                    <w:textAlignment w:val="center"/>
                    <w:rPr>
                      <w:sz w:val="18"/>
                      <w:szCs w:val="18"/>
                    </w:rPr>
                  </w:pPr>
                  <w:r>
                    <w:rPr>
                      <w:rFonts w:hAnsi="宋体"/>
                      <w:kern w:val="0"/>
                      <w:sz w:val="18"/>
                      <w:szCs w:val="18"/>
                    </w:rPr>
                    <w:t>调</w:t>
                  </w:r>
                </w:p>
                <w:p>
                  <w:pPr>
                    <w:widowControl/>
                    <w:snapToGrid w:val="0"/>
                    <w:jc w:val="center"/>
                    <w:textAlignment w:val="center"/>
                    <w:rPr>
                      <w:sz w:val="18"/>
                      <w:szCs w:val="18"/>
                    </w:rPr>
                  </w:pPr>
                  <w:r>
                    <w:rPr>
                      <w:rFonts w:hAnsi="宋体"/>
                      <w:kern w:val="0"/>
                      <w:sz w:val="18"/>
                      <w:szCs w:val="18"/>
                    </w:rPr>
                    <w:t>查</w:t>
                  </w: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区域污染源</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调查项目</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128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已建</w:t>
                  </w:r>
                  <w:r>
                    <w:rPr>
                      <w:kern w:val="0"/>
                      <w:sz w:val="18"/>
                      <w:szCs w:val="18"/>
                    </w:rPr>
                    <w:t xml:space="preserve"> □</w:t>
                  </w:r>
                  <w:r>
                    <w:rPr>
                      <w:rFonts w:hAnsi="宋体"/>
                      <w:kern w:val="0"/>
                      <w:sz w:val="18"/>
                      <w:szCs w:val="18"/>
                    </w:rPr>
                    <w:t>；在建</w:t>
                  </w:r>
                  <w:r>
                    <w:rPr>
                      <w:kern w:val="0"/>
                      <w:sz w:val="18"/>
                      <w:szCs w:val="18"/>
                    </w:rPr>
                    <w:t xml:space="preserve"> □</w:t>
                  </w:r>
                  <w:r>
                    <w:rPr>
                      <w:rFonts w:hAnsi="宋体"/>
                      <w:kern w:val="0"/>
                      <w:sz w:val="18"/>
                      <w:szCs w:val="18"/>
                    </w:rPr>
                    <w:t>；拟建</w:t>
                  </w:r>
                  <w:r>
                    <w:rPr>
                      <w:kern w:val="0"/>
                      <w:sz w:val="18"/>
                      <w:szCs w:val="18"/>
                    </w:rPr>
                    <w:t xml:space="preserve"> □</w:t>
                  </w:r>
                  <w:r>
                    <w:rPr>
                      <w:rFonts w:hAnsi="宋体"/>
                      <w:kern w:val="0"/>
                      <w:sz w:val="18"/>
                      <w:szCs w:val="18"/>
                    </w:rPr>
                    <w:t>；其他</w:t>
                  </w:r>
                  <w:r>
                    <w:rPr>
                      <w:kern w:val="0"/>
                      <w:sz w:val="18"/>
                      <w:szCs w:val="18"/>
                    </w:rPr>
                    <w:t xml:space="preserve"> □</w:t>
                  </w:r>
                </w:p>
              </w:tc>
              <w:tc>
                <w:tcPr>
                  <w:tcW w:w="250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拟替代的污染源</w:t>
                  </w:r>
                  <w:r>
                    <w:rPr>
                      <w:kern w:val="0"/>
                      <w:sz w:val="18"/>
                      <w:szCs w:val="18"/>
                    </w:rPr>
                    <w:t>□</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排污许可证</w:t>
                  </w:r>
                  <w:r>
                    <w:rPr>
                      <w:kern w:val="0"/>
                      <w:sz w:val="18"/>
                      <w:szCs w:val="18"/>
                    </w:rPr>
                    <w:t xml:space="preserve"> □</w:t>
                  </w:r>
                  <w:r>
                    <w:rPr>
                      <w:rFonts w:hAnsi="宋体"/>
                      <w:kern w:val="0"/>
                      <w:sz w:val="18"/>
                      <w:szCs w:val="18"/>
                    </w:rPr>
                    <w:t>；环评</w:t>
                  </w:r>
                  <w:r>
                    <w:rPr>
                      <w:kern w:val="0"/>
                      <w:sz w:val="18"/>
                      <w:szCs w:val="18"/>
                    </w:rPr>
                    <w:t xml:space="preserve"> □</w:t>
                  </w:r>
                  <w:r>
                    <w:rPr>
                      <w:rFonts w:hAnsi="宋体"/>
                      <w:kern w:val="0"/>
                      <w:sz w:val="18"/>
                      <w:szCs w:val="18"/>
                    </w:rPr>
                    <w:t>；环保验收</w:t>
                  </w:r>
                  <w:r>
                    <w:rPr>
                      <w:kern w:val="0"/>
                      <w:sz w:val="18"/>
                      <w:szCs w:val="18"/>
                    </w:rPr>
                    <w:t xml:space="preserve"> □</w:t>
                  </w:r>
                  <w:r>
                    <w:rPr>
                      <w:rFonts w:hAnsi="宋体"/>
                      <w:kern w:val="0"/>
                      <w:sz w:val="18"/>
                      <w:szCs w:val="18"/>
                    </w:rPr>
                    <w:t>；既有实测</w:t>
                  </w:r>
                  <w:r>
                    <w:rPr>
                      <w:kern w:val="0"/>
                      <w:sz w:val="18"/>
                      <w:szCs w:val="18"/>
                    </w:rPr>
                    <w:t xml:space="preserve"> □</w:t>
                  </w:r>
                  <w:r>
                    <w:rPr>
                      <w:rFonts w:hAnsi="宋体"/>
                      <w:kern w:val="0"/>
                      <w:sz w:val="18"/>
                      <w:szCs w:val="18"/>
                    </w:rPr>
                    <w:t>；现场监测</w:t>
                  </w:r>
                  <w:r>
                    <w:rPr>
                      <w:kern w:val="0"/>
                      <w:sz w:val="18"/>
                      <w:szCs w:val="18"/>
                    </w:rPr>
                    <w:t xml:space="preserve"> □</w:t>
                  </w:r>
                  <w:r>
                    <w:rPr>
                      <w:rFonts w:hAnsi="宋体"/>
                      <w:kern w:val="0"/>
                      <w:sz w:val="18"/>
                      <w:szCs w:val="18"/>
                    </w:rPr>
                    <w:t>；入河排放口数据</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受影响水体水环境质量</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调查时期</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丰水期</w:t>
                  </w:r>
                  <w:r>
                    <w:rPr>
                      <w:kern w:val="0"/>
                      <w:sz w:val="18"/>
                      <w:szCs w:val="18"/>
                    </w:rPr>
                    <w:t xml:space="preserve"> □</w:t>
                  </w:r>
                  <w:r>
                    <w:rPr>
                      <w:rFonts w:hAnsi="宋体"/>
                      <w:kern w:val="0"/>
                      <w:sz w:val="18"/>
                      <w:szCs w:val="18"/>
                    </w:rPr>
                    <w:t>；平水期</w:t>
                  </w:r>
                  <w:r>
                    <w:rPr>
                      <w:kern w:val="0"/>
                      <w:sz w:val="18"/>
                      <w:szCs w:val="18"/>
                    </w:rPr>
                    <w:t xml:space="preserve"> □</w:t>
                  </w:r>
                  <w:r>
                    <w:rPr>
                      <w:rFonts w:hAnsi="宋体"/>
                      <w:kern w:val="0"/>
                      <w:sz w:val="18"/>
                      <w:szCs w:val="18"/>
                    </w:rPr>
                    <w:t>；枯水期</w:t>
                  </w:r>
                  <w:r>
                    <w:rPr>
                      <w:kern w:val="0"/>
                      <w:sz w:val="18"/>
                      <w:szCs w:val="18"/>
                    </w:rPr>
                    <w:t xml:space="preserve"> □</w:t>
                  </w:r>
                  <w:r>
                    <w:rPr>
                      <w:rFonts w:hAnsi="宋体"/>
                      <w:kern w:val="0"/>
                      <w:sz w:val="18"/>
                      <w:szCs w:val="18"/>
                    </w:rPr>
                    <w:t>；冰封期</w:t>
                  </w:r>
                  <w:r>
                    <w:rPr>
                      <w:kern w:val="0"/>
                      <w:sz w:val="18"/>
                      <w:szCs w:val="18"/>
                    </w:rPr>
                    <w:t xml:space="preserve"> □</w:t>
                  </w:r>
                </w:p>
              </w:tc>
              <w:tc>
                <w:tcPr>
                  <w:tcW w:w="4114" w:type="dxa"/>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生态环境保护主管部门</w:t>
                  </w:r>
                  <w:r>
                    <w:rPr>
                      <w:kern w:val="0"/>
                      <w:sz w:val="18"/>
                      <w:szCs w:val="18"/>
                    </w:rPr>
                    <w:t xml:space="preserve"> □</w:t>
                  </w:r>
                  <w:r>
                    <w:rPr>
                      <w:rFonts w:hAnsi="宋体"/>
                      <w:kern w:val="0"/>
                      <w:sz w:val="18"/>
                      <w:szCs w:val="18"/>
                    </w:rPr>
                    <w:t>；补充监测</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春季</w:t>
                  </w:r>
                  <w:r>
                    <w:rPr>
                      <w:kern w:val="0"/>
                      <w:sz w:val="18"/>
                      <w:szCs w:val="18"/>
                    </w:rPr>
                    <w:t xml:space="preserve"> □</w:t>
                  </w:r>
                  <w:r>
                    <w:rPr>
                      <w:rFonts w:hAnsi="宋体"/>
                      <w:kern w:val="0"/>
                      <w:sz w:val="18"/>
                      <w:szCs w:val="18"/>
                    </w:rPr>
                    <w:t>；夏季</w:t>
                  </w:r>
                  <w:r>
                    <w:rPr>
                      <w:kern w:val="0"/>
                      <w:sz w:val="18"/>
                      <w:szCs w:val="18"/>
                    </w:rPr>
                    <w:t xml:space="preserve"> □</w:t>
                  </w:r>
                  <w:r>
                    <w:rPr>
                      <w:rFonts w:hAnsi="宋体"/>
                      <w:kern w:val="0"/>
                      <w:sz w:val="18"/>
                      <w:szCs w:val="18"/>
                    </w:rPr>
                    <w:t>；秋季</w:t>
                  </w:r>
                  <w:r>
                    <w:rPr>
                      <w:kern w:val="0"/>
                      <w:sz w:val="18"/>
                      <w:szCs w:val="18"/>
                    </w:rPr>
                    <w:t xml:space="preserve"> □</w:t>
                  </w:r>
                  <w:r>
                    <w:rPr>
                      <w:rFonts w:hAnsi="宋体"/>
                      <w:kern w:val="0"/>
                      <w:sz w:val="18"/>
                      <w:szCs w:val="18"/>
                    </w:rPr>
                    <w:t>；冬季</w:t>
                  </w:r>
                  <w:r>
                    <w:rPr>
                      <w:kern w:val="0"/>
                      <w:sz w:val="18"/>
                      <w:szCs w:val="18"/>
                    </w:rPr>
                    <w:t xml:space="preserve"> □</w:t>
                  </w:r>
                </w:p>
              </w:tc>
              <w:tc>
                <w:tcPr>
                  <w:tcW w:w="14607"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区域水资源开发利用状况</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未开发</w:t>
                  </w:r>
                  <w:r>
                    <w:rPr>
                      <w:kern w:val="0"/>
                      <w:sz w:val="18"/>
                      <w:szCs w:val="18"/>
                    </w:rPr>
                    <w:t xml:space="preserve"> □</w:t>
                  </w:r>
                  <w:r>
                    <w:rPr>
                      <w:rFonts w:hAnsi="宋体"/>
                      <w:kern w:val="0"/>
                      <w:sz w:val="18"/>
                      <w:szCs w:val="18"/>
                    </w:rPr>
                    <w:t>；开发量</w:t>
                  </w:r>
                  <w:r>
                    <w:rPr>
                      <w:kern w:val="0"/>
                      <w:sz w:val="18"/>
                      <w:szCs w:val="18"/>
                    </w:rPr>
                    <w:t xml:space="preserve"> </w:t>
                  </w:r>
                  <w:r>
                    <w:rPr>
                      <w:rStyle w:val="223"/>
                      <w:color w:val="auto"/>
                      <w:sz w:val="18"/>
                      <w:szCs w:val="18"/>
                    </w:rPr>
                    <w:t>40%</w:t>
                  </w:r>
                  <w:r>
                    <w:rPr>
                      <w:rStyle w:val="222"/>
                      <w:rFonts w:hAnsi="宋体"/>
                      <w:color w:val="auto"/>
                    </w:rPr>
                    <w:t>以下</w:t>
                  </w:r>
                  <w:r>
                    <w:rPr>
                      <w:rStyle w:val="222"/>
                      <w:color w:val="auto"/>
                    </w:rPr>
                    <w:t xml:space="preserve"> □</w:t>
                  </w:r>
                  <w:r>
                    <w:rPr>
                      <w:rStyle w:val="222"/>
                      <w:rFonts w:hAnsi="宋体"/>
                      <w:color w:val="auto"/>
                    </w:rPr>
                    <w:t>；开发量</w:t>
                  </w:r>
                  <w:r>
                    <w:rPr>
                      <w:rStyle w:val="222"/>
                      <w:color w:val="auto"/>
                    </w:rPr>
                    <w:t xml:space="preserve"> </w:t>
                  </w:r>
                  <w:r>
                    <w:rPr>
                      <w:rStyle w:val="223"/>
                      <w:color w:val="auto"/>
                      <w:sz w:val="18"/>
                      <w:szCs w:val="18"/>
                    </w:rPr>
                    <w:t>40%</w:t>
                  </w:r>
                  <w:r>
                    <w:rPr>
                      <w:rStyle w:val="222"/>
                      <w:rFonts w:hAnsi="宋体"/>
                      <w:color w:val="auto"/>
                    </w:rPr>
                    <w:t>以上</w:t>
                  </w:r>
                  <w:r>
                    <w:rPr>
                      <w:rStyle w:val="222"/>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水文情势调查</w:t>
                  </w: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调查时期</w:t>
                  </w:r>
                </w:p>
              </w:tc>
              <w:tc>
                <w:tcPr>
                  <w:tcW w:w="411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数据来源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丰水期</w:t>
                  </w:r>
                  <w:r>
                    <w:rPr>
                      <w:kern w:val="0"/>
                      <w:sz w:val="18"/>
                      <w:szCs w:val="18"/>
                    </w:rPr>
                    <w:t xml:space="preserve"> □</w:t>
                  </w:r>
                  <w:r>
                    <w:rPr>
                      <w:rFonts w:hAnsi="宋体"/>
                      <w:kern w:val="0"/>
                      <w:sz w:val="18"/>
                      <w:szCs w:val="18"/>
                    </w:rPr>
                    <w:t>；平水期</w:t>
                  </w:r>
                  <w:r>
                    <w:rPr>
                      <w:kern w:val="0"/>
                      <w:sz w:val="18"/>
                      <w:szCs w:val="18"/>
                    </w:rPr>
                    <w:t xml:space="preserve"> □</w:t>
                  </w:r>
                  <w:r>
                    <w:rPr>
                      <w:rFonts w:hAnsi="宋体"/>
                      <w:kern w:val="0"/>
                      <w:sz w:val="18"/>
                      <w:szCs w:val="18"/>
                    </w:rPr>
                    <w:t>；枯水期</w:t>
                  </w:r>
                  <w:r>
                    <w:rPr>
                      <w:kern w:val="0"/>
                      <w:sz w:val="18"/>
                      <w:szCs w:val="18"/>
                    </w:rPr>
                    <w:t xml:space="preserve"> □</w:t>
                  </w:r>
                  <w:r>
                    <w:rPr>
                      <w:rFonts w:hAnsi="宋体"/>
                      <w:kern w:val="0"/>
                      <w:sz w:val="18"/>
                      <w:szCs w:val="18"/>
                    </w:rPr>
                    <w:t>；冰封期</w:t>
                  </w:r>
                </w:p>
              </w:tc>
              <w:tc>
                <w:tcPr>
                  <w:tcW w:w="4114" w:type="dxa"/>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水行政主管部门</w:t>
                  </w:r>
                  <w:r>
                    <w:rPr>
                      <w:kern w:val="0"/>
                      <w:sz w:val="18"/>
                      <w:szCs w:val="18"/>
                    </w:rPr>
                    <w:t xml:space="preserve"> □</w:t>
                  </w:r>
                  <w:r>
                    <w:rPr>
                      <w:rFonts w:hAnsi="宋体"/>
                      <w:kern w:val="0"/>
                      <w:sz w:val="18"/>
                      <w:szCs w:val="18"/>
                    </w:rPr>
                    <w:t>；补充监测</w:t>
                  </w:r>
                  <w:r>
                    <w:rPr>
                      <w:kern w:val="0"/>
                      <w:sz w:val="18"/>
                      <w:szCs w:val="18"/>
                    </w:rPr>
                    <w:t xml:space="preserve"> □</w:t>
                  </w:r>
                  <w:r>
                    <w:rPr>
                      <w:rStyle w:val="222"/>
                      <w:rFonts w:hAnsi="宋体"/>
                      <w:color w:val="auto"/>
                    </w:rPr>
                    <w:t>；其他</w:t>
                  </w:r>
                  <w:r>
                    <w:rPr>
                      <w:rStyle w:val="222"/>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788"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春季</w:t>
                  </w:r>
                  <w:r>
                    <w:rPr>
                      <w:kern w:val="0"/>
                      <w:sz w:val="18"/>
                      <w:szCs w:val="18"/>
                    </w:rPr>
                    <w:t xml:space="preserve"> □</w:t>
                  </w:r>
                  <w:r>
                    <w:rPr>
                      <w:rStyle w:val="222"/>
                      <w:rFonts w:hAnsi="宋体"/>
                      <w:color w:val="auto"/>
                    </w:rPr>
                    <w:t>；夏季</w:t>
                  </w:r>
                  <w:r>
                    <w:rPr>
                      <w:rStyle w:val="222"/>
                      <w:color w:val="auto"/>
                    </w:rPr>
                    <w:t xml:space="preserve"> □</w:t>
                  </w:r>
                  <w:r>
                    <w:rPr>
                      <w:rStyle w:val="222"/>
                      <w:rFonts w:hAnsi="宋体"/>
                      <w:color w:val="auto"/>
                    </w:rPr>
                    <w:t>；秋季</w:t>
                  </w:r>
                  <w:r>
                    <w:rPr>
                      <w:rStyle w:val="222"/>
                      <w:color w:val="auto"/>
                    </w:rPr>
                    <w:t xml:space="preserve"> □</w:t>
                  </w:r>
                  <w:r>
                    <w:rPr>
                      <w:rStyle w:val="222"/>
                      <w:rFonts w:hAnsi="宋体"/>
                      <w:color w:val="auto"/>
                    </w:rPr>
                    <w:t>；冬季</w:t>
                  </w:r>
                  <w:r>
                    <w:rPr>
                      <w:rStyle w:val="222"/>
                      <w:color w:val="auto"/>
                    </w:rPr>
                    <w:t xml:space="preserve"> □</w:t>
                  </w:r>
                </w:p>
              </w:tc>
              <w:tc>
                <w:tcPr>
                  <w:tcW w:w="14607" w:type="dxa"/>
                  <w:gridSpan w:val="6"/>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补充监测</w:t>
                  </w: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监测时期</w:t>
                  </w:r>
                </w:p>
              </w:tc>
              <w:tc>
                <w:tcPr>
                  <w:tcW w:w="3130"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监测因子</w:t>
                  </w: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监测断面或点位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丰水期</w:t>
                  </w:r>
                  <w:r>
                    <w:rPr>
                      <w:kern w:val="0"/>
                      <w:sz w:val="18"/>
                      <w:szCs w:val="18"/>
                    </w:rPr>
                    <w:t xml:space="preserve"> □</w:t>
                  </w:r>
                  <w:r>
                    <w:rPr>
                      <w:rFonts w:hAnsi="宋体"/>
                      <w:kern w:val="0"/>
                      <w:sz w:val="18"/>
                      <w:szCs w:val="18"/>
                    </w:rPr>
                    <w:t>；平水期</w:t>
                  </w:r>
                  <w:r>
                    <w:rPr>
                      <w:kern w:val="0"/>
                      <w:sz w:val="18"/>
                      <w:szCs w:val="18"/>
                    </w:rPr>
                    <w:t xml:space="preserve"> □</w:t>
                  </w:r>
                  <w:r>
                    <w:rPr>
                      <w:rFonts w:hAnsi="宋体"/>
                      <w:kern w:val="0"/>
                      <w:sz w:val="18"/>
                      <w:szCs w:val="18"/>
                    </w:rPr>
                    <w:t>；枯水期</w:t>
                  </w:r>
                  <w:r>
                    <w:rPr>
                      <w:kern w:val="0"/>
                      <w:sz w:val="18"/>
                      <w:szCs w:val="18"/>
                    </w:rPr>
                    <w:t xml:space="preserve"> □</w:t>
                  </w:r>
                  <w:r>
                    <w:rPr>
                      <w:rFonts w:hAnsi="宋体"/>
                      <w:kern w:val="0"/>
                      <w:sz w:val="18"/>
                      <w:szCs w:val="18"/>
                    </w:rPr>
                    <w:t>；冰封期</w:t>
                  </w:r>
                  <w:r>
                    <w:rPr>
                      <w:kern w:val="0"/>
                      <w:sz w:val="18"/>
                      <w:szCs w:val="18"/>
                    </w:rPr>
                    <w:t xml:space="preserve"> □</w:t>
                  </w:r>
                </w:p>
              </w:tc>
              <w:tc>
                <w:tcPr>
                  <w:tcW w:w="3130" w:type="dxa"/>
                  <w:gridSpan w:val="5"/>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sz w:val="18"/>
                      <w:szCs w:val="18"/>
                    </w:rPr>
                  </w:pP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监测断面或点位个数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春季</w:t>
                  </w:r>
                  <w:r>
                    <w:rPr>
                      <w:kern w:val="0"/>
                      <w:sz w:val="18"/>
                      <w:szCs w:val="18"/>
                    </w:rPr>
                    <w:t>□</w:t>
                  </w:r>
                  <w:r>
                    <w:rPr>
                      <w:rFonts w:hAnsi="宋体"/>
                      <w:kern w:val="0"/>
                      <w:sz w:val="18"/>
                      <w:szCs w:val="18"/>
                    </w:rPr>
                    <w:t>；夏季</w:t>
                  </w:r>
                  <w:r>
                    <w:rPr>
                      <w:kern w:val="0"/>
                      <w:sz w:val="18"/>
                      <w:szCs w:val="18"/>
                    </w:rPr>
                    <w:t xml:space="preserve"> □</w:t>
                  </w:r>
                  <w:r>
                    <w:rPr>
                      <w:rFonts w:hAnsi="宋体"/>
                      <w:kern w:val="0"/>
                      <w:sz w:val="18"/>
                      <w:szCs w:val="18"/>
                    </w:rPr>
                    <w:t>；秋季</w:t>
                  </w:r>
                  <w:r>
                    <w:rPr>
                      <w:kern w:val="0"/>
                      <w:sz w:val="18"/>
                      <w:szCs w:val="18"/>
                    </w:rPr>
                    <w:t xml:space="preserve"> □</w:t>
                  </w:r>
                  <w:r>
                    <w:rPr>
                      <w:rFonts w:hAnsi="宋体"/>
                      <w:kern w:val="0"/>
                      <w:sz w:val="18"/>
                      <w:szCs w:val="18"/>
                    </w:rPr>
                    <w:t>；冬季</w:t>
                  </w:r>
                  <w:r>
                    <w:rPr>
                      <w:kern w:val="0"/>
                      <w:sz w:val="18"/>
                      <w:szCs w:val="18"/>
                    </w:rPr>
                    <w:t xml:space="preserve"> □</w:t>
                  </w:r>
                </w:p>
              </w:tc>
              <w:tc>
                <w:tcPr>
                  <w:tcW w:w="10358" w:type="dxa"/>
                  <w:gridSpan w:val="5"/>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0</w:t>
                  </w:r>
                  <w:r>
                    <w:rPr>
                      <w:rStyle w:val="222"/>
                      <w:rFonts w:hAnsi="宋体"/>
                      <w:color w:val="auto"/>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现</w:t>
                  </w:r>
                </w:p>
                <w:p>
                  <w:pPr>
                    <w:widowControl/>
                    <w:snapToGrid w:val="0"/>
                    <w:jc w:val="center"/>
                    <w:textAlignment w:val="center"/>
                    <w:rPr>
                      <w:sz w:val="18"/>
                      <w:szCs w:val="18"/>
                    </w:rPr>
                  </w:pPr>
                  <w:r>
                    <w:rPr>
                      <w:rFonts w:hAnsi="宋体"/>
                      <w:kern w:val="0"/>
                      <w:sz w:val="18"/>
                      <w:szCs w:val="18"/>
                    </w:rPr>
                    <w:t>状</w:t>
                  </w:r>
                </w:p>
                <w:p>
                  <w:pPr>
                    <w:widowControl/>
                    <w:snapToGrid w:val="0"/>
                    <w:jc w:val="center"/>
                    <w:textAlignment w:val="center"/>
                    <w:rPr>
                      <w:sz w:val="18"/>
                      <w:szCs w:val="18"/>
                    </w:rPr>
                  </w:pPr>
                  <w:r>
                    <w:rPr>
                      <w:rFonts w:hAnsi="宋体"/>
                      <w:kern w:val="0"/>
                      <w:sz w:val="18"/>
                      <w:szCs w:val="18"/>
                    </w:rPr>
                    <w:t>评</w:t>
                  </w:r>
                </w:p>
                <w:p>
                  <w:pPr>
                    <w:widowControl/>
                    <w:snapToGrid w:val="0"/>
                    <w:jc w:val="center"/>
                    <w:textAlignment w:val="center"/>
                    <w:rPr>
                      <w:sz w:val="18"/>
                      <w:szCs w:val="18"/>
                    </w:rPr>
                  </w:pPr>
                  <w:r>
                    <w:rPr>
                      <w:rFonts w:hAnsi="宋体"/>
                      <w:kern w:val="0"/>
                      <w:sz w:val="18"/>
                      <w:szCs w:val="18"/>
                    </w:rPr>
                    <w:t>价</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评价范围</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河流：长度（</w:t>
                  </w:r>
                  <w:r>
                    <w:rPr>
                      <w:rStyle w:val="223"/>
                      <w:color w:val="auto"/>
                      <w:sz w:val="18"/>
                      <w:szCs w:val="18"/>
                    </w:rPr>
                    <w:t>2.5</w:t>
                  </w:r>
                  <w:r>
                    <w:rPr>
                      <w:rStyle w:val="222"/>
                      <w:rFonts w:hAnsi="宋体"/>
                      <w:color w:val="auto"/>
                    </w:rPr>
                    <w:t>）</w:t>
                  </w:r>
                  <w:r>
                    <w:rPr>
                      <w:rStyle w:val="223"/>
                      <w:color w:val="auto"/>
                      <w:sz w:val="18"/>
                      <w:szCs w:val="18"/>
                    </w:rPr>
                    <w:t>km</w:t>
                  </w:r>
                  <w:r>
                    <w:rPr>
                      <w:rStyle w:val="222"/>
                      <w:rFonts w:hAnsi="宋体"/>
                      <w:color w:val="auto"/>
                    </w:rPr>
                    <w:t>；湖库、河口及近岸海域：面积（</w:t>
                  </w:r>
                  <w:r>
                    <w:rPr>
                      <w:rStyle w:val="223"/>
                      <w:color w:val="auto"/>
                      <w:sz w:val="18"/>
                      <w:szCs w:val="18"/>
                    </w:rPr>
                    <w:t>/</w:t>
                  </w:r>
                  <w:r>
                    <w:rPr>
                      <w:rStyle w:val="222"/>
                      <w:rFonts w:hAnsi="宋体"/>
                      <w:color w:val="auto"/>
                    </w:rPr>
                    <w:t>）</w:t>
                  </w:r>
                  <w:r>
                    <w:rPr>
                      <w:rStyle w:val="223"/>
                      <w:color w:val="auto"/>
                      <w:sz w:val="18"/>
                      <w:szCs w:val="18"/>
                    </w:rPr>
                    <w:t>km</w:t>
                  </w:r>
                  <w:r>
                    <w:rPr>
                      <w:rStyle w:val="224"/>
                      <w:color w:val="auto"/>
                      <w:sz w:val="18"/>
                      <w:szCs w:val="18"/>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评价因子</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评价标准</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河流、湖库、河口：Ⅰ类</w:t>
                  </w:r>
                  <w:r>
                    <w:rPr>
                      <w:kern w:val="0"/>
                      <w:sz w:val="18"/>
                      <w:szCs w:val="18"/>
                    </w:rPr>
                    <w:t xml:space="preserve"> □</w:t>
                  </w:r>
                  <w:r>
                    <w:rPr>
                      <w:rFonts w:hAnsi="宋体"/>
                      <w:kern w:val="0"/>
                      <w:sz w:val="18"/>
                      <w:szCs w:val="18"/>
                    </w:rPr>
                    <w:t>；Ⅱ类</w:t>
                  </w:r>
                  <w:r>
                    <w:rPr>
                      <w:kern w:val="0"/>
                      <w:sz w:val="18"/>
                      <w:szCs w:val="18"/>
                    </w:rPr>
                    <w:t xml:space="preserve"> □</w:t>
                  </w:r>
                  <w:r>
                    <w:rPr>
                      <w:rFonts w:hAnsi="宋体"/>
                      <w:kern w:val="0"/>
                      <w:sz w:val="18"/>
                      <w:szCs w:val="18"/>
                    </w:rPr>
                    <w:t>；Ⅲ类</w:t>
                  </w:r>
                  <w:r>
                    <w:rPr>
                      <w:kern w:val="0"/>
                      <w:sz w:val="18"/>
                      <w:szCs w:val="18"/>
                    </w:rPr>
                    <w:sym w:font="Wingdings 2" w:char="0052"/>
                  </w:r>
                  <w:r>
                    <w:rPr>
                      <w:rStyle w:val="222"/>
                      <w:rFonts w:hAnsi="宋体"/>
                      <w:color w:val="auto"/>
                    </w:rPr>
                    <w:t>；Ⅳ类</w:t>
                  </w:r>
                  <w:r>
                    <w:rPr>
                      <w:rStyle w:val="222"/>
                      <w:color w:val="auto"/>
                    </w:rPr>
                    <w:t xml:space="preserve"> □</w:t>
                  </w:r>
                  <w:r>
                    <w:rPr>
                      <w:rStyle w:val="222"/>
                      <w:rFonts w:hAnsi="宋体"/>
                      <w:color w:val="auto"/>
                    </w:rPr>
                    <w:t>；Ⅴ类</w:t>
                  </w:r>
                  <w:r>
                    <w:rPr>
                      <w:rStyle w:val="222"/>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近岸海域：第一类</w:t>
                  </w:r>
                  <w:r>
                    <w:rPr>
                      <w:kern w:val="0"/>
                      <w:sz w:val="18"/>
                      <w:szCs w:val="18"/>
                    </w:rPr>
                    <w:t xml:space="preserve"> □</w:t>
                  </w:r>
                  <w:r>
                    <w:rPr>
                      <w:rFonts w:hAnsi="宋体"/>
                      <w:kern w:val="0"/>
                      <w:sz w:val="18"/>
                      <w:szCs w:val="18"/>
                    </w:rPr>
                    <w:t>；第二类</w:t>
                  </w:r>
                  <w:r>
                    <w:rPr>
                      <w:kern w:val="0"/>
                      <w:sz w:val="18"/>
                      <w:szCs w:val="18"/>
                    </w:rPr>
                    <w:t xml:space="preserve"> □</w:t>
                  </w:r>
                  <w:r>
                    <w:rPr>
                      <w:rFonts w:hAnsi="宋体"/>
                      <w:kern w:val="0"/>
                      <w:sz w:val="18"/>
                      <w:szCs w:val="18"/>
                    </w:rPr>
                    <w:t>；第三类</w:t>
                  </w:r>
                  <w:r>
                    <w:rPr>
                      <w:kern w:val="0"/>
                      <w:sz w:val="18"/>
                      <w:szCs w:val="18"/>
                    </w:rPr>
                    <w:t xml:space="preserve"> □</w:t>
                  </w:r>
                  <w:r>
                    <w:rPr>
                      <w:rFonts w:hAnsi="宋体"/>
                      <w:kern w:val="0"/>
                      <w:sz w:val="18"/>
                      <w:szCs w:val="18"/>
                    </w:rPr>
                    <w:t>；第四类</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规划年评价标准（</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评价时期</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丰水期</w:t>
                  </w:r>
                  <w:r>
                    <w:rPr>
                      <w:kern w:val="0"/>
                      <w:sz w:val="18"/>
                      <w:szCs w:val="18"/>
                    </w:rPr>
                    <w:t xml:space="preserve"> □</w:t>
                  </w:r>
                  <w:r>
                    <w:rPr>
                      <w:rFonts w:hAnsi="宋体"/>
                      <w:kern w:val="0"/>
                      <w:sz w:val="18"/>
                      <w:szCs w:val="18"/>
                    </w:rPr>
                    <w:t>；平水期</w:t>
                  </w:r>
                  <w:r>
                    <w:rPr>
                      <w:kern w:val="0"/>
                      <w:sz w:val="18"/>
                      <w:szCs w:val="18"/>
                    </w:rPr>
                    <w:t xml:space="preserve"> □</w:t>
                  </w:r>
                  <w:r>
                    <w:rPr>
                      <w:rFonts w:hAnsi="宋体"/>
                      <w:kern w:val="0"/>
                      <w:sz w:val="18"/>
                      <w:szCs w:val="18"/>
                    </w:rPr>
                    <w:t>；枯水期</w:t>
                  </w:r>
                  <w:r>
                    <w:rPr>
                      <w:kern w:val="0"/>
                      <w:sz w:val="18"/>
                      <w:szCs w:val="18"/>
                    </w:rPr>
                    <w:t xml:space="preserve"> □</w:t>
                  </w:r>
                  <w:r>
                    <w:rPr>
                      <w:rFonts w:hAnsi="宋体"/>
                      <w:kern w:val="0"/>
                      <w:sz w:val="18"/>
                      <w:szCs w:val="18"/>
                    </w:rPr>
                    <w:t>；冰封期</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春季</w:t>
                  </w:r>
                  <w:r>
                    <w:rPr>
                      <w:kern w:val="0"/>
                      <w:sz w:val="18"/>
                      <w:szCs w:val="18"/>
                    </w:rPr>
                    <w:t xml:space="preserve"> □</w:t>
                  </w:r>
                  <w:r>
                    <w:rPr>
                      <w:rStyle w:val="222"/>
                      <w:rFonts w:hAnsi="宋体"/>
                      <w:color w:val="auto"/>
                    </w:rPr>
                    <w:t>；夏季</w:t>
                  </w:r>
                  <w:r>
                    <w:rPr>
                      <w:rStyle w:val="222"/>
                      <w:color w:val="auto"/>
                    </w:rPr>
                    <w:t xml:space="preserve"> □</w:t>
                  </w:r>
                  <w:r>
                    <w:rPr>
                      <w:rStyle w:val="222"/>
                      <w:rFonts w:hAnsi="宋体"/>
                      <w:color w:val="auto"/>
                    </w:rPr>
                    <w:t>；秋季</w:t>
                  </w:r>
                  <w:r>
                    <w:rPr>
                      <w:rStyle w:val="222"/>
                      <w:color w:val="auto"/>
                    </w:rPr>
                    <w:t xml:space="preserve"> □</w:t>
                  </w:r>
                  <w:r>
                    <w:rPr>
                      <w:rStyle w:val="222"/>
                      <w:rFonts w:hAnsi="宋体"/>
                      <w:color w:val="auto"/>
                    </w:rPr>
                    <w:t>；冬季</w:t>
                  </w:r>
                  <w:r>
                    <w:rPr>
                      <w:rStyle w:val="222"/>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评价结论</w:t>
                  </w: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水环境功能区或水功能区、近岸海域环境功能区水质达标状况</w:t>
                  </w:r>
                  <w:r>
                    <w:rPr>
                      <w:kern w:val="0"/>
                      <w:sz w:val="18"/>
                      <w:szCs w:val="18"/>
                    </w:rPr>
                    <w:t xml:space="preserve"> □</w:t>
                  </w:r>
                  <w:r>
                    <w:rPr>
                      <w:rFonts w:hAnsi="宋体"/>
                      <w:kern w:val="0"/>
                      <w:sz w:val="18"/>
                      <w:szCs w:val="18"/>
                    </w:rPr>
                    <w:t>：达标</w:t>
                  </w:r>
                  <w:r>
                    <w:rPr>
                      <w:kern w:val="0"/>
                      <w:sz w:val="18"/>
                      <w:szCs w:val="18"/>
                    </w:rPr>
                    <w:sym w:font="Wingdings 2" w:char="0052"/>
                  </w:r>
                  <w:r>
                    <w:rPr>
                      <w:rStyle w:val="222"/>
                      <w:rFonts w:hAnsi="宋体"/>
                      <w:color w:val="auto"/>
                    </w:rPr>
                    <w:t>；不达标</w:t>
                  </w:r>
                  <w:r>
                    <w:rPr>
                      <w:rStyle w:val="222"/>
                      <w:color w:val="auto"/>
                    </w:rPr>
                    <w:t>□</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达标区</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水环境控制单元或断面水质达标状况</w:t>
                  </w:r>
                  <w:r>
                    <w:rPr>
                      <w:kern w:val="0"/>
                      <w:sz w:val="18"/>
                      <w:szCs w:val="18"/>
                    </w:rPr>
                    <w:t xml:space="preserve"> □</w:t>
                  </w:r>
                  <w:r>
                    <w:rPr>
                      <w:rFonts w:hAnsi="宋体"/>
                      <w:kern w:val="0"/>
                      <w:sz w:val="18"/>
                      <w:szCs w:val="18"/>
                    </w:rPr>
                    <w:t>：达标</w:t>
                  </w:r>
                  <w:r>
                    <w:rPr>
                      <w:kern w:val="0"/>
                      <w:sz w:val="18"/>
                      <w:szCs w:val="18"/>
                    </w:rPr>
                    <w:sym w:font="Wingdings 2" w:char="0052"/>
                  </w:r>
                  <w:r>
                    <w:rPr>
                      <w:rStyle w:val="222"/>
                      <w:rFonts w:hAnsi="宋体"/>
                      <w:color w:val="auto"/>
                    </w:rPr>
                    <w:t>；不达标</w:t>
                  </w:r>
                  <w:r>
                    <w:rPr>
                      <w:rStyle w:val="222"/>
                      <w:color w:val="auto"/>
                    </w:rPr>
                    <w:t>□</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不达标区</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水环境保护目标质量状况</w:t>
                  </w:r>
                  <w:r>
                    <w:rPr>
                      <w:kern w:val="0"/>
                      <w:sz w:val="18"/>
                      <w:szCs w:val="18"/>
                    </w:rPr>
                    <w:t xml:space="preserve"> □</w:t>
                  </w:r>
                  <w:r>
                    <w:rPr>
                      <w:rFonts w:hAnsi="宋体"/>
                      <w:kern w:val="0"/>
                      <w:sz w:val="18"/>
                      <w:szCs w:val="18"/>
                    </w:rPr>
                    <w:t>：达标</w:t>
                  </w:r>
                  <w:r>
                    <w:rPr>
                      <w:kern w:val="0"/>
                      <w:sz w:val="18"/>
                      <w:szCs w:val="18"/>
                    </w:rPr>
                    <w:sym w:font="Wingdings 2" w:char="0052"/>
                  </w:r>
                  <w:r>
                    <w:rPr>
                      <w:rFonts w:hAnsi="宋体"/>
                      <w:kern w:val="0"/>
                      <w:sz w:val="18"/>
                      <w:szCs w:val="18"/>
                    </w:rPr>
                    <w:t>；不达标</w:t>
                  </w:r>
                  <w:r>
                    <w:rPr>
                      <w:kern w:val="0"/>
                      <w:sz w:val="18"/>
                      <w:szCs w:val="18"/>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对照断面、控制断面等代表性断面的水质状况</w:t>
                  </w:r>
                  <w:r>
                    <w:rPr>
                      <w:kern w:val="0"/>
                      <w:sz w:val="18"/>
                      <w:szCs w:val="18"/>
                    </w:rPr>
                    <w:t xml:space="preserve"> □</w:t>
                  </w:r>
                  <w:r>
                    <w:rPr>
                      <w:rFonts w:hAnsi="宋体"/>
                      <w:kern w:val="0"/>
                      <w:sz w:val="18"/>
                      <w:szCs w:val="18"/>
                    </w:rPr>
                    <w:t>：达标</w:t>
                  </w:r>
                  <w:r>
                    <w:rPr>
                      <w:kern w:val="0"/>
                      <w:sz w:val="18"/>
                      <w:szCs w:val="18"/>
                    </w:rPr>
                    <w:sym w:font="Wingdings 2" w:char="0052"/>
                  </w:r>
                  <w:r>
                    <w:rPr>
                      <w:rStyle w:val="222"/>
                      <w:rFonts w:hAnsi="宋体"/>
                      <w:color w:val="auto"/>
                    </w:rPr>
                    <w:t>；不达标</w:t>
                  </w:r>
                  <w:r>
                    <w:rPr>
                      <w:rStyle w:val="222"/>
                      <w:color w:val="auto"/>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底泥污染评价</w:t>
                  </w:r>
                  <w:r>
                    <w:rPr>
                      <w:kern w:val="0"/>
                      <w:sz w:val="18"/>
                      <w:szCs w:val="18"/>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水资源与开发利用程度及其水文情势评价</w:t>
                  </w:r>
                  <w:r>
                    <w:rPr>
                      <w:kern w:val="0"/>
                      <w:sz w:val="18"/>
                      <w:szCs w:val="18"/>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水环境质量回顾评价</w:t>
                  </w:r>
                  <w:r>
                    <w:rPr>
                      <w:kern w:val="0"/>
                      <w:sz w:val="18"/>
                      <w:szCs w:val="18"/>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0" w:type="dxa"/>
                  <w:gridSpan w:val="10"/>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流域（区域）水资源（包括水能资源）与开发利用总体状况、生态流量管理要求与现状满足程度、建设项目占用水域空间的水流状况与河湖演变状况</w:t>
                  </w:r>
                  <w:r>
                    <w:rPr>
                      <w:kern w:val="0"/>
                      <w:sz w:val="18"/>
                      <w:szCs w:val="18"/>
                    </w:rPr>
                    <w:t xml:space="preserve"> □</w:t>
                  </w:r>
                </w:p>
              </w:tc>
              <w:tc>
                <w:tcPr>
                  <w:tcW w:w="161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影</w:t>
                  </w:r>
                </w:p>
                <w:p>
                  <w:pPr>
                    <w:widowControl/>
                    <w:snapToGrid w:val="0"/>
                    <w:jc w:val="center"/>
                    <w:textAlignment w:val="center"/>
                    <w:rPr>
                      <w:sz w:val="18"/>
                      <w:szCs w:val="18"/>
                    </w:rPr>
                  </w:pPr>
                  <w:r>
                    <w:rPr>
                      <w:rFonts w:hAnsi="宋体"/>
                      <w:kern w:val="0"/>
                      <w:sz w:val="18"/>
                      <w:szCs w:val="18"/>
                    </w:rPr>
                    <w:t>响</w:t>
                  </w:r>
                </w:p>
                <w:p>
                  <w:pPr>
                    <w:widowControl/>
                    <w:snapToGrid w:val="0"/>
                    <w:jc w:val="center"/>
                    <w:textAlignment w:val="center"/>
                    <w:rPr>
                      <w:sz w:val="18"/>
                      <w:szCs w:val="18"/>
                    </w:rPr>
                  </w:pPr>
                  <w:r>
                    <w:rPr>
                      <w:rFonts w:hAnsi="宋体"/>
                      <w:kern w:val="0"/>
                      <w:sz w:val="18"/>
                      <w:szCs w:val="18"/>
                    </w:rPr>
                    <w:t>预</w:t>
                  </w:r>
                </w:p>
                <w:p>
                  <w:pPr>
                    <w:widowControl/>
                    <w:snapToGrid w:val="0"/>
                    <w:jc w:val="center"/>
                    <w:textAlignment w:val="center"/>
                    <w:rPr>
                      <w:sz w:val="18"/>
                      <w:szCs w:val="18"/>
                    </w:rPr>
                  </w:pPr>
                  <w:r>
                    <w:rPr>
                      <w:rFonts w:hAnsi="宋体"/>
                      <w:kern w:val="0"/>
                      <w:sz w:val="18"/>
                      <w:szCs w:val="18"/>
                    </w:rPr>
                    <w:t>测</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预测范围</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河流：长度（</w:t>
                  </w:r>
                  <w:r>
                    <w:rPr>
                      <w:rStyle w:val="223"/>
                      <w:color w:val="auto"/>
                      <w:sz w:val="18"/>
                      <w:szCs w:val="18"/>
                    </w:rPr>
                    <w:t>/</w:t>
                  </w:r>
                  <w:r>
                    <w:rPr>
                      <w:rStyle w:val="222"/>
                      <w:rFonts w:hAnsi="宋体"/>
                      <w:color w:val="auto"/>
                    </w:rPr>
                    <w:t>）</w:t>
                  </w:r>
                  <w:r>
                    <w:rPr>
                      <w:rStyle w:val="223"/>
                      <w:color w:val="auto"/>
                      <w:sz w:val="18"/>
                      <w:szCs w:val="18"/>
                    </w:rPr>
                    <w:t>km</w:t>
                  </w:r>
                  <w:r>
                    <w:rPr>
                      <w:rStyle w:val="222"/>
                      <w:rFonts w:hAnsi="宋体"/>
                      <w:color w:val="auto"/>
                    </w:rPr>
                    <w:t>；湖库、河口及近岸海域：面积（</w:t>
                  </w:r>
                  <w:r>
                    <w:rPr>
                      <w:rStyle w:val="223"/>
                      <w:color w:val="auto"/>
                      <w:sz w:val="18"/>
                      <w:szCs w:val="18"/>
                    </w:rPr>
                    <w:t>/</w:t>
                  </w:r>
                  <w:r>
                    <w:rPr>
                      <w:rStyle w:val="222"/>
                      <w:rFonts w:hAnsi="宋体"/>
                      <w:color w:val="auto"/>
                    </w:rPr>
                    <w:t>）</w:t>
                  </w:r>
                  <w:r>
                    <w:rPr>
                      <w:rStyle w:val="223"/>
                      <w:color w:val="auto"/>
                      <w:sz w:val="18"/>
                      <w:szCs w:val="18"/>
                    </w:rPr>
                    <w:t>km</w:t>
                  </w:r>
                  <w:r>
                    <w:rPr>
                      <w:rStyle w:val="224"/>
                      <w:color w:val="auto"/>
                      <w:sz w:val="18"/>
                      <w:szCs w:val="18"/>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预测因子</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预测时期</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丰水期</w:t>
                  </w:r>
                  <w:r>
                    <w:rPr>
                      <w:kern w:val="0"/>
                      <w:sz w:val="18"/>
                      <w:szCs w:val="18"/>
                    </w:rPr>
                    <w:t xml:space="preserve"> □</w:t>
                  </w:r>
                  <w:r>
                    <w:rPr>
                      <w:rFonts w:hAnsi="宋体"/>
                      <w:kern w:val="0"/>
                      <w:sz w:val="18"/>
                      <w:szCs w:val="18"/>
                    </w:rPr>
                    <w:t>；平水期</w:t>
                  </w:r>
                  <w:r>
                    <w:rPr>
                      <w:kern w:val="0"/>
                      <w:sz w:val="18"/>
                      <w:szCs w:val="18"/>
                    </w:rPr>
                    <w:t xml:space="preserve"> □</w:t>
                  </w:r>
                  <w:r>
                    <w:rPr>
                      <w:rFonts w:hAnsi="宋体"/>
                      <w:kern w:val="0"/>
                      <w:sz w:val="18"/>
                      <w:szCs w:val="18"/>
                    </w:rPr>
                    <w:t>；枯水期</w:t>
                  </w:r>
                  <w:r>
                    <w:rPr>
                      <w:kern w:val="0"/>
                      <w:sz w:val="18"/>
                      <w:szCs w:val="18"/>
                    </w:rPr>
                    <w:t xml:space="preserve"> □</w:t>
                  </w:r>
                  <w:r>
                    <w:rPr>
                      <w:rFonts w:hAnsi="宋体"/>
                      <w:kern w:val="0"/>
                      <w:sz w:val="18"/>
                      <w:szCs w:val="18"/>
                    </w:rPr>
                    <w:t>；冰封期</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春季</w:t>
                  </w:r>
                  <w:r>
                    <w:rPr>
                      <w:kern w:val="0"/>
                      <w:sz w:val="18"/>
                      <w:szCs w:val="18"/>
                    </w:rPr>
                    <w:t xml:space="preserve"> □</w:t>
                  </w:r>
                  <w:r>
                    <w:rPr>
                      <w:rFonts w:hAnsi="宋体"/>
                      <w:kern w:val="0"/>
                      <w:sz w:val="18"/>
                      <w:szCs w:val="18"/>
                    </w:rPr>
                    <w:t>；夏季</w:t>
                  </w:r>
                  <w:r>
                    <w:rPr>
                      <w:kern w:val="0"/>
                      <w:sz w:val="18"/>
                      <w:szCs w:val="18"/>
                    </w:rPr>
                    <w:t xml:space="preserve"> □</w:t>
                  </w:r>
                  <w:r>
                    <w:rPr>
                      <w:rFonts w:hAnsi="宋体"/>
                      <w:kern w:val="0"/>
                      <w:sz w:val="18"/>
                      <w:szCs w:val="18"/>
                    </w:rPr>
                    <w:t>；秋季</w:t>
                  </w:r>
                  <w:r>
                    <w:rPr>
                      <w:kern w:val="0"/>
                      <w:sz w:val="18"/>
                      <w:szCs w:val="18"/>
                    </w:rPr>
                    <w:t xml:space="preserve"> □</w:t>
                  </w:r>
                  <w:r>
                    <w:rPr>
                      <w:rFonts w:hAnsi="宋体"/>
                      <w:kern w:val="0"/>
                      <w:sz w:val="18"/>
                      <w:szCs w:val="18"/>
                    </w:rPr>
                    <w:t>；冬季</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设计水文条件</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预测情景</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建设期</w:t>
                  </w:r>
                  <w:r>
                    <w:rPr>
                      <w:kern w:val="0"/>
                      <w:sz w:val="18"/>
                      <w:szCs w:val="18"/>
                    </w:rPr>
                    <w:t xml:space="preserve"> □</w:t>
                  </w:r>
                  <w:r>
                    <w:rPr>
                      <w:rFonts w:hAnsi="宋体"/>
                      <w:kern w:val="0"/>
                      <w:sz w:val="18"/>
                      <w:szCs w:val="18"/>
                    </w:rPr>
                    <w:t>；生产运行期</w:t>
                  </w:r>
                  <w:r>
                    <w:rPr>
                      <w:kern w:val="0"/>
                      <w:sz w:val="18"/>
                      <w:szCs w:val="18"/>
                    </w:rPr>
                    <w:t xml:space="preserve"> □</w:t>
                  </w:r>
                  <w:r>
                    <w:rPr>
                      <w:rFonts w:hAnsi="宋体"/>
                      <w:kern w:val="0"/>
                      <w:sz w:val="18"/>
                      <w:szCs w:val="18"/>
                    </w:rPr>
                    <w:t>；服务期满后</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正常工况</w:t>
                  </w:r>
                  <w:r>
                    <w:rPr>
                      <w:kern w:val="0"/>
                      <w:sz w:val="18"/>
                      <w:szCs w:val="18"/>
                    </w:rPr>
                    <w:t xml:space="preserve"> □</w:t>
                  </w:r>
                  <w:r>
                    <w:rPr>
                      <w:rFonts w:hAnsi="宋体"/>
                      <w:kern w:val="0"/>
                      <w:sz w:val="18"/>
                      <w:szCs w:val="18"/>
                    </w:rPr>
                    <w:t>；非正常工况</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污染控制和减缓措施方案</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区（流）域环境质量改善目标要求情景</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预测方法</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数值解</w:t>
                  </w:r>
                  <w:r>
                    <w:rPr>
                      <w:kern w:val="0"/>
                      <w:sz w:val="18"/>
                      <w:szCs w:val="18"/>
                    </w:rPr>
                    <w:t xml:space="preserve"> □</w:t>
                  </w:r>
                  <w:r>
                    <w:rPr>
                      <w:rFonts w:hAnsi="宋体"/>
                      <w:kern w:val="0"/>
                      <w:sz w:val="18"/>
                      <w:szCs w:val="18"/>
                    </w:rPr>
                    <w:t>：解析解</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导则推荐模式</w:t>
                  </w:r>
                  <w:r>
                    <w:rPr>
                      <w:kern w:val="0"/>
                      <w:sz w:val="18"/>
                      <w:szCs w:val="18"/>
                    </w:rPr>
                    <w:t xml:space="preserve"> □</w:t>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影</w:t>
                  </w:r>
                </w:p>
                <w:p>
                  <w:pPr>
                    <w:widowControl/>
                    <w:snapToGrid w:val="0"/>
                    <w:jc w:val="center"/>
                    <w:textAlignment w:val="center"/>
                    <w:rPr>
                      <w:sz w:val="18"/>
                      <w:szCs w:val="18"/>
                    </w:rPr>
                  </w:pPr>
                  <w:r>
                    <w:rPr>
                      <w:rFonts w:hAnsi="宋体"/>
                      <w:kern w:val="0"/>
                      <w:sz w:val="18"/>
                      <w:szCs w:val="18"/>
                    </w:rPr>
                    <w:t>响</w:t>
                  </w:r>
                </w:p>
                <w:p>
                  <w:pPr>
                    <w:widowControl/>
                    <w:snapToGrid w:val="0"/>
                    <w:jc w:val="center"/>
                    <w:textAlignment w:val="center"/>
                    <w:rPr>
                      <w:sz w:val="18"/>
                      <w:szCs w:val="18"/>
                    </w:rPr>
                  </w:pPr>
                  <w:r>
                    <w:rPr>
                      <w:rFonts w:hAnsi="宋体"/>
                      <w:kern w:val="0"/>
                      <w:sz w:val="18"/>
                      <w:szCs w:val="18"/>
                    </w:rPr>
                    <w:t>评</w:t>
                  </w:r>
                </w:p>
                <w:p>
                  <w:pPr>
                    <w:widowControl/>
                    <w:snapToGrid w:val="0"/>
                    <w:jc w:val="center"/>
                    <w:textAlignment w:val="center"/>
                    <w:rPr>
                      <w:sz w:val="18"/>
                      <w:szCs w:val="18"/>
                    </w:rPr>
                  </w:pPr>
                  <w:r>
                    <w:rPr>
                      <w:rFonts w:hAnsi="宋体"/>
                      <w:kern w:val="0"/>
                      <w:sz w:val="18"/>
                      <w:szCs w:val="18"/>
                    </w:rPr>
                    <w:t>价</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水污染控制和水环境影响减缓措</w:t>
                  </w:r>
                </w:p>
              </w:tc>
              <w:tc>
                <w:tcPr>
                  <w:tcW w:w="7902" w:type="dxa"/>
                  <w:gridSpan w:val="12"/>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区（流）域水环境质量改善目标</w:t>
                  </w:r>
                  <w:r>
                    <w:rPr>
                      <w:kern w:val="0"/>
                      <w:sz w:val="18"/>
                      <w:szCs w:val="18"/>
                    </w:rPr>
                    <w:t xml:space="preserve"> □</w:t>
                  </w:r>
                  <w:r>
                    <w:rPr>
                      <w:rFonts w:hAnsi="宋体"/>
                      <w:kern w:val="0"/>
                      <w:sz w:val="18"/>
                      <w:szCs w:val="18"/>
                    </w:rPr>
                    <w:t>；替代削减源</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施有效性评价</w:t>
                  </w:r>
                </w:p>
              </w:tc>
              <w:tc>
                <w:tcPr>
                  <w:tcW w:w="16407" w:type="dxa"/>
                  <w:gridSpan w:val="12"/>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水环境影响评价</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排放口混合区外满足水环境管理要求</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水环境功能区或水功能区、近岸海域环境功能区水质达标</w:t>
                  </w:r>
                  <w:r>
                    <w:rPr>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满足水环境保护目标水域水环境质量要求</w:t>
                  </w:r>
                  <w:r>
                    <w:rPr>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水环境控制单元或断面水质达标</w:t>
                  </w:r>
                  <w:r>
                    <w:rPr>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满足重点水污染物排放总量控制指标要求，重点行业建设项目，</w:t>
                  </w:r>
                  <w:r>
                    <w:rPr>
                      <w:kern w:val="0"/>
                      <w:sz w:val="18"/>
                      <w:szCs w:val="18"/>
                    </w:rPr>
                    <w:t xml:space="preserve"> </w:t>
                  </w:r>
                  <w:r>
                    <w:rPr>
                      <w:rFonts w:hAnsi="宋体"/>
                      <w:kern w:val="0"/>
                      <w:sz w:val="18"/>
                      <w:szCs w:val="18"/>
                    </w:rPr>
                    <w:t>主要污染物排放满足等量或减量替代要求</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满足区（流）域水环境质量改善目标要求</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水文要素影响型建设项目同时应包括水文情势变化评价、主要水文特征值影响评价、生态流量符合性评价</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对于新设或调整入河（湖库、近岸海域）排放口的建设项目，应包括排放口设置的环境合理性评价</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满足生态保护红线、水环境质量底线、资源利用上线和环境准入清单管理要求</w:t>
                  </w:r>
                  <w:r>
                    <w:rPr>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污染源排放量核算</w:t>
                  </w: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污染物名称</w:t>
                  </w:r>
                </w:p>
              </w:tc>
              <w:tc>
                <w:tcPr>
                  <w:tcW w:w="3130"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排放量</w:t>
                  </w:r>
                  <w:r>
                    <w:rPr>
                      <w:rStyle w:val="223"/>
                      <w:color w:val="auto"/>
                      <w:sz w:val="18"/>
                      <w:szCs w:val="18"/>
                    </w:rPr>
                    <w:t>/</w:t>
                  </w:r>
                  <w:r>
                    <w:rPr>
                      <w:rStyle w:val="222"/>
                      <w:rFonts w:hAnsi="宋体"/>
                      <w:color w:val="auto"/>
                    </w:rPr>
                    <w:t>（</w:t>
                  </w:r>
                  <w:r>
                    <w:rPr>
                      <w:rStyle w:val="223"/>
                      <w:color w:val="auto"/>
                      <w:sz w:val="18"/>
                      <w:szCs w:val="18"/>
                    </w:rPr>
                    <w:t>t/a</w:t>
                  </w:r>
                  <w:r>
                    <w:rPr>
                      <w:rStyle w:val="222"/>
                      <w:rFonts w:hAnsi="宋体"/>
                      <w:color w:val="auto"/>
                    </w:rPr>
                    <w:t>）</w:t>
                  </w: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排放浓度</w:t>
                  </w:r>
                  <w:r>
                    <w:rPr>
                      <w:rStyle w:val="223"/>
                      <w:color w:val="auto"/>
                      <w:sz w:val="18"/>
                      <w:szCs w:val="18"/>
                    </w:rPr>
                    <w:t>/</w:t>
                  </w:r>
                  <w:r>
                    <w:rPr>
                      <w:rStyle w:val="222"/>
                      <w:rFonts w:hAnsi="宋体"/>
                      <w:color w:val="auto"/>
                    </w:rPr>
                    <w:t>（</w:t>
                  </w:r>
                  <w:r>
                    <w:rPr>
                      <w:rStyle w:val="223"/>
                      <w:color w:val="auto"/>
                      <w:sz w:val="18"/>
                      <w:szCs w:val="18"/>
                    </w:rPr>
                    <w:t>mg/L</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COD</w:t>
                  </w:r>
                  <w:r>
                    <w:rPr>
                      <w:rStyle w:val="222"/>
                      <w:rFonts w:hAnsi="宋体"/>
                      <w:color w:val="auto"/>
                    </w:rPr>
                    <w:t>）</w:t>
                  </w:r>
                </w:p>
              </w:tc>
              <w:tc>
                <w:tcPr>
                  <w:tcW w:w="3130"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int="eastAsia"/>
                      <w:kern w:val="0"/>
                      <w:sz w:val="18"/>
                      <w:szCs w:val="18"/>
                    </w:rPr>
                    <w:t>0.03</w:t>
                  </w: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rFonts w:hint="eastAsia"/>
                      <w:color w:val="auto"/>
                      <w:sz w:val="18"/>
                      <w:szCs w:val="18"/>
                    </w:rPr>
                    <w:t>50</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253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NH</w:t>
                  </w:r>
                  <w:r>
                    <w:rPr>
                      <w:rStyle w:val="225"/>
                      <w:szCs w:val="18"/>
                      <w:vertAlign w:val="subscript"/>
                    </w:rPr>
                    <w:t>3</w:t>
                  </w:r>
                  <w:r>
                    <w:rPr>
                      <w:rStyle w:val="223"/>
                      <w:color w:val="auto"/>
                      <w:sz w:val="18"/>
                      <w:szCs w:val="18"/>
                    </w:rPr>
                    <w:t>-N</w:t>
                  </w:r>
                  <w:r>
                    <w:rPr>
                      <w:rStyle w:val="222"/>
                      <w:rFonts w:hAnsi="宋体"/>
                      <w:color w:val="auto"/>
                    </w:rPr>
                    <w:t>）</w:t>
                  </w:r>
                </w:p>
              </w:tc>
              <w:tc>
                <w:tcPr>
                  <w:tcW w:w="3130"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int="eastAsia"/>
                      <w:kern w:val="0"/>
                      <w:sz w:val="18"/>
                      <w:szCs w:val="18"/>
                    </w:rPr>
                    <w:t>0.003</w:t>
                  </w:r>
                </w:p>
              </w:tc>
              <w:tc>
                <w:tcPr>
                  <w:tcW w:w="2236"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rFonts w:hint="eastAsia"/>
                      <w:color w:val="auto"/>
                      <w:sz w:val="18"/>
                      <w:szCs w:val="18"/>
                    </w:rPr>
                    <w:t>5</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替代源排放情况</w:t>
                  </w: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污染源名称</w:t>
                  </w:r>
                </w:p>
              </w:tc>
              <w:tc>
                <w:tcPr>
                  <w:tcW w:w="2513"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排污许可证编号</w:t>
                  </w:r>
                </w:p>
              </w:tc>
              <w:tc>
                <w:tcPr>
                  <w:tcW w:w="1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污染物名称</w:t>
                  </w:r>
                </w:p>
              </w:tc>
              <w:tc>
                <w:tcPr>
                  <w:tcW w:w="24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排放量</w:t>
                  </w:r>
                  <w:r>
                    <w:rPr>
                      <w:rStyle w:val="223"/>
                      <w:color w:val="auto"/>
                      <w:sz w:val="18"/>
                      <w:szCs w:val="18"/>
                    </w:rPr>
                    <w:t>/</w:t>
                  </w:r>
                  <w:r>
                    <w:rPr>
                      <w:rStyle w:val="222"/>
                      <w:rFonts w:hAnsi="宋体"/>
                      <w:color w:val="auto"/>
                    </w:rPr>
                    <w:t>（</w:t>
                  </w:r>
                  <w:r>
                    <w:rPr>
                      <w:rStyle w:val="223"/>
                      <w:color w:val="auto"/>
                      <w:sz w:val="18"/>
                      <w:szCs w:val="18"/>
                    </w:rPr>
                    <w:t>t/a</w:t>
                  </w:r>
                  <w:r>
                    <w:rPr>
                      <w:rStyle w:val="222"/>
                      <w:rFonts w:hAnsi="宋体"/>
                      <w:color w:val="auto"/>
                    </w:rPr>
                    <w:t>）</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排放浓度</w:t>
                  </w:r>
                  <w:r>
                    <w:rPr>
                      <w:rStyle w:val="223"/>
                      <w:color w:val="auto"/>
                      <w:sz w:val="18"/>
                      <w:szCs w:val="18"/>
                    </w:rPr>
                    <w:t>/</w:t>
                  </w:r>
                  <w:r>
                    <w:rPr>
                      <w:rStyle w:val="222"/>
                      <w:rFonts w:hAnsi="宋体"/>
                      <w:color w:val="auto"/>
                    </w:rPr>
                    <w:t>（</w:t>
                  </w:r>
                  <w:r>
                    <w:rPr>
                      <w:rStyle w:val="223"/>
                      <w:color w:val="auto"/>
                      <w:sz w:val="18"/>
                      <w:szCs w:val="18"/>
                    </w:rPr>
                    <w:t>mg/L</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4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2513"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1259"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2484"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10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生态流量确定</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生态流量：一般水期（</w:t>
                  </w:r>
                  <w:r>
                    <w:rPr>
                      <w:rStyle w:val="223"/>
                      <w:color w:val="auto"/>
                      <w:sz w:val="18"/>
                      <w:szCs w:val="18"/>
                    </w:rPr>
                    <w:t>/</w:t>
                  </w:r>
                  <w:r>
                    <w:rPr>
                      <w:rStyle w:val="222"/>
                      <w:rFonts w:hAnsi="宋体"/>
                      <w:color w:val="auto"/>
                    </w:rPr>
                    <w:t>）</w:t>
                  </w:r>
                  <w:r>
                    <w:rPr>
                      <w:rStyle w:val="223"/>
                      <w:color w:val="auto"/>
                      <w:sz w:val="18"/>
                      <w:szCs w:val="18"/>
                    </w:rPr>
                    <w:t>m</w:t>
                  </w:r>
                  <w:r>
                    <w:rPr>
                      <w:rStyle w:val="224"/>
                      <w:color w:val="auto"/>
                      <w:sz w:val="18"/>
                      <w:szCs w:val="18"/>
                      <w:vertAlign w:val="superscript"/>
                    </w:rPr>
                    <w:t>3</w:t>
                  </w:r>
                  <w:r>
                    <w:rPr>
                      <w:rStyle w:val="222"/>
                      <w:color w:val="auto"/>
                    </w:rPr>
                    <w:t>/s</w:t>
                  </w:r>
                  <w:r>
                    <w:rPr>
                      <w:rStyle w:val="222"/>
                      <w:rFonts w:hAnsi="宋体"/>
                      <w:color w:val="auto"/>
                    </w:rPr>
                    <w:t>；鱼类繁殖期（</w:t>
                  </w:r>
                  <w:r>
                    <w:rPr>
                      <w:rStyle w:val="223"/>
                      <w:color w:val="auto"/>
                      <w:sz w:val="18"/>
                      <w:szCs w:val="18"/>
                    </w:rPr>
                    <w:t>/</w:t>
                  </w:r>
                  <w:r>
                    <w:rPr>
                      <w:rStyle w:val="222"/>
                      <w:rFonts w:hAnsi="宋体"/>
                      <w:color w:val="auto"/>
                    </w:rPr>
                    <w:t>）</w:t>
                  </w:r>
                  <w:r>
                    <w:rPr>
                      <w:rStyle w:val="223"/>
                      <w:color w:val="auto"/>
                      <w:sz w:val="18"/>
                      <w:szCs w:val="18"/>
                    </w:rPr>
                    <w:t>m</w:t>
                  </w:r>
                  <w:r>
                    <w:rPr>
                      <w:rStyle w:val="224"/>
                      <w:color w:val="auto"/>
                      <w:sz w:val="18"/>
                      <w:szCs w:val="18"/>
                      <w:vertAlign w:val="superscript"/>
                    </w:rPr>
                    <w:t>3</w:t>
                  </w:r>
                  <w:r>
                    <w:rPr>
                      <w:rStyle w:val="222"/>
                      <w:color w:val="auto"/>
                    </w:rPr>
                    <w:t>/s</w:t>
                  </w:r>
                  <w:r>
                    <w:rPr>
                      <w:rStyle w:val="222"/>
                      <w:rFonts w:hAnsi="宋体"/>
                      <w:color w:val="auto"/>
                    </w:rPr>
                    <w:t>；其他（</w:t>
                  </w:r>
                  <w:r>
                    <w:rPr>
                      <w:rStyle w:val="223"/>
                      <w:color w:val="auto"/>
                      <w:sz w:val="18"/>
                      <w:szCs w:val="18"/>
                    </w:rPr>
                    <w:t>/</w:t>
                  </w:r>
                  <w:r>
                    <w:rPr>
                      <w:rStyle w:val="222"/>
                      <w:rFonts w:hAnsi="宋体"/>
                      <w:color w:val="auto"/>
                    </w:rPr>
                    <w:t>）</w:t>
                  </w:r>
                  <w:r>
                    <w:rPr>
                      <w:rStyle w:val="223"/>
                      <w:color w:val="auto"/>
                      <w:sz w:val="18"/>
                      <w:szCs w:val="18"/>
                    </w:rPr>
                    <w:t>m</w:t>
                  </w:r>
                  <w:r>
                    <w:rPr>
                      <w:rStyle w:val="224"/>
                      <w:color w:val="auto"/>
                      <w:sz w:val="18"/>
                      <w:szCs w:val="18"/>
                      <w:vertAlign w:val="superscript"/>
                    </w:rPr>
                    <w:t>3</w:t>
                  </w:r>
                  <w:r>
                    <w:rPr>
                      <w:rStyle w:val="222"/>
                      <w:color w:val="auto"/>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生态水位：一般水期（</w:t>
                  </w:r>
                  <w:r>
                    <w:rPr>
                      <w:rStyle w:val="223"/>
                      <w:color w:val="auto"/>
                      <w:sz w:val="18"/>
                      <w:szCs w:val="18"/>
                    </w:rPr>
                    <w:t>/</w:t>
                  </w:r>
                  <w:r>
                    <w:rPr>
                      <w:rStyle w:val="222"/>
                      <w:rFonts w:hAnsi="宋体"/>
                      <w:color w:val="auto"/>
                    </w:rPr>
                    <w:t>）</w:t>
                  </w:r>
                  <w:r>
                    <w:rPr>
                      <w:rStyle w:val="223"/>
                      <w:color w:val="auto"/>
                      <w:sz w:val="18"/>
                      <w:szCs w:val="18"/>
                    </w:rPr>
                    <w:t>m</w:t>
                  </w:r>
                  <w:r>
                    <w:rPr>
                      <w:rStyle w:val="222"/>
                      <w:rFonts w:hAnsi="宋体"/>
                      <w:color w:val="auto"/>
                    </w:rPr>
                    <w:t>；鱼类繁殖期（</w:t>
                  </w:r>
                  <w:r>
                    <w:rPr>
                      <w:rStyle w:val="223"/>
                      <w:color w:val="auto"/>
                      <w:sz w:val="18"/>
                      <w:szCs w:val="18"/>
                    </w:rPr>
                    <w:t>/</w:t>
                  </w:r>
                  <w:r>
                    <w:rPr>
                      <w:rStyle w:val="222"/>
                      <w:rFonts w:hAnsi="宋体"/>
                      <w:color w:val="auto"/>
                    </w:rPr>
                    <w:t>）</w:t>
                  </w:r>
                  <w:r>
                    <w:rPr>
                      <w:rStyle w:val="223"/>
                      <w:color w:val="auto"/>
                      <w:sz w:val="18"/>
                      <w:szCs w:val="18"/>
                    </w:rPr>
                    <w:t>m</w:t>
                  </w:r>
                  <w:r>
                    <w:rPr>
                      <w:rStyle w:val="222"/>
                      <w:rFonts w:hAnsi="宋体"/>
                      <w:color w:val="auto"/>
                    </w:rPr>
                    <w:t>；其他（</w:t>
                  </w:r>
                  <w:r>
                    <w:rPr>
                      <w:rStyle w:val="223"/>
                      <w:color w:val="auto"/>
                      <w:sz w:val="18"/>
                      <w:szCs w:val="18"/>
                    </w:rPr>
                    <w:t>/</w:t>
                  </w:r>
                  <w:r>
                    <w:rPr>
                      <w:rStyle w:val="222"/>
                      <w:rFonts w:hAnsi="宋体"/>
                      <w:color w:val="auto"/>
                    </w:rPr>
                    <w:t>）</w:t>
                  </w:r>
                  <w:r>
                    <w:rPr>
                      <w:rStyle w:val="223"/>
                      <w:color w:val="auto"/>
                      <w:sz w:val="18"/>
                      <w:szCs w:val="18"/>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kern w:val="0"/>
                      <w:sz w:val="18"/>
                      <w:szCs w:val="18"/>
                    </w:rPr>
                  </w:pPr>
                  <w:r>
                    <w:rPr>
                      <w:rFonts w:hAnsi="宋体"/>
                      <w:kern w:val="0"/>
                      <w:sz w:val="18"/>
                      <w:szCs w:val="18"/>
                    </w:rPr>
                    <w:t>防</w:t>
                  </w:r>
                </w:p>
                <w:p>
                  <w:pPr>
                    <w:widowControl/>
                    <w:snapToGrid w:val="0"/>
                    <w:jc w:val="center"/>
                    <w:textAlignment w:val="center"/>
                    <w:rPr>
                      <w:sz w:val="18"/>
                      <w:szCs w:val="18"/>
                    </w:rPr>
                  </w:pPr>
                  <w:r>
                    <w:rPr>
                      <w:rFonts w:hAnsi="宋体"/>
                      <w:kern w:val="0"/>
                      <w:sz w:val="18"/>
                      <w:szCs w:val="18"/>
                    </w:rPr>
                    <w:t>治</w:t>
                  </w:r>
                </w:p>
                <w:p>
                  <w:pPr>
                    <w:widowControl/>
                    <w:snapToGrid w:val="0"/>
                    <w:jc w:val="center"/>
                    <w:textAlignment w:val="center"/>
                    <w:rPr>
                      <w:sz w:val="18"/>
                      <w:szCs w:val="18"/>
                    </w:rPr>
                  </w:pPr>
                  <w:r>
                    <w:rPr>
                      <w:rFonts w:hAnsi="宋体"/>
                      <w:kern w:val="0"/>
                      <w:sz w:val="18"/>
                      <w:szCs w:val="18"/>
                    </w:rPr>
                    <w:t>措</w:t>
                  </w:r>
                </w:p>
                <w:p>
                  <w:pPr>
                    <w:widowControl/>
                    <w:snapToGrid w:val="0"/>
                    <w:jc w:val="center"/>
                    <w:textAlignment w:val="center"/>
                    <w:rPr>
                      <w:sz w:val="18"/>
                      <w:szCs w:val="18"/>
                    </w:rPr>
                  </w:pPr>
                  <w:r>
                    <w:rPr>
                      <w:rFonts w:hAnsi="宋体"/>
                      <w:kern w:val="0"/>
                      <w:sz w:val="18"/>
                      <w:szCs w:val="18"/>
                    </w:rPr>
                    <w:t>施</w:t>
                  </w: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环保措施</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污水处理设施</w:t>
                  </w:r>
                  <w:r>
                    <w:rPr>
                      <w:kern w:val="0"/>
                      <w:sz w:val="18"/>
                      <w:szCs w:val="18"/>
                    </w:rPr>
                    <w:t xml:space="preserve"> □</w:t>
                  </w:r>
                  <w:r>
                    <w:rPr>
                      <w:rFonts w:hAnsi="宋体"/>
                      <w:kern w:val="0"/>
                      <w:sz w:val="18"/>
                      <w:szCs w:val="18"/>
                    </w:rPr>
                    <w:t>；水文减缓设施</w:t>
                  </w:r>
                  <w:r>
                    <w:rPr>
                      <w:kern w:val="0"/>
                      <w:sz w:val="18"/>
                      <w:szCs w:val="18"/>
                    </w:rPr>
                    <w:t xml:space="preserve"> □</w:t>
                  </w:r>
                  <w:r>
                    <w:rPr>
                      <w:rFonts w:hAnsi="宋体"/>
                      <w:kern w:val="0"/>
                      <w:sz w:val="18"/>
                      <w:szCs w:val="18"/>
                    </w:rPr>
                    <w:t>；生态流量保障设施</w:t>
                  </w:r>
                  <w:r>
                    <w:rPr>
                      <w:kern w:val="0"/>
                      <w:sz w:val="18"/>
                      <w:szCs w:val="18"/>
                    </w:rPr>
                    <w:t xml:space="preserve"> □</w:t>
                  </w:r>
                  <w:r>
                    <w:rPr>
                      <w:rFonts w:hAnsi="宋体"/>
                      <w:kern w:val="0"/>
                      <w:sz w:val="18"/>
                      <w:szCs w:val="18"/>
                    </w:rPr>
                    <w:t>；区域削减</w:t>
                  </w:r>
                  <w:r>
                    <w:rPr>
                      <w:kern w:val="0"/>
                      <w:sz w:val="18"/>
                      <w:szCs w:val="18"/>
                    </w:rPr>
                    <w:t xml:space="preserve"> □</w:t>
                  </w:r>
                  <w:r>
                    <w:rPr>
                      <w:rFonts w:hAnsi="宋体"/>
                      <w:kern w:val="0"/>
                      <w:sz w:val="18"/>
                      <w:szCs w:val="18"/>
                    </w:rPr>
                    <w:t>；依托其他工程措施</w:t>
                  </w:r>
                  <w:r>
                    <w:rPr>
                      <w:kern w:val="0"/>
                      <w:sz w:val="18"/>
                      <w:szCs w:val="18"/>
                    </w:rPr>
                    <w:t xml:space="preserve"> </w:t>
                  </w:r>
                  <w:r>
                    <w:rPr>
                      <w:kern w:val="0"/>
                      <w:sz w:val="18"/>
                      <w:szCs w:val="18"/>
                    </w:rPr>
                    <w:sym w:font="Wingdings 2" w:char="0052"/>
                  </w:r>
                  <w:r>
                    <w:rPr>
                      <w:rFonts w:hAnsi="宋体"/>
                      <w:kern w:val="0"/>
                      <w:sz w:val="18"/>
                      <w:szCs w:val="18"/>
                    </w:rPr>
                    <w:t>；其他</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监测计划</w:t>
                  </w:r>
                </w:p>
              </w:tc>
              <w:tc>
                <w:tcPr>
                  <w:tcW w:w="19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napToGrid w:val="0"/>
                    <w:jc w:val="center"/>
                    <w:rPr>
                      <w:sz w:val="18"/>
                      <w:szCs w:val="18"/>
                    </w:rPr>
                  </w:pPr>
                </w:p>
              </w:tc>
              <w:tc>
                <w:tcPr>
                  <w:tcW w:w="3133"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环境质量</w:t>
                  </w:r>
                </w:p>
              </w:tc>
              <w:tc>
                <w:tcPr>
                  <w:tcW w:w="2860"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19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监测方式</w:t>
                  </w:r>
                </w:p>
              </w:tc>
              <w:tc>
                <w:tcPr>
                  <w:tcW w:w="3133"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手动</w:t>
                  </w:r>
                  <w:r>
                    <w:rPr>
                      <w:kern w:val="0"/>
                      <w:sz w:val="18"/>
                      <w:szCs w:val="18"/>
                    </w:rPr>
                    <w:t xml:space="preserve"> □</w:t>
                  </w:r>
                  <w:r>
                    <w:rPr>
                      <w:rFonts w:hAnsi="宋体"/>
                      <w:kern w:val="0"/>
                      <w:sz w:val="18"/>
                      <w:szCs w:val="18"/>
                    </w:rPr>
                    <w:t>；自动</w:t>
                  </w:r>
                  <w:r>
                    <w:rPr>
                      <w:kern w:val="0"/>
                      <w:sz w:val="18"/>
                      <w:szCs w:val="18"/>
                    </w:rPr>
                    <w:t xml:space="preserve"> □</w:t>
                  </w:r>
                  <w:r>
                    <w:rPr>
                      <w:rFonts w:hAnsi="宋体"/>
                      <w:kern w:val="0"/>
                      <w:sz w:val="18"/>
                      <w:szCs w:val="18"/>
                    </w:rPr>
                    <w:t>；无监测</w:t>
                  </w:r>
                  <w:r>
                    <w:rPr>
                      <w:kern w:val="0"/>
                      <w:sz w:val="18"/>
                      <w:szCs w:val="18"/>
                    </w:rPr>
                    <w:t xml:space="preserve"> </w:t>
                  </w:r>
                  <w:r>
                    <w:rPr>
                      <w:kern w:val="0"/>
                      <w:sz w:val="18"/>
                      <w:szCs w:val="18"/>
                    </w:rPr>
                    <w:sym w:font="Wingdings 2" w:char="0052"/>
                  </w:r>
                </w:p>
              </w:tc>
              <w:tc>
                <w:tcPr>
                  <w:tcW w:w="2860"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手动</w:t>
                  </w:r>
                  <w:r>
                    <w:rPr>
                      <w:kern w:val="0"/>
                      <w:sz w:val="18"/>
                      <w:szCs w:val="18"/>
                    </w:rPr>
                    <w:t xml:space="preserve"> □</w:t>
                  </w:r>
                  <w:r>
                    <w:rPr>
                      <w:rFonts w:hAnsi="宋体"/>
                      <w:kern w:val="0"/>
                      <w:sz w:val="18"/>
                      <w:szCs w:val="18"/>
                    </w:rPr>
                    <w:t>；自动</w:t>
                  </w:r>
                  <w:r>
                    <w:rPr>
                      <w:kern w:val="0"/>
                      <w:sz w:val="18"/>
                      <w:szCs w:val="18"/>
                    </w:rPr>
                    <w:t xml:space="preserve"> □</w:t>
                  </w:r>
                  <w:r>
                    <w:rPr>
                      <w:rFonts w:hAnsi="宋体"/>
                      <w:kern w:val="0"/>
                      <w:sz w:val="18"/>
                      <w:szCs w:val="18"/>
                    </w:rPr>
                    <w:t>；无监测</w:t>
                  </w:r>
                  <w:r>
                    <w:rPr>
                      <w:kern w:val="0"/>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19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监测点位</w:t>
                  </w:r>
                </w:p>
              </w:tc>
              <w:tc>
                <w:tcPr>
                  <w:tcW w:w="3133"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2860"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1909"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监测因子</w:t>
                  </w:r>
                </w:p>
              </w:tc>
              <w:tc>
                <w:tcPr>
                  <w:tcW w:w="3133" w:type="dxa"/>
                  <w:gridSpan w:val="5"/>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c>
                <w:tcPr>
                  <w:tcW w:w="2860"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w:t>
                  </w:r>
                  <w:r>
                    <w:rPr>
                      <w:rStyle w:val="223"/>
                      <w:color w:val="auto"/>
                      <w:sz w:val="18"/>
                      <w:szCs w:val="18"/>
                    </w:rPr>
                    <w:t>/</w:t>
                  </w:r>
                  <w:r>
                    <w:rPr>
                      <w:rStyle w:val="222"/>
                      <w:rFonts w:hAnsi="宋体"/>
                      <w:color w:val="auto"/>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300"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sz w:val="18"/>
                      <w:szCs w:val="18"/>
                    </w:rPr>
                  </w:pPr>
                </w:p>
              </w:tc>
              <w:tc>
                <w:tcPr>
                  <w:tcW w:w="62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污染物排放清单</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kern w:val="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1258"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评价结论</w:t>
                  </w:r>
                </w:p>
              </w:tc>
              <w:tc>
                <w:tcPr>
                  <w:tcW w:w="7902" w:type="dxa"/>
                  <w:gridSpan w:val="1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可以接受</w:t>
                  </w:r>
                  <w:r>
                    <w:rPr>
                      <w:kern w:val="0"/>
                      <w:sz w:val="18"/>
                      <w:szCs w:val="18"/>
                    </w:rPr>
                    <w:t xml:space="preserve"> </w:t>
                  </w:r>
                  <w:r>
                    <w:rPr>
                      <w:kern w:val="0"/>
                      <w:sz w:val="18"/>
                      <w:szCs w:val="18"/>
                    </w:rPr>
                    <w:sym w:font="Wingdings 2" w:char="0052"/>
                  </w:r>
                  <w:r>
                    <w:rPr>
                      <w:rStyle w:val="222"/>
                      <w:rFonts w:hAnsi="宋体"/>
                      <w:color w:val="auto"/>
                    </w:rPr>
                    <w:t>；不可以接受</w:t>
                  </w:r>
                  <w:r>
                    <w:rPr>
                      <w:rStyle w:val="222"/>
                      <w:color w:val="auto"/>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9160" w:type="dxa"/>
                  <w:gridSpan w:val="1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napToGrid w:val="0"/>
                    <w:jc w:val="center"/>
                    <w:textAlignment w:val="center"/>
                    <w:rPr>
                      <w:sz w:val="18"/>
                      <w:szCs w:val="18"/>
                    </w:rPr>
                  </w:pPr>
                  <w:r>
                    <w:rPr>
                      <w:rFonts w:hAnsi="宋体"/>
                      <w:kern w:val="0"/>
                      <w:sz w:val="18"/>
                      <w:szCs w:val="18"/>
                    </w:rPr>
                    <w:t>注：</w:t>
                  </w:r>
                  <w:r>
                    <w:rPr>
                      <w:kern w:val="0"/>
                      <w:sz w:val="18"/>
                      <w:szCs w:val="18"/>
                    </w:rPr>
                    <w:t>“□”</w:t>
                  </w:r>
                  <w:r>
                    <w:rPr>
                      <w:rFonts w:hAnsi="宋体"/>
                      <w:kern w:val="0"/>
                      <w:sz w:val="18"/>
                      <w:szCs w:val="18"/>
                    </w:rPr>
                    <w:t>为勾选项，可</w:t>
                  </w:r>
                  <w:r>
                    <w:rPr>
                      <w:kern w:val="0"/>
                      <w:sz w:val="18"/>
                      <w:szCs w:val="18"/>
                    </w:rPr>
                    <w:t>√</w:t>
                  </w:r>
                  <w:r>
                    <w:rPr>
                      <w:rFonts w:hAnsi="宋体"/>
                      <w:kern w:val="0"/>
                      <w:sz w:val="18"/>
                      <w:szCs w:val="18"/>
                    </w:rPr>
                    <w:t>；</w:t>
                  </w:r>
                  <w:r>
                    <w:rPr>
                      <w:kern w:val="0"/>
                      <w:sz w:val="18"/>
                      <w:szCs w:val="18"/>
                    </w:rPr>
                    <w:t>“</w:t>
                  </w:r>
                  <w:r>
                    <w:rPr>
                      <w:rFonts w:hAnsi="宋体"/>
                      <w:kern w:val="0"/>
                      <w:sz w:val="18"/>
                      <w:szCs w:val="18"/>
                    </w:rPr>
                    <w:t>（</w:t>
                  </w:r>
                  <w:r>
                    <w:rPr>
                      <w:kern w:val="0"/>
                      <w:sz w:val="18"/>
                      <w:szCs w:val="18"/>
                    </w:rPr>
                    <w:t xml:space="preserve"> </w:t>
                  </w:r>
                  <w:r>
                    <w:rPr>
                      <w:rFonts w:hAnsi="宋体"/>
                      <w:kern w:val="0"/>
                      <w:sz w:val="18"/>
                      <w:szCs w:val="18"/>
                    </w:rPr>
                    <w:t>）</w:t>
                  </w:r>
                  <w:r>
                    <w:rPr>
                      <w:kern w:val="0"/>
                      <w:sz w:val="18"/>
                      <w:szCs w:val="18"/>
                    </w:rPr>
                    <w:t>”</w:t>
                  </w:r>
                  <w:r>
                    <w:rPr>
                      <w:rFonts w:hAnsi="宋体"/>
                      <w:kern w:val="0"/>
                      <w:sz w:val="18"/>
                      <w:szCs w:val="18"/>
                    </w:rPr>
                    <w:t>为内容填写项；</w:t>
                  </w:r>
                  <w:r>
                    <w:rPr>
                      <w:kern w:val="0"/>
                      <w:sz w:val="18"/>
                      <w:szCs w:val="18"/>
                    </w:rPr>
                    <w:t>“</w:t>
                  </w:r>
                  <w:r>
                    <w:rPr>
                      <w:rFonts w:hAnsi="宋体"/>
                      <w:kern w:val="0"/>
                      <w:sz w:val="18"/>
                      <w:szCs w:val="18"/>
                    </w:rPr>
                    <w:t>备注</w:t>
                  </w:r>
                  <w:r>
                    <w:rPr>
                      <w:kern w:val="0"/>
                      <w:sz w:val="18"/>
                      <w:szCs w:val="18"/>
                    </w:rPr>
                    <w:t>”</w:t>
                  </w:r>
                  <w:r>
                    <w:rPr>
                      <w:rFonts w:hAnsi="宋体"/>
                      <w:kern w:val="0"/>
                      <w:sz w:val="18"/>
                      <w:szCs w:val="18"/>
                    </w:rPr>
                    <w:t>为其他补充内容。</w:t>
                  </w:r>
                </w:p>
              </w:tc>
            </w:tr>
          </w:tbl>
          <w:p>
            <w:pPr>
              <w:snapToGrid w:val="0"/>
              <w:spacing w:line="360" w:lineRule="auto"/>
              <w:ind w:firstLine="482" w:firstLineChars="200"/>
              <w:rPr>
                <w:sz w:val="24"/>
                <w:szCs w:val="24"/>
              </w:rPr>
            </w:pPr>
            <w:r>
              <w:rPr>
                <w:b/>
                <w:bCs/>
                <w:sz w:val="24"/>
                <w:szCs w:val="24"/>
              </w:rPr>
              <w:t>接管可行性分析及影响分析</w:t>
            </w:r>
            <w:r>
              <w:rPr>
                <w:rFonts w:hint="eastAsia"/>
                <w:b/>
                <w:bCs/>
                <w:sz w:val="24"/>
                <w:szCs w:val="24"/>
              </w:rPr>
              <w:t>：</w:t>
            </w:r>
            <w:r>
              <w:rPr>
                <w:bCs/>
                <w:sz w:val="24"/>
                <w:szCs w:val="24"/>
              </w:rPr>
              <w:t>项目</w:t>
            </w:r>
            <w:r>
              <w:rPr>
                <w:rFonts w:hint="eastAsia"/>
                <w:bCs/>
                <w:sz w:val="24"/>
                <w:szCs w:val="24"/>
              </w:rPr>
              <w:t>产生的生活污水</w:t>
            </w:r>
            <w:r>
              <w:rPr>
                <w:bCs/>
                <w:sz w:val="24"/>
                <w:szCs w:val="24"/>
              </w:rPr>
              <w:t>经</w:t>
            </w:r>
            <w:r>
              <w:rPr>
                <w:rFonts w:hint="eastAsia"/>
                <w:bCs/>
                <w:sz w:val="24"/>
                <w:szCs w:val="24"/>
              </w:rPr>
              <w:t>化粪池</w:t>
            </w:r>
            <w:r>
              <w:rPr>
                <w:bCs/>
                <w:sz w:val="24"/>
                <w:szCs w:val="24"/>
              </w:rPr>
              <w:t>处理后</w:t>
            </w:r>
            <w:r>
              <w:rPr>
                <w:rFonts w:hint="eastAsia"/>
                <w:bCs/>
                <w:sz w:val="24"/>
                <w:szCs w:val="24"/>
              </w:rPr>
              <w:t>，项目废水排放浓度能</w:t>
            </w:r>
            <w:r>
              <w:rPr>
                <w:sz w:val="24"/>
                <w:szCs w:val="24"/>
              </w:rPr>
              <w:t>达到</w:t>
            </w:r>
            <w:r>
              <w:rPr>
                <w:rFonts w:hint="eastAsia"/>
                <w:sz w:val="24"/>
                <w:szCs w:val="24"/>
              </w:rPr>
              <w:t>《污水排入城市下水道水质标准》（GB/T 31962-2015）B级标准，排入淮南首创第一污水处理厂处理，</w:t>
            </w:r>
            <w:r>
              <w:rPr>
                <w:sz w:val="24"/>
                <w:szCs w:val="24"/>
              </w:rPr>
              <w:t>出水水质达到《城镇污水处理厂污染物排放标准》(GB18918-2002)中的一级A标准，排入</w:t>
            </w:r>
            <w:r>
              <w:rPr>
                <w:rFonts w:hint="eastAsia"/>
                <w:sz w:val="24"/>
                <w:szCs w:val="24"/>
              </w:rPr>
              <w:t>淮河</w:t>
            </w:r>
            <w:r>
              <w:rPr>
                <w:sz w:val="24"/>
                <w:szCs w:val="24"/>
              </w:rPr>
              <w:t>，主要污染物排放量为</w:t>
            </w:r>
            <w:r>
              <w:rPr>
                <w:bCs/>
                <w:sz w:val="24"/>
                <w:szCs w:val="24"/>
              </w:rPr>
              <w:t>COD：</w:t>
            </w:r>
            <w:r>
              <w:rPr>
                <w:rFonts w:hint="eastAsia"/>
                <w:bCs/>
                <w:sz w:val="24"/>
                <w:szCs w:val="24"/>
              </w:rPr>
              <w:t>5</w:t>
            </w:r>
            <w:r>
              <w:rPr>
                <w:bCs/>
                <w:sz w:val="24"/>
                <w:szCs w:val="24"/>
              </w:rPr>
              <w:t>0mg/L、0.</w:t>
            </w:r>
            <w:r>
              <w:rPr>
                <w:rFonts w:hint="eastAsia"/>
                <w:bCs/>
                <w:sz w:val="24"/>
                <w:szCs w:val="24"/>
              </w:rPr>
              <w:t>03</w:t>
            </w:r>
            <w:r>
              <w:rPr>
                <w:bCs/>
                <w:sz w:val="24"/>
                <w:szCs w:val="24"/>
              </w:rPr>
              <w:t>t/a，BOD</w:t>
            </w:r>
            <w:r>
              <w:rPr>
                <w:bCs/>
                <w:sz w:val="24"/>
                <w:szCs w:val="24"/>
                <w:vertAlign w:val="subscript"/>
              </w:rPr>
              <w:t>5</w:t>
            </w:r>
            <w:r>
              <w:rPr>
                <w:bCs/>
                <w:sz w:val="24"/>
                <w:szCs w:val="24"/>
              </w:rPr>
              <w:t>：10mg/L、0.</w:t>
            </w:r>
            <w:r>
              <w:rPr>
                <w:rFonts w:hint="eastAsia"/>
                <w:bCs/>
                <w:sz w:val="24"/>
                <w:szCs w:val="24"/>
              </w:rPr>
              <w:t>0</w:t>
            </w:r>
            <w:r>
              <w:rPr>
                <w:bCs/>
                <w:sz w:val="24"/>
                <w:szCs w:val="24"/>
              </w:rPr>
              <w:t>0</w:t>
            </w:r>
            <w:r>
              <w:rPr>
                <w:rFonts w:hint="eastAsia"/>
                <w:bCs/>
                <w:sz w:val="24"/>
                <w:szCs w:val="24"/>
              </w:rPr>
              <w:t>6</w:t>
            </w:r>
            <w:r>
              <w:rPr>
                <w:bCs/>
                <w:sz w:val="24"/>
                <w:szCs w:val="24"/>
              </w:rPr>
              <w:t>t/a，SS：10mg/L、0.0</w:t>
            </w:r>
            <w:r>
              <w:rPr>
                <w:rFonts w:hint="eastAsia"/>
                <w:bCs/>
                <w:sz w:val="24"/>
                <w:szCs w:val="24"/>
              </w:rPr>
              <w:t>06</w:t>
            </w:r>
            <w:r>
              <w:rPr>
                <w:bCs/>
                <w:sz w:val="24"/>
                <w:szCs w:val="24"/>
              </w:rPr>
              <w:t>t/a，NH</w:t>
            </w:r>
            <w:r>
              <w:rPr>
                <w:bCs/>
                <w:sz w:val="24"/>
                <w:szCs w:val="24"/>
                <w:vertAlign w:val="subscript"/>
              </w:rPr>
              <w:t>3</w:t>
            </w:r>
            <w:r>
              <w:rPr>
                <w:bCs/>
                <w:sz w:val="24"/>
                <w:szCs w:val="24"/>
              </w:rPr>
              <w:t>-N：</w:t>
            </w:r>
            <w:r>
              <w:rPr>
                <w:rFonts w:hint="eastAsia"/>
                <w:bCs/>
                <w:sz w:val="24"/>
                <w:szCs w:val="24"/>
              </w:rPr>
              <w:t>5</w:t>
            </w:r>
            <w:r>
              <w:rPr>
                <w:bCs/>
                <w:sz w:val="24"/>
                <w:szCs w:val="24"/>
              </w:rPr>
              <w:t>mg/L，0.00</w:t>
            </w:r>
            <w:r>
              <w:rPr>
                <w:rFonts w:hint="eastAsia"/>
                <w:bCs/>
                <w:sz w:val="24"/>
                <w:szCs w:val="24"/>
              </w:rPr>
              <w:t>3</w:t>
            </w:r>
            <w:r>
              <w:rPr>
                <w:bCs/>
                <w:sz w:val="24"/>
                <w:szCs w:val="24"/>
              </w:rPr>
              <w:t>t/a，对环境影响较小。</w:t>
            </w:r>
            <w:r>
              <w:rPr>
                <w:rFonts w:hint="eastAsia"/>
                <w:bCs/>
                <w:sz w:val="24"/>
                <w:szCs w:val="24"/>
              </w:rPr>
              <w:t>最终排入淮河，</w:t>
            </w:r>
            <w:r>
              <w:rPr>
                <w:rFonts w:hint="eastAsia"/>
                <w:bCs/>
                <w:sz w:val="24"/>
                <w:szCs w:val="24"/>
                <w:lang w:val="en-GB"/>
              </w:rPr>
              <w:t>不会降低项目区现有水环境功能。</w:t>
            </w:r>
          </w:p>
          <w:p>
            <w:pPr>
              <w:snapToGrid w:val="0"/>
              <w:spacing w:line="360" w:lineRule="auto"/>
              <w:ind w:firstLine="480" w:firstLineChars="200"/>
              <w:rPr>
                <w:rFonts w:hAnsi="宋体"/>
                <w:sz w:val="24"/>
                <w:szCs w:val="24"/>
              </w:rPr>
            </w:pPr>
            <w:r>
              <w:rPr>
                <w:rFonts w:hint="eastAsia" w:hAnsi="宋体"/>
                <w:sz w:val="24"/>
                <w:szCs w:val="24"/>
              </w:rPr>
              <w:t>淮南首创第一污水处理厂位于田家庵区下陶路北淮河岸边，占地面积105亩。设计污水处理10万m</w:t>
            </w:r>
            <w:r>
              <w:rPr>
                <w:rFonts w:hint="eastAsia" w:hAnsi="宋体"/>
                <w:sz w:val="24"/>
                <w:szCs w:val="24"/>
                <w:vertAlign w:val="superscript"/>
              </w:rPr>
              <w:t>3</w:t>
            </w:r>
            <w:r>
              <w:rPr>
                <w:rFonts w:hint="eastAsia" w:hAnsi="宋体"/>
                <w:sz w:val="24"/>
                <w:szCs w:val="24"/>
              </w:rPr>
              <w:t>/d。采用二级生化处理（卡鲁塞尔2000氧化沟工艺）。原设计排放水质符合一级B标准，2013年底提标改造，现处理量达9-10万m</w:t>
            </w:r>
            <w:r>
              <w:rPr>
                <w:rFonts w:hint="eastAsia" w:hAnsi="宋体"/>
                <w:sz w:val="24"/>
                <w:szCs w:val="24"/>
                <w:vertAlign w:val="superscript"/>
              </w:rPr>
              <w:t>3</w:t>
            </w:r>
            <w:r>
              <w:rPr>
                <w:rFonts w:hint="eastAsia" w:hAnsi="宋体"/>
                <w:sz w:val="24"/>
                <w:szCs w:val="24"/>
              </w:rPr>
              <w:t>/d，基本满负荷运行，处理后排放水质符合设计一级A标准。 项目概况：二期扩建厂址位于一期工程的东边，扩建规模为：2015年5万m</w:t>
            </w:r>
            <w:r>
              <w:rPr>
                <w:rFonts w:hint="eastAsia" w:hAnsi="宋体"/>
                <w:sz w:val="24"/>
                <w:szCs w:val="24"/>
                <w:vertAlign w:val="superscript"/>
              </w:rPr>
              <w:t>3</w:t>
            </w:r>
            <w:r>
              <w:rPr>
                <w:rFonts w:hint="eastAsia" w:hAnsi="宋体"/>
                <w:sz w:val="24"/>
                <w:szCs w:val="24"/>
              </w:rPr>
              <w:t>/d，2020年5万m</w:t>
            </w:r>
            <w:r>
              <w:rPr>
                <w:rFonts w:hint="eastAsia" w:hAnsi="宋体"/>
                <w:sz w:val="24"/>
                <w:szCs w:val="24"/>
                <w:vertAlign w:val="superscript"/>
              </w:rPr>
              <w:t>3</w:t>
            </w:r>
            <w:r>
              <w:rPr>
                <w:rFonts w:hint="eastAsia" w:hAnsi="宋体"/>
                <w:sz w:val="24"/>
                <w:szCs w:val="24"/>
              </w:rPr>
              <w:t>/d。平面布置按10万m</w:t>
            </w:r>
            <w:r>
              <w:rPr>
                <w:rFonts w:hint="eastAsia" w:hAnsi="宋体"/>
                <w:sz w:val="24"/>
                <w:szCs w:val="24"/>
                <w:vertAlign w:val="superscript"/>
              </w:rPr>
              <w:t>3</w:t>
            </w:r>
            <w:r>
              <w:rPr>
                <w:rFonts w:hint="eastAsia" w:hAnsi="宋体"/>
                <w:sz w:val="24"/>
                <w:szCs w:val="24"/>
              </w:rPr>
              <w:t>/d一次设计，分期实施。二期扩建工程新建的建、构筑物有：细格栅站及旋流沉砂池、生物池及回流泵池、深度处理综合池、鼓风机房、变电站、机修、仓库、加氯加药间、储泥池、脱水机房。 污水厂处理工艺：预处理+多模式A</w:t>
            </w:r>
            <w:r>
              <w:rPr>
                <w:rFonts w:hint="eastAsia" w:hAnsi="宋体"/>
                <w:sz w:val="24"/>
                <w:szCs w:val="24"/>
                <w:vertAlign w:val="superscript"/>
              </w:rPr>
              <w:t>2</w:t>
            </w:r>
            <w:r>
              <w:rPr>
                <w:rFonts w:hint="eastAsia" w:hAnsi="宋体"/>
                <w:sz w:val="24"/>
                <w:szCs w:val="24"/>
              </w:rPr>
              <w:t>/O强化除磷脱氮生物处理+混凝沉淀过滤+消毒;污泥处理工艺为“污泥浓缩池+板框深度脱水”。 出水标准：出水受纳水体为淮河，污水出口所处的河段为III类水体，污水厂出水水质按《城镇污水处理厂污染物排放标准》(GB18918-2006)中一级A标准执行。</w:t>
            </w:r>
          </w:p>
          <w:p>
            <w:pPr>
              <w:snapToGrid w:val="0"/>
              <w:spacing w:line="360" w:lineRule="auto"/>
              <w:ind w:firstLine="480" w:firstLineChars="200"/>
              <w:rPr>
                <w:rFonts w:hAnsi="宋体"/>
                <w:sz w:val="24"/>
                <w:szCs w:val="24"/>
              </w:rPr>
            </w:pPr>
            <w:r>
              <w:rPr>
                <w:rFonts w:hint="eastAsia" w:hAnsi="宋体"/>
                <w:sz w:val="24"/>
                <w:szCs w:val="24"/>
              </w:rPr>
              <w:t>项目所在区属淮南首创第一污水处理厂收水范围内，且项目区市政雨、污管网已配套完善，因此项目废水经处理后进入淮南首创第一污水处理厂是可行的。</w:t>
            </w:r>
          </w:p>
          <w:p>
            <w:pPr>
              <w:snapToGrid w:val="0"/>
              <w:spacing w:line="360" w:lineRule="auto"/>
              <w:ind w:firstLine="480" w:firstLineChars="200"/>
              <w:rPr>
                <w:rFonts w:hAnsi="宋体"/>
                <w:sz w:val="24"/>
                <w:szCs w:val="24"/>
              </w:rPr>
            </w:pPr>
            <w:r>
              <w:rPr>
                <w:rFonts w:hint="eastAsia" w:hAnsi="宋体"/>
                <w:sz w:val="24"/>
                <w:szCs w:val="24"/>
              </w:rPr>
              <w:t>项目所在区属淮南首创第一污水处理厂收水范围内，且项目区市政雨、污管网已配套完善。项目运营后接入污水处理厂的废水量为2.0m</w:t>
            </w:r>
            <w:r>
              <w:rPr>
                <w:rFonts w:hint="eastAsia" w:hAnsi="宋体"/>
                <w:sz w:val="24"/>
                <w:szCs w:val="24"/>
                <w:vertAlign w:val="superscript"/>
              </w:rPr>
              <w:t>3</w:t>
            </w:r>
            <w:r>
              <w:rPr>
                <w:rFonts w:hint="eastAsia" w:hAnsi="宋体"/>
                <w:sz w:val="24"/>
                <w:szCs w:val="24"/>
              </w:rPr>
              <w:t>/d，各污染因子均满足《污水排入城市下水道水质标准》（GB/T 31962-2015）B级标准，对淮南首创第一污水处理厂的影响很小。因此，项目废水可接管纳入淮南首创第一污水处理厂，不会对淮南首创第一污水处理厂正常运行造成影响。</w:t>
            </w:r>
          </w:p>
          <w:p>
            <w:pPr>
              <w:snapToGrid w:val="0"/>
              <w:spacing w:line="360" w:lineRule="auto"/>
              <w:ind w:firstLine="480" w:firstLineChars="200"/>
              <w:rPr>
                <w:rFonts w:hAnsi="宋体"/>
                <w:sz w:val="24"/>
                <w:szCs w:val="24"/>
              </w:rPr>
            </w:pPr>
            <w:r>
              <w:rPr>
                <w:rFonts w:hint="eastAsia" w:hAnsi="宋体"/>
                <w:sz w:val="24"/>
                <w:szCs w:val="24"/>
              </w:rPr>
              <w:t>综上，项目废水接入淮南首创第一污水处理厂是可行的，经上述处理措施后，项目废水能做到达标排放，对淮河水环境影响较小，不会降低淮河水环境现有功能。</w:t>
            </w:r>
          </w:p>
          <w:p>
            <w:pPr>
              <w:numPr>
                <w:ilvl w:val="0"/>
                <w:numId w:val="2"/>
              </w:numPr>
              <w:spacing w:line="360" w:lineRule="auto"/>
              <w:rPr>
                <w:b/>
                <w:bCs/>
                <w:kern w:val="0"/>
                <w:sz w:val="24"/>
              </w:rPr>
            </w:pPr>
            <w:r>
              <w:rPr>
                <w:b/>
                <w:bCs/>
                <w:kern w:val="0"/>
                <w:sz w:val="24"/>
              </w:rPr>
              <w:t>大气环境影响分析</w:t>
            </w:r>
          </w:p>
          <w:p>
            <w:pPr>
              <w:spacing w:line="360" w:lineRule="auto"/>
              <w:ind w:firstLine="480"/>
              <w:rPr>
                <w:rFonts w:hAnsi="宋体"/>
                <w:sz w:val="24"/>
              </w:rPr>
            </w:pPr>
            <w:r>
              <w:rPr>
                <w:rFonts w:hAnsi="宋体"/>
                <w:sz w:val="24"/>
              </w:rPr>
              <w:t>本项目营运期</w:t>
            </w:r>
            <w:r>
              <w:rPr>
                <w:rFonts w:hint="eastAsia" w:hAnsi="宋体"/>
                <w:sz w:val="24"/>
              </w:rPr>
              <w:t>产生的废气主要为激光切割机下料过程中产生的切割烟尘、焊机焊接过程中产生的焊接烟尘。产生的焊接烟尘和切割烟尘均通过焊烟净化器处理后以无组织形式排放，焊接烟尘和切割烟尘经过处理后无组织排放量为0.01425</w:t>
            </w:r>
            <w:r>
              <w:rPr>
                <w:rFonts w:hAnsi="宋体"/>
                <w:bCs/>
                <w:sz w:val="24"/>
              </w:rPr>
              <w:t>t/a</w:t>
            </w:r>
            <w:r>
              <w:rPr>
                <w:rFonts w:hint="eastAsia" w:hAnsi="宋体"/>
                <w:sz w:val="24"/>
              </w:rPr>
              <w:t>，0.02166</w:t>
            </w:r>
            <w:r>
              <w:rPr>
                <w:rFonts w:hAnsi="宋体"/>
                <w:bCs/>
                <w:sz w:val="24"/>
              </w:rPr>
              <w:t>kg/h</w:t>
            </w:r>
            <w:r>
              <w:rPr>
                <w:rFonts w:hint="eastAsia" w:hAnsi="宋体"/>
                <w:bCs/>
                <w:sz w:val="24"/>
              </w:rPr>
              <w:t>。</w:t>
            </w:r>
            <w:r>
              <w:rPr>
                <w:rFonts w:hint="eastAsia" w:hAnsi="宋体"/>
                <w:sz w:val="24"/>
              </w:rPr>
              <w:t xml:space="preserve"> </w:t>
            </w:r>
          </w:p>
          <w:p>
            <w:pPr>
              <w:snapToGrid w:val="0"/>
              <w:spacing w:line="360" w:lineRule="auto"/>
              <w:ind w:firstLine="482" w:firstLineChars="200"/>
              <w:jc w:val="left"/>
              <w:rPr>
                <w:b/>
                <w:snapToGrid w:val="0"/>
                <w:kern w:val="0"/>
                <w:sz w:val="24"/>
                <w:szCs w:val="24"/>
              </w:rPr>
            </w:pPr>
            <w:r>
              <w:rPr>
                <w:rFonts w:hAnsi="宋体"/>
                <w:b/>
                <w:snapToGrid w:val="0"/>
                <w:kern w:val="0"/>
                <w:sz w:val="24"/>
                <w:szCs w:val="24"/>
              </w:rPr>
              <w:t>A</w:t>
            </w:r>
            <w:r>
              <w:rPr>
                <w:rFonts w:hint="eastAsia" w:hAnsi="宋体"/>
                <w:b/>
                <w:snapToGrid w:val="0"/>
                <w:kern w:val="0"/>
                <w:sz w:val="24"/>
                <w:szCs w:val="24"/>
              </w:rPr>
              <w:t>、预测因子、内容、评价标准</w:t>
            </w:r>
          </w:p>
          <w:p>
            <w:pPr>
              <w:snapToGrid w:val="0"/>
              <w:spacing w:line="360" w:lineRule="auto"/>
              <w:ind w:firstLine="480" w:firstLineChars="200"/>
              <w:jc w:val="left"/>
              <w:rPr>
                <w:snapToGrid w:val="0"/>
                <w:kern w:val="0"/>
                <w:sz w:val="24"/>
                <w:szCs w:val="24"/>
              </w:rPr>
            </w:pPr>
            <w:r>
              <w:rPr>
                <w:rFonts w:hint="eastAsia"/>
                <w:snapToGrid w:val="0"/>
                <w:kern w:val="0"/>
                <w:sz w:val="24"/>
                <w:szCs w:val="24"/>
              </w:rPr>
              <w:t>①预测因子</w:t>
            </w:r>
          </w:p>
          <w:p>
            <w:pPr>
              <w:snapToGrid w:val="0"/>
              <w:spacing w:line="360" w:lineRule="auto"/>
              <w:ind w:firstLine="480" w:firstLineChars="200"/>
              <w:jc w:val="left"/>
              <w:rPr>
                <w:snapToGrid w:val="0"/>
                <w:kern w:val="0"/>
                <w:sz w:val="24"/>
                <w:szCs w:val="24"/>
                <w:vertAlign w:val="subscript"/>
              </w:rPr>
            </w:pPr>
            <w:r>
              <w:rPr>
                <w:rFonts w:hint="eastAsia"/>
                <w:snapToGrid w:val="0"/>
                <w:kern w:val="0"/>
                <w:sz w:val="24"/>
                <w:szCs w:val="24"/>
              </w:rPr>
              <w:t>根据工程分析，本项目的预测因子确定为颗粒物。</w:t>
            </w:r>
          </w:p>
          <w:p>
            <w:pPr>
              <w:snapToGrid w:val="0"/>
              <w:spacing w:line="360" w:lineRule="auto"/>
              <w:ind w:firstLine="450"/>
              <w:rPr>
                <w:sz w:val="24"/>
                <w:szCs w:val="24"/>
              </w:rPr>
            </w:pPr>
            <w:r>
              <w:rPr>
                <w:rFonts w:hAnsi="宋体"/>
                <w:sz w:val="24"/>
                <w:szCs w:val="24"/>
              </w:rPr>
              <w:t>②</w:t>
            </w:r>
            <w:r>
              <w:rPr>
                <w:sz w:val="24"/>
                <w:szCs w:val="24"/>
              </w:rPr>
              <w:t>预测范围</w:t>
            </w:r>
          </w:p>
          <w:p>
            <w:pPr>
              <w:snapToGrid w:val="0"/>
              <w:spacing w:line="360" w:lineRule="auto"/>
              <w:ind w:firstLine="450"/>
              <w:rPr>
                <w:sz w:val="24"/>
                <w:szCs w:val="24"/>
              </w:rPr>
            </w:pPr>
            <w:r>
              <w:rPr>
                <w:rFonts w:hAnsi="宋体"/>
                <w:sz w:val="24"/>
                <w:szCs w:val="24"/>
              </w:rPr>
              <w:t>本项目预测范围：本项目大气环境影响评价等级为二级，大气评价范围以项目厂址为中心，边长</w:t>
            </w:r>
            <w:r>
              <w:rPr>
                <w:sz w:val="24"/>
                <w:szCs w:val="24"/>
              </w:rPr>
              <w:t>5km</w:t>
            </w:r>
            <w:r>
              <w:rPr>
                <w:rFonts w:hAnsi="宋体"/>
                <w:sz w:val="24"/>
                <w:szCs w:val="24"/>
              </w:rPr>
              <w:t>的矩形区域。</w:t>
            </w:r>
          </w:p>
          <w:p>
            <w:pPr>
              <w:snapToGrid w:val="0"/>
              <w:spacing w:line="360" w:lineRule="auto"/>
              <w:ind w:firstLine="450"/>
              <w:rPr>
                <w:sz w:val="24"/>
                <w:szCs w:val="24"/>
              </w:rPr>
            </w:pPr>
            <w:r>
              <w:rPr>
                <w:rFonts w:hAnsi="宋体"/>
                <w:sz w:val="24"/>
                <w:szCs w:val="24"/>
              </w:rPr>
              <w:t>③、预测模式的选取</w:t>
            </w:r>
          </w:p>
          <w:p>
            <w:pPr>
              <w:snapToGrid w:val="0"/>
              <w:spacing w:line="360" w:lineRule="auto"/>
              <w:ind w:firstLine="450"/>
              <w:rPr>
                <w:sz w:val="24"/>
                <w:szCs w:val="24"/>
              </w:rPr>
            </w:pPr>
            <w:r>
              <w:rPr>
                <w:rFonts w:hAnsi="宋体"/>
                <w:sz w:val="24"/>
                <w:szCs w:val="24"/>
              </w:rPr>
              <w:t>本项目大气环境影响评价等级为二级，根据《环境影响评价技术导则</w:t>
            </w:r>
            <w:r>
              <w:rPr>
                <w:sz w:val="24"/>
                <w:szCs w:val="24"/>
              </w:rPr>
              <w:t>-</w:t>
            </w:r>
            <w:r>
              <w:rPr>
                <w:rFonts w:hAnsi="宋体"/>
                <w:sz w:val="24"/>
                <w:szCs w:val="24"/>
              </w:rPr>
              <w:t>大气环境》（</w:t>
            </w:r>
            <w:r>
              <w:rPr>
                <w:sz w:val="24"/>
                <w:szCs w:val="24"/>
              </w:rPr>
              <w:t>HJ2.2-2018</w:t>
            </w:r>
            <w:r>
              <w:rPr>
                <w:rFonts w:hAnsi="宋体"/>
                <w:sz w:val="24"/>
                <w:szCs w:val="24"/>
              </w:rPr>
              <w:t>），仅对污染物排放量进行核算。</w:t>
            </w:r>
          </w:p>
          <w:p>
            <w:pPr>
              <w:snapToGrid w:val="0"/>
              <w:spacing w:line="360" w:lineRule="auto"/>
              <w:ind w:firstLine="480" w:firstLineChars="200"/>
              <w:jc w:val="left"/>
              <w:rPr>
                <w:snapToGrid w:val="0"/>
                <w:kern w:val="0"/>
                <w:sz w:val="24"/>
                <w:szCs w:val="24"/>
              </w:rPr>
            </w:pPr>
            <w:r>
              <w:rPr>
                <w:rFonts w:hint="eastAsia" w:ascii="宋体" w:hAnsi="宋体" w:cs="宋体"/>
                <w:snapToGrid w:val="0"/>
                <w:kern w:val="0"/>
                <w:sz w:val="24"/>
                <w:szCs w:val="24"/>
              </w:rPr>
              <w:t>④</w:t>
            </w:r>
            <w:r>
              <w:rPr>
                <w:rFonts w:hint="eastAsia"/>
                <w:snapToGrid w:val="0"/>
                <w:kern w:val="0"/>
                <w:sz w:val="24"/>
                <w:szCs w:val="24"/>
              </w:rPr>
              <w:t>、评价标准</w:t>
            </w:r>
          </w:p>
          <w:p>
            <w:pPr>
              <w:snapToGrid w:val="0"/>
              <w:jc w:val="center"/>
              <w:rPr>
                <w:rFonts w:hAnsi="宋体"/>
                <w:b/>
                <w:szCs w:val="21"/>
              </w:rPr>
            </w:pPr>
          </w:p>
          <w:p>
            <w:pPr>
              <w:snapToGrid w:val="0"/>
              <w:jc w:val="center"/>
              <w:rPr>
                <w:rFonts w:hAnsi="宋体"/>
                <w:b/>
                <w:szCs w:val="21"/>
              </w:rPr>
            </w:pPr>
            <w:r>
              <w:rPr>
                <w:rFonts w:hint="eastAsia" w:hAnsi="宋体"/>
                <w:b/>
                <w:szCs w:val="21"/>
              </w:rPr>
              <w:t>表26评价因子和评价标准表</w:t>
            </w:r>
          </w:p>
          <w:tbl>
            <w:tblPr>
              <w:tblStyle w:val="30"/>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1557"/>
              <w:gridCol w:w="1941"/>
              <w:gridCol w:w="1977"/>
              <w:gridCol w:w="366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c>
                <w:tcPr>
                  <w:tcW w:w="1557" w:type="dxa"/>
                  <w:vAlign w:val="center"/>
                </w:tcPr>
                <w:p>
                  <w:pPr>
                    <w:widowControl/>
                    <w:snapToGrid w:val="0"/>
                    <w:jc w:val="center"/>
                    <w:rPr>
                      <w:kern w:val="0"/>
                      <w:szCs w:val="24"/>
                    </w:rPr>
                  </w:pPr>
                  <w:r>
                    <w:rPr>
                      <w:rFonts w:hint="eastAsia" w:hAnsi="宋体"/>
                      <w:kern w:val="0"/>
                      <w:szCs w:val="24"/>
                    </w:rPr>
                    <w:t>评价因子</w:t>
                  </w:r>
                </w:p>
              </w:tc>
              <w:tc>
                <w:tcPr>
                  <w:tcW w:w="1941" w:type="dxa"/>
                  <w:vAlign w:val="center"/>
                </w:tcPr>
                <w:p>
                  <w:pPr>
                    <w:widowControl/>
                    <w:snapToGrid w:val="0"/>
                    <w:jc w:val="center"/>
                    <w:rPr>
                      <w:kern w:val="0"/>
                      <w:szCs w:val="24"/>
                    </w:rPr>
                  </w:pPr>
                  <w:r>
                    <w:rPr>
                      <w:rFonts w:hint="eastAsia" w:hAnsi="宋体"/>
                      <w:kern w:val="0"/>
                      <w:szCs w:val="24"/>
                    </w:rPr>
                    <w:t>平均时段</w:t>
                  </w:r>
                </w:p>
              </w:tc>
              <w:tc>
                <w:tcPr>
                  <w:tcW w:w="1977" w:type="dxa"/>
                  <w:vAlign w:val="center"/>
                </w:tcPr>
                <w:p>
                  <w:pPr>
                    <w:widowControl/>
                    <w:snapToGrid w:val="0"/>
                    <w:jc w:val="center"/>
                    <w:rPr>
                      <w:kern w:val="0"/>
                      <w:szCs w:val="24"/>
                    </w:rPr>
                  </w:pPr>
                  <w:r>
                    <w:rPr>
                      <w:rFonts w:hint="eastAsia" w:hAnsi="宋体"/>
                      <w:kern w:val="0"/>
                      <w:szCs w:val="24"/>
                    </w:rPr>
                    <w:t>标准值</w:t>
                  </w:r>
                  <w:r>
                    <w:rPr>
                      <w:kern w:val="0"/>
                      <w:szCs w:val="24"/>
                    </w:rPr>
                    <w:t>/</w:t>
                  </w:r>
                  <w:r>
                    <w:rPr>
                      <w:rFonts w:hint="eastAsia" w:hAnsi="宋体"/>
                      <w:kern w:val="0"/>
                      <w:szCs w:val="24"/>
                    </w:rPr>
                    <w:t>（</w:t>
                  </w:r>
                  <w:r>
                    <w:rPr>
                      <w:szCs w:val="21"/>
                    </w:rPr>
                    <w:t>μg</w:t>
                  </w:r>
                  <w:r>
                    <w:rPr>
                      <w:kern w:val="0"/>
                      <w:szCs w:val="24"/>
                    </w:rPr>
                    <w:t xml:space="preserve"> /m</w:t>
                  </w:r>
                  <w:r>
                    <w:rPr>
                      <w:kern w:val="0"/>
                      <w:szCs w:val="24"/>
                      <w:vertAlign w:val="superscript"/>
                    </w:rPr>
                    <w:t>3</w:t>
                  </w:r>
                  <w:r>
                    <w:rPr>
                      <w:rFonts w:hint="eastAsia" w:hAnsi="宋体"/>
                      <w:kern w:val="0"/>
                      <w:szCs w:val="24"/>
                    </w:rPr>
                    <w:t>）</w:t>
                  </w:r>
                </w:p>
              </w:tc>
              <w:tc>
                <w:tcPr>
                  <w:tcW w:w="3665" w:type="dxa"/>
                  <w:vAlign w:val="center"/>
                </w:tcPr>
                <w:p>
                  <w:pPr>
                    <w:widowControl/>
                    <w:snapToGrid w:val="0"/>
                    <w:jc w:val="center"/>
                    <w:rPr>
                      <w:kern w:val="0"/>
                      <w:szCs w:val="24"/>
                    </w:rPr>
                  </w:pPr>
                  <w:r>
                    <w:rPr>
                      <w:rFonts w:hint="eastAsia" w:hAnsi="宋体"/>
                      <w:kern w:val="0"/>
                      <w:szCs w:val="24"/>
                    </w:rPr>
                    <w:t>标准来源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c>
                <w:tcPr>
                  <w:tcW w:w="1557" w:type="dxa"/>
                  <w:vAlign w:val="center"/>
                </w:tcPr>
                <w:p>
                  <w:pPr>
                    <w:snapToGrid w:val="0"/>
                    <w:jc w:val="center"/>
                    <w:rPr>
                      <w:szCs w:val="21"/>
                    </w:rPr>
                  </w:pPr>
                  <w:r>
                    <w:rPr>
                      <w:szCs w:val="21"/>
                    </w:rPr>
                    <w:t>PM</w:t>
                  </w:r>
                  <w:r>
                    <w:rPr>
                      <w:szCs w:val="21"/>
                      <w:vertAlign w:val="subscript"/>
                    </w:rPr>
                    <w:t>10</w:t>
                  </w:r>
                </w:p>
              </w:tc>
              <w:tc>
                <w:tcPr>
                  <w:tcW w:w="1941" w:type="dxa"/>
                  <w:vAlign w:val="center"/>
                </w:tcPr>
                <w:p>
                  <w:pPr>
                    <w:adjustRightInd w:val="0"/>
                    <w:snapToGrid w:val="0"/>
                    <w:jc w:val="center"/>
                    <w:rPr>
                      <w:szCs w:val="24"/>
                    </w:rPr>
                  </w:pPr>
                  <w:r>
                    <w:rPr>
                      <w:rFonts w:hint="eastAsia"/>
                      <w:szCs w:val="24"/>
                    </w:rPr>
                    <w:t>日均浓度值</w:t>
                  </w:r>
                  <w:r>
                    <w:rPr>
                      <w:szCs w:val="24"/>
                    </w:rPr>
                    <w:t>3</w:t>
                  </w:r>
                  <w:r>
                    <w:rPr>
                      <w:rFonts w:hint="eastAsia"/>
                      <w:szCs w:val="24"/>
                    </w:rPr>
                    <w:t>倍</w:t>
                  </w:r>
                </w:p>
              </w:tc>
              <w:tc>
                <w:tcPr>
                  <w:tcW w:w="1977" w:type="dxa"/>
                  <w:vAlign w:val="center"/>
                </w:tcPr>
                <w:p>
                  <w:pPr>
                    <w:adjustRightInd w:val="0"/>
                    <w:snapToGrid w:val="0"/>
                    <w:jc w:val="center"/>
                    <w:rPr>
                      <w:szCs w:val="24"/>
                    </w:rPr>
                  </w:pPr>
                  <w:r>
                    <w:rPr>
                      <w:szCs w:val="24"/>
                    </w:rPr>
                    <w:t>450</w:t>
                  </w:r>
                </w:p>
              </w:tc>
              <w:tc>
                <w:tcPr>
                  <w:tcW w:w="3665" w:type="dxa"/>
                  <w:vAlign w:val="center"/>
                </w:tcPr>
                <w:p>
                  <w:pPr>
                    <w:widowControl/>
                    <w:snapToGrid w:val="0"/>
                    <w:jc w:val="center"/>
                    <w:rPr>
                      <w:szCs w:val="24"/>
                    </w:rPr>
                  </w:pPr>
                  <w:r>
                    <w:rPr>
                      <w:rFonts w:hint="eastAsia"/>
                      <w:szCs w:val="21"/>
                    </w:rPr>
                    <w:t>《环境空气质量标准》（</w:t>
                  </w:r>
                  <w:r>
                    <w:rPr>
                      <w:szCs w:val="21"/>
                    </w:rPr>
                    <w:t>GB3095-2012</w:t>
                  </w:r>
                  <w:r>
                    <w:rPr>
                      <w:rFonts w:hint="eastAsia"/>
                      <w:szCs w:val="21"/>
                    </w:rPr>
                    <w:t>）中的</w:t>
                  </w:r>
                  <w:r>
                    <w:rPr>
                      <w:rFonts w:hint="eastAsia"/>
                      <w:bCs/>
                      <w:szCs w:val="21"/>
                    </w:rPr>
                    <w:t>二级</w:t>
                  </w:r>
                  <w:r>
                    <w:rPr>
                      <w:rFonts w:hint="eastAsia"/>
                      <w:szCs w:val="21"/>
                    </w:rPr>
                    <w:t>标准</w:t>
                  </w:r>
                </w:p>
              </w:tc>
            </w:tr>
          </w:tbl>
          <w:p>
            <w:pPr>
              <w:snapToGrid w:val="0"/>
              <w:spacing w:line="360" w:lineRule="auto"/>
              <w:ind w:firstLine="482" w:firstLineChars="200"/>
              <w:jc w:val="left"/>
              <w:rPr>
                <w:rFonts w:hAnsi="宋体"/>
                <w:b/>
                <w:snapToGrid w:val="0"/>
                <w:kern w:val="0"/>
                <w:sz w:val="24"/>
                <w:szCs w:val="24"/>
              </w:rPr>
            </w:pPr>
            <w:r>
              <w:rPr>
                <w:rFonts w:hAnsi="宋体"/>
                <w:b/>
                <w:snapToGrid w:val="0"/>
                <w:kern w:val="0"/>
                <w:sz w:val="24"/>
                <w:szCs w:val="24"/>
              </w:rPr>
              <w:t>B</w:t>
            </w:r>
            <w:r>
              <w:rPr>
                <w:rFonts w:hint="eastAsia" w:hAnsi="宋体"/>
                <w:b/>
                <w:snapToGrid w:val="0"/>
                <w:kern w:val="0"/>
                <w:sz w:val="24"/>
                <w:szCs w:val="24"/>
              </w:rPr>
              <w:t>、估算模型</w:t>
            </w:r>
          </w:p>
          <w:p>
            <w:pPr>
              <w:snapToGrid w:val="0"/>
              <w:jc w:val="center"/>
              <w:rPr>
                <w:rFonts w:hAnsi="宋体"/>
                <w:b/>
                <w:szCs w:val="21"/>
              </w:rPr>
            </w:pPr>
            <w:r>
              <w:rPr>
                <w:rFonts w:hint="eastAsia" w:hAnsi="宋体"/>
                <w:b/>
                <w:szCs w:val="21"/>
              </w:rPr>
              <w:t>表27</w:t>
            </w:r>
            <w:r>
              <w:rPr>
                <w:rFonts w:hAnsi="宋体"/>
                <w:b/>
                <w:szCs w:val="21"/>
              </w:rPr>
              <w:t xml:space="preserve"> </w:t>
            </w:r>
            <w:r>
              <w:rPr>
                <w:rFonts w:hint="eastAsia" w:hAnsi="宋体"/>
                <w:b/>
                <w:szCs w:val="21"/>
              </w:rPr>
              <w:t>估算模型参数表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3045"/>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090" w:type="dxa"/>
                  <w:gridSpan w:val="2"/>
                  <w:vAlign w:val="center"/>
                </w:tcPr>
                <w:p>
                  <w:pPr>
                    <w:adjustRightInd w:val="0"/>
                    <w:snapToGrid w:val="0"/>
                    <w:ind w:firstLine="360"/>
                    <w:jc w:val="center"/>
                    <w:rPr>
                      <w:b/>
                      <w:bCs/>
                      <w:szCs w:val="21"/>
                    </w:rPr>
                  </w:pPr>
                  <w:r>
                    <w:rPr>
                      <w:rFonts w:hint="eastAsia"/>
                      <w:b/>
                      <w:bCs/>
                      <w:szCs w:val="21"/>
                    </w:rPr>
                    <w:t>参数</w:t>
                  </w:r>
                </w:p>
              </w:tc>
              <w:tc>
                <w:tcPr>
                  <w:tcW w:w="3046" w:type="dxa"/>
                  <w:vAlign w:val="center"/>
                </w:tcPr>
                <w:p>
                  <w:pPr>
                    <w:adjustRightInd w:val="0"/>
                    <w:snapToGrid w:val="0"/>
                    <w:ind w:firstLine="480"/>
                    <w:jc w:val="center"/>
                    <w:rPr>
                      <w:b/>
                      <w:bCs/>
                      <w:szCs w:val="21"/>
                    </w:rPr>
                  </w:pPr>
                  <w:r>
                    <w:rPr>
                      <w:rFonts w:hint="eastAsia"/>
                      <w:b/>
                      <w:bCs/>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045" w:type="dxa"/>
                  <w:vMerge w:val="restart"/>
                  <w:vAlign w:val="center"/>
                </w:tcPr>
                <w:p>
                  <w:pPr>
                    <w:adjustRightInd w:val="0"/>
                    <w:snapToGrid w:val="0"/>
                    <w:ind w:firstLine="360"/>
                    <w:jc w:val="center"/>
                    <w:rPr>
                      <w:szCs w:val="21"/>
                    </w:rPr>
                  </w:pPr>
                  <w:r>
                    <w:rPr>
                      <w:rFonts w:hint="eastAsia"/>
                      <w:szCs w:val="21"/>
                    </w:rPr>
                    <w:t>城市</w:t>
                  </w:r>
                  <w:r>
                    <w:rPr>
                      <w:szCs w:val="21"/>
                    </w:rPr>
                    <w:t>/</w:t>
                  </w:r>
                  <w:r>
                    <w:rPr>
                      <w:rFonts w:hint="eastAsia"/>
                      <w:szCs w:val="21"/>
                    </w:rPr>
                    <w:t>农村选项</w:t>
                  </w:r>
                </w:p>
              </w:tc>
              <w:tc>
                <w:tcPr>
                  <w:tcW w:w="3045" w:type="dxa"/>
                  <w:vAlign w:val="center"/>
                </w:tcPr>
                <w:p>
                  <w:pPr>
                    <w:adjustRightInd w:val="0"/>
                    <w:snapToGrid w:val="0"/>
                    <w:ind w:firstLine="360"/>
                    <w:jc w:val="center"/>
                    <w:rPr>
                      <w:szCs w:val="21"/>
                    </w:rPr>
                  </w:pPr>
                  <w:r>
                    <w:rPr>
                      <w:rFonts w:hint="eastAsia"/>
                      <w:szCs w:val="21"/>
                    </w:rPr>
                    <w:t>城市</w:t>
                  </w:r>
                  <w:r>
                    <w:rPr>
                      <w:szCs w:val="21"/>
                    </w:rPr>
                    <w:t>/</w:t>
                  </w:r>
                  <w:r>
                    <w:rPr>
                      <w:rFonts w:hint="eastAsia"/>
                      <w:szCs w:val="21"/>
                    </w:rPr>
                    <w:t>农村</w:t>
                  </w:r>
                </w:p>
              </w:tc>
              <w:tc>
                <w:tcPr>
                  <w:tcW w:w="3046" w:type="dxa"/>
                  <w:vAlign w:val="center"/>
                </w:tcPr>
                <w:p>
                  <w:pPr>
                    <w:adjustRightInd w:val="0"/>
                    <w:snapToGrid w:val="0"/>
                    <w:ind w:firstLine="480"/>
                    <w:jc w:val="center"/>
                    <w:rPr>
                      <w:szCs w:val="21"/>
                    </w:rPr>
                  </w:pPr>
                  <w:r>
                    <w:rPr>
                      <w:rFonts w:hint="eastAsia"/>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045" w:type="dxa"/>
                  <w:vMerge w:val="continue"/>
                  <w:vAlign w:val="center"/>
                </w:tcPr>
                <w:p>
                  <w:pPr>
                    <w:adjustRightInd w:val="0"/>
                    <w:snapToGrid w:val="0"/>
                    <w:ind w:firstLine="360"/>
                    <w:jc w:val="center"/>
                    <w:rPr>
                      <w:szCs w:val="21"/>
                    </w:rPr>
                  </w:pPr>
                </w:p>
              </w:tc>
              <w:tc>
                <w:tcPr>
                  <w:tcW w:w="3045" w:type="dxa"/>
                  <w:vAlign w:val="center"/>
                </w:tcPr>
                <w:p>
                  <w:pPr>
                    <w:adjustRightInd w:val="0"/>
                    <w:snapToGrid w:val="0"/>
                    <w:ind w:firstLine="360"/>
                    <w:jc w:val="center"/>
                    <w:rPr>
                      <w:szCs w:val="21"/>
                    </w:rPr>
                  </w:pPr>
                  <w:r>
                    <w:rPr>
                      <w:rFonts w:hint="eastAsia"/>
                      <w:szCs w:val="21"/>
                    </w:rPr>
                    <w:t>人口数（城市选项）</w:t>
                  </w:r>
                </w:p>
              </w:tc>
              <w:tc>
                <w:tcPr>
                  <w:tcW w:w="3046" w:type="dxa"/>
                  <w:vAlign w:val="center"/>
                </w:tcPr>
                <w:p>
                  <w:pPr>
                    <w:adjustRightInd w:val="0"/>
                    <w:snapToGrid w:val="0"/>
                    <w:ind w:firstLine="480"/>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090" w:type="dxa"/>
                  <w:gridSpan w:val="2"/>
                  <w:vAlign w:val="center"/>
                </w:tcPr>
                <w:p>
                  <w:pPr>
                    <w:adjustRightInd w:val="0"/>
                    <w:snapToGrid w:val="0"/>
                    <w:ind w:firstLine="360"/>
                    <w:jc w:val="center"/>
                    <w:rPr>
                      <w:szCs w:val="21"/>
                    </w:rPr>
                  </w:pPr>
                  <w:r>
                    <w:rPr>
                      <w:rFonts w:hint="eastAsia"/>
                      <w:szCs w:val="21"/>
                    </w:rPr>
                    <w:t>最高环境温度</w:t>
                  </w:r>
                  <w:r>
                    <w:rPr>
                      <w:szCs w:val="21"/>
                    </w:rPr>
                    <w:t>/</w:t>
                  </w:r>
                  <w:r>
                    <w:rPr>
                      <w:rFonts w:hint="eastAsia" w:ascii="宋体" w:hAnsi="宋体" w:cs="宋体"/>
                      <w:szCs w:val="21"/>
                    </w:rPr>
                    <w:t>℃</w:t>
                  </w:r>
                </w:p>
              </w:tc>
              <w:tc>
                <w:tcPr>
                  <w:tcW w:w="3046" w:type="dxa"/>
                  <w:vAlign w:val="center"/>
                </w:tcPr>
                <w:p>
                  <w:pPr>
                    <w:adjustRightInd w:val="0"/>
                    <w:snapToGrid w:val="0"/>
                    <w:ind w:firstLine="480"/>
                    <w:jc w:val="center"/>
                    <w:rPr>
                      <w:szCs w:val="21"/>
                    </w:rPr>
                  </w:pPr>
                  <w:r>
                    <w:rPr>
                      <w:rFonts w:hint="eastAsia"/>
                      <w:szCs w:val="21"/>
                    </w:rPr>
                    <w:t>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090" w:type="dxa"/>
                  <w:gridSpan w:val="2"/>
                  <w:vAlign w:val="center"/>
                </w:tcPr>
                <w:p>
                  <w:pPr>
                    <w:adjustRightInd w:val="0"/>
                    <w:snapToGrid w:val="0"/>
                    <w:ind w:firstLine="360"/>
                    <w:jc w:val="center"/>
                    <w:rPr>
                      <w:szCs w:val="21"/>
                    </w:rPr>
                  </w:pPr>
                  <w:r>
                    <w:rPr>
                      <w:rFonts w:hint="eastAsia"/>
                      <w:szCs w:val="21"/>
                    </w:rPr>
                    <w:t>最低环境温度</w:t>
                  </w:r>
                  <w:r>
                    <w:rPr>
                      <w:szCs w:val="21"/>
                    </w:rPr>
                    <w:t>/</w:t>
                  </w:r>
                  <w:r>
                    <w:rPr>
                      <w:rFonts w:hint="eastAsia" w:ascii="宋体" w:hAnsi="宋体" w:cs="宋体"/>
                      <w:szCs w:val="21"/>
                    </w:rPr>
                    <w:t>℃</w:t>
                  </w:r>
                </w:p>
              </w:tc>
              <w:tc>
                <w:tcPr>
                  <w:tcW w:w="3046" w:type="dxa"/>
                  <w:vAlign w:val="center"/>
                </w:tcPr>
                <w:p>
                  <w:pPr>
                    <w:adjustRightInd w:val="0"/>
                    <w:snapToGrid w:val="0"/>
                    <w:ind w:firstLine="480"/>
                    <w:jc w:val="center"/>
                    <w:rPr>
                      <w:szCs w:val="21"/>
                    </w:rPr>
                  </w:pPr>
                  <w:r>
                    <w:rPr>
                      <w:szCs w:val="21"/>
                    </w:rPr>
                    <w:t>-</w:t>
                  </w:r>
                  <w:r>
                    <w:rPr>
                      <w:rFonts w:hint="eastAsia"/>
                      <w:szCs w:val="21"/>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090" w:type="dxa"/>
                  <w:gridSpan w:val="2"/>
                  <w:vAlign w:val="center"/>
                </w:tcPr>
                <w:p>
                  <w:pPr>
                    <w:adjustRightInd w:val="0"/>
                    <w:snapToGrid w:val="0"/>
                    <w:ind w:firstLine="360"/>
                    <w:jc w:val="center"/>
                    <w:rPr>
                      <w:szCs w:val="21"/>
                    </w:rPr>
                  </w:pPr>
                  <w:r>
                    <w:rPr>
                      <w:rFonts w:hint="eastAsia"/>
                      <w:szCs w:val="21"/>
                    </w:rPr>
                    <w:t>土地利用类型</w:t>
                  </w:r>
                </w:p>
              </w:tc>
              <w:tc>
                <w:tcPr>
                  <w:tcW w:w="3046" w:type="dxa"/>
                  <w:vAlign w:val="center"/>
                </w:tcPr>
                <w:p>
                  <w:pPr>
                    <w:adjustRightInd w:val="0"/>
                    <w:snapToGrid w:val="0"/>
                    <w:ind w:firstLine="480"/>
                    <w:jc w:val="center"/>
                    <w:rPr>
                      <w:szCs w:val="21"/>
                    </w:rPr>
                  </w:pPr>
                  <w:r>
                    <w:rPr>
                      <w:rFonts w:hint="eastAsia"/>
                      <w:szCs w:val="21"/>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6090" w:type="dxa"/>
                  <w:gridSpan w:val="2"/>
                  <w:vAlign w:val="center"/>
                </w:tcPr>
                <w:p>
                  <w:pPr>
                    <w:adjustRightInd w:val="0"/>
                    <w:snapToGrid w:val="0"/>
                    <w:ind w:firstLine="360"/>
                    <w:jc w:val="center"/>
                    <w:rPr>
                      <w:szCs w:val="21"/>
                    </w:rPr>
                  </w:pPr>
                  <w:r>
                    <w:rPr>
                      <w:rFonts w:hint="eastAsia"/>
                      <w:szCs w:val="21"/>
                    </w:rPr>
                    <w:t>区域湿度条件</w:t>
                  </w:r>
                </w:p>
              </w:tc>
              <w:tc>
                <w:tcPr>
                  <w:tcW w:w="3046" w:type="dxa"/>
                  <w:vAlign w:val="center"/>
                </w:tcPr>
                <w:p>
                  <w:pPr>
                    <w:adjustRightInd w:val="0"/>
                    <w:snapToGrid w:val="0"/>
                    <w:ind w:firstLine="480"/>
                    <w:jc w:val="center"/>
                    <w:rPr>
                      <w:szCs w:val="21"/>
                    </w:rPr>
                  </w:pPr>
                  <w:r>
                    <w:rPr>
                      <w:rFonts w:hint="eastAsia"/>
                      <w:szCs w:val="21"/>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3045" w:type="dxa"/>
                  <w:vMerge w:val="restart"/>
                  <w:vAlign w:val="center"/>
                </w:tcPr>
                <w:p>
                  <w:pPr>
                    <w:adjustRightInd w:val="0"/>
                    <w:snapToGrid w:val="0"/>
                    <w:ind w:firstLine="360"/>
                    <w:jc w:val="center"/>
                    <w:rPr>
                      <w:szCs w:val="21"/>
                    </w:rPr>
                  </w:pPr>
                  <w:r>
                    <w:rPr>
                      <w:rFonts w:hint="eastAsia"/>
                      <w:szCs w:val="21"/>
                    </w:rPr>
                    <w:t>是否考虑地形</w:t>
                  </w:r>
                </w:p>
              </w:tc>
              <w:tc>
                <w:tcPr>
                  <w:tcW w:w="3045" w:type="dxa"/>
                  <w:vAlign w:val="center"/>
                </w:tcPr>
                <w:p>
                  <w:pPr>
                    <w:adjustRightInd w:val="0"/>
                    <w:snapToGrid w:val="0"/>
                    <w:ind w:firstLine="360"/>
                    <w:jc w:val="center"/>
                    <w:rPr>
                      <w:szCs w:val="21"/>
                    </w:rPr>
                  </w:pPr>
                  <w:r>
                    <w:rPr>
                      <w:rFonts w:hint="eastAsia"/>
                      <w:szCs w:val="21"/>
                    </w:rPr>
                    <w:t>考虑地形</w:t>
                  </w:r>
                </w:p>
              </w:tc>
              <w:tc>
                <w:tcPr>
                  <w:tcW w:w="3046" w:type="dxa"/>
                  <w:vAlign w:val="center"/>
                </w:tcPr>
                <w:p>
                  <w:pPr>
                    <w:adjustRightInd w:val="0"/>
                    <w:snapToGrid w:val="0"/>
                    <w:ind w:firstLine="480"/>
                    <w:jc w:val="center"/>
                    <w:rPr>
                      <w:szCs w:val="21"/>
                    </w:rPr>
                  </w:pPr>
                  <w:r>
                    <w:rPr>
                      <w:rFonts w:hint="eastAsia"/>
                      <w:szCs w:val="21"/>
                    </w:rPr>
                    <w:t>是</w:t>
                  </w:r>
                  <w:r>
                    <w:rPr>
                      <w:szCs w:val="21"/>
                    </w:rPr>
                    <w:t xml:space="preserve"> </w:t>
                  </w:r>
                  <w:r>
                    <w:rPr/>
                    <w:sym w:font="Wingdings 2" w:char="F0A3"/>
                  </w:r>
                  <w:r>
                    <w:rPr>
                      <w:rFonts w:hint="eastAsia"/>
                      <w:szCs w:val="21"/>
                    </w:rPr>
                    <w:t>否</w:t>
                  </w:r>
                  <w:r>
                    <w:rPr/>
                    <w:sym w:font="Wingdings 2" w:char="F052"/>
                  </w: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3045" w:type="dxa"/>
                  <w:vMerge w:val="continue"/>
                  <w:vAlign w:val="center"/>
                </w:tcPr>
                <w:p>
                  <w:pPr>
                    <w:widowControl/>
                    <w:jc w:val="left"/>
                    <w:rPr>
                      <w:szCs w:val="21"/>
                    </w:rPr>
                  </w:pPr>
                </w:p>
              </w:tc>
              <w:tc>
                <w:tcPr>
                  <w:tcW w:w="3045" w:type="dxa"/>
                  <w:vAlign w:val="center"/>
                </w:tcPr>
                <w:p>
                  <w:pPr>
                    <w:adjustRightInd w:val="0"/>
                    <w:snapToGrid w:val="0"/>
                    <w:ind w:firstLine="360"/>
                    <w:jc w:val="center"/>
                    <w:rPr>
                      <w:szCs w:val="21"/>
                    </w:rPr>
                  </w:pPr>
                  <w:r>
                    <w:rPr>
                      <w:rFonts w:hint="eastAsia"/>
                      <w:szCs w:val="21"/>
                    </w:rPr>
                    <w:t>地形数据分辨率</w:t>
                  </w:r>
                  <w:r>
                    <w:rPr>
                      <w:szCs w:val="21"/>
                    </w:rPr>
                    <w:t>/m</w:t>
                  </w:r>
                </w:p>
              </w:tc>
              <w:tc>
                <w:tcPr>
                  <w:tcW w:w="3046" w:type="dxa"/>
                  <w:vAlign w:val="center"/>
                </w:tcPr>
                <w:p>
                  <w:pPr>
                    <w:adjustRightInd w:val="0"/>
                    <w:snapToGrid w:val="0"/>
                    <w:ind w:firstLine="48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3045" w:type="dxa"/>
                  <w:vMerge w:val="restart"/>
                  <w:vAlign w:val="center"/>
                </w:tcPr>
                <w:p>
                  <w:pPr>
                    <w:adjustRightInd w:val="0"/>
                    <w:snapToGrid w:val="0"/>
                    <w:ind w:firstLine="360"/>
                    <w:jc w:val="center"/>
                    <w:rPr>
                      <w:szCs w:val="21"/>
                    </w:rPr>
                  </w:pPr>
                  <w:r>
                    <w:rPr>
                      <w:rFonts w:hint="eastAsia"/>
                      <w:szCs w:val="21"/>
                    </w:rPr>
                    <w:t>是否考虑岸线熏烟</w:t>
                  </w:r>
                </w:p>
              </w:tc>
              <w:tc>
                <w:tcPr>
                  <w:tcW w:w="3045" w:type="dxa"/>
                  <w:vAlign w:val="center"/>
                </w:tcPr>
                <w:p>
                  <w:pPr>
                    <w:adjustRightInd w:val="0"/>
                    <w:snapToGrid w:val="0"/>
                    <w:ind w:firstLine="360"/>
                    <w:jc w:val="center"/>
                    <w:rPr>
                      <w:szCs w:val="21"/>
                    </w:rPr>
                  </w:pPr>
                  <w:r>
                    <w:rPr>
                      <w:rFonts w:hint="eastAsia"/>
                      <w:szCs w:val="21"/>
                    </w:rPr>
                    <w:t>考虑岸线熏烟</w:t>
                  </w:r>
                </w:p>
              </w:tc>
              <w:tc>
                <w:tcPr>
                  <w:tcW w:w="3046" w:type="dxa"/>
                  <w:vAlign w:val="center"/>
                </w:tcPr>
                <w:p>
                  <w:pPr>
                    <w:adjustRightInd w:val="0"/>
                    <w:snapToGrid w:val="0"/>
                    <w:ind w:firstLine="480"/>
                    <w:jc w:val="center"/>
                    <w:rPr>
                      <w:szCs w:val="21"/>
                    </w:rPr>
                  </w:pPr>
                  <w:r>
                    <w:rPr>
                      <w:rFonts w:hint="eastAsia"/>
                      <w:szCs w:val="21"/>
                    </w:rPr>
                    <w:t>是</w:t>
                  </w:r>
                  <w:r>
                    <w:rPr>
                      <w:szCs w:val="21"/>
                    </w:rPr>
                    <w:t xml:space="preserve">□  </w:t>
                  </w:r>
                  <w:r>
                    <w:rPr>
                      <w:rFonts w:hint="eastAsia"/>
                      <w:szCs w:val="21"/>
                    </w:rPr>
                    <w:t>否</w:t>
                  </w:r>
                  <w:r>
                    <w:rPr/>
                    <w:sym w:font="Wingdings 2" w:char="F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3045" w:type="dxa"/>
                  <w:vMerge w:val="continue"/>
                  <w:vAlign w:val="center"/>
                </w:tcPr>
                <w:p>
                  <w:pPr>
                    <w:widowControl/>
                    <w:jc w:val="left"/>
                    <w:rPr>
                      <w:szCs w:val="21"/>
                    </w:rPr>
                  </w:pPr>
                </w:p>
              </w:tc>
              <w:tc>
                <w:tcPr>
                  <w:tcW w:w="3045" w:type="dxa"/>
                  <w:vAlign w:val="center"/>
                </w:tcPr>
                <w:p>
                  <w:pPr>
                    <w:adjustRightInd w:val="0"/>
                    <w:snapToGrid w:val="0"/>
                    <w:ind w:firstLine="360"/>
                    <w:jc w:val="center"/>
                    <w:rPr>
                      <w:szCs w:val="21"/>
                    </w:rPr>
                  </w:pPr>
                  <w:r>
                    <w:rPr>
                      <w:rFonts w:hint="eastAsia"/>
                      <w:szCs w:val="21"/>
                    </w:rPr>
                    <w:t>岸线距离</w:t>
                  </w:r>
                  <w:r>
                    <w:rPr>
                      <w:szCs w:val="21"/>
                    </w:rPr>
                    <w:t>/km</w:t>
                  </w:r>
                </w:p>
              </w:tc>
              <w:tc>
                <w:tcPr>
                  <w:tcW w:w="3046" w:type="dxa"/>
                  <w:vAlign w:val="center"/>
                </w:tcPr>
                <w:p>
                  <w:pPr>
                    <w:adjustRightInd w:val="0"/>
                    <w:snapToGrid w:val="0"/>
                    <w:ind w:firstLine="480"/>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3045" w:type="dxa"/>
                  <w:vMerge w:val="continue"/>
                  <w:vAlign w:val="center"/>
                </w:tcPr>
                <w:p>
                  <w:pPr>
                    <w:widowControl/>
                    <w:jc w:val="left"/>
                    <w:rPr>
                      <w:szCs w:val="21"/>
                    </w:rPr>
                  </w:pPr>
                </w:p>
              </w:tc>
              <w:tc>
                <w:tcPr>
                  <w:tcW w:w="3045" w:type="dxa"/>
                  <w:vAlign w:val="center"/>
                </w:tcPr>
                <w:p>
                  <w:pPr>
                    <w:adjustRightInd w:val="0"/>
                    <w:snapToGrid w:val="0"/>
                    <w:ind w:firstLine="360"/>
                    <w:jc w:val="center"/>
                    <w:rPr>
                      <w:szCs w:val="21"/>
                    </w:rPr>
                  </w:pPr>
                  <w:r>
                    <w:rPr>
                      <w:rFonts w:hint="eastAsia"/>
                      <w:szCs w:val="21"/>
                    </w:rPr>
                    <w:t>岸线方向</w:t>
                  </w:r>
                  <w:r>
                    <w:rPr>
                      <w:szCs w:val="21"/>
                    </w:rPr>
                    <w:t>/°</w:t>
                  </w:r>
                </w:p>
              </w:tc>
              <w:tc>
                <w:tcPr>
                  <w:tcW w:w="3046" w:type="dxa"/>
                  <w:vAlign w:val="center"/>
                </w:tcPr>
                <w:p>
                  <w:pPr>
                    <w:adjustRightInd w:val="0"/>
                    <w:snapToGrid w:val="0"/>
                    <w:ind w:firstLine="480"/>
                    <w:jc w:val="center"/>
                    <w:rPr>
                      <w:szCs w:val="21"/>
                    </w:rPr>
                  </w:pPr>
                  <w:r>
                    <w:rPr>
                      <w:szCs w:val="21"/>
                    </w:rPr>
                    <w:t>—</w:t>
                  </w:r>
                </w:p>
              </w:tc>
            </w:tr>
          </w:tbl>
          <w:p>
            <w:pPr>
              <w:numPr>
                <w:ilvl w:val="0"/>
                <w:numId w:val="3"/>
              </w:numPr>
              <w:spacing w:line="520" w:lineRule="exact"/>
              <w:ind w:firstLine="482" w:firstLineChars="200"/>
              <w:jc w:val="left"/>
              <w:rPr>
                <w:rFonts w:hAnsi="宋体"/>
                <w:b/>
                <w:snapToGrid w:val="0"/>
                <w:kern w:val="0"/>
                <w:sz w:val="24"/>
                <w:szCs w:val="24"/>
              </w:rPr>
            </w:pPr>
            <w:r>
              <w:rPr>
                <w:rFonts w:hint="eastAsia" w:hAnsi="宋体"/>
                <w:b/>
                <w:snapToGrid w:val="0"/>
                <w:kern w:val="0"/>
                <w:sz w:val="24"/>
                <w:szCs w:val="24"/>
              </w:rPr>
              <w:t>污染源强参数</w:t>
            </w:r>
          </w:p>
          <w:p>
            <w:pPr>
              <w:snapToGrid w:val="0"/>
              <w:jc w:val="center"/>
              <w:rPr>
                <w:rFonts w:hAnsi="宋体"/>
                <w:b/>
                <w:szCs w:val="21"/>
              </w:rPr>
            </w:pPr>
            <w:r>
              <w:rPr>
                <w:rFonts w:hint="eastAsia" w:hAnsi="宋体"/>
                <w:b/>
                <w:szCs w:val="21"/>
              </w:rPr>
              <w:t>表28无组织污染源源强参数一览表</w:t>
            </w:r>
          </w:p>
          <w:tbl>
            <w:tblPr>
              <w:tblStyle w:val="30"/>
              <w:tblW w:w="0" w:type="auto"/>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Layout w:type="fixed"/>
              <w:tblCellMar>
                <w:top w:w="0" w:type="dxa"/>
                <w:left w:w="108" w:type="dxa"/>
                <w:bottom w:w="0" w:type="dxa"/>
                <w:right w:w="108" w:type="dxa"/>
              </w:tblCellMar>
            </w:tblPr>
            <w:tblGrid>
              <w:gridCol w:w="716"/>
              <w:gridCol w:w="507"/>
              <w:gridCol w:w="573"/>
              <w:gridCol w:w="896"/>
              <w:gridCol w:w="764"/>
              <w:gridCol w:w="762"/>
              <w:gridCol w:w="799"/>
              <w:gridCol w:w="953"/>
              <w:gridCol w:w="1135"/>
              <w:gridCol w:w="840"/>
              <w:gridCol w:w="11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CellMar>
                  <w:top w:w="0" w:type="dxa"/>
                  <w:left w:w="108" w:type="dxa"/>
                  <w:bottom w:w="0" w:type="dxa"/>
                  <w:right w:w="108" w:type="dxa"/>
                </w:tblCellMar>
              </w:tblPrEx>
              <w:tc>
                <w:tcPr>
                  <w:tcW w:w="716" w:type="dxa"/>
                  <w:vMerge w:val="restart"/>
                  <w:vAlign w:val="center"/>
                </w:tcPr>
                <w:p>
                  <w:pPr>
                    <w:widowControl/>
                    <w:snapToGrid w:val="0"/>
                    <w:jc w:val="center"/>
                    <w:rPr>
                      <w:kern w:val="0"/>
                      <w:sz w:val="18"/>
                      <w:szCs w:val="18"/>
                    </w:rPr>
                  </w:pPr>
                  <w:r>
                    <w:rPr>
                      <w:rFonts w:hint="eastAsia"/>
                      <w:kern w:val="0"/>
                      <w:sz w:val="18"/>
                      <w:szCs w:val="18"/>
                    </w:rPr>
                    <w:t>名称</w:t>
                  </w:r>
                </w:p>
              </w:tc>
              <w:tc>
                <w:tcPr>
                  <w:tcW w:w="1080" w:type="dxa"/>
                  <w:gridSpan w:val="2"/>
                  <w:vAlign w:val="center"/>
                </w:tcPr>
                <w:p>
                  <w:pPr>
                    <w:widowControl/>
                    <w:snapToGrid w:val="0"/>
                    <w:jc w:val="center"/>
                    <w:rPr>
                      <w:kern w:val="0"/>
                      <w:sz w:val="18"/>
                      <w:szCs w:val="18"/>
                    </w:rPr>
                  </w:pPr>
                  <w:r>
                    <w:rPr>
                      <w:rFonts w:hint="eastAsia"/>
                      <w:kern w:val="0"/>
                      <w:sz w:val="18"/>
                      <w:szCs w:val="18"/>
                    </w:rPr>
                    <w:t>面源起</w:t>
                  </w:r>
                </w:p>
                <w:p>
                  <w:pPr>
                    <w:widowControl/>
                    <w:snapToGrid w:val="0"/>
                    <w:jc w:val="center"/>
                    <w:rPr>
                      <w:kern w:val="0"/>
                      <w:sz w:val="18"/>
                      <w:szCs w:val="18"/>
                      <w:highlight w:val="yellow"/>
                    </w:rPr>
                  </w:pPr>
                  <w:r>
                    <w:rPr>
                      <w:rFonts w:hint="eastAsia"/>
                      <w:kern w:val="0"/>
                      <w:sz w:val="18"/>
                      <w:szCs w:val="18"/>
                    </w:rPr>
                    <w:t>点坐标</w:t>
                  </w:r>
                  <w:r>
                    <w:rPr>
                      <w:kern w:val="0"/>
                      <w:sz w:val="18"/>
                      <w:szCs w:val="18"/>
                    </w:rPr>
                    <w:t>/m</w:t>
                  </w:r>
                </w:p>
              </w:tc>
              <w:tc>
                <w:tcPr>
                  <w:tcW w:w="896" w:type="dxa"/>
                  <w:vMerge w:val="restart"/>
                  <w:vAlign w:val="center"/>
                </w:tcPr>
                <w:p>
                  <w:pPr>
                    <w:widowControl/>
                    <w:snapToGrid w:val="0"/>
                    <w:jc w:val="center"/>
                    <w:rPr>
                      <w:kern w:val="0"/>
                      <w:sz w:val="18"/>
                      <w:szCs w:val="18"/>
                    </w:rPr>
                  </w:pPr>
                  <w:r>
                    <w:rPr>
                      <w:rFonts w:hint="eastAsia"/>
                      <w:kern w:val="0"/>
                      <w:sz w:val="18"/>
                      <w:szCs w:val="18"/>
                    </w:rPr>
                    <w:t>面源海</w:t>
                  </w:r>
                </w:p>
                <w:p>
                  <w:pPr>
                    <w:widowControl/>
                    <w:snapToGrid w:val="0"/>
                    <w:jc w:val="center"/>
                    <w:rPr>
                      <w:kern w:val="0"/>
                      <w:sz w:val="18"/>
                      <w:szCs w:val="18"/>
                    </w:rPr>
                  </w:pPr>
                  <w:r>
                    <w:rPr>
                      <w:rFonts w:hint="eastAsia"/>
                      <w:kern w:val="0"/>
                      <w:sz w:val="18"/>
                      <w:szCs w:val="18"/>
                    </w:rPr>
                    <w:t>拔高度</w:t>
                  </w:r>
                </w:p>
                <w:p>
                  <w:pPr>
                    <w:widowControl/>
                    <w:snapToGrid w:val="0"/>
                    <w:jc w:val="center"/>
                    <w:rPr>
                      <w:kern w:val="0"/>
                      <w:sz w:val="18"/>
                      <w:szCs w:val="18"/>
                    </w:rPr>
                  </w:pPr>
                  <w:r>
                    <w:rPr>
                      <w:kern w:val="0"/>
                      <w:sz w:val="18"/>
                      <w:szCs w:val="18"/>
                    </w:rPr>
                    <w:t>/m</w:t>
                  </w:r>
                </w:p>
              </w:tc>
              <w:tc>
                <w:tcPr>
                  <w:tcW w:w="764" w:type="dxa"/>
                  <w:vMerge w:val="restart"/>
                  <w:vAlign w:val="center"/>
                </w:tcPr>
                <w:p>
                  <w:pPr>
                    <w:widowControl/>
                    <w:snapToGrid w:val="0"/>
                    <w:jc w:val="center"/>
                    <w:rPr>
                      <w:kern w:val="0"/>
                      <w:sz w:val="18"/>
                      <w:szCs w:val="18"/>
                    </w:rPr>
                  </w:pPr>
                  <w:r>
                    <w:rPr>
                      <w:rFonts w:hint="eastAsia"/>
                      <w:kern w:val="0"/>
                      <w:sz w:val="18"/>
                      <w:szCs w:val="18"/>
                    </w:rPr>
                    <w:t>面源</w:t>
                  </w:r>
                </w:p>
                <w:p>
                  <w:pPr>
                    <w:widowControl/>
                    <w:snapToGrid w:val="0"/>
                    <w:jc w:val="center"/>
                    <w:rPr>
                      <w:kern w:val="0"/>
                      <w:sz w:val="18"/>
                      <w:szCs w:val="18"/>
                    </w:rPr>
                  </w:pPr>
                  <w:r>
                    <w:rPr>
                      <w:rFonts w:hint="eastAsia"/>
                      <w:kern w:val="0"/>
                      <w:sz w:val="18"/>
                      <w:szCs w:val="18"/>
                    </w:rPr>
                    <w:t>长度</w:t>
                  </w:r>
                  <w:r>
                    <w:rPr>
                      <w:kern w:val="0"/>
                      <w:sz w:val="18"/>
                      <w:szCs w:val="18"/>
                    </w:rPr>
                    <w:t>/m</w:t>
                  </w:r>
                </w:p>
              </w:tc>
              <w:tc>
                <w:tcPr>
                  <w:tcW w:w="762" w:type="dxa"/>
                  <w:vMerge w:val="restart"/>
                  <w:vAlign w:val="center"/>
                </w:tcPr>
                <w:p>
                  <w:pPr>
                    <w:widowControl/>
                    <w:snapToGrid w:val="0"/>
                    <w:jc w:val="center"/>
                    <w:rPr>
                      <w:kern w:val="0"/>
                      <w:sz w:val="18"/>
                      <w:szCs w:val="18"/>
                    </w:rPr>
                  </w:pPr>
                  <w:r>
                    <w:rPr>
                      <w:rFonts w:hint="eastAsia"/>
                      <w:kern w:val="0"/>
                      <w:sz w:val="18"/>
                      <w:szCs w:val="18"/>
                    </w:rPr>
                    <w:t>面源</w:t>
                  </w:r>
                </w:p>
                <w:p>
                  <w:pPr>
                    <w:widowControl/>
                    <w:snapToGrid w:val="0"/>
                    <w:jc w:val="center"/>
                    <w:rPr>
                      <w:kern w:val="0"/>
                      <w:sz w:val="18"/>
                      <w:szCs w:val="18"/>
                    </w:rPr>
                  </w:pPr>
                  <w:r>
                    <w:rPr>
                      <w:rFonts w:hint="eastAsia"/>
                      <w:kern w:val="0"/>
                      <w:sz w:val="18"/>
                      <w:szCs w:val="18"/>
                    </w:rPr>
                    <w:t>宽度</w:t>
                  </w:r>
                  <w:r>
                    <w:rPr>
                      <w:kern w:val="0"/>
                      <w:sz w:val="18"/>
                      <w:szCs w:val="18"/>
                    </w:rPr>
                    <w:t>/m</w:t>
                  </w:r>
                </w:p>
              </w:tc>
              <w:tc>
                <w:tcPr>
                  <w:tcW w:w="799" w:type="dxa"/>
                  <w:vMerge w:val="restart"/>
                  <w:vAlign w:val="center"/>
                </w:tcPr>
                <w:p>
                  <w:pPr>
                    <w:widowControl/>
                    <w:snapToGrid w:val="0"/>
                    <w:jc w:val="center"/>
                    <w:rPr>
                      <w:kern w:val="0"/>
                      <w:sz w:val="18"/>
                      <w:szCs w:val="18"/>
                    </w:rPr>
                  </w:pPr>
                  <w:r>
                    <w:rPr>
                      <w:rFonts w:hint="eastAsia"/>
                      <w:kern w:val="0"/>
                      <w:sz w:val="18"/>
                      <w:szCs w:val="18"/>
                    </w:rPr>
                    <w:t>与正北</w:t>
                  </w:r>
                </w:p>
                <w:p>
                  <w:pPr>
                    <w:widowControl/>
                    <w:snapToGrid w:val="0"/>
                    <w:jc w:val="center"/>
                    <w:rPr>
                      <w:kern w:val="0"/>
                      <w:sz w:val="18"/>
                      <w:szCs w:val="18"/>
                    </w:rPr>
                  </w:pPr>
                  <w:r>
                    <w:rPr>
                      <w:rFonts w:hint="eastAsia"/>
                      <w:kern w:val="0"/>
                      <w:sz w:val="18"/>
                      <w:szCs w:val="18"/>
                    </w:rPr>
                    <w:t>向夹角</w:t>
                  </w:r>
                  <w:r>
                    <w:rPr>
                      <w:kern w:val="0"/>
                      <w:sz w:val="18"/>
                      <w:szCs w:val="18"/>
                    </w:rPr>
                    <w:t>/°</w:t>
                  </w:r>
                </w:p>
              </w:tc>
              <w:tc>
                <w:tcPr>
                  <w:tcW w:w="953" w:type="dxa"/>
                  <w:vMerge w:val="restart"/>
                  <w:vAlign w:val="center"/>
                </w:tcPr>
                <w:p>
                  <w:pPr>
                    <w:widowControl/>
                    <w:snapToGrid w:val="0"/>
                    <w:jc w:val="center"/>
                    <w:rPr>
                      <w:kern w:val="0"/>
                      <w:sz w:val="18"/>
                      <w:szCs w:val="18"/>
                    </w:rPr>
                  </w:pPr>
                  <w:r>
                    <w:rPr>
                      <w:rFonts w:hint="eastAsia"/>
                      <w:kern w:val="0"/>
                      <w:sz w:val="18"/>
                      <w:szCs w:val="18"/>
                    </w:rPr>
                    <w:t>面源有</w:t>
                  </w:r>
                </w:p>
                <w:p>
                  <w:pPr>
                    <w:widowControl/>
                    <w:snapToGrid w:val="0"/>
                    <w:jc w:val="center"/>
                    <w:rPr>
                      <w:kern w:val="0"/>
                      <w:sz w:val="18"/>
                      <w:szCs w:val="18"/>
                    </w:rPr>
                  </w:pPr>
                  <w:r>
                    <w:rPr>
                      <w:rFonts w:hint="eastAsia"/>
                      <w:kern w:val="0"/>
                      <w:sz w:val="18"/>
                      <w:szCs w:val="18"/>
                    </w:rPr>
                    <w:t>效排放</w:t>
                  </w:r>
                </w:p>
                <w:p>
                  <w:pPr>
                    <w:widowControl/>
                    <w:snapToGrid w:val="0"/>
                    <w:jc w:val="center"/>
                    <w:rPr>
                      <w:kern w:val="0"/>
                      <w:sz w:val="18"/>
                      <w:szCs w:val="18"/>
                    </w:rPr>
                  </w:pPr>
                  <w:r>
                    <w:rPr>
                      <w:rFonts w:hint="eastAsia"/>
                      <w:kern w:val="0"/>
                      <w:sz w:val="18"/>
                      <w:szCs w:val="18"/>
                    </w:rPr>
                    <w:t>高度</w:t>
                  </w:r>
                  <w:r>
                    <w:rPr>
                      <w:kern w:val="0"/>
                      <w:sz w:val="18"/>
                      <w:szCs w:val="18"/>
                    </w:rPr>
                    <w:t>/m</w:t>
                  </w:r>
                </w:p>
              </w:tc>
              <w:tc>
                <w:tcPr>
                  <w:tcW w:w="1135" w:type="dxa"/>
                  <w:vMerge w:val="restart"/>
                  <w:vAlign w:val="center"/>
                </w:tcPr>
                <w:p>
                  <w:pPr>
                    <w:widowControl/>
                    <w:snapToGrid w:val="0"/>
                    <w:jc w:val="center"/>
                    <w:rPr>
                      <w:kern w:val="0"/>
                      <w:sz w:val="18"/>
                      <w:szCs w:val="18"/>
                    </w:rPr>
                  </w:pPr>
                  <w:r>
                    <w:rPr>
                      <w:rFonts w:hint="eastAsia"/>
                      <w:kern w:val="0"/>
                      <w:sz w:val="18"/>
                      <w:szCs w:val="18"/>
                    </w:rPr>
                    <w:t>年排放</w:t>
                  </w:r>
                </w:p>
                <w:p>
                  <w:pPr>
                    <w:widowControl/>
                    <w:snapToGrid w:val="0"/>
                    <w:jc w:val="center"/>
                    <w:rPr>
                      <w:kern w:val="0"/>
                      <w:sz w:val="18"/>
                      <w:szCs w:val="18"/>
                    </w:rPr>
                  </w:pPr>
                  <w:r>
                    <w:rPr>
                      <w:rFonts w:hint="eastAsia"/>
                      <w:kern w:val="0"/>
                      <w:sz w:val="18"/>
                      <w:szCs w:val="18"/>
                    </w:rPr>
                    <w:t>小时数</w:t>
                  </w:r>
                </w:p>
                <w:p>
                  <w:pPr>
                    <w:widowControl/>
                    <w:snapToGrid w:val="0"/>
                    <w:jc w:val="center"/>
                    <w:rPr>
                      <w:kern w:val="0"/>
                      <w:sz w:val="18"/>
                      <w:szCs w:val="18"/>
                    </w:rPr>
                  </w:pPr>
                  <w:r>
                    <w:rPr>
                      <w:kern w:val="0"/>
                      <w:sz w:val="18"/>
                      <w:szCs w:val="18"/>
                    </w:rPr>
                    <w:t>/h</w:t>
                  </w:r>
                </w:p>
              </w:tc>
              <w:tc>
                <w:tcPr>
                  <w:tcW w:w="840" w:type="dxa"/>
                  <w:vMerge w:val="restart"/>
                  <w:vAlign w:val="center"/>
                </w:tcPr>
                <w:p>
                  <w:pPr>
                    <w:widowControl/>
                    <w:snapToGrid w:val="0"/>
                    <w:jc w:val="center"/>
                    <w:rPr>
                      <w:kern w:val="0"/>
                      <w:sz w:val="18"/>
                      <w:szCs w:val="18"/>
                    </w:rPr>
                  </w:pPr>
                  <w:r>
                    <w:rPr>
                      <w:rFonts w:hint="eastAsia"/>
                      <w:kern w:val="0"/>
                      <w:sz w:val="18"/>
                      <w:szCs w:val="18"/>
                    </w:rPr>
                    <w:t>排放</w:t>
                  </w:r>
                </w:p>
                <w:p>
                  <w:pPr>
                    <w:widowControl/>
                    <w:snapToGrid w:val="0"/>
                    <w:jc w:val="center"/>
                    <w:rPr>
                      <w:kern w:val="0"/>
                      <w:sz w:val="18"/>
                      <w:szCs w:val="18"/>
                    </w:rPr>
                  </w:pPr>
                  <w:r>
                    <w:rPr>
                      <w:rFonts w:hint="eastAsia"/>
                      <w:kern w:val="0"/>
                      <w:sz w:val="18"/>
                      <w:szCs w:val="18"/>
                    </w:rPr>
                    <w:t>工况</w:t>
                  </w:r>
                </w:p>
              </w:tc>
              <w:tc>
                <w:tcPr>
                  <w:tcW w:w="1195" w:type="dxa"/>
                  <w:vMerge w:val="restart"/>
                  <w:vAlign w:val="center"/>
                </w:tcPr>
                <w:p>
                  <w:pPr>
                    <w:widowControl/>
                    <w:snapToGrid w:val="0"/>
                    <w:jc w:val="center"/>
                    <w:rPr>
                      <w:kern w:val="0"/>
                      <w:sz w:val="18"/>
                      <w:szCs w:val="18"/>
                    </w:rPr>
                  </w:pPr>
                  <w:r>
                    <w:rPr>
                      <w:rFonts w:hint="eastAsia"/>
                      <w:kern w:val="0"/>
                      <w:sz w:val="18"/>
                      <w:szCs w:val="18"/>
                    </w:rPr>
                    <w:t>污染物排放速率</w:t>
                  </w:r>
                  <w:r>
                    <w:rPr>
                      <w:kern w:val="0"/>
                      <w:sz w:val="18"/>
                      <w:szCs w:val="18"/>
                    </w:rPr>
                    <w:t>/</w:t>
                  </w:r>
                  <w:r>
                    <w:rPr>
                      <w:rFonts w:hint="eastAsia"/>
                      <w:kern w:val="0"/>
                      <w:sz w:val="18"/>
                      <w:szCs w:val="18"/>
                    </w:rPr>
                    <w:t>（g/s）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CellMar>
                  <w:top w:w="0" w:type="dxa"/>
                  <w:left w:w="108" w:type="dxa"/>
                  <w:bottom w:w="0" w:type="dxa"/>
                  <w:right w:w="108" w:type="dxa"/>
                </w:tblCellMar>
              </w:tblPrEx>
              <w:tc>
                <w:tcPr>
                  <w:tcW w:w="716" w:type="dxa"/>
                  <w:vMerge w:val="continue"/>
                  <w:vAlign w:val="center"/>
                </w:tcPr>
                <w:p>
                  <w:pPr>
                    <w:widowControl/>
                    <w:snapToGrid w:val="0"/>
                    <w:jc w:val="left"/>
                    <w:rPr>
                      <w:kern w:val="0"/>
                      <w:sz w:val="18"/>
                      <w:szCs w:val="18"/>
                    </w:rPr>
                  </w:pPr>
                </w:p>
              </w:tc>
              <w:tc>
                <w:tcPr>
                  <w:tcW w:w="507" w:type="dxa"/>
                  <w:vAlign w:val="center"/>
                </w:tcPr>
                <w:p>
                  <w:pPr>
                    <w:widowControl/>
                    <w:snapToGrid w:val="0"/>
                    <w:jc w:val="center"/>
                    <w:rPr>
                      <w:i/>
                      <w:iCs/>
                      <w:kern w:val="0"/>
                      <w:sz w:val="18"/>
                      <w:szCs w:val="18"/>
                    </w:rPr>
                  </w:pPr>
                  <w:r>
                    <w:rPr>
                      <w:i/>
                      <w:iCs/>
                      <w:kern w:val="0"/>
                      <w:sz w:val="18"/>
                      <w:szCs w:val="18"/>
                    </w:rPr>
                    <w:t>X</w:t>
                  </w:r>
                </w:p>
              </w:tc>
              <w:tc>
                <w:tcPr>
                  <w:tcW w:w="573" w:type="dxa"/>
                  <w:vAlign w:val="center"/>
                </w:tcPr>
                <w:p>
                  <w:pPr>
                    <w:widowControl/>
                    <w:snapToGrid w:val="0"/>
                    <w:jc w:val="center"/>
                    <w:rPr>
                      <w:i/>
                      <w:iCs/>
                      <w:kern w:val="0"/>
                      <w:sz w:val="18"/>
                      <w:szCs w:val="18"/>
                    </w:rPr>
                  </w:pPr>
                  <w:r>
                    <w:rPr>
                      <w:i/>
                      <w:iCs/>
                      <w:kern w:val="0"/>
                      <w:sz w:val="18"/>
                      <w:szCs w:val="18"/>
                    </w:rPr>
                    <w:t>Y</w:t>
                  </w:r>
                </w:p>
              </w:tc>
              <w:tc>
                <w:tcPr>
                  <w:tcW w:w="896" w:type="dxa"/>
                  <w:vMerge w:val="continue"/>
                  <w:vAlign w:val="center"/>
                </w:tcPr>
                <w:p>
                  <w:pPr>
                    <w:widowControl/>
                    <w:snapToGrid w:val="0"/>
                    <w:jc w:val="left"/>
                    <w:rPr>
                      <w:kern w:val="0"/>
                      <w:sz w:val="18"/>
                      <w:szCs w:val="18"/>
                    </w:rPr>
                  </w:pPr>
                </w:p>
              </w:tc>
              <w:tc>
                <w:tcPr>
                  <w:tcW w:w="764" w:type="dxa"/>
                  <w:vMerge w:val="continue"/>
                  <w:vAlign w:val="center"/>
                </w:tcPr>
                <w:p>
                  <w:pPr>
                    <w:widowControl/>
                    <w:snapToGrid w:val="0"/>
                    <w:jc w:val="left"/>
                    <w:rPr>
                      <w:kern w:val="0"/>
                      <w:sz w:val="18"/>
                      <w:szCs w:val="18"/>
                    </w:rPr>
                  </w:pPr>
                </w:p>
              </w:tc>
              <w:tc>
                <w:tcPr>
                  <w:tcW w:w="762" w:type="dxa"/>
                  <w:vMerge w:val="continue"/>
                  <w:vAlign w:val="center"/>
                </w:tcPr>
                <w:p>
                  <w:pPr>
                    <w:widowControl/>
                    <w:snapToGrid w:val="0"/>
                    <w:jc w:val="left"/>
                    <w:rPr>
                      <w:kern w:val="0"/>
                      <w:sz w:val="18"/>
                      <w:szCs w:val="18"/>
                    </w:rPr>
                  </w:pPr>
                </w:p>
              </w:tc>
              <w:tc>
                <w:tcPr>
                  <w:tcW w:w="799" w:type="dxa"/>
                  <w:vMerge w:val="continue"/>
                  <w:vAlign w:val="center"/>
                </w:tcPr>
                <w:p>
                  <w:pPr>
                    <w:widowControl/>
                    <w:snapToGrid w:val="0"/>
                    <w:jc w:val="left"/>
                    <w:rPr>
                      <w:kern w:val="0"/>
                      <w:sz w:val="18"/>
                      <w:szCs w:val="18"/>
                    </w:rPr>
                  </w:pPr>
                </w:p>
              </w:tc>
              <w:tc>
                <w:tcPr>
                  <w:tcW w:w="953" w:type="dxa"/>
                  <w:vMerge w:val="continue"/>
                  <w:vAlign w:val="center"/>
                </w:tcPr>
                <w:p>
                  <w:pPr>
                    <w:widowControl/>
                    <w:snapToGrid w:val="0"/>
                    <w:jc w:val="left"/>
                    <w:rPr>
                      <w:kern w:val="0"/>
                      <w:sz w:val="18"/>
                      <w:szCs w:val="18"/>
                    </w:rPr>
                  </w:pPr>
                </w:p>
              </w:tc>
              <w:tc>
                <w:tcPr>
                  <w:tcW w:w="1135" w:type="dxa"/>
                  <w:vMerge w:val="continue"/>
                  <w:vAlign w:val="center"/>
                </w:tcPr>
                <w:p>
                  <w:pPr>
                    <w:widowControl/>
                    <w:snapToGrid w:val="0"/>
                    <w:jc w:val="left"/>
                    <w:rPr>
                      <w:kern w:val="0"/>
                      <w:sz w:val="18"/>
                      <w:szCs w:val="18"/>
                    </w:rPr>
                  </w:pPr>
                </w:p>
              </w:tc>
              <w:tc>
                <w:tcPr>
                  <w:tcW w:w="840" w:type="dxa"/>
                  <w:vMerge w:val="continue"/>
                  <w:vAlign w:val="center"/>
                </w:tcPr>
                <w:p>
                  <w:pPr>
                    <w:widowControl/>
                    <w:snapToGrid w:val="0"/>
                    <w:jc w:val="left"/>
                    <w:rPr>
                      <w:kern w:val="0"/>
                      <w:sz w:val="18"/>
                      <w:szCs w:val="18"/>
                    </w:rPr>
                  </w:pPr>
                </w:p>
              </w:tc>
              <w:tc>
                <w:tcPr>
                  <w:tcW w:w="1195" w:type="dxa"/>
                  <w:vMerge w:val="continue"/>
                  <w:vAlign w:val="center"/>
                </w:tcPr>
                <w:p>
                  <w:pPr>
                    <w:snapToGrid w:val="0"/>
                    <w:jc w:val="center"/>
                    <w:rPr>
                      <w:kern w:val="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4" w:space="0"/>
                </w:tblBorders>
                <w:tblCellMar>
                  <w:top w:w="0" w:type="dxa"/>
                  <w:left w:w="108" w:type="dxa"/>
                  <w:bottom w:w="0" w:type="dxa"/>
                  <w:right w:w="108" w:type="dxa"/>
                </w:tblCellMar>
              </w:tblPrEx>
              <w:tc>
                <w:tcPr>
                  <w:tcW w:w="716" w:type="dxa"/>
                  <w:vAlign w:val="center"/>
                </w:tcPr>
                <w:p>
                  <w:pPr>
                    <w:widowControl/>
                    <w:snapToGrid w:val="0"/>
                    <w:jc w:val="center"/>
                    <w:rPr>
                      <w:kern w:val="0"/>
                      <w:sz w:val="18"/>
                      <w:szCs w:val="18"/>
                    </w:rPr>
                  </w:pPr>
                  <w:r>
                    <w:rPr>
                      <w:rFonts w:hint="eastAsia"/>
                      <w:kern w:val="0"/>
                      <w:sz w:val="18"/>
                      <w:szCs w:val="18"/>
                    </w:rPr>
                    <w:t>5#厂房</w:t>
                  </w:r>
                </w:p>
              </w:tc>
              <w:tc>
                <w:tcPr>
                  <w:tcW w:w="507" w:type="dxa"/>
                  <w:vAlign w:val="center"/>
                </w:tcPr>
                <w:p>
                  <w:pPr>
                    <w:widowControl/>
                    <w:snapToGrid w:val="0"/>
                    <w:jc w:val="center"/>
                    <w:rPr>
                      <w:kern w:val="0"/>
                      <w:sz w:val="18"/>
                      <w:szCs w:val="18"/>
                    </w:rPr>
                  </w:pPr>
                  <w:r>
                    <w:rPr>
                      <w:rFonts w:hint="eastAsia"/>
                      <w:kern w:val="0"/>
                      <w:sz w:val="18"/>
                      <w:szCs w:val="18"/>
                    </w:rPr>
                    <w:t>0</w:t>
                  </w:r>
                </w:p>
              </w:tc>
              <w:tc>
                <w:tcPr>
                  <w:tcW w:w="573" w:type="dxa"/>
                  <w:vAlign w:val="center"/>
                </w:tcPr>
                <w:p>
                  <w:pPr>
                    <w:widowControl/>
                    <w:snapToGrid w:val="0"/>
                    <w:jc w:val="center"/>
                    <w:rPr>
                      <w:kern w:val="0"/>
                      <w:sz w:val="18"/>
                      <w:szCs w:val="18"/>
                    </w:rPr>
                  </w:pPr>
                  <w:r>
                    <w:rPr>
                      <w:rFonts w:hint="eastAsia"/>
                      <w:kern w:val="0"/>
                      <w:sz w:val="18"/>
                      <w:szCs w:val="18"/>
                    </w:rPr>
                    <w:t>0</w:t>
                  </w:r>
                </w:p>
              </w:tc>
              <w:tc>
                <w:tcPr>
                  <w:tcW w:w="896" w:type="dxa"/>
                  <w:vAlign w:val="center"/>
                </w:tcPr>
                <w:p>
                  <w:pPr>
                    <w:widowControl/>
                    <w:snapToGrid w:val="0"/>
                    <w:jc w:val="center"/>
                    <w:rPr>
                      <w:kern w:val="0"/>
                      <w:sz w:val="18"/>
                      <w:szCs w:val="18"/>
                    </w:rPr>
                  </w:pPr>
                  <w:r>
                    <w:rPr>
                      <w:rFonts w:hint="eastAsia"/>
                      <w:kern w:val="0"/>
                      <w:sz w:val="18"/>
                      <w:szCs w:val="18"/>
                    </w:rPr>
                    <w:t>24</w:t>
                  </w:r>
                </w:p>
              </w:tc>
              <w:tc>
                <w:tcPr>
                  <w:tcW w:w="764" w:type="dxa"/>
                  <w:vAlign w:val="center"/>
                </w:tcPr>
                <w:p>
                  <w:pPr>
                    <w:widowControl/>
                    <w:snapToGrid w:val="0"/>
                    <w:jc w:val="center"/>
                    <w:textAlignment w:val="center"/>
                    <w:rPr>
                      <w:kern w:val="0"/>
                      <w:sz w:val="18"/>
                      <w:szCs w:val="18"/>
                    </w:rPr>
                  </w:pPr>
                  <w:r>
                    <w:rPr>
                      <w:rFonts w:hint="eastAsia"/>
                      <w:kern w:val="0"/>
                      <w:sz w:val="18"/>
                      <w:szCs w:val="18"/>
                    </w:rPr>
                    <w:t>80</w:t>
                  </w:r>
                </w:p>
              </w:tc>
              <w:tc>
                <w:tcPr>
                  <w:tcW w:w="762" w:type="dxa"/>
                  <w:vAlign w:val="center"/>
                </w:tcPr>
                <w:p>
                  <w:pPr>
                    <w:widowControl/>
                    <w:snapToGrid w:val="0"/>
                    <w:jc w:val="center"/>
                    <w:textAlignment w:val="center"/>
                    <w:rPr>
                      <w:kern w:val="0"/>
                      <w:sz w:val="18"/>
                      <w:szCs w:val="18"/>
                    </w:rPr>
                  </w:pPr>
                  <w:r>
                    <w:rPr>
                      <w:rFonts w:hint="eastAsia"/>
                      <w:kern w:val="0"/>
                      <w:sz w:val="18"/>
                      <w:szCs w:val="18"/>
                    </w:rPr>
                    <w:t>25.0</w:t>
                  </w:r>
                </w:p>
              </w:tc>
              <w:tc>
                <w:tcPr>
                  <w:tcW w:w="799" w:type="dxa"/>
                  <w:vAlign w:val="center"/>
                </w:tcPr>
                <w:p>
                  <w:pPr>
                    <w:widowControl/>
                    <w:snapToGrid w:val="0"/>
                    <w:jc w:val="center"/>
                    <w:textAlignment w:val="center"/>
                    <w:rPr>
                      <w:kern w:val="0"/>
                      <w:sz w:val="18"/>
                      <w:szCs w:val="18"/>
                    </w:rPr>
                  </w:pPr>
                  <w:r>
                    <w:rPr>
                      <w:rFonts w:hint="eastAsia"/>
                      <w:kern w:val="0"/>
                      <w:sz w:val="18"/>
                      <w:szCs w:val="18"/>
                    </w:rPr>
                    <w:t>0</w:t>
                  </w:r>
                </w:p>
              </w:tc>
              <w:tc>
                <w:tcPr>
                  <w:tcW w:w="953" w:type="dxa"/>
                  <w:vAlign w:val="center"/>
                </w:tcPr>
                <w:p>
                  <w:pPr>
                    <w:widowControl/>
                    <w:snapToGrid w:val="0"/>
                    <w:jc w:val="center"/>
                    <w:textAlignment w:val="center"/>
                    <w:rPr>
                      <w:kern w:val="0"/>
                      <w:sz w:val="18"/>
                      <w:szCs w:val="18"/>
                    </w:rPr>
                  </w:pPr>
                  <w:r>
                    <w:rPr>
                      <w:rFonts w:hint="eastAsia"/>
                      <w:kern w:val="0"/>
                      <w:sz w:val="18"/>
                      <w:szCs w:val="18"/>
                    </w:rPr>
                    <w:t>8</w:t>
                  </w:r>
                </w:p>
              </w:tc>
              <w:tc>
                <w:tcPr>
                  <w:tcW w:w="1135" w:type="dxa"/>
                  <w:vAlign w:val="center"/>
                </w:tcPr>
                <w:p>
                  <w:pPr>
                    <w:widowControl/>
                    <w:snapToGrid w:val="0"/>
                    <w:jc w:val="center"/>
                    <w:rPr>
                      <w:kern w:val="0"/>
                      <w:sz w:val="18"/>
                      <w:szCs w:val="18"/>
                    </w:rPr>
                  </w:pPr>
                  <w:r>
                    <w:rPr>
                      <w:rFonts w:hint="eastAsia"/>
                      <w:kern w:val="0"/>
                      <w:sz w:val="18"/>
                      <w:szCs w:val="18"/>
                    </w:rPr>
                    <w:t>1200</w:t>
                  </w:r>
                </w:p>
              </w:tc>
              <w:tc>
                <w:tcPr>
                  <w:tcW w:w="840" w:type="dxa"/>
                  <w:vAlign w:val="center"/>
                </w:tcPr>
                <w:p>
                  <w:pPr>
                    <w:widowControl/>
                    <w:snapToGrid w:val="0"/>
                    <w:jc w:val="center"/>
                    <w:rPr>
                      <w:kern w:val="0"/>
                      <w:sz w:val="18"/>
                      <w:szCs w:val="18"/>
                    </w:rPr>
                  </w:pPr>
                  <w:r>
                    <w:rPr>
                      <w:rFonts w:hint="eastAsia"/>
                      <w:kern w:val="0"/>
                      <w:sz w:val="18"/>
                      <w:szCs w:val="18"/>
                    </w:rPr>
                    <w:t>连续</w:t>
                  </w:r>
                </w:p>
              </w:tc>
              <w:tc>
                <w:tcPr>
                  <w:tcW w:w="1195" w:type="dxa"/>
                  <w:vAlign w:val="center"/>
                </w:tcPr>
                <w:p>
                  <w:pPr>
                    <w:snapToGrid w:val="0"/>
                    <w:jc w:val="center"/>
                    <w:rPr>
                      <w:sz w:val="18"/>
                      <w:szCs w:val="18"/>
                    </w:rPr>
                  </w:pPr>
                  <w:r>
                    <w:rPr>
                      <w:rFonts w:hint="eastAsia"/>
                      <w:sz w:val="18"/>
                      <w:szCs w:val="18"/>
                    </w:rPr>
                    <w:t>颗粒物：0.006</w:t>
                  </w:r>
                </w:p>
              </w:tc>
            </w:tr>
          </w:tbl>
          <w:p>
            <w:pPr>
              <w:snapToGrid w:val="0"/>
              <w:spacing w:line="360" w:lineRule="auto"/>
              <w:ind w:firstLine="482" w:firstLineChars="200"/>
              <w:jc w:val="left"/>
              <w:rPr>
                <w:rFonts w:hAnsi="宋体"/>
                <w:b/>
                <w:snapToGrid w:val="0"/>
                <w:kern w:val="0"/>
                <w:sz w:val="24"/>
                <w:szCs w:val="24"/>
              </w:rPr>
            </w:pPr>
            <w:r>
              <w:rPr>
                <w:rFonts w:hAnsi="宋体"/>
                <w:b/>
                <w:snapToGrid w:val="0"/>
                <w:kern w:val="0"/>
                <w:sz w:val="24"/>
                <w:szCs w:val="24"/>
              </w:rPr>
              <w:t>D</w:t>
            </w:r>
            <w:r>
              <w:rPr>
                <w:rFonts w:hint="eastAsia" w:hAnsi="宋体"/>
                <w:b/>
                <w:snapToGrid w:val="0"/>
                <w:kern w:val="0"/>
                <w:sz w:val="24"/>
                <w:szCs w:val="24"/>
              </w:rPr>
              <w:t>、预测结果及环境影响评价</w:t>
            </w:r>
          </w:p>
          <w:p>
            <w:pPr>
              <w:snapToGrid w:val="0"/>
              <w:spacing w:line="360" w:lineRule="auto"/>
              <w:ind w:left="210" w:leftChars="100" w:firstLine="480" w:firstLineChars="200"/>
              <w:rPr>
                <w:sz w:val="24"/>
                <w:szCs w:val="24"/>
              </w:rPr>
            </w:pPr>
            <w:r>
              <w:rPr>
                <w:rFonts w:hint="eastAsia"/>
                <w:sz w:val="24"/>
                <w:szCs w:val="24"/>
              </w:rPr>
              <w:t>采用导则的估算模式对无组织排放污染物最大小时落地浓度及其出现的距离进行预测。预测结果如下，具体见下表。</w:t>
            </w:r>
          </w:p>
          <w:p>
            <w:pPr>
              <w:snapToGrid w:val="0"/>
              <w:jc w:val="center"/>
              <w:rPr>
                <w:rFonts w:hAnsi="宋体"/>
                <w:b/>
                <w:szCs w:val="21"/>
              </w:rPr>
            </w:pPr>
            <w:r>
              <w:rPr>
                <w:rFonts w:hint="eastAsia" w:hAnsi="宋体"/>
                <w:b/>
                <w:szCs w:val="21"/>
              </w:rPr>
              <w:t>表29估算模式排放计算结果表</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7"/>
              <w:gridCol w:w="3123"/>
              <w:gridCol w:w="3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下方向距离(m)</w:t>
                  </w:r>
                </w:p>
              </w:tc>
              <w:tc>
                <w:tcPr>
                  <w:tcW w:w="624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p>
              </w:tc>
              <w:tc>
                <w:tcPr>
                  <w:tcW w:w="624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szCs w:val="21"/>
                    </w:rPr>
                  </w:pP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预测浓度（ug/m</w:t>
                  </w:r>
                  <w:r>
                    <w:rPr>
                      <w:szCs w:val="21"/>
                      <w:vertAlign w:val="superscript"/>
                    </w:rPr>
                    <w:t>3</w:t>
                  </w:r>
                  <w:r>
                    <w:rPr>
                      <w:szCs w:val="21"/>
                    </w:rPr>
                    <w:t>）</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2.854</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0.6342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4.486</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0.9969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5.783</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1.2851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6.661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1.4802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5.32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1.1822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4.175</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0.9278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3.35</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0.7444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2.752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0.6116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2.311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0.5136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1.975</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0.4389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1.713</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0.3807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1.505</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0.3344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300.00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1.336</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325.00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1.198</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350.00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1.082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375.00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0.9841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400.00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0.9006</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425.00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0.8285</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450.00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0.7658</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475.00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0.7107</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500.00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0.6621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525.00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0.6189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550.00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0.5803</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575.00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0.5457</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600.00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0.5145</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625.00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0.4862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650.00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0.4607</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675.00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0.4373</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700.00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0.4159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725.00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0.3962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750.00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0.3781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775.00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0.3614</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800.00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0.3459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825.00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0.3315</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850.00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0.3182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875.00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0.3057</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900.00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0.294</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925.00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0.2831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950.00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0.2729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975.00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0.2633</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1000.00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0.2543</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1025.00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0.2457</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1050.00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0.2377</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1075.00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0.2301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1100.00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0.2229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1125.00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0.2161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1150.00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0.2097</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1175.00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0.2036</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1200.00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0.1977</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1225.00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0.1922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1250.00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0.1869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1275.00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0.1819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1300.00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0.1771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1325.00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0.1725</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1350.00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0.1681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1375.00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0.1639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1400.00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0.1599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1425.00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0.156</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1450.00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0.1524</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1475.00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0.1488</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1500.00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0.1454</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1525.00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0.1421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1550.00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0.139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1575.00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0.136</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1600.00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0.133</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1625.00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0.1302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1650.00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0.1275</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1675.00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0.1249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1700.00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0.1224</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1725.00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1750.00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0.1176</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1775.00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0.1153</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1800.00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0.1131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1825.00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0.111</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1850.00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0.109</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1875.00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0.107</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1900.00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0.105</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1925.00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0.1032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1950.00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0.1013</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1975.00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9.96E-02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2000.00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9.79E-02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2025.00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9.62E-02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2050.00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9.46E-02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2075.00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9.31E-02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2100.00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9.15E-02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2125.00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9.01E-02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2150.00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8.86E-02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2175.00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8.72E-02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2200.00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8.59E-02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2225.00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8.46E-02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2250.00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8.33E-02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2275.00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8.20E-02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2300.00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8.08E-02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2325.00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7.96E-02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2350.00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7.85E-02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2375.00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7.73E-02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2400.00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7.62E-02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2425.00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7.52E-02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2450.00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7.41E-02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2475.00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7.31E-02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2500.00</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7.21E-02</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szCs w:val="21"/>
                    </w:rPr>
                    <w:t>0.0160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下风向最大距离</w:t>
                  </w:r>
                </w:p>
              </w:tc>
              <w:tc>
                <w:tcPr>
                  <w:tcW w:w="3123"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6.894</w:t>
                  </w:r>
                </w:p>
              </w:tc>
              <w:tc>
                <w:tcPr>
                  <w:tcW w:w="3126"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7" w:type="dxa"/>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szCs w:val="21"/>
                    </w:rPr>
                    <w:t>D10%最远距离</w:t>
                  </w:r>
                </w:p>
              </w:tc>
              <w:tc>
                <w:tcPr>
                  <w:tcW w:w="624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69</w:t>
                  </w:r>
                </w:p>
              </w:tc>
            </w:tr>
          </w:tbl>
          <w:p>
            <w:pPr>
              <w:snapToGrid w:val="0"/>
              <w:jc w:val="center"/>
              <w:rPr>
                <w:rFonts w:hAnsi="宋体"/>
                <w:b/>
                <w:szCs w:val="21"/>
              </w:rPr>
            </w:pPr>
            <w:r>
              <w:rPr>
                <w:rFonts w:hint="eastAsia" w:hAnsi="宋体"/>
                <w:b/>
                <w:szCs w:val="21"/>
              </w:rPr>
              <w:t>表30估算模式计算结果统计</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4"/>
              <w:gridCol w:w="1335"/>
              <w:gridCol w:w="1419"/>
              <w:gridCol w:w="1419"/>
              <w:gridCol w:w="1419"/>
              <w:gridCol w:w="141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Align w:val="center"/>
                </w:tcPr>
                <w:p>
                  <w:pPr>
                    <w:widowControl/>
                    <w:snapToGrid w:val="0"/>
                    <w:jc w:val="center"/>
                    <w:rPr>
                      <w:bCs/>
                      <w:kern w:val="0"/>
                      <w:szCs w:val="21"/>
                    </w:rPr>
                  </w:pPr>
                  <w:r>
                    <w:rPr>
                      <w:bCs/>
                      <w:kern w:val="0"/>
                      <w:szCs w:val="21"/>
                    </w:rPr>
                    <w:t>分类</w:t>
                  </w:r>
                </w:p>
              </w:tc>
              <w:tc>
                <w:tcPr>
                  <w:tcW w:w="1335" w:type="dxa"/>
                  <w:vAlign w:val="center"/>
                </w:tcPr>
                <w:p>
                  <w:pPr>
                    <w:widowControl/>
                    <w:snapToGrid w:val="0"/>
                    <w:jc w:val="center"/>
                    <w:rPr>
                      <w:bCs/>
                      <w:kern w:val="0"/>
                      <w:szCs w:val="21"/>
                    </w:rPr>
                  </w:pPr>
                  <w:r>
                    <w:rPr>
                      <w:bCs/>
                      <w:kern w:val="0"/>
                      <w:szCs w:val="21"/>
                    </w:rPr>
                    <w:t>排气筒序号</w:t>
                  </w:r>
                </w:p>
              </w:tc>
              <w:tc>
                <w:tcPr>
                  <w:tcW w:w="1419" w:type="dxa"/>
                  <w:vAlign w:val="center"/>
                </w:tcPr>
                <w:p>
                  <w:pPr>
                    <w:widowControl/>
                    <w:snapToGrid w:val="0"/>
                    <w:jc w:val="center"/>
                    <w:textAlignment w:val="center"/>
                    <w:rPr>
                      <w:bCs/>
                      <w:kern w:val="0"/>
                      <w:szCs w:val="21"/>
                    </w:rPr>
                  </w:pPr>
                  <w:r>
                    <w:rPr>
                      <w:szCs w:val="21"/>
                    </w:rPr>
                    <w:t>污染物</w:t>
                  </w:r>
                </w:p>
              </w:tc>
              <w:tc>
                <w:tcPr>
                  <w:tcW w:w="1419" w:type="dxa"/>
                  <w:vAlign w:val="center"/>
                </w:tcPr>
                <w:p>
                  <w:pPr>
                    <w:widowControl/>
                    <w:snapToGrid w:val="0"/>
                    <w:jc w:val="center"/>
                    <w:rPr>
                      <w:bCs/>
                      <w:kern w:val="0"/>
                      <w:szCs w:val="21"/>
                    </w:rPr>
                  </w:pPr>
                  <w:r>
                    <w:rPr>
                      <w:bCs/>
                      <w:kern w:val="0"/>
                      <w:szCs w:val="21"/>
                    </w:rPr>
                    <w:t>最远落地距离（m）</w:t>
                  </w:r>
                </w:p>
              </w:tc>
              <w:tc>
                <w:tcPr>
                  <w:tcW w:w="1419" w:type="dxa"/>
                  <w:vAlign w:val="center"/>
                </w:tcPr>
                <w:p>
                  <w:pPr>
                    <w:widowControl/>
                    <w:snapToGrid w:val="0"/>
                    <w:jc w:val="center"/>
                    <w:rPr>
                      <w:bCs/>
                      <w:kern w:val="0"/>
                      <w:szCs w:val="21"/>
                    </w:rPr>
                  </w:pPr>
                  <w:r>
                    <w:rPr>
                      <w:bCs/>
                      <w:kern w:val="0"/>
                      <w:szCs w:val="21"/>
                    </w:rPr>
                    <w:t>最大地面浓度（</w:t>
                  </w:r>
                  <w:r>
                    <w:rPr>
                      <w:bCs/>
                      <w:szCs w:val="21"/>
                    </w:rPr>
                    <w:t>μg/m</w:t>
                  </w:r>
                  <w:r>
                    <w:rPr>
                      <w:bCs/>
                      <w:szCs w:val="21"/>
                      <w:vertAlign w:val="superscript"/>
                    </w:rPr>
                    <w:t>3</w:t>
                  </w:r>
                  <w:r>
                    <w:rPr>
                      <w:bCs/>
                      <w:kern w:val="0"/>
                      <w:szCs w:val="21"/>
                    </w:rPr>
                    <w:t>）</w:t>
                  </w:r>
                </w:p>
              </w:tc>
              <w:tc>
                <w:tcPr>
                  <w:tcW w:w="1419" w:type="dxa"/>
                  <w:vAlign w:val="center"/>
                </w:tcPr>
                <w:p>
                  <w:pPr>
                    <w:widowControl/>
                    <w:snapToGrid w:val="0"/>
                    <w:jc w:val="center"/>
                    <w:rPr>
                      <w:bCs/>
                      <w:kern w:val="0"/>
                      <w:szCs w:val="21"/>
                    </w:rPr>
                  </w:pPr>
                  <w:r>
                    <w:rPr>
                      <w:bCs/>
                      <w:kern w:val="0"/>
                      <w:szCs w:val="21"/>
                    </w:rPr>
                    <w:t>最大地面浓度占标率</w:t>
                  </w:r>
                </w:p>
              </w:tc>
              <w:tc>
                <w:tcPr>
                  <w:tcW w:w="1421" w:type="dxa"/>
                  <w:vAlign w:val="center"/>
                </w:tcPr>
                <w:p>
                  <w:pPr>
                    <w:widowControl/>
                    <w:snapToGrid w:val="0"/>
                    <w:jc w:val="center"/>
                    <w:rPr>
                      <w:bCs/>
                      <w:kern w:val="0"/>
                      <w:szCs w:val="21"/>
                    </w:rPr>
                  </w:pPr>
                  <w:r>
                    <w:rPr>
                      <w:szCs w:val="21"/>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04" w:type="dxa"/>
                  <w:vAlign w:val="center"/>
                </w:tcPr>
                <w:p>
                  <w:pPr>
                    <w:snapToGrid w:val="0"/>
                    <w:jc w:val="center"/>
                    <w:textAlignment w:val="center"/>
                    <w:rPr>
                      <w:kern w:val="0"/>
                      <w:szCs w:val="21"/>
                    </w:rPr>
                  </w:pPr>
                  <w:r>
                    <w:rPr>
                      <w:kern w:val="0"/>
                      <w:szCs w:val="21"/>
                    </w:rPr>
                    <w:t>无组织</w:t>
                  </w:r>
                </w:p>
              </w:tc>
              <w:tc>
                <w:tcPr>
                  <w:tcW w:w="1335" w:type="dxa"/>
                  <w:vAlign w:val="center"/>
                </w:tcPr>
                <w:p>
                  <w:pPr>
                    <w:widowControl/>
                    <w:snapToGrid w:val="0"/>
                    <w:jc w:val="center"/>
                    <w:rPr>
                      <w:bCs/>
                      <w:kern w:val="0"/>
                      <w:szCs w:val="21"/>
                    </w:rPr>
                  </w:pPr>
                  <w:r>
                    <w:rPr>
                      <w:rFonts w:hint="eastAsia"/>
                      <w:bCs/>
                      <w:kern w:val="0"/>
                      <w:szCs w:val="21"/>
                    </w:rPr>
                    <w:t>生产</w:t>
                  </w:r>
                  <w:r>
                    <w:rPr>
                      <w:bCs/>
                      <w:kern w:val="0"/>
                      <w:szCs w:val="21"/>
                    </w:rPr>
                    <w:t>车间</w:t>
                  </w:r>
                </w:p>
              </w:tc>
              <w:tc>
                <w:tcPr>
                  <w:tcW w:w="1419" w:type="dxa"/>
                  <w:vAlign w:val="center"/>
                </w:tcPr>
                <w:p>
                  <w:pPr>
                    <w:snapToGrid w:val="0"/>
                    <w:jc w:val="center"/>
                    <w:rPr>
                      <w:szCs w:val="21"/>
                    </w:rPr>
                  </w:pPr>
                  <w:r>
                    <w:rPr>
                      <w:rFonts w:hint="eastAsia"/>
                      <w:szCs w:val="21"/>
                      <w:lang w:val="en-GB"/>
                    </w:rPr>
                    <w:t>颗粒物</w:t>
                  </w:r>
                </w:p>
              </w:tc>
              <w:tc>
                <w:tcPr>
                  <w:tcW w:w="1419" w:type="dxa"/>
                  <w:vAlign w:val="center"/>
                </w:tcPr>
                <w:p>
                  <w:pPr>
                    <w:widowControl/>
                    <w:snapToGrid w:val="0"/>
                    <w:jc w:val="center"/>
                    <w:textAlignment w:val="center"/>
                    <w:rPr>
                      <w:bCs/>
                      <w:szCs w:val="21"/>
                    </w:rPr>
                  </w:pPr>
                  <w:r>
                    <w:rPr>
                      <w:bCs/>
                      <w:szCs w:val="21"/>
                    </w:rPr>
                    <w:t>6</w:t>
                  </w:r>
                  <w:r>
                    <w:rPr>
                      <w:rFonts w:hint="eastAsia"/>
                      <w:bCs/>
                      <w:szCs w:val="21"/>
                    </w:rPr>
                    <w:t>9</w:t>
                  </w:r>
                </w:p>
              </w:tc>
              <w:tc>
                <w:tcPr>
                  <w:tcW w:w="1419" w:type="dxa"/>
                  <w:vAlign w:val="center"/>
                </w:tcPr>
                <w:p>
                  <w:pPr>
                    <w:snapToGrid w:val="0"/>
                    <w:jc w:val="center"/>
                    <w:rPr>
                      <w:szCs w:val="21"/>
                    </w:rPr>
                  </w:pPr>
                  <w:r>
                    <w:rPr>
                      <w:rFonts w:hint="eastAsia"/>
                      <w:szCs w:val="21"/>
                    </w:rPr>
                    <w:t>6.894</w:t>
                  </w:r>
                </w:p>
              </w:tc>
              <w:tc>
                <w:tcPr>
                  <w:tcW w:w="1419" w:type="dxa"/>
                  <w:vAlign w:val="center"/>
                </w:tcPr>
                <w:p>
                  <w:pPr>
                    <w:jc w:val="center"/>
                    <w:rPr>
                      <w:color w:val="000000"/>
                      <w:szCs w:val="21"/>
                    </w:rPr>
                  </w:pPr>
                  <w:r>
                    <w:rPr>
                      <w:rFonts w:hint="eastAsia"/>
                      <w:color w:val="000000"/>
                      <w:szCs w:val="21"/>
                    </w:rPr>
                    <w:t>1.53</w:t>
                  </w:r>
                  <w:r>
                    <w:rPr>
                      <w:color w:val="000000"/>
                      <w:szCs w:val="21"/>
                    </w:rPr>
                    <w:t>%</w:t>
                  </w:r>
                </w:p>
              </w:tc>
              <w:tc>
                <w:tcPr>
                  <w:tcW w:w="1421" w:type="dxa"/>
                  <w:vAlign w:val="center"/>
                </w:tcPr>
                <w:p>
                  <w:pPr>
                    <w:widowControl/>
                    <w:snapToGrid w:val="0"/>
                    <w:jc w:val="center"/>
                    <w:textAlignment w:val="center"/>
                    <w:rPr>
                      <w:kern w:val="0"/>
                      <w:szCs w:val="21"/>
                    </w:rPr>
                  </w:pPr>
                  <w:r>
                    <w:rPr>
                      <w:rFonts w:hint="eastAsia"/>
                      <w:kern w:val="0"/>
                      <w:szCs w:val="21"/>
                    </w:rPr>
                    <w:t>二</w:t>
                  </w:r>
                  <w:r>
                    <w:rPr>
                      <w:kern w:val="0"/>
                      <w:szCs w:val="21"/>
                    </w:rPr>
                    <w:t>级</w:t>
                  </w:r>
                </w:p>
              </w:tc>
            </w:tr>
          </w:tbl>
          <w:p>
            <w:pPr>
              <w:spacing w:line="360" w:lineRule="auto"/>
              <w:ind w:firstLine="480" w:firstLineChars="200"/>
              <w:rPr>
                <w:sz w:val="24"/>
                <w:szCs w:val="24"/>
              </w:rPr>
            </w:pPr>
            <w:r>
              <w:rPr>
                <w:rFonts w:hint="eastAsia"/>
                <w:sz w:val="24"/>
                <w:szCs w:val="24"/>
              </w:rPr>
              <w:t>影响结论：</w:t>
            </w:r>
          </w:p>
          <w:p>
            <w:pPr>
              <w:snapToGrid w:val="0"/>
              <w:spacing w:line="360" w:lineRule="auto"/>
              <w:ind w:firstLine="480" w:firstLineChars="200"/>
              <w:rPr>
                <w:sz w:val="24"/>
                <w:szCs w:val="24"/>
              </w:rPr>
            </w:pPr>
            <w:r>
              <w:rPr>
                <w:rFonts w:hint="eastAsia"/>
                <w:sz w:val="24"/>
                <w:szCs w:val="24"/>
              </w:rPr>
              <w:t>经估算模型计算，本项目各污染源排放的大气污染物中，无组织排放烟尘最大落地浓度占标率1.53%小于1%，根据</w:t>
            </w:r>
            <w:r>
              <w:rPr>
                <w:sz w:val="24"/>
                <w:szCs w:val="24"/>
              </w:rPr>
              <w:t>HJ2.2-2018</w:t>
            </w:r>
            <w:r>
              <w:rPr>
                <w:rFonts w:hint="eastAsia"/>
                <w:sz w:val="24"/>
                <w:szCs w:val="24"/>
              </w:rPr>
              <w:t>《环境影响评价技术导则</w:t>
            </w:r>
            <w:r>
              <w:rPr>
                <w:sz w:val="24"/>
                <w:szCs w:val="24"/>
              </w:rPr>
              <w:t xml:space="preserve"> </w:t>
            </w:r>
            <w:r>
              <w:rPr>
                <w:rFonts w:hint="eastAsia"/>
                <w:sz w:val="24"/>
                <w:szCs w:val="24"/>
              </w:rPr>
              <w:t>大气环境》，确定大气环境影响评价等级为二级。根据</w:t>
            </w:r>
            <w:r>
              <w:rPr>
                <w:sz w:val="24"/>
                <w:szCs w:val="24"/>
              </w:rPr>
              <w:t>HJ2.2-2108</w:t>
            </w:r>
            <w:r>
              <w:rPr>
                <w:rFonts w:hint="eastAsia"/>
                <w:sz w:val="24"/>
                <w:szCs w:val="24"/>
              </w:rPr>
              <w:t>《环境影响评价技术导则</w:t>
            </w:r>
            <w:r>
              <w:rPr>
                <w:sz w:val="24"/>
                <w:szCs w:val="24"/>
              </w:rPr>
              <w:t xml:space="preserve"> </w:t>
            </w:r>
            <w:r>
              <w:rPr>
                <w:rFonts w:hint="eastAsia"/>
                <w:sz w:val="24"/>
                <w:szCs w:val="24"/>
              </w:rPr>
              <w:t>大气环境》</w:t>
            </w:r>
            <w:r>
              <w:rPr>
                <w:sz w:val="24"/>
                <w:szCs w:val="24"/>
              </w:rPr>
              <w:t>8.1.2</w:t>
            </w:r>
            <w:r>
              <w:rPr>
                <w:rFonts w:hint="eastAsia"/>
                <w:sz w:val="24"/>
                <w:szCs w:val="24"/>
              </w:rPr>
              <w:t>的有关规定：对照导则要求不需进一步的预测与评价，只需对污染物排放量进行核算。</w:t>
            </w:r>
          </w:p>
          <w:p>
            <w:pPr>
              <w:snapToGrid w:val="0"/>
              <w:spacing w:line="360" w:lineRule="auto"/>
              <w:ind w:firstLine="482" w:firstLineChars="200"/>
              <w:jc w:val="left"/>
              <w:rPr>
                <w:rFonts w:hAnsi="宋体"/>
                <w:b/>
                <w:snapToGrid w:val="0"/>
                <w:kern w:val="0"/>
                <w:sz w:val="24"/>
                <w:szCs w:val="24"/>
              </w:rPr>
            </w:pPr>
            <w:r>
              <w:rPr>
                <w:rFonts w:hint="eastAsia" w:hAnsi="宋体"/>
                <w:b/>
                <w:snapToGrid w:val="0"/>
                <w:kern w:val="0"/>
                <w:sz w:val="24"/>
                <w:szCs w:val="24"/>
              </w:rPr>
              <w:t>E</w:t>
            </w:r>
            <w:r>
              <w:rPr>
                <w:rFonts w:hAnsi="宋体"/>
                <w:b/>
                <w:snapToGrid w:val="0"/>
                <w:kern w:val="0"/>
                <w:sz w:val="24"/>
                <w:szCs w:val="24"/>
              </w:rPr>
              <w:t>、废气污染物排放量核算</w:t>
            </w:r>
          </w:p>
          <w:p>
            <w:pPr>
              <w:snapToGrid w:val="0"/>
              <w:spacing w:line="360" w:lineRule="auto"/>
              <w:ind w:firstLine="480" w:firstLineChars="200"/>
              <w:rPr>
                <w:sz w:val="24"/>
                <w:szCs w:val="24"/>
              </w:rPr>
            </w:pPr>
            <w:r>
              <w:rPr>
                <w:rFonts w:hint="eastAsia"/>
                <w:sz w:val="24"/>
                <w:szCs w:val="24"/>
              </w:rPr>
              <w:t>依据《环境影响评价技术导则</w:t>
            </w:r>
            <w:r>
              <w:rPr>
                <w:sz w:val="24"/>
                <w:szCs w:val="24"/>
              </w:rPr>
              <w:t>-</w:t>
            </w:r>
            <w:r>
              <w:rPr>
                <w:rFonts w:hint="eastAsia"/>
                <w:sz w:val="24"/>
                <w:szCs w:val="24"/>
              </w:rPr>
              <w:t>大气环境》（</w:t>
            </w:r>
            <w:r>
              <w:rPr>
                <w:sz w:val="24"/>
                <w:szCs w:val="24"/>
              </w:rPr>
              <w:t>HJ2.2-2018</w:t>
            </w:r>
            <w:r>
              <w:rPr>
                <w:rFonts w:hint="eastAsia"/>
                <w:sz w:val="24"/>
                <w:szCs w:val="24"/>
              </w:rPr>
              <w:t>）要求，二级评价项目需进行正常工况下大气污染物核算，具体见下表。</w:t>
            </w:r>
          </w:p>
          <w:p>
            <w:pPr>
              <w:snapToGrid w:val="0"/>
              <w:jc w:val="center"/>
              <w:rPr>
                <w:rFonts w:hAnsi="宋体"/>
                <w:b/>
                <w:szCs w:val="21"/>
              </w:rPr>
            </w:pPr>
          </w:p>
          <w:p>
            <w:pPr>
              <w:snapToGrid w:val="0"/>
              <w:jc w:val="center"/>
              <w:rPr>
                <w:rFonts w:hAnsi="宋体"/>
                <w:b/>
                <w:szCs w:val="21"/>
              </w:rPr>
            </w:pPr>
          </w:p>
          <w:p>
            <w:pPr>
              <w:snapToGrid w:val="0"/>
              <w:jc w:val="center"/>
              <w:rPr>
                <w:rFonts w:hAnsi="宋体"/>
                <w:b/>
                <w:szCs w:val="21"/>
              </w:rPr>
            </w:pPr>
          </w:p>
          <w:p>
            <w:pPr>
              <w:snapToGrid w:val="0"/>
              <w:jc w:val="center"/>
              <w:rPr>
                <w:rFonts w:hAnsi="宋体"/>
                <w:b/>
                <w:szCs w:val="21"/>
              </w:rPr>
            </w:pPr>
            <w:r>
              <w:rPr>
                <w:rFonts w:hint="eastAsia" w:hAnsi="宋体"/>
                <w:b/>
                <w:szCs w:val="21"/>
              </w:rPr>
              <w:t>表31大气污染物无组织排放量核定表</w:t>
            </w:r>
          </w:p>
          <w:tbl>
            <w:tblPr>
              <w:tblStyle w:val="30"/>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700"/>
              <w:gridCol w:w="975"/>
              <w:gridCol w:w="713"/>
              <w:gridCol w:w="1112"/>
              <w:gridCol w:w="3071"/>
              <w:gridCol w:w="985"/>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序号</w:t>
                  </w:r>
                </w:p>
              </w:tc>
              <w:tc>
                <w:tcPr>
                  <w:tcW w:w="700"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排放口编号</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产污环节</w:t>
                  </w:r>
                </w:p>
              </w:tc>
              <w:tc>
                <w:tcPr>
                  <w:tcW w:w="713"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污染物</w:t>
                  </w:r>
                </w:p>
              </w:tc>
              <w:tc>
                <w:tcPr>
                  <w:tcW w:w="1112"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主要污染防治措施</w:t>
                  </w:r>
                </w:p>
              </w:tc>
              <w:tc>
                <w:tcPr>
                  <w:tcW w:w="4056" w:type="dxa"/>
                  <w:gridSpan w:val="2"/>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国家或地方污染物排放标准</w:t>
                  </w:r>
                </w:p>
              </w:tc>
              <w:tc>
                <w:tcPr>
                  <w:tcW w:w="1119" w:type="dxa"/>
                  <w:vMerge w:val="restart"/>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核算年排放量（t</w:t>
                  </w:r>
                  <w:r>
                    <w:rPr>
                      <w:color w:val="000000"/>
                      <w:szCs w:val="21"/>
                    </w:rPr>
                    <w:t xml:space="preserve"> /a</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szCs w:val="21"/>
                    </w:rPr>
                  </w:pPr>
                </w:p>
              </w:tc>
              <w:tc>
                <w:tcPr>
                  <w:tcW w:w="70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szCs w:val="21"/>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szCs w:val="21"/>
                    </w:rPr>
                  </w:pPr>
                </w:p>
              </w:tc>
              <w:tc>
                <w:tcPr>
                  <w:tcW w:w="713"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szCs w:val="21"/>
                    </w:rPr>
                  </w:pPr>
                </w:p>
              </w:tc>
              <w:tc>
                <w:tcPr>
                  <w:tcW w:w="1112"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szCs w:val="21"/>
                    </w:rPr>
                  </w:pPr>
                </w:p>
              </w:tc>
              <w:tc>
                <w:tcPr>
                  <w:tcW w:w="3071"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标准名称</w:t>
                  </w:r>
                </w:p>
              </w:tc>
              <w:tc>
                <w:tcPr>
                  <w:tcW w:w="985"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浓度限值（</w:t>
                  </w:r>
                  <w:r>
                    <w:rPr>
                      <w:color w:val="000000"/>
                      <w:szCs w:val="21"/>
                    </w:rPr>
                    <w:t>mg/m</w:t>
                  </w:r>
                  <w:r>
                    <w:rPr>
                      <w:color w:val="000000"/>
                      <w:szCs w:val="21"/>
                      <w:vertAlign w:val="superscript"/>
                    </w:rPr>
                    <w:t>3</w:t>
                  </w:r>
                  <w:r>
                    <w:rPr>
                      <w:rFonts w:hint="eastAsia"/>
                      <w:color w:val="000000"/>
                      <w:szCs w:val="21"/>
                    </w:rPr>
                    <w:t>）</w:t>
                  </w:r>
                </w:p>
              </w:tc>
              <w:tc>
                <w:tcPr>
                  <w:tcW w:w="111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3"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color w:val="000000"/>
                      <w:szCs w:val="21"/>
                    </w:rPr>
                    <w:t>1</w:t>
                  </w:r>
                </w:p>
              </w:tc>
              <w:tc>
                <w:tcPr>
                  <w:tcW w:w="700"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color w:val="000000"/>
                      <w:szCs w:val="21"/>
                    </w:rPr>
                    <w:t>/</w:t>
                  </w:r>
                </w:p>
              </w:tc>
              <w:tc>
                <w:tcPr>
                  <w:tcW w:w="975" w:type="dxa"/>
                  <w:tcBorders>
                    <w:top w:val="single" w:color="auto" w:sz="4" w:space="0"/>
                    <w:left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生产车间</w:t>
                  </w:r>
                </w:p>
              </w:tc>
              <w:tc>
                <w:tcPr>
                  <w:tcW w:w="713"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000000"/>
                      <w:szCs w:val="21"/>
                    </w:rPr>
                  </w:pPr>
                  <w:r>
                    <w:rPr>
                      <w:color w:val="000000"/>
                      <w:szCs w:val="21"/>
                    </w:rPr>
                    <w:t>颗粒物</w:t>
                  </w:r>
                </w:p>
              </w:tc>
              <w:tc>
                <w:tcPr>
                  <w:tcW w:w="1112" w:type="dxa"/>
                  <w:tcBorders>
                    <w:top w:val="single" w:color="auto" w:sz="4" w:space="0"/>
                    <w:left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车间加强通风</w:t>
                  </w:r>
                </w:p>
              </w:tc>
              <w:tc>
                <w:tcPr>
                  <w:tcW w:w="3071" w:type="dxa"/>
                  <w:tcBorders>
                    <w:top w:val="single" w:color="auto" w:sz="4" w:space="0"/>
                    <w:left w:val="single" w:color="auto" w:sz="4" w:space="0"/>
                    <w:right w:val="single" w:color="auto" w:sz="4" w:space="0"/>
                  </w:tcBorders>
                  <w:vAlign w:val="center"/>
                </w:tcPr>
                <w:p>
                  <w:pPr>
                    <w:snapToGrid w:val="0"/>
                    <w:jc w:val="center"/>
                    <w:rPr>
                      <w:color w:val="000000"/>
                      <w:szCs w:val="21"/>
                    </w:rPr>
                  </w:pPr>
                  <w:r>
                    <w:rPr>
                      <w:rFonts w:hint="eastAsia"/>
                      <w:color w:val="000000"/>
                      <w:szCs w:val="21"/>
                    </w:rPr>
                    <w:t>颗粒物满足</w:t>
                  </w:r>
                  <w:r>
                    <w:rPr>
                      <w:color w:val="000000"/>
                      <w:szCs w:val="21"/>
                    </w:rPr>
                    <w:t>《大气污染物综合排放标准》（GB16297-1996）</w:t>
                  </w:r>
                  <w:r>
                    <w:rPr>
                      <w:rFonts w:hint="eastAsia"/>
                      <w:color w:val="000000"/>
                      <w:szCs w:val="21"/>
                    </w:rPr>
                    <w:t>无组织排放浓度限值</w:t>
                  </w:r>
                </w:p>
              </w:tc>
              <w:tc>
                <w:tcPr>
                  <w:tcW w:w="985" w:type="dxa"/>
                  <w:tcBorders>
                    <w:top w:val="single" w:color="auto" w:sz="4" w:space="0"/>
                    <w:left w:val="single" w:color="auto" w:sz="4" w:space="0"/>
                    <w:bottom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1.0</w:t>
                  </w:r>
                </w:p>
              </w:tc>
              <w:tc>
                <w:tcPr>
                  <w:tcW w:w="111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hAnsi="宋体"/>
                      <w:szCs w:val="21"/>
                    </w:rPr>
                    <w:t>0.01425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8" w:type="dxa"/>
                  <w:gridSpan w:val="3"/>
                  <w:tcBorders>
                    <w:top w:val="single" w:color="auto" w:sz="4" w:space="0"/>
                    <w:left w:val="single" w:color="auto" w:sz="4" w:space="0"/>
                    <w:right w:val="single" w:color="auto" w:sz="4" w:space="0"/>
                  </w:tcBorders>
                  <w:vAlign w:val="center"/>
                </w:tcPr>
                <w:p>
                  <w:pPr>
                    <w:snapToGrid w:val="0"/>
                    <w:ind w:left="-105" w:leftChars="-50" w:right="-105" w:rightChars="-50"/>
                    <w:jc w:val="center"/>
                    <w:rPr>
                      <w:color w:val="000000"/>
                      <w:szCs w:val="21"/>
                    </w:rPr>
                  </w:pPr>
                  <w:r>
                    <w:rPr>
                      <w:rFonts w:hint="eastAsia"/>
                      <w:color w:val="000000"/>
                      <w:szCs w:val="21"/>
                    </w:rPr>
                    <w:t>无组织排放总计</w:t>
                  </w:r>
                </w:p>
              </w:tc>
              <w:tc>
                <w:tcPr>
                  <w:tcW w:w="588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color w:val="000000"/>
                      <w:szCs w:val="21"/>
                    </w:rPr>
                  </w:pPr>
                  <w:r>
                    <w:rPr>
                      <w:color w:val="000000"/>
                      <w:szCs w:val="21"/>
                    </w:rPr>
                    <w:t>颗粒物</w:t>
                  </w:r>
                </w:p>
              </w:tc>
              <w:tc>
                <w:tcPr>
                  <w:tcW w:w="1119"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hAnsi="宋体"/>
                      <w:szCs w:val="21"/>
                    </w:rPr>
                    <w:t>0.01425</w:t>
                  </w:r>
                </w:p>
              </w:tc>
            </w:tr>
          </w:tbl>
          <w:p>
            <w:pPr>
              <w:spacing w:line="360" w:lineRule="auto"/>
              <w:ind w:firstLine="482" w:firstLineChars="200"/>
              <w:rPr>
                <w:b/>
                <w:sz w:val="24"/>
                <w:szCs w:val="24"/>
              </w:rPr>
            </w:pPr>
            <w:r>
              <w:rPr>
                <w:rFonts w:hint="eastAsia"/>
                <w:b/>
                <w:sz w:val="24"/>
                <w:szCs w:val="24"/>
              </w:rPr>
              <w:t>F、大气环境防护距离的计算：</w:t>
            </w:r>
          </w:p>
          <w:p>
            <w:pPr>
              <w:spacing w:line="360" w:lineRule="auto"/>
              <w:ind w:firstLine="480" w:firstLineChars="200"/>
              <w:rPr>
                <w:sz w:val="24"/>
                <w:szCs w:val="24"/>
              </w:rPr>
            </w:pPr>
            <w:r>
              <w:rPr>
                <w:rFonts w:hint="eastAsia"/>
                <w:sz w:val="24"/>
                <w:szCs w:val="24"/>
              </w:rPr>
              <w:t>根据预测结果，按《环境影响评价技术导则大气环境》（</w:t>
            </w:r>
            <w:r>
              <w:rPr>
                <w:sz w:val="24"/>
                <w:szCs w:val="24"/>
              </w:rPr>
              <w:t>HJ2.2-2018</w:t>
            </w:r>
            <w:r>
              <w:rPr>
                <w:rFonts w:hint="eastAsia"/>
                <w:sz w:val="24"/>
                <w:szCs w:val="24"/>
              </w:rPr>
              <w:t>）中确定大气环境防护距离的规定，本项目大气污染物在厂界的预测浓度满足相应的厂界浓度限值，厂界外大气污染物短期贡献浓度低于环境质量浓度限值，因此无需设置大气环境防护距离。</w:t>
            </w:r>
          </w:p>
          <w:p>
            <w:pPr>
              <w:spacing w:line="360" w:lineRule="auto"/>
              <w:ind w:firstLine="482" w:firstLineChars="200"/>
              <w:rPr>
                <w:b/>
                <w:sz w:val="24"/>
                <w:szCs w:val="24"/>
              </w:rPr>
            </w:pPr>
            <w:r>
              <w:rPr>
                <w:rFonts w:hint="eastAsia"/>
                <w:b/>
                <w:sz w:val="24"/>
                <w:szCs w:val="24"/>
              </w:rPr>
              <w:t>G、卫生防护距离计算</w:t>
            </w:r>
          </w:p>
          <w:p>
            <w:pPr>
              <w:spacing w:line="360" w:lineRule="auto"/>
              <w:ind w:firstLine="480" w:firstLineChars="200"/>
              <w:rPr>
                <w:sz w:val="24"/>
                <w:szCs w:val="22"/>
              </w:rPr>
            </w:pPr>
            <w:r>
              <w:rPr>
                <w:sz w:val="24"/>
                <w:szCs w:val="22"/>
              </w:rPr>
              <w:t>根据《制定地方大气污染物排放标准的技术方法》（GB/T13201-91）规定，无组织排放有害气体的生产单元（生产区、车间或工段）与居住区之间应设置卫生防护距离，计算公式如下：</w:t>
            </w:r>
          </w:p>
          <w:p>
            <w:pPr>
              <w:spacing w:line="360" w:lineRule="auto"/>
              <w:ind w:firstLine="420" w:firstLineChars="200"/>
              <w:rPr>
                <w:sz w:val="24"/>
                <w:szCs w:val="22"/>
              </w:rPr>
            </w:pPr>
            <w:r>
              <w:rPr>
                <w:rFonts w:hint="eastAsia"/>
              </w:rPr>
              <w:drawing>
                <wp:anchor distT="0" distB="0" distL="114300" distR="114300" simplePos="0" relativeHeight="251660288" behindDoc="0" locked="0" layoutInCell="1" allowOverlap="1">
                  <wp:simplePos x="0" y="0"/>
                  <wp:positionH relativeFrom="column">
                    <wp:posOffset>1534160</wp:posOffset>
                  </wp:positionH>
                  <wp:positionV relativeFrom="paragraph">
                    <wp:posOffset>36830</wp:posOffset>
                  </wp:positionV>
                  <wp:extent cx="2428875" cy="828675"/>
                  <wp:effectExtent l="19050" t="0" r="9525" b="0"/>
                  <wp:wrapNone/>
                  <wp:docPr id="289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2" name="图片 20"/>
                          <pic:cNvPicPr>
                            <a:picLocks noChangeAspect="1" noChangeArrowheads="1"/>
                          </pic:cNvPicPr>
                        </pic:nvPicPr>
                        <pic:blipFill>
                          <a:blip r:embed="rId9" cstate="print"/>
                          <a:srcRect/>
                          <a:stretch>
                            <a:fillRect/>
                          </a:stretch>
                        </pic:blipFill>
                        <pic:spPr>
                          <a:xfrm>
                            <a:off x="0" y="0"/>
                            <a:ext cx="2428875" cy="828675"/>
                          </a:xfrm>
                          <a:prstGeom prst="rect">
                            <a:avLst/>
                          </a:prstGeom>
                          <a:noFill/>
                          <a:ln w="9525">
                            <a:noFill/>
                            <a:miter lim="800000"/>
                            <a:headEnd/>
                            <a:tailEnd/>
                          </a:ln>
                        </pic:spPr>
                      </pic:pic>
                    </a:graphicData>
                  </a:graphic>
                </wp:anchor>
              </w:drawing>
            </w:r>
          </w:p>
          <w:p>
            <w:pPr>
              <w:spacing w:line="360" w:lineRule="auto"/>
              <w:ind w:firstLine="480" w:firstLineChars="200"/>
              <w:rPr>
                <w:sz w:val="24"/>
                <w:szCs w:val="22"/>
              </w:rPr>
            </w:pPr>
          </w:p>
          <w:p>
            <w:pPr>
              <w:spacing w:line="360" w:lineRule="auto"/>
              <w:ind w:firstLine="480" w:firstLineChars="200"/>
              <w:rPr>
                <w:sz w:val="24"/>
                <w:szCs w:val="22"/>
              </w:rPr>
            </w:pPr>
          </w:p>
          <w:p>
            <w:pPr>
              <w:spacing w:line="360" w:lineRule="auto"/>
              <w:ind w:firstLine="480" w:firstLineChars="200"/>
              <w:rPr>
                <w:sz w:val="24"/>
                <w:szCs w:val="22"/>
              </w:rPr>
            </w:pPr>
            <w:r>
              <w:rPr>
                <w:sz w:val="24"/>
                <w:szCs w:val="22"/>
              </w:rPr>
              <w:t>计算公式：</w:t>
            </w:r>
          </w:p>
          <w:p>
            <w:pPr>
              <w:spacing w:line="360" w:lineRule="auto"/>
              <w:ind w:firstLine="480" w:firstLineChars="200"/>
              <w:rPr>
                <w:sz w:val="24"/>
                <w:szCs w:val="22"/>
              </w:rPr>
            </w:pPr>
            <w:r>
              <w:rPr>
                <w:sz w:val="24"/>
                <w:szCs w:val="22"/>
              </w:rPr>
              <w:t>式中：Qc——工业企业有害气体无组织排放量可以达到的控制水平，kg·h</w:t>
            </w:r>
            <w:r>
              <w:rPr>
                <w:sz w:val="24"/>
                <w:szCs w:val="22"/>
                <w:vertAlign w:val="superscript"/>
              </w:rPr>
              <w:t>-1</w:t>
            </w:r>
            <w:r>
              <w:rPr>
                <w:sz w:val="24"/>
                <w:szCs w:val="22"/>
              </w:rPr>
              <w:t>；</w:t>
            </w:r>
          </w:p>
          <w:p>
            <w:pPr>
              <w:spacing w:line="360" w:lineRule="auto"/>
              <w:ind w:firstLine="480" w:firstLineChars="200"/>
              <w:rPr>
                <w:sz w:val="24"/>
                <w:szCs w:val="22"/>
              </w:rPr>
            </w:pPr>
            <w:r>
              <w:rPr>
                <w:sz w:val="24"/>
                <w:szCs w:val="22"/>
              </w:rPr>
              <w:t>Cm——标准浓度限值，mg/m</w:t>
            </w:r>
            <w:r>
              <w:rPr>
                <w:sz w:val="24"/>
                <w:szCs w:val="22"/>
                <w:vertAlign w:val="superscript"/>
              </w:rPr>
              <w:t>3</w:t>
            </w:r>
            <w:r>
              <w:rPr>
                <w:sz w:val="24"/>
                <w:szCs w:val="22"/>
              </w:rPr>
              <w:t>；</w:t>
            </w:r>
          </w:p>
          <w:p>
            <w:pPr>
              <w:spacing w:line="360" w:lineRule="auto"/>
              <w:ind w:firstLine="480" w:firstLineChars="200"/>
              <w:rPr>
                <w:sz w:val="24"/>
                <w:szCs w:val="22"/>
              </w:rPr>
            </w:pPr>
            <w:r>
              <w:rPr>
                <w:sz w:val="24"/>
                <w:szCs w:val="22"/>
              </w:rPr>
              <w:t>L ——工业企业所需卫生防护距离，m；</w:t>
            </w:r>
          </w:p>
          <w:p>
            <w:pPr>
              <w:spacing w:line="360" w:lineRule="auto"/>
              <w:ind w:firstLine="480" w:firstLineChars="200"/>
              <w:rPr>
                <w:sz w:val="24"/>
                <w:szCs w:val="22"/>
              </w:rPr>
            </w:pPr>
            <w:r>
              <w:rPr>
                <w:sz w:val="24"/>
                <w:szCs w:val="22"/>
              </w:rPr>
              <w:t>R ——有害气体无组织排放源所在生产单元的等效半径，m。根据该生产单元占地面积 S(m</w:t>
            </w:r>
            <w:r>
              <w:rPr>
                <w:sz w:val="24"/>
                <w:szCs w:val="22"/>
                <w:vertAlign w:val="superscript"/>
              </w:rPr>
              <w:t>2</w:t>
            </w:r>
            <w:r>
              <w:rPr>
                <w:sz w:val="24"/>
                <w:szCs w:val="22"/>
              </w:rPr>
              <w:t>)计算，r=（S/π）0.5；</w:t>
            </w:r>
          </w:p>
          <w:p>
            <w:pPr>
              <w:spacing w:line="360" w:lineRule="auto"/>
              <w:ind w:firstLine="480" w:firstLineChars="200"/>
              <w:rPr>
                <w:sz w:val="24"/>
                <w:szCs w:val="22"/>
              </w:rPr>
            </w:pPr>
            <w:r>
              <w:rPr>
                <w:sz w:val="24"/>
                <w:szCs w:val="22"/>
              </w:rPr>
              <w:t>A、B、C、D——卫生防护距离计算系数，无因次，根据工业企业所在地区近五年平均风速及工业企业大气污染源构成类别从下表查取。</w:t>
            </w:r>
          </w:p>
          <w:p>
            <w:pPr>
              <w:snapToGrid w:val="0"/>
              <w:jc w:val="center"/>
              <w:rPr>
                <w:b/>
                <w:color w:val="000000"/>
                <w:szCs w:val="21"/>
              </w:rPr>
            </w:pPr>
            <w:r>
              <w:rPr>
                <w:rFonts w:hint="eastAsia"/>
                <w:b/>
                <w:color w:val="000000"/>
                <w:szCs w:val="21"/>
              </w:rPr>
              <w:t>表32卫生防护距离计算系数</w:t>
            </w:r>
          </w:p>
          <w:tbl>
            <w:tblPr>
              <w:tblStyle w:val="30"/>
              <w:tblW w:w="5000" w:type="pct"/>
              <w:tblInd w:w="0" w:type="dxa"/>
              <w:tblLayout w:type="fixed"/>
              <w:tblCellMar>
                <w:top w:w="0" w:type="dxa"/>
                <w:left w:w="0" w:type="dxa"/>
                <w:bottom w:w="0" w:type="dxa"/>
                <w:right w:w="0" w:type="dxa"/>
              </w:tblCellMar>
            </w:tblPr>
            <w:tblGrid>
              <w:gridCol w:w="800"/>
              <w:gridCol w:w="1625"/>
              <w:gridCol w:w="798"/>
              <w:gridCol w:w="734"/>
              <w:gridCol w:w="720"/>
              <w:gridCol w:w="744"/>
              <w:gridCol w:w="733"/>
              <w:gridCol w:w="719"/>
              <w:gridCol w:w="735"/>
              <w:gridCol w:w="734"/>
              <w:gridCol w:w="802"/>
            </w:tblGrid>
            <w:tr>
              <w:tblPrEx>
                <w:tblCellMar>
                  <w:top w:w="0" w:type="dxa"/>
                  <w:left w:w="0" w:type="dxa"/>
                  <w:bottom w:w="0" w:type="dxa"/>
                  <w:right w:w="0" w:type="dxa"/>
                </w:tblCellMar>
              </w:tblPrEx>
              <w:tc>
                <w:tcPr>
                  <w:tcW w:w="786"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rFonts w:hAnsi="宋体"/>
                      <w:szCs w:val="21"/>
                    </w:rPr>
                    <w:t>计算系数</w:t>
                  </w:r>
                </w:p>
              </w:tc>
              <w:tc>
                <w:tcPr>
                  <w:tcW w:w="1598"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rFonts w:hAnsi="宋体"/>
                      <w:szCs w:val="21"/>
                    </w:rPr>
                    <w:t>工业企业所在地</w:t>
                  </w:r>
                  <w:r>
                    <w:rPr>
                      <w:szCs w:val="21"/>
                    </w:rPr>
                    <w:t xml:space="preserve"> </w:t>
                  </w:r>
                  <w:r>
                    <w:rPr>
                      <w:rFonts w:hAnsi="宋体"/>
                      <w:szCs w:val="21"/>
                    </w:rPr>
                    <w:t>区近五年平均风</w:t>
                  </w:r>
                  <w:r>
                    <w:rPr>
                      <w:szCs w:val="21"/>
                    </w:rPr>
                    <w:t xml:space="preserve"> </w:t>
                  </w:r>
                  <w:r>
                    <w:rPr>
                      <w:rFonts w:hAnsi="宋体"/>
                      <w:szCs w:val="21"/>
                    </w:rPr>
                    <w:t>速</w:t>
                  </w:r>
                  <w:r>
                    <w:rPr>
                      <w:szCs w:val="21"/>
                    </w:rPr>
                    <w:t xml:space="preserve"> m/s</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L≤1000</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1000&lt;L&lt;2000</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L&gt;2000</w:t>
                  </w:r>
                </w:p>
              </w:tc>
            </w:tr>
            <w:tr>
              <w:tblPrEx>
                <w:tblCellMar>
                  <w:top w:w="0" w:type="dxa"/>
                  <w:left w:w="0" w:type="dxa"/>
                  <w:bottom w:w="0" w:type="dxa"/>
                  <w:right w:w="0" w:type="dxa"/>
                </w:tblCellMar>
              </w:tblPrEx>
              <w:tc>
                <w:tcPr>
                  <w:tcW w:w="786" w:type="dxa"/>
                  <w:vMerge w:val="continue"/>
                  <w:tcBorders>
                    <w:left w:val="single" w:color="000000" w:sz="2" w:space="0"/>
                    <w:right w:val="single" w:color="000000" w:sz="2" w:space="0"/>
                  </w:tcBorders>
                  <w:vAlign w:val="center"/>
                </w:tcPr>
                <w:p>
                  <w:pPr>
                    <w:snapToGrid w:val="0"/>
                    <w:jc w:val="center"/>
                    <w:rPr>
                      <w:szCs w:val="21"/>
                    </w:rPr>
                  </w:pPr>
                </w:p>
              </w:tc>
              <w:tc>
                <w:tcPr>
                  <w:tcW w:w="1598" w:type="dxa"/>
                  <w:vMerge w:val="continue"/>
                  <w:tcBorders>
                    <w:left w:val="single" w:color="000000" w:sz="2" w:space="0"/>
                    <w:right w:val="single" w:color="000000" w:sz="2" w:space="0"/>
                  </w:tcBorders>
                  <w:vAlign w:val="center"/>
                </w:tcPr>
                <w:p>
                  <w:pPr>
                    <w:snapToGrid w:val="0"/>
                    <w:jc w:val="center"/>
                    <w:rPr>
                      <w:szCs w:val="21"/>
                    </w:rPr>
                  </w:pPr>
                </w:p>
              </w:tc>
              <w:tc>
                <w:tcPr>
                  <w:tcW w:w="6616" w:type="dxa"/>
                  <w:gridSpan w:val="9"/>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工业企业大气污染源构成类别</w:t>
                  </w:r>
                  <w:r>
                    <w:rPr>
                      <w:szCs w:val="21"/>
                    </w:rPr>
                    <w:t>(1)</w:t>
                  </w:r>
                </w:p>
              </w:tc>
            </w:tr>
            <w:tr>
              <w:tblPrEx>
                <w:tblCellMar>
                  <w:top w:w="0" w:type="dxa"/>
                  <w:left w:w="0" w:type="dxa"/>
                  <w:bottom w:w="0" w:type="dxa"/>
                  <w:right w:w="0" w:type="dxa"/>
                </w:tblCellMar>
              </w:tblPrEx>
              <w:tc>
                <w:tcPr>
                  <w:tcW w:w="786"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1598"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Ⅰ</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Ⅱ</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Ⅲ</w:t>
                  </w:r>
                </w:p>
              </w:tc>
              <w:tc>
                <w:tcPr>
                  <w:tcW w:w="73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Ⅰ</w:t>
                  </w:r>
                </w:p>
              </w:tc>
              <w:tc>
                <w:tcPr>
                  <w:tcW w:w="72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Ⅱ</w:t>
                  </w:r>
                </w:p>
              </w:tc>
              <w:tc>
                <w:tcPr>
                  <w:tcW w:w="70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Ⅲ</w:t>
                  </w:r>
                </w:p>
              </w:tc>
              <w:tc>
                <w:tcPr>
                  <w:tcW w:w="72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Ⅰ</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Ⅱ</w:t>
                  </w:r>
                </w:p>
              </w:tc>
              <w:tc>
                <w:tcPr>
                  <w:tcW w:w="78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rFonts w:hAnsi="宋体"/>
                      <w:szCs w:val="21"/>
                    </w:rPr>
                    <w:t>Ⅲ</w:t>
                  </w:r>
                </w:p>
              </w:tc>
            </w:tr>
            <w:tr>
              <w:tblPrEx>
                <w:tblCellMar>
                  <w:top w:w="0" w:type="dxa"/>
                  <w:left w:w="0" w:type="dxa"/>
                  <w:bottom w:w="0" w:type="dxa"/>
                  <w:right w:w="0" w:type="dxa"/>
                </w:tblCellMar>
              </w:tblPrEx>
              <w:tc>
                <w:tcPr>
                  <w:tcW w:w="786"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szCs w:val="21"/>
                    </w:rPr>
                    <w:t>A</w:t>
                  </w: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&lt;2</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3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2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0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400</w:t>
                  </w:r>
                </w:p>
              </w:tc>
              <w:tc>
                <w:tcPr>
                  <w:tcW w:w="72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80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80</w:t>
                  </w:r>
                </w:p>
              </w:tc>
              <w:tc>
                <w:tcPr>
                  <w:tcW w:w="78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80</w:t>
                  </w:r>
                </w:p>
              </w:tc>
            </w:tr>
            <w:tr>
              <w:tblPrEx>
                <w:tblCellMar>
                  <w:top w:w="0" w:type="dxa"/>
                  <w:left w:w="0" w:type="dxa"/>
                  <w:bottom w:w="0" w:type="dxa"/>
                  <w:right w:w="0" w:type="dxa"/>
                </w:tblCellMar>
              </w:tblPrEx>
              <w:tc>
                <w:tcPr>
                  <w:tcW w:w="786" w:type="dxa"/>
                  <w:vMerge w:val="continue"/>
                  <w:tcBorders>
                    <w:left w:val="single" w:color="000000" w:sz="2" w:space="0"/>
                    <w:right w:val="single" w:color="000000" w:sz="2" w:space="0"/>
                  </w:tcBorders>
                  <w:vAlign w:val="center"/>
                </w:tcPr>
                <w:p>
                  <w:pPr>
                    <w:snapToGrid w:val="0"/>
                    <w:jc w:val="center"/>
                    <w:rPr>
                      <w:szCs w:val="21"/>
                    </w:rPr>
                  </w:pP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2-4</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700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470</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350</w:t>
                  </w:r>
                </w:p>
              </w:tc>
              <w:tc>
                <w:tcPr>
                  <w:tcW w:w="73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700</w:t>
                  </w:r>
                </w:p>
              </w:tc>
              <w:tc>
                <w:tcPr>
                  <w:tcW w:w="72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470</w:t>
                  </w:r>
                </w:p>
              </w:tc>
              <w:tc>
                <w:tcPr>
                  <w:tcW w:w="70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350</w:t>
                  </w:r>
                </w:p>
              </w:tc>
              <w:tc>
                <w:tcPr>
                  <w:tcW w:w="72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380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250</w:t>
                  </w:r>
                </w:p>
              </w:tc>
              <w:tc>
                <w:tcPr>
                  <w:tcW w:w="78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190</w:t>
                  </w:r>
                </w:p>
              </w:tc>
            </w:tr>
            <w:tr>
              <w:tblPrEx>
                <w:tblCellMar>
                  <w:top w:w="0" w:type="dxa"/>
                  <w:left w:w="0" w:type="dxa"/>
                  <w:bottom w:w="0" w:type="dxa"/>
                  <w:right w:w="0" w:type="dxa"/>
                </w:tblCellMar>
              </w:tblPrEx>
              <w:tc>
                <w:tcPr>
                  <w:tcW w:w="786"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&gt;4</w:t>
                  </w:r>
                </w:p>
              </w:tc>
              <w:tc>
                <w:tcPr>
                  <w:tcW w:w="785"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530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350</w:t>
                  </w:r>
                </w:p>
              </w:tc>
              <w:tc>
                <w:tcPr>
                  <w:tcW w:w="70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260</w:t>
                  </w:r>
                </w:p>
              </w:tc>
              <w:tc>
                <w:tcPr>
                  <w:tcW w:w="73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530</w:t>
                  </w:r>
                </w:p>
              </w:tc>
              <w:tc>
                <w:tcPr>
                  <w:tcW w:w="722"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350</w:t>
                  </w:r>
                </w:p>
              </w:tc>
              <w:tc>
                <w:tcPr>
                  <w:tcW w:w="70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260</w:t>
                  </w:r>
                </w:p>
              </w:tc>
              <w:tc>
                <w:tcPr>
                  <w:tcW w:w="724"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290</w:t>
                  </w:r>
                </w:p>
              </w:tc>
              <w:tc>
                <w:tcPr>
                  <w:tcW w:w="723"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190</w:t>
                  </w:r>
                </w:p>
              </w:tc>
              <w:tc>
                <w:tcPr>
                  <w:tcW w:w="789"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140</w:t>
                  </w:r>
                </w:p>
              </w:tc>
            </w:tr>
            <w:tr>
              <w:tblPrEx>
                <w:tblCellMar>
                  <w:top w:w="0" w:type="dxa"/>
                  <w:left w:w="0" w:type="dxa"/>
                  <w:bottom w:w="0" w:type="dxa"/>
                  <w:right w:w="0" w:type="dxa"/>
                </w:tblCellMar>
              </w:tblPrEx>
              <w:tc>
                <w:tcPr>
                  <w:tcW w:w="786"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szCs w:val="21"/>
                    </w:rPr>
                    <w:t>B</w:t>
                  </w: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0.01</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0.015</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0.015</w:t>
                  </w:r>
                </w:p>
              </w:tc>
            </w:tr>
            <w:tr>
              <w:tblPrEx>
                <w:tblCellMar>
                  <w:top w:w="0" w:type="dxa"/>
                  <w:left w:w="0" w:type="dxa"/>
                  <w:bottom w:w="0" w:type="dxa"/>
                  <w:right w:w="0" w:type="dxa"/>
                </w:tblCellMar>
              </w:tblPrEx>
              <w:tc>
                <w:tcPr>
                  <w:tcW w:w="786"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&gt;2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0.021</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0.036</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0.036</w:t>
                  </w:r>
                </w:p>
              </w:tc>
            </w:tr>
            <w:tr>
              <w:tblPrEx>
                <w:tblCellMar>
                  <w:top w:w="0" w:type="dxa"/>
                  <w:left w:w="0" w:type="dxa"/>
                  <w:bottom w:w="0" w:type="dxa"/>
                  <w:right w:w="0" w:type="dxa"/>
                </w:tblCellMar>
              </w:tblPrEx>
              <w:tc>
                <w:tcPr>
                  <w:tcW w:w="786"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szCs w:val="21"/>
                    </w:rPr>
                    <w:t>C</w:t>
                  </w: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1.85</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1.79</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1.79</w:t>
                  </w:r>
                </w:p>
              </w:tc>
            </w:tr>
            <w:tr>
              <w:tblPrEx>
                <w:tblCellMar>
                  <w:top w:w="0" w:type="dxa"/>
                  <w:left w:w="0" w:type="dxa"/>
                  <w:bottom w:w="0" w:type="dxa"/>
                  <w:right w:w="0" w:type="dxa"/>
                </w:tblCellMar>
              </w:tblPrEx>
              <w:tc>
                <w:tcPr>
                  <w:tcW w:w="786"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&gt;2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1.85</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1.77</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1.7</w:t>
                  </w:r>
                </w:p>
              </w:tc>
            </w:tr>
            <w:tr>
              <w:tblPrEx>
                <w:tblCellMar>
                  <w:top w:w="0" w:type="dxa"/>
                  <w:left w:w="0" w:type="dxa"/>
                  <w:bottom w:w="0" w:type="dxa"/>
                  <w:right w:w="0" w:type="dxa"/>
                </w:tblCellMar>
              </w:tblPrEx>
              <w:tc>
                <w:tcPr>
                  <w:tcW w:w="786" w:type="dxa"/>
                  <w:vMerge w:val="restart"/>
                  <w:tcBorders>
                    <w:top w:val="single" w:color="000000" w:sz="2" w:space="0"/>
                    <w:left w:val="single" w:color="000000" w:sz="2" w:space="0"/>
                    <w:right w:val="single" w:color="000000" w:sz="2" w:space="0"/>
                  </w:tcBorders>
                  <w:vAlign w:val="center"/>
                </w:tcPr>
                <w:p>
                  <w:pPr>
                    <w:snapToGrid w:val="0"/>
                    <w:jc w:val="center"/>
                    <w:rPr>
                      <w:szCs w:val="21"/>
                    </w:rPr>
                  </w:pPr>
                  <w:r>
                    <w:rPr>
                      <w:szCs w:val="21"/>
                    </w:rPr>
                    <w:t>D</w:t>
                  </w: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&lt;2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0.78</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0.78</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0.57</w:t>
                  </w:r>
                </w:p>
              </w:tc>
            </w:tr>
            <w:tr>
              <w:tblPrEx>
                <w:tblCellMar>
                  <w:top w:w="0" w:type="dxa"/>
                  <w:left w:w="0" w:type="dxa"/>
                  <w:bottom w:w="0" w:type="dxa"/>
                  <w:right w:w="0" w:type="dxa"/>
                </w:tblCellMar>
              </w:tblPrEx>
              <w:tc>
                <w:tcPr>
                  <w:tcW w:w="786" w:type="dxa"/>
                  <w:vMerge w:val="continue"/>
                  <w:tcBorders>
                    <w:left w:val="single" w:color="000000" w:sz="2" w:space="0"/>
                    <w:bottom w:val="single" w:color="000000" w:sz="2" w:space="0"/>
                    <w:right w:val="single" w:color="000000" w:sz="2" w:space="0"/>
                  </w:tcBorders>
                  <w:vAlign w:val="center"/>
                </w:tcPr>
                <w:p>
                  <w:pPr>
                    <w:snapToGrid w:val="0"/>
                    <w:jc w:val="center"/>
                    <w:rPr>
                      <w:szCs w:val="21"/>
                    </w:rPr>
                  </w:pPr>
                </w:p>
              </w:tc>
              <w:tc>
                <w:tcPr>
                  <w:tcW w:w="1598" w:type="dxa"/>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&gt;2</w:t>
                  </w:r>
                </w:p>
              </w:tc>
              <w:tc>
                <w:tcPr>
                  <w:tcW w:w="2217"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0.84</w:t>
                  </w:r>
                </w:p>
              </w:tc>
              <w:tc>
                <w:tcPr>
                  <w:tcW w:w="2163"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0.84</w:t>
                  </w:r>
                </w:p>
              </w:tc>
              <w:tc>
                <w:tcPr>
                  <w:tcW w:w="2236" w:type="dxa"/>
                  <w:gridSpan w:val="3"/>
                  <w:tcBorders>
                    <w:top w:val="single" w:color="000000" w:sz="2" w:space="0"/>
                    <w:left w:val="single" w:color="000000" w:sz="2" w:space="0"/>
                    <w:bottom w:val="single" w:color="000000" w:sz="2" w:space="0"/>
                    <w:right w:val="single" w:color="000000" w:sz="2" w:space="0"/>
                  </w:tcBorders>
                  <w:vAlign w:val="center"/>
                </w:tcPr>
                <w:p>
                  <w:pPr>
                    <w:snapToGrid w:val="0"/>
                    <w:jc w:val="center"/>
                    <w:rPr>
                      <w:szCs w:val="21"/>
                    </w:rPr>
                  </w:pPr>
                  <w:r>
                    <w:rPr>
                      <w:szCs w:val="21"/>
                    </w:rPr>
                    <w:t>0.76</w:t>
                  </w:r>
                </w:p>
              </w:tc>
            </w:tr>
          </w:tbl>
          <w:p>
            <w:pPr>
              <w:spacing w:line="360" w:lineRule="auto"/>
              <w:ind w:firstLine="480" w:firstLineChars="200"/>
              <w:rPr>
                <w:sz w:val="24"/>
                <w:szCs w:val="22"/>
              </w:rPr>
            </w:pPr>
            <w:r>
              <w:rPr>
                <w:sz w:val="24"/>
                <w:szCs w:val="22"/>
              </w:rPr>
              <w:t xml:space="preserve">注:工业企业大气污染源构成分为三类: </w:t>
            </w:r>
            <w:r>
              <w:rPr>
                <w:rFonts w:hint="eastAsia" w:ascii="宋体" w:hAnsi="宋体" w:cs="宋体"/>
                <w:sz w:val="24"/>
                <w:szCs w:val="22"/>
              </w:rPr>
              <w:t>Ⅰ</w:t>
            </w:r>
            <w:r>
              <w:rPr>
                <w:sz w:val="24"/>
                <w:szCs w:val="22"/>
              </w:rPr>
              <w:t>类:与无组织排放源共存的排放同种有害气体的排气筒的排放量,大于标准规定的允许排放量的三分之一者。</w:t>
            </w:r>
          </w:p>
          <w:p>
            <w:pPr>
              <w:spacing w:line="360" w:lineRule="auto"/>
              <w:ind w:firstLine="480" w:firstLineChars="200"/>
              <w:rPr>
                <w:sz w:val="24"/>
                <w:szCs w:val="22"/>
              </w:rPr>
            </w:pPr>
            <w:r>
              <w:rPr>
                <w:rFonts w:hint="eastAsia" w:ascii="宋体" w:hAnsi="宋体" w:cs="宋体"/>
                <w:sz w:val="24"/>
                <w:szCs w:val="22"/>
              </w:rPr>
              <w:t>Ⅱ</w:t>
            </w:r>
            <w:r>
              <w:rPr>
                <w:sz w:val="24"/>
                <w:szCs w:val="22"/>
              </w:rPr>
              <w:t>类:与无组织排放源共存的排放同种有害气体的排气筒的排放量,小于标准规定的允许排放量的三分之一,或虽无排放同种大气污染物之排气筒共存,但无组织排放的有害物质的容许浓度指标是按急性反应指标确定者。</w:t>
            </w:r>
          </w:p>
          <w:p>
            <w:pPr>
              <w:spacing w:line="360" w:lineRule="auto"/>
              <w:ind w:firstLine="480" w:firstLineChars="200"/>
              <w:rPr>
                <w:sz w:val="24"/>
                <w:szCs w:val="22"/>
              </w:rPr>
            </w:pPr>
            <w:r>
              <w:rPr>
                <w:rFonts w:hint="eastAsia" w:ascii="宋体" w:hAnsi="宋体" w:cs="宋体"/>
                <w:sz w:val="24"/>
                <w:szCs w:val="22"/>
              </w:rPr>
              <w:t>Ⅲ</w:t>
            </w:r>
            <w:r>
              <w:rPr>
                <w:sz w:val="24"/>
                <w:szCs w:val="22"/>
              </w:rPr>
              <w:t>类:无排放同种有害物质的排气筒与无组织排放源共存,且无组织排放的有害物质的容许浓度是按慢性反应指标确定者。</w:t>
            </w:r>
          </w:p>
          <w:p>
            <w:pPr>
              <w:spacing w:line="360" w:lineRule="auto"/>
              <w:ind w:firstLine="480" w:firstLineChars="200"/>
              <w:rPr>
                <w:sz w:val="24"/>
                <w:szCs w:val="22"/>
              </w:rPr>
            </w:pPr>
            <w:r>
              <w:rPr>
                <w:sz w:val="24"/>
                <w:szCs w:val="22"/>
              </w:rPr>
              <w:t>无组织废气源强和卫生防护距离计算结果见表</w:t>
            </w:r>
            <w:r>
              <w:rPr>
                <w:rFonts w:hint="eastAsia"/>
                <w:sz w:val="24"/>
                <w:szCs w:val="22"/>
              </w:rPr>
              <w:t>33</w:t>
            </w:r>
            <w:r>
              <w:rPr>
                <w:sz w:val="24"/>
                <w:szCs w:val="22"/>
              </w:rPr>
              <w:t>。</w:t>
            </w:r>
          </w:p>
          <w:p>
            <w:pPr>
              <w:snapToGrid w:val="0"/>
              <w:jc w:val="center"/>
              <w:rPr>
                <w:b/>
                <w:szCs w:val="21"/>
              </w:rPr>
            </w:pPr>
            <w:r>
              <w:rPr>
                <w:rFonts w:hint="eastAsia"/>
                <w:b/>
                <w:szCs w:val="21"/>
              </w:rPr>
              <w:t>表33 卫生防护距离计算结果</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9"/>
              <w:gridCol w:w="2531"/>
              <w:gridCol w:w="2214"/>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49" w:type="dxa"/>
                  <w:vAlign w:val="center"/>
                </w:tcPr>
                <w:p>
                  <w:pPr>
                    <w:pStyle w:val="230"/>
                    <w:snapToGrid w:val="0"/>
                    <w:jc w:val="center"/>
                    <w:rPr>
                      <w:sz w:val="21"/>
                      <w:szCs w:val="21"/>
                    </w:rPr>
                  </w:pPr>
                  <w:r>
                    <w:rPr>
                      <w:rFonts w:hAnsi="宋体"/>
                      <w:sz w:val="21"/>
                      <w:szCs w:val="21"/>
                    </w:rPr>
                    <w:t>废气来源</w:t>
                  </w:r>
                </w:p>
              </w:tc>
              <w:tc>
                <w:tcPr>
                  <w:tcW w:w="2531" w:type="dxa"/>
                  <w:vAlign w:val="center"/>
                </w:tcPr>
                <w:p>
                  <w:pPr>
                    <w:pStyle w:val="230"/>
                    <w:snapToGrid w:val="0"/>
                    <w:jc w:val="center"/>
                    <w:rPr>
                      <w:sz w:val="21"/>
                      <w:szCs w:val="21"/>
                    </w:rPr>
                  </w:pPr>
                  <w:r>
                    <w:rPr>
                      <w:rFonts w:hAnsi="宋体"/>
                      <w:sz w:val="21"/>
                      <w:szCs w:val="21"/>
                    </w:rPr>
                    <w:t>污染物</w:t>
                  </w:r>
                </w:p>
              </w:tc>
              <w:tc>
                <w:tcPr>
                  <w:tcW w:w="2214" w:type="dxa"/>
                  <w:vAlign w:val="center"/>
                </w:tcPr>
                <w:p>
                  <w:pPr>
                    <w:pStyle w:val="230"/>
                    <w:snapToGrid w:val="0"/>
                    <w:jc w:val="center"/>
                    <w:rPr>
                      <w:sz w:val="21"/>
                      <w:szCs w:val="21"/>
                    </w:rPr>
                  </w:pPr>
                  <w:r>
                    <w:rPr>
                      <w:rFonts w:hAnsi="宋体"/>
                      <w:sz w:val="21"/>
                      <w:szCs w:val="21"/>
                    </w:rPr>
                    <w:t>卫生防护距离（</w:t>
                  </w:r>
                  <w:r>
                    <w:rPr>
                      <w:sz w:val="21"/>
                      <w:szCs w:val="21"/>
                    </w:rPr>
                    <w:t>m</w:t>
                  </w:r>
                  <w:r>
                    <w:rPr>
                      <w:rFonts w:hAnsi="宋体"/>
                      <w:sz w:val="21"/>
                      <w:szCs w:val="21"/>
                    </w:rPr>
                    <w:t>）</w:t>
                  </w:r>
                </w:p>
              </w:tc>
              <w:tc>
                <w:tcPr>
                  <w:tcW w:w="1421" w:type="dxa"/>
                  <w:vAlign w:val="center"/>
                </w:tcPr>
                <w:p>
                  <w:pPr>
                    <w:pStyle w:val="230"/>
                    <w:snapToGrid w:val="0"/>
                    <w:jc w:val="center"/>
                    <w:rPr>
                      <w:sz w:val="21"/>
                      <w:szCs w:val="21"/>
                    </w:rPr>
                  </w:pPr>
                  <w:r>
                    <w:rPr>
                      <w:rFonts w:hAnsi="宋体"/>
                      <w:sz w:val="21"/>
                      <w:szCs w:val="21"/>
                    </w:rPr>
                    <w:t>取值（</w:t>
                  </w:r>
                  <w:r>
                    <w:rPr>
                      <w:sz w:val="21"/>
                      <w:szCs w:val="21"/>
                    </w:rPr>
                    <w:t>m</w:t>
                  </w:r>
                  <w:r>
                    <w:rPr>
                      <w:rFonts w:hAnsi="宋体"/>
                      <w:sz w:val="21"/>
                      <w:szCs w:val="21"/>
                    </w:rPr>
                    <w:t>）</w:t>
                  </w:r>
                </w:p>
              </w:tc>
              <w:tc>
                <w:tcPr>
                  <w:tcW w:w="1421" w:type="dxa"/>
                  <w:vAlign w:val="center"/>
                </w:tcPr>
                <w:p>
                  <w:pPr>
                    <w:pStyle w:val="230"/>
                    <w:snapToGrid w:val="0"/>
                    <w:jc w:val="center"/>
                    <w:rPr>
                      <w:rFonts w:hAnsi="宋体"/>
                      <w:sz w:val="21"/>
                      <w:szCs w:val="21"/>
                    </w:rPr>
                  </w:pPr>
                  <w:r>
                    <w:rPr>
                      <w:rFonts w:hint="eastAsia" w:hAnsi="宋体"/>
                      <w:sz w:val="21"/>
                      <w:szCs w:val="21"/>
                    </w:rPr>
                    <w:t>卫生防护距离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49" w:type="dxa"/>
                  <w:vAlign w:val="center"/>
                </w:tcPr>
                <w:p>
                  <w:pPr>
                    <w:pStyle w:val="230"/>
                    <w:snapToGrid w:val="0"/>
                    <w:jc w:val="center"/>
                    <w:rPr>
                      <w:rFonts w:hAnsi="宋体"/>
                      <w:sz w:val="21"/>
                      <w:szCs w:val="21"/>
                    </w:rPr>
                  </w:pPr>
                  <w:r>
                    <w:rPr>
                      <w:rFonts w:hint="eastAsia" w:hAnsi="宋体"/>
                      <w:sz w:val="21"/>
                      <w:szCs w:val="21"/>
                    </w:rPr>
                    <w:t>生产车间</w:t>
                  </w:r>
                </w:p>
              </w:tc>
              <w:tc>
                <w:tcPr>
                  <w:tcW w:w="2531" w:type="dxa"/>
                  <w:vAlign w:val="center"/>
                </w:tcPr>
                <w:p>
                  <w:pPr>
                    <w:snapToGrid w:val="0"/>
                    <w:jc w:val="center"/>
                    <w:rPr>
                      <w:szCs w:val="21"/>
                    </w:rPr>
                  </w:pPr>
                  <w:r>
                    <w:rPr>
                      <w:szCs w:val="21"/>
                    </w:rPr>
                    <w:t>颗粒物</w:t>
                  </w:r>
                </w:p>
              </w:tc>
              <w:tc>
                <w:tcPr>
                  <w:tcW w:w="2214" w:type="dxa"/>
                  <w:vAlign w:val="center"/>
                </w:tcPr>
                <w:p>
                  <w:pPr>
                    <w:pStyle w:val="230"/>
                    <w:snapToGrid w:val="0"/>
                    <w:jc w:val="center"/>
                    <w:rPr>
                      <w:sz w:val="21"/>
                      <w:szCs w:val="21"/>
                    </w:rPr>
                  </w:pPr>
                  <w:r>
                    <w:rPr>
                      <w:rFonts w:hint="eastAsia"/>
                      <w:sz w:val="21"/>
                      <w:szCs w:val="21"/>
                    </w:rPr>
                    <w:t>5.577</w:t>
                  </w:r>
                </w:p>
              </w:tc>
              <w:tc>
                <w:tcPr>
                  <w:tcW w:w="1421" w:type="dxa"/>
                  <w:vAlign w:val="center"/>
                </w:tcPr>
                <w:p>
                  <w:pPr>
                    <w:pStyle w:val="230"/>
                    <w:snapToGrid w:val="0"/>
                    <w:jc w:val="center"/>
                    <w:rPr>
                      <w:sz w:val="21"/>
                      <w:szCs w:val="21"/>
                    </w:rPr>
                  </w:pPr>
                  <w:r>
                    <w:rPr>
                      <w:rFonts w:hint="eastAsia"/>
                      <w:sz w:val="21"/>
                      <w:szCs w:val="21"/>
                    </w:rPr>
                    <w:t>50</w:t>
                  </w:r>
                </w:p>
              </w:tc>
              <w:tc>
                <w:tcPr>
                  <w:tcW w:w="1421" w:type="dxa"/>
                  <w:vAlign w:val="center"/>
                </w:tcPr>
                <w:p>
                  <w:pPr>
                    <w:pStyle w:val="230"/>
                    <w:snapToGrid w:val="0"/>
                    <w:jc w:val="center"/>
                    <w:rPr>
                      <w:sz w:val="21"/>
                      <w:szCs w:val="21"/>
                    </w:rPr>
                  </w:pPr>
                  <w:r>
                    <w:rPr>
                      <w:rFonts w:hint="eastAsia"/>
                      <w:sz w:val="21"/>
                      <w:szCs w:val="21"/>
                    </w:rPr>
                    <w:t>50</w:t>
                  </w:r>
                </w:p>
              </w:tc>
            </w:tr>
          </w:tbl>
          <w:p>
            <w:pPr>
              <w:spacing w:line="360" w:lineRule="auto"/>
              <w:ind w:firstLine="480" w:firstLineChars="200"/>
              <w:rPr>
                <w:sz w:val="24"/>
                <w:szCs w:val="22"/>
              </w:rPr>
            </w:pPr>
            <w:r>
              <w:rPr>
                <w:sz w:val="24"/>
                <w:szCs w:val="22"/>
              </w:rPr>
              <w:t>本项目卫生防护距离确定：</w:t>
            </w:r>
          </w:p>
          <w:p>
            <w:pPr>
              <w:spacing w:line="360" w:lineRule="auto"/>
              <w:ind w:firstLine="480" w:firstLineChars="200"/>
              <w:rPr>
                <w:sz w:val="24"/>
                <w:szCs w:val="22"/>
              </w:rPr>
            </w:pPr>
            <w:r>
              <w:rPr>
                <w:sz w:val="24"/>
                <w:szCs w:val="22"/>
              </w:rPr>
              <w:t>由以上计算可知，根据《制定地方大气污染物排放标准的技术方法》（GB/T 3840-91） 中的规定</w:t>
            </w:r>
            <w:r>
              <w:rPr>
                <w:rFonts w:hint="eastAsia"/>
                <w:sz w:val="24"/>
                <w:szCs w:val="22"/>
              </w:rPr>
              <w:t>：</w:t>
            </w:r>
            <w:r>
              <w:rPr>
                <w:sz w:val="24"/>
                <w:szCs w:val="22"/>
              </w:rPr>
              <w:t>卫生防护距离在100m以内时，级差为50m；超过100m，但小于或等于1000m 时，级差为100m；超过1000m 以上，级差为</w:t>
            </w:r>
            <w:r>
              <w:rPr>
                <w:rFonts w:hint="eastAsia"/>
                <w:sz w:val="24"/>
                <w:szCs w:val="22"/>
              </w:rPr>
              <w:t>2</w:t>
            </w:r>
            <w:r>
              <w:rPr>
                <w:sz w:val="24"/>
                <w:szCs w:val="22"/>
              </w:rPr>
              <w:t>00m；当两种或两种以上的有害气体的 Qc/Cm 值计算的卫生防护距离在同一级别时，该类工业企业的卫生防护距离级别应该高一级。经以上计算，最终确定</w:t>
            </w:r>
            <w:r>
              <w:rPr>
                <w:rFonts w:hint="eastAsia"/>
                <w:sz w:val="24"/>
                <w:szCs w:val="22"/>
              </w:rPr>
              <w:t>生产车间</w:t>
            </w:r>
            <w:r>
              <w:rPr>
                <w:sz w:val="24"/>
                <w:szCs w:val="22"/>
              </w:rPr>
              <w:t>卫生防护距离为</w:t>
            </w:r>
            <w:r>
              <w:rPr>
                <w:rFonts w:hint="eastAsia"/>
                <w:sz w:val="24"/>
                <w:szCs w:val="22"/>
              </w:rPr>
              <w:t>5</w:t>
            </w:r>
            <w:r>
              <w:rPr>
                <w:sz w:val="24"/>
                <w:szCs w:val="22"/>
              </w:rPr>
              <w:t>0m。</w:t>
            </w:r>
          </w:p>
          <w:p>
            <w:pPr>
              <w:spacing w:line="360" w:lineRule="auto"/>
              <w:ind w:firstLine="480" w:firstLineChars="200"/>
              <w:rPr>
                <w:sz w:val="24"/>
                <w:szCs w:val="22"/>
              </w:rPr>
            </w:pPr>
            <w:r>
              <w:rPr>
                <w:sz w:val="24"/>
                <w:szCs w:val="22"/>
              </w:rPr>
              <w:t>根据卫生防护距离的要求，在卫生防护距离范围内，不得规划建设诸如机关、学校、 医院、养老院、居民点等对环境空气要求较高的项目。据现场调查，在本项目卫生防护距离要求的范围内，无机关、学校、医院、养老院、居民点等环境敏感点存在，项目选址比较合理，满足大气防护距离及卫生防护距离的要求。</w:t>
            </w:r>
          </w:p>
          <w:p>
            <w:pPr>
              <w:snapToGrid w:val="0"/>
              <w:jc w:val="center"/>
              <w:rPr>
                <w:b/>
                <w:szCs w:val="21"/>
              </w:rPr>
            </w:pPr>
            <w:r>
              <w:rPr>
                <w:rFonts w:hint="eastAsia"/>
                <w:b/>
                <w:szCs w:val="21"/>
              </w:rPr>
              <w:t>表34建设项目大气环境影响评价自查表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76"/>
              <w:gridCol w:w="851"/>
              <w:gridCol w:w="109"/>
              <w:gridCol w:w="721"/>
              <w:gridCol w:w="240"/>
              <w:gridCol w:w="321"/>
              <w:gridCol w:w="26"/>
              <w:gridCol w:w="142"/>
              <w:gridCol w:w="472"/>
              <w:gridCol w:w="481"/>
              <w:gridCol w:w="464"/>
              <w:gridCol w:w="16"/>
              <w:gridCol w:w="641"/>
              <w:gridCol w:w="52"/>
              <w:gridCol w:w="268"/>
              <w:gridCol w:w="240"/>
              <w:gridCol w:w="343"/>
              <w:gridCol w:w="378"/>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gridSpan w:val="2"/>
                  <w:vAlign w:val="center"/>
                </w:tcPr>
                <w:p>
                  <w:pPr>
                    <w:snapToGrid w:val="0"/>
                    <w:jc w:val="center"/>
                    <w:rPr>
                      <w:szCs w:val="21"/>
                    </w:rPr>
                  </w:pPr>
                  <w:r>
                    <w:rPr>
                      <w:rFonts w:hint="eastAsia"/>
                      <w:szCs w:val="21"/>
                    </w:rPr>
                    <w:t>工作内容</w:t>
                  </w:r>
                </w:p>
              </w:tc>
              <w:tc>
                <w:tcPr>
                  <w:tcW w:w="6726" w:type="dxa"/>
                  <w:gridSpan w:val="18"/>
                  <w:vAlign w:val="center"/>
                </w:tcPr>
                <w:p>
                  <w:pPr>
                    <w:snapToGrid w:val="0"/>
                    <w:jc w:val="center"/>
                    <w:rPr>
                      <w:szCs w:val="21"/>
                    </w:rPr>
                  </w:pPr>
                  <w:r>
                    <w:rPr>
                      <w:rFonts w:hint="eastAsia"/>
                      <w:szCs w:val="21"/>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评价等级与范围</w:t>
                  </w:r>
                </w:p>
              </w:tc>
              <w:tc>
                <w:tcPr>
                  <w:tcW w:w="1276" w:type="dxa"/>
                  <w:vAlign w:val="center"/>
                </w:tcPr>
                <w:p>
                  <w:pPr>
                    <w:snapToGrid w:val="0"/>
                    <w:jc w:val="center"/>
                    <w:rPr>
                      <w:szCs w:val="21"/>
                    </w:rPr>
                  </w:pPr>
                  <w:r>
                    <w:rPr>
                      <w:rFonts w:hint="eastAsia"/>
                      <w:szCs w:val="21"/>
                    </w:rPr>
                    <w:t>评价等级</w:t>
                  </w:r>
                </w:p>
              </w:tc>
              <w:tc>
                <w:tcPr>
                  <w:tcW w:w="2268" w:type="dxa"/>
                  <w:gridSpan w:val="6"/>
                  <w:vAlign w:val="center"/>
                </w:tcPr>
                <w:p>
                  <w:pPr>
                    <w:snapToGrid w:val="0"/>
                    <w:jc w:val="center"/>
                    <w:rPr>
                      <w:szCs w:val="21"/>
                    </w:rPr>
                  </w:pPr>
                  <w:r>
                    <w:rPr>
                      <w:szCs w:val="21"/>
                    </w:rPr>
                    <w:t>一级</w:t>
                  </w:r>
                  <w:r>
                    <w:rPr>
                      <w:rFonts w:hint="eastAsia"/>
                      <w:szCs w:val="21"/>
                    </w:rPr>
                    <w:t>□</w:t>
                  </w:r>
                </w:p>
              </w:tc>
              <w:tc>
                <w:tcPr>
                  <w:tcW w:w="2268" w:type="dxa"/>
                  <w:gridSpan w:val="7"/>
                  <w:vAlign w:val="center"/>
                </w:tcPr>
                <w:p>
                  <w:pPr>
                    <w:snapToGrid w:val="0"/>
                    <w:jc w:val="center"/>
                    <w:rPr>
                      <w:szCs w:val="21"/>
                    </w:rPr>
                  </w:pPr>
                  <w:r>
                    <w:rPr>
                      <w:szCs w:val="21"/>
                    </w:rPr>
                    <w:t>二级</w:t>
                  </w:r>
                  <w:r>
                    <w:rPr>
                      <w:rFonts w:hint="eastAsia"/>
                      <w:szCs w:val="21"/>
                    </w:rPr>
                    <w:sym w:font="Wingdings 2" w:char="0052"/>
                  </w:r>
                </w:p>
              </w:tc>
              <w:tc>
                <w:tcPr>
                  <w:tcW w:w="2190" w:type="dxa"/>
                  <w:gridSpan w:val="5"/>
                  <w:vAlign w:val="center"/>
                </w:tcPr>
                <w:p>
                  <w:pPr>
                    <w:snapToGrid w:val="0"/>
                    <w:jc w:val="center"/>
                    <w:rPr>
                      <w:szCs w:val="21"/>
                    </w:rPr>
                  </w:pPr>
                  <w:r>
                    <w:rPr>
                      <w:szCs w:val="21"/>
                    </w:rPr>
                    <w:t>三级</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评价范围</w:t>
                  </w:r>
                </w:p>
              </w:tc>
              <w:tc>
                <w:tcPr>
                  <w:tcW w:w="2268" w:type="dxa"/>
                  <w:gridSpan w:val="6"/>
                  <w:vAlign w:val="center"/>
                </w:tcPr>
                <w:p>
                  <w:pPr>
                    <w:snapToGrid w:val="0"/>
                    <w:jc w:val="center"/>
                    <w:rPr>
                      <w:szCs w:val="21"/>
                    </w:rPr>
                  </w:pPr>
                  <w:r>
                    <w:rPr>
                      <w:rFonts w:hint="eastAsia"/>
                      <w:szCs w:val="21"/>
                    </w:rPr>
                    <w:t>边长=50km□</w:t>
                  </w:r>
                </w:p>
              </w:tc>
              <w:tc>
                <w:tcPr>
                  <w:tcW w:w="2268" w:type="dxa"/>
                  <w:gridSpan w:val="7"/>
                  <w:vAlign w:val="center"/>
                </w:tcPr>
                <w:p>
                  <w:pPr>
                    <w:snapToGrid w:val="0"/>
                    <w:jc w:val="center"/>
                    <w:rPr>
                      <w:szCs w:val="21"/>
                    </w:rPr>
                  </w:pPr>
                  <w:r>
                    <w:rPr>
                      <w:rFonts w:hint="eastAsia"/>
                      <w:szCs w:val="21"/>
                    </w:rPr>
                    <w:t>边长5~50km</w:t>
                  </w:r>
                  <w:r>
                    <w:rPr>
                      <w:rFonts w:hint="eastAsia" w:ascii="MS Mincho" w:hAnsi="MS Mincho" w:eastAsia="MS Mincho" w:cs="MS Mincho"/>
                      <w:szCs w:val="21"/>
                    </w:rPr>
                    <w:t>□</w:t>
                  </w:r>
                </w:p>
              </w:tc>
              <w:tc>
                <w:tcPr>
                  <w:tcW w:w="2190" w:type="dxa"/>
                  <w:gridSpan w:val="5"/>
                  <w:vAlign w:val="center"/>
                </w:tcPr>
                <w:p>
                  <w:pPr>
                    <w:snapToGrid w:val="0"/>
                    <w:jc w:val="center"/>
                    <w:rPr>
                      <w:szCs w:val="21"/>
                    </w:rPr>
                  </w:pPr>
                  <w:r>
                    <w:rPr>
                      <w:rFonts w:hint="eastAsia"/>
                      <w:szCs w:val="21"/>
                    </w:rPr>
                    <w:t>边长=5km</w:t>
                  </w:r>
                  <w:r>
                    <w:rPr>
                      <w:rFonts w:hint="eastAsia"/>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评价因子</w:t>
                  </w:r>
                </w:p>
              </w:tc>
              <w:tc>
                <w:tcPr>
                  <w:tcW w:w="1276" w:type="dxa"/>
                  <w:vAlign w:val="center"/>
                </w:tcPr>
                <w:p>
                  <w:pPr>
                    <w:snapToGrid w:val="0"/>
                    <w:jc w:val="center"/>
                    <w:rPr>
                      <w:szCs w:val="21"/>
                    </w:rPr>
                  </w:pPr>
                  <w:r>
                    <w:rPr>
                      <w:rFonts w:hint="eastAsia"/>
                      <w:szCs w:val="21"/>
                    </w:rPr>
                    <w:t>SO</w:t>
                  </w:r>
                  <w:r>
                    <w:rPr>
                      <w:rFonts w:hint="eastAsia"/>
                      <w:szCs w:val="21"/>
                      <w:vertAlign w:val="subscript"/>
                    </w:rPr>
                    <w:t>2</w:t>
                  </w:r>
                  <w:r>
                    <w:rPr>
                      <w:rFonts w:hint="eastAsia"/>
                      <w:szCs w:val="21"/>
                    </w:rPr>
                    <w:t>+NO</w:t>
                  </w:r>
                  <w:r>
                    <w:rPr>
                      <w:rFonts w:hint="eastAsia"/>
                      <w:szCs w:val="21"/>
                      <w:vertAlign w:val="subscript"/>
                    </w:rPr>
                    <w:t>x</w:t>
                  </w:r>
                </w:p>
              </w:tc>
              <w:tc>
                <w:tcPr>
                  <w:tcW w:w="2268" w:type="dxa"/>
                  <w:gridSpan w:val="6"/>
                  <w:vAlign w:val="center"/>
                </w:tcPr>
                <w:p>
                  <w:pPr>
                    <w:snapToGrid w:val="0"/>
                    <w:jc w:val="center"/>
                    <w:rPr>
                      <w:szCs w:val="21"/>
                    </w:rPr>
                  </w:pPr>
                  <w:r>
                    <w:rPr>
                      <w:rFonts w:hint="eastAsia"/>
                      <w:szCs w:val="21"/>
                    </w:rPr>
                    <w:t>≥2000t/a□</w:t>
                  </w:r>
                </w:p>
              </w:tc>
              <w:tc>
                <w:tcPr>
                  <w:tcW w:w="2268" w:type="dxa"/>
                  <w:gridSpan w:val="7"/>
                  <w:vAlign w:val="center"/>
                </w:tcPr>
                <w:p>
                  <w:pPr>
                    <w:snapToGrid w:val="0"/>
                    <w:jc w:val="center"/>
                    <w:rPr>
                      <w:szCs w:val="21"/>
                    </w:rPr>
                  </w:pPr>
                  <w:r>
                    <w:rPr>
                      <w:rFonts w:hint="eastAsia"/>
                      <w:szCs w:val="21"/>
                    </w:rPr>
                    <w:t>500~2000t/a□</w:t>
                  </w:r>
                </w:p>
              </w:tc>
              <w:tc>
                <w:tcPr>
                  <w:tcW w:w="2190" w:type="dxa"/>
                  <w:gridSpan w:val="5"/>
                  <w:vAlign w:val="center"/>
                </w:tcPr>
                <w:p>
                  <w:pPr>
                    <w:snapToGrid w:val="0"/>
                    <w:jc w:val="center"/>
                    <w:rPr>
                      <w:szCs w:val="21"/>
                    </w:rPr>
                  </w:pPr>
                  <w:r>
                    <w:rPr>
                      <w:rFonts w:hint="eastAsia"/>
                      <w:szCs w:val="21"/>
                    </w:rPr>
                    <w:t>＜500t/a</w:t>
                  </w:r>
                  <w:r>
                    <w:rPr>
                      <w:rFonts w:hint="eastAsia" w:ascii="MS Mincho" w:hAnsi="MS Mincho" w:eastAsia="MS Mincho" w:cs="MS Minch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评价因子</w:t>
                  </w:r>
                </w:p>
              </w:tc>
              <w:tc>
                <w:tcPr>
                  <w:tcW w:w="3363" w:type="dxa"/>
                  <w:gridSpan w:val="9"/>
                  <w:vAlign w:val="center"/>
                </w:tcPr>
                <w:p>
                  <w:pPr>
                    <w:snapToGrid w:val="0"/>
                    <w:jc w:val="center"/>
                    <w:rPr>
                      <w:szCs w:val="21"/>
                    </w:rPr>
                  </w:pPr>
                  <w:r>
                    <w:rPr>
                      <w:rFonts w:hint="eastAsia"/>
                      <w:szCs w:val="21"/>
                    </w:rPr>
                    <w:t>基本污染物（PM</w:t>
                  </w:r>
                  <w:r>
                    <w:rPr>
                      <w:rFonts w:hint="eastAsia"/>
                      <w:szCs w:val="21"/>
                      <w:vertAlign w:val="subscript"/>
                    </w:rPr>
                    <w:t>10</w:t>
                  </w:r>
                  <w:r>
                    <w:rPr>
                      <w:rFonts w:hint="eastAsia"/>
                      <w:szCs w:val="21"/>
                    </w:rPr>
                    <w:t>）</w:t>
                  </w:r>
                </w:p>
                <w:p>
                  <w:pPr>
                    <w:snapToGrid w:val="0"/>
                    <w:jc w:val="center"/>
                    <w:rPr>
                      <w:szCs w:val="21"/>
                    </w:rPr>
                  </w:pPr>
                  <w:r>
                    <w:rPr>
                      <w:rFonts w:hint="eastAsia"/>
                      <w:szCs w:val="21"/>
                    </w:rPr>
                    <w:t>其他污染物（）</w:t>
                  </w:r>
                </w:p>
              </w:tc>
              <w:tc>
                <w:tcPr>
                  <w:tcW w:w="3363" w:type="dxa"/>
                  <w:gridSpan w:val="9"/>
                  <w:vAlign w:val="center"/>
                </w:tcPr>
                <w:p>
                  <w:pPr>
                    <w:snapToGrid w:val="0"/>
                    <w:jc w:val="center"/>
                    <w:rPr>
                      <w:szCs w:val="21"/>
                    </w:rPr>
                  </w:pPr>
                  <w:r>
                    <w:rPr>
                      <w:rFonts w:hint="eastAsia"/>
                      <w:szCs w:val="21"/>
                    </w:rPr>
                    <w:t>包括二次PM</w:t>
                  </w:r>
                  <w:r>
                    <w:rPr>
                      <w:rFonts w:hint="eastAsia"/>
                      <w:szCs w:val="21"/>
                      <w:vertAlign w:val="subscript"/>
                    </w:rPr>
                    <w:t>2.5</w:t>
                  </w:r>
                  <w:r>
                    <w:rPr>
                      <w:rFonts w:hint="eastAsia"/>
                      <w:szCs w:val="21"/>
                    </w:rPr>
                    <w:t>□</w:t>
                  </w:r>
                </w:p>
                <w:p>
                  <w:pPr>
                    <w:snapToGrid w:val="0"/>
                    <w:jc w:val="center"/>
                    <w:rPr>
                      <w:szCs w:val="21"/>
                    </w:rPr>
                  </w:pPr>
                  <w:r>
                    <w:rPr>
                      <w:rFonts w:hint="eastAsia"/>
                      <w:szCs w:val="21"/>
                    </w:rPr>
                    <w:t>不包括二次PM</w:t>
                  </w:r>
                  <w:r>
                    <w:rPr>
                      <w:rFonts w:hint="eastAsia"/>
                      <w:szCs w:val="21"/>
                      <w:vertAlign w:val="subscript"/>
                    </w:rPr>
                    <w:t>2.5</w:t>
                  </w:r>
                  <w:r>
                    <w:rPr>
                      <w:rFonts w:hint="eastAsia" w:ascii="MS Mincho" w:hAnsi="MS Mincho" w:eastAsia="MS Mincho" w:cs="MS Minch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napToGrid w:val="0"/>
                    <w:jc w:val="center"/>
                    <w:rPr>
                      <w:szCs w:val="21"/>
                    </w:rPr>
                  </w:pPr>
                  <w:r>
                    <w:rPr>
                      <w:rFonts w:hint="eastAsia"/>
                      <w:szCs w:val="21"/>
                    </w:rPr>
                    <w:t>评价标准</w:t>
                  </w:r>
                </w:p>
              </w:tc>
              <w:tc>
                <w:tcPr>
                  <w:tcW w:w="1276" w:type="dxa"/>
                  <w:vAlign w:val="center"/>
                </w:tcPr>
                <w:p>
                  <w:pPr>
                    <w:snapToGrid w:val="0"/>
                    <w:jc w:val="center"/>
                    <w:rPr>
                      <w:szCs w:val="21"/>
                    </w:rPr>
                  </w:pPr>
                  <w:r>
                    <w:rPr>
                      <w:rFonts w:hint="eastAsia"/>
                      <w:szCs w:val="21"/>
                    </w:rPr>
                    <w:t>评价标准</w:t>
                  </w:r>
                </w:p>
              </w:tc>
              <w:tc>
                <w:tcPr>
                  <w:tcW w:w="1681" w:type="dxa"/>
                  <w:gridSpan w:val="3"/>
                  <w:vAlign w:val="center"/>
                </w:tcPr>
                <w:p>
                  <w:pPr>
                    <w:snapToGrid w:val="0"/>
                    <w:jc w:val="center"/>
                    <w:rPr>
                      <w:szCs w:val="21"/>
                    </w:rPr>
                  </w:pPr>
                  <w:r>
                    <w:rPr>
                      <w:rFonts w:hint="eastAsia"/>
                      <w:szCs w:val="21"/>
                    </w:rPr>
                    <w:t>国家标准□</w:t>
                  </w:r>
                </w:p>
              </w:tc>
              <w:tc>
                <w:tcPr>
                  <w:tcW w:w="1682" w:type="dxa"/>
                  <w:gridSpan w:val="6"/>
                  <w:vAlign w:val="center"/>
                </w:tcPr>
                <w:p>
                  <w:pPr>
                    <w:snapToGrid w:val="0"/>
                    <w:jc w:val="center"/>
                    <w:rPr>
                      <w:szCs w:val="21"/>
                    </w:rPr>
                  </w:pPr>
                  <w:r>
                    <w:rPr>
                      <w:rFonts w:hint="eastAsia"/>
                      <w:szCs w:val="21"/>
                    </w:rPr>
                    <w:t>地方标准□</w:t>
                  </w:r>
                </w:p>
              </w:tc>
              <w:tc>
                <w:tcPr>
                  <w:tcW w:w="1681" w:type="dxa"/>
                  <w:gridSpan w:val="6"/>
                  <w:vAlign w:val="center"/>
                </w:tcPr>
                <w:p>
                  <w:pPr>
                    <w:snapToGrid w:val="0"/>
                    <w:jc w:val="center"/>
                    <w:rPr>
                      <w:szCs w:val="21"/>
                    </w:rPr>
                  </w:pPr>
                  <w:r>
                    <w:rPr>
                      <w:rFonts w:hint="eastAsia"/>
                      <w:szCs w:val="21"/>
                    </w:rPr>
                    <w:t>附录D□</w:t>
                  </w:r>
                </w:p>
              </w:tc>
              <w:tc>
                <w:tcPr>
                  <w:tcW w:w="1682" w:type="dxa"/>
                  <w:gridSpan w:val="3"/>
                  <w:vAlign w:val="center"/>
                </w:tcPr>
                <w:p>
                  <w:pPr>
                    <w:snapToGrid w:val="0"/>
                    <w:jc w:val="center"/>
                    <w:rPr>
                      <w:szCs w:val="21"/>
                    </w:rPr>
                  </w:pPr>
                  <w:r>
                    <w:rPr>
                      <w:rFonts w:hint="eastAsia"/>
                      <w:szCs w:val="21"/>
                    </w:rPr>
                    <w:t>其他标准□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现状评价</w:t>
                  </w:r>
                </w:p>
              </w:tc>
              <w:tc>
                <w:tcPr>
                  <w:tcW w:w="1276" w:type="dxa"/>
                  <w:vAlign w:val="center"/>
                </w:tcPr>
                <w:p>
                  <w:pPr>
                    <w:snapToGrid w:val="0"/>
                    <w:jc w:val="center"/>
                    <w:rPr>
                      <w:szCs w:val="21"/>
                    </w:rPr>
                  </w:pPr>
                  <w:r>
                    <w:rPr>
                      <w:rFonts w:hint="eastAsia"/>
                      <w:szCs w:val="21"/>
                    </w:rPr>
                    <w:t>环境功能区</w:t>
                  </w:r>
                </w:p>
              </w:tc>
              <w:tc>
                <w:tcPr>
                  <w:tcW w:w="2268" w:type="dxa"/>
                  <w:gridSpan w:val="6"/>
                  <w:vAlign w:val="center"/>
                </w:tcPr>
                <w:p>
                  <w:pPr>
                    <w:snapToGrid w:val="0"/>
                    <w:jc w:val="center"/>
                    <w:rPr>
                      <w:szCs w:val="21"/>
                    </w:rPr>
                  </w:pPr>
                  <w:r>
                    <w:rPr>
                      <w:rFonts w:hint="eastAsia"/>
                      <w:szCs w:val="21"/>
                    </w:rPr>
                    <w:t>一类区□</w:t>
                  </w:r>
                </w:p>
              </w:tc>
              <w:tc>
                <w:tcPr>
                  <w:tcW w:w="2268" w:type="dxa"/>
                  <w:gridSpan w:val="7"/>
                  <w:vAlign w:val="center"/>
                </w:tcPr>
                <w:p>
                  <w:pPr>
                    <w:snapToGrid w:val="0"/>
                    <w:jc w:val="center"/>
                    <w:rPr>
                      <w:szCs w:val="21"/>
                    </w:rPr>
                  </w:pPr>
                  <w:r>
                    <w:rPr>
                      <w:rFonts w:hint="eastAsia"/>
                      <w:szCs w:val="21"/>
                    </w:rPr>
                    <w:t>二类区</w:t>
                  </w:r>
                  <w:r>
                    <w:rPr>
                      <w:rFonts w:hint="eastAsia" w:ascii="MS Mincho" w:hAnsi="MS Mincho" w:eastAsia="MS Mincho" w:cs="MS Mincho"/>
                      <w:szCs w:val="21"/>
                    </w:rPr>
                    <w:t>☑</w:t>
                  </w:r>
                </w:p>
              </w:tc>
              <w:tc>
                <w:tcPr>
                  <w:tcW w:w="2190" w:type="dxa"/>
                  <w:gridSpan w:val="5"/>
                  <w:vAlign w:val="center"/>
                </w:tcPr>
                <w:p>
                  <w:pPr>
                    <w:snapToGrid w:val="0"/>
                    <w:jc w:val="center"/>
                    <w:rPr>
                      <w:szCs w:val="21"/>
                    </w:rPr>
                  </w:pPr>
                  <w:r>
                    <w:rPr>
                      <w:rFonts w:hint="eastAsia"/>
                      <w:szCs w:val="21"/>
                    </w:rPr>
                    <w:t>一类区和二类区□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评价基准年</w:t>
                  </w:r>
                </w:p>
              </w:tc>
              <w:tc>
                <w:tcPr>
                  <w:tcW w:w="6726" w:type="dxa"/>
                  <w:gridSpan w:val="18"/>
                  <w:vAlign w:val="center"/>
                </w:tcPr>
                <w:p>
                  <w:pPr>
                    <w:snapToGrid w:val="0"/>
                    <w:jc w:val="center"/>
                    <w:rPr>
                      <w:szCs w:val="21"/>
                    </w:rPr>
                  </w:pPr>
                  <w:r>
                    <w:rPr>
                      <w:rFonts w:hint="eastAsia"/>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环境空气质量现状调查数据来源</w:t>
                  </w:r>
                </w:p>
              </w:tc>
              <w:tc>
                <w:tcPr>
                  <w:tcW w:w="2268" w:type="dxa"/>
                  <w:gridSpan w:val="6"/>
                  <w:vAlign w:val="center"/>
                </w:tcPr>
                <w:p>
                  <w:pPr>
                    <w:snapToGrid w:val="0"/>
                    <w:jc w:val="center"/>
                    <w:rPr>
                      <w:szCs w:val="21"/>
                    </w:rPr>
                  </w:pPr>
                  <w:r>
                    <w:rPr>
                      <w:rFonts w:hint="eastAsia"/>
                      <w:szCs w:val="21"/>
                    </w:rPr>
                    <w:t>长期例行监测数据□</w:t>
                  </w:r>
                </w:p>
              </w:tc>
              <w:tc>
                <w:tcPr>
                  <w:tcW w:w="2268" w:type="dxa"/>
                  <w:gridSpan w:val="7"/>
                  <w:vAlign w:val="center"/>
                </w:tcPr>
                <w:p>
                  <w:pPr>
                    <w:snapToGrid w:val="0"/>
                    <w:jc w:val="center"/>
                    <w:rPr>
                      <w:szCs w:val="21"/>
                    </w:rPr>
                  </w:pPr>
                  <w:r>
                    <w:rPr>
                      <w:rFonts w:hint="eastAsia"/>
                      <w:szCs w:val="21"/>
                    </w:rPr>
                    <w:t>主管部门发布的数据</w:t>
                  </w:r>
                  <w:r>
                    <w:rPr>
                      <w:rFonts w:hint="eastAsia" w:ascii="MS Mincho" w:hAnsi="MS Mincho" w:eastAsia="MS Mincho" w:cs="MS Mincho"/>
                      <w:szCs w:val="21"/>
                    </w:rPr>
                    <w:t>☑</w:t>
                  </w:r>
                </w:p>
              </w:tc>
              <w:tc>
                <w:tcPr>
                  <w:tcW w:w="2190" w:type="dxa"/>
                  <w:gridSpan w:val="5"/>
                  <w:vAlign w:val="center"/>
                </w:tcPr>
                <w:p>
                  <w:pPr>
                    <w:snapToGrid w:val="0"/>
                    <w:jc w:val="center"/>
                    <w:rPr>
                      <w:szCs w:val="21"/>
                    </w:rPr>
                  </w:pPr>
                  <w:r>
                    <w:rPr>
                      <w:rFonts w:hint="eastAsia"/>
                      <w:szCs w:val="21"/>
                    </w:rPr>
                    <w:t>现状补充监测□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现状评价</w:t>
                  </w:r>
                </w:p>
              </w:tc>
              <w:tc>
                <w:tcPr>
                  <w:tcW w:w="3827" w:type="dxa"/>
                  <w:gridSpan w:val="10"/>
                  <w:vAlign w:val="center"/>
                </w:tcPr>
                <w:p>
                  <w:pPr>
                    <w:snapToGrid w:val="0"/>
                    <w:jc w:val="center"/>
                    <w:rPr>
                      <w:szCs w:val="21"/>
                    </w:rPr>
                  </w:pPr>
                  <w:r>
                    <w:rPr>
                      <w:rFonts w:hint="eastAsia"/>
                      <w:szCs w:val="21"/>
                    </w:rPr>
                    <w:t>达标区□</w:t>
                  </w:r>
                </w:p>
              </w:tc>
              <w:tc>
                <w:tcPr>
                  <w:tcW w:w="2899" w:type="dxa"/>
                  <w:gridSpan w:val="8"/>
                  <w:vAlign w:val="center"/>
                </w:tcPr>
                <w:p>
                  <w:pPr>
                    <w:snapToGrid w:val="0"/>
                    <w:jc w:val="center"/>
                    <w:rPr>
                      <w:szCs w:val="21"/>
                    </w:rPr>
                  </w:pPr>
                  <w:r>
                    <w:rPr>
                      <w:rFonts w:hint="eastAsia"/>
                      <w:szCs w:val="21"/>
                    </w:rPr>
                    <w:t>不达标区</w:t>
                  </w:r>
                  <w:r>
                    <w:rPr>
                      <w:rFonts w:hint="eastAsia" w:ascii="MS Mincho" w:hAnsi="MS Mincho" w:eastAsia="MS Mincho" w:cs="MS Minch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napToGrid w:val="0"/>
                    <w:jc w:val="center"/>
                    <w:rPr>
                      <w:szCs w:val="21"/>
                    </w:rPr>
                  </w:pPr>
                  <w:r>
                    <w:rPr>
                      <w:rFonts w:hint="eastAsia"/>
                      <w:szCs w:val="21"/>
                    </w:rPr>
                    <w:t>污染源调查</w:t>
                  </w:r>
                </w:p>
              </w:tc>
              <w:tc>
                <w:tcPr>
                  <w:tcW w:w="1276" w:type="dxa"/>
                  <w:vAlign w:val="center"/>
                </w:tcPr>
                <w:p>
                  <w:pPr>
                    <w:snapToGrid w:val="0"/>
                    <w:jc w:val="center"/>
                    <w:rPr>
                      <w:szCs w:val="21"/>
                    </w:rPr>
                  </w:pPr>
                  <w:r>
                    <w:rPr>
                      <w:rFonts w:hint="eastAsia"/>
                      <w:szCs w:val="21"/>
                    </w:rPr>
                    <w:t>调查内容</w:t>
                  </w:r>
                </w:p>
              </w:tc>
              <w:tc>
                <w:tcPr>
                  <w:tcW w:w="2410" w:type="dxa"/>
                  <w:gridSpan w:val="7"/>
                  <w:vAlign w:val="center"/>
                </w:tcPr>
                <w:p>
                  <w:pPr>
                    <w:snapToGrid w:val="0"/>
                    <w:jc w:val="center"/>
                    <w:rPr>
                      <w:szCs w:val="21"/>
                    </w:rPr>
                  </w:pPr>
                  <w:r>
                    <w:rPr>
                      <w:rFonts w:hint="eastAsia"/>
                      <w:szCs w:val="21"/>
                    </w:rPr>
                    <w:t>本项目正常排放源</w:t>
                  </w:r>
                  <w:r>
                    <w:rPr>
                      <w:rFonts w:hint="eastAsia" w:ascii="MS Mincho" w:hAnsi="MS Mincho" w:eastAsia="MS Mincho" w:cs="MS Mincho"/>
                      <w:szCs w:val="21"/>
                    </w:rPr>
                    <w:t>☑</w:t>
                  </w:r>
                </w:p>
                <w:p>
                  <w:pPr>
                    <w:snapToGrid w:val="0"/>
                    <w:jc w:val="center"/>
                    <w:rPr>
                      <w:szCs w:val="21"/>
                    </w:rPr>
                  </w:pPr>
                  <w:r>
                    <w:rPr>
                      <w:rFonts w:hint="eastAsia"/>
                      <w:szCs w:val="21"/>
                    </w:rPr>
                    <w:t>本项目非正常排放源□</w:t>
                  </w:r>
                </w:p>
                <w:p>
                  <w:pPr>
                    <w:snapToGrid w:val="0"/>
                    <w:jc w:val="center"/>
                    <w:rPr>
                      <w:szCs w:val="21"/>
                    </w:rPr>
                  </w:pPr>
                  <w:r>
                    <w:rPr>
                      <w:rFonts w:hint="eastAsia"/>
                      <w:szCs w:val="21"/>
                    </w:rPr>
                    <w:t>现有污染源□</w:t>
                  </w:r>
                </w:p>
              </w:tc>
              <w:tc>
                <w:tcPr>
                  <w:tcW w:w="1417" w:type="dxa"/>
                  <w:gridSpan w:val="3"/>
                  <w:vAlign w:val="center"/>
                </w:tcPr>
                <w:p>
                  <w:pPr>
                    <w:snapToGrid w:val="0"/>
                    <w:jc w:val="center"/>
                    <w:rPr>
                      <w:szCs w:val="21"/>
                    </w:rPr>
                  </w:pPr>
                  <w:r>
                    <w:rPr>
                      <w:rFonts w:hint="eastAsia"/>
                      <w:szCs w:val="21"/>
                    </w:rPr>
                    <w:t>拟替代的污染源□</w:t>
                  </w:r>
                </w:p>
              </w:tc>
              <w:tc>
                <w:tcPr>
                  <w:tcW w:w="1560" w:type="dxa"/>
                  <w:gridSpan w:val="6"/>
                  <w:vAlign w:val="center"/>
                </w:tcPr>
                <w:p>
                  <w:pPr>
                    <w:snapToGrid w:val="0"/>
                    <w:jc w:val="center"/>
                    <w:rPr>
                      <w:szCs w:val="21"/>
                    </w:rPr>
                  </w:pPr>
                  <w:r>
                    <w:rPr>
                      <w:rFonts w:hint="eastAsia"/>
                      <w:szCs w:val="21"/>
                    </w:rPr>
                    <w:t>其他在建、拟建项目污染源□</w:t>
                  </w:r>
                </w:p>
              </w:tc>
              <w:tc>
                <w:tcPr>
                  <w:tcW w:w="1339" w:type="dxa"/>
                  <w:gridSpan w:val="2"/>
                  <w:vAlign w:val="center"/>
                </w:tcPr>
                <w:p>
                  <w:pPr>
                    <w:snapToGrid w:val="0"/>
                    <w:jc w:val="center"/>
                    <w:rPr>
                      <w:szCs w:val="21"/>
                    </w:rPr>
                  </w:pPr>
                  <w:r>
                    <w:rPr>
                      <w:rFonts w:hint="eastAsia"/>
                      <w:szCs w:val="21"/>
                    </w:rPr>
                    <w:t>区域污染源□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大气环境影响预测与评价</w:t>
                  </w:r>
                </w:p>
              </w:tc>
              <w:tc>
                <w:tcPr>
                  <w:tcW w:w="1276" w:type="dxa"/>
                  <w:vAlign w:val="center"/>
                </w:tcPr>
                <w:p>
                  <w:pPr>
                    <w:snapToGrid w:val="0"/>
                    <w:jc w:val="center"/>
                    <w:rPr>
                      <w:szCs w:val="21"/>
                    </w:rPr>
                  </w:pPr>
                  <w:r>
                    <w:rPr>
                      <w:rFonts w:hint="eastAsia"/>
                      <w:szCs w:val="21"/>
                    </w:rPr>
                    <w:t>预测模型</w:t>
                  </w:r>
                </w:p>
              </w:tc>
              <w:tc>
                <w:tcPr>
                  <w:tcW w:w="960" w:type="dxa"/>
                  <w:gridSpan w:val="2"/>
                  <w:vAlign w:val="center"/>
                </w:tcPr>
                <w:p>
                  <w:pPr>
                    <w:snapToGrid w:val="0"/>
                    <w:jc w:val="center"/>
                    <w:rPr>
                      <w:szCs w:val="21"/>
                    </w:rPr>
                  </w:pPr>
                  <w:r>
                    <w:rPr>
                      <w:rFonts w:hint="eastAsia"/>
                      <w:szCs w:val="21"/>
                    </w:rPr>
                    <w:t>AERMOD□</w:t>
                  </w:r>
                </w:p>
              </w:tc>
              <w:tc>
                <w:tcPr>
                  <w:tcW w:w="961" w:type="dxa"/>
                  <w:gridSpan w:val="2"/>
                  <w:vAlign w:val="center"/>
                </w:tcPr>
                <w:p>
                  <w:pPr>
                    <w:snapToGrid w:val="0"/>
                    <w:jc w:val="center"/>
                    <w:rPr>
                      <w:szCs w:val="21"/>
                    </w:rPr>
                  </w:pPr>
                  <w:r>
                    <w:rPr>
                      <w:rFonts w:hint="eastAsia"/>
                      <w:szCs w:val="21"/>
                    </w:rPr>
                    <w:t>ADMS□</w:t>
                  </w:r>
                </w:p>
              </w:tc>
              <w:tc>
                <w:tcPr>
                  <w:tcW w:w="961" w:type="dxa"/>
                  <w:gridSpan w:val="4"/>
                  <w:vAlign w:val="center"/>
                </w:tcPr>
                <w:p>
                  <w:pPr>
                    <w:snapToGrid w:val="0"/>
                    <w:jc w:val="center"/>
                    <w:rPr>
                      <w:szCs w:val="21"/>
                    </w:rPr>
                  </w:pPr>
                  <w:r>
                    <w:rPr>
                      <w:rFonts w:hint="eastAsia"/>
                      <w:szCs w:val="21"/>
                    </w:rPr>
                    <w:t>AUSTAL2000□</w:t>
                  </w:r>
                </w:p>
              </w:tc>
              <w:tc>
                <w:tcPr>
                  <w:tcW w:w="961" w:type="dxa"/>
                  <w:gridSpan w:val="3"/>
                  <w:vAlign w:val="center"/>
                </w:tcPr>
                <w:p>
                  <w:pPr>
                    <w:snapToGrid w:val="0"/>
                    <w:jc w:val="center"/>
                    <w:rPr>
                      <w:szCs w:val="21"/>
                    </w:rPr>
                  </w:pPr>
                  <w:r>
                    <w:rPr>
                      <w:rFonts w:hint="eastAsia"/>
                      <w:szCs w:val="21"/>
                    </w:rPr>
                    <w:t>EDMS/AEDT□</w:t>
                  </w:r>
                </w:p>
              </w:tc>
              <w:tc>
                <w:tcPr>
                  <w:tcW w:w="961" w:type="dxa"/>
                  <w:gridSpan w:val="3"/>
                  <w:vAlign w:val="center"/>
                </w:tcPr>
                <w:p>
                  <w:pPr>
                    <w:snapToGrid w:val="0"/>
                    <w:jc w:val="center"/>
                    <w:rPr>
                      <w:szCs w:val="21"/>
                    </w:rPr>
                  </w:pPr>
                  <w:r>
                    <w:rPr>
                      <w:rFonts w:hint="eastAsia"/>
                      <w:szCs w:val="21"/>
                    </w:rPr>
                    <w:t>CALPUFF□</w:t>
                  </w:r>
                </w:p>
              </w:tc>
              <w:tc>
                <w:tcPr>
                  <w:tcW w:w="961" w:type="dxa"/>
                  <w:gridSpan w:val="3"/>
                  <w:vAlign w:val="center"/>
                </w:tcPr>
                <w:p>
                  <w:pPr>
                    <w:snapToGrid w:val="0"/>
                    <w:jc w:val="center"/>
                    <w:rPr>
                      <w:szCs w:val="21"/>
                    </w:rPr>
                  </w:pPr>
                  <w:r>
                    <w:rPr>
                      <w:rFonts w:hint="eastAsia"/>
                      <w:szCs w:val="21"/>
                    </w:rPr>
                    <w:t>网络模型</w:t>
                  </w:r>
                  <w:r>
                    <w:rPr>
                      <w:rFonts w:hint="eastAsia" w:ascii="MS Mincho" w:hAnsi="MS Mincho" w:eastAsia="MS Mincho" w:cs="MS Mincho"/>
                      <w:szCs w:val="21"/>
                    </w:rPr>
                    <w:t>☑</w:t>
                  </w:r>
                </w:p>
              </w:tc>
              <w:tc>
                <w:tcPr>
                  <w:tcW w:w="961" w:type="dxa"/>
                  <w:vAlign w:val="center"/>
                </w:tcPr>
                <w:p>
                  <w:pPr>
                    <w:snapToGrid w:val="0"/>
                    <w:jc w:val="center"/>
                    <w:rPr>
                      <w:szCs w:val="21"/>
                    </w:rPr>
                  </w:pPr>
                  <w:r>
                    <w:rPr>
                      <w:rFonts w:hint="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 xml:space="preserve">预测范围 </w:t>
                  </w:r>
                </w:p>
              </w:tc>
              <w:tc>
                <w:tcPr>
                  <w:tcW w:w="2268" w:type="dxa"/>
                  <w:gridSpan w:val="6"/>
                  <w:vAlign w:val="center"/>
                </w:tcPr>
                <w:p>
                  <w:pPr>
                    <w:snapToGrid w:val="0"/>
                    <w:jc w:val="center"/>
                    <w:rPr>
                      <w:szCs w:val="21"/>
                    </w:rPr>
                  </w:pPr>
                  <w:r>
                    <w:rPr>
                      <w:rFonts w:hint="eastAsia"/>
                      <w:szCs w:val="21"/>
                    </w:rPr>
                    <w:t>边长大于等于50km</w:t>
                  </w:r>
                </w:p>
              </w:tc>
              <w:tc>
                <w:tcPr>
                  <w:tcW w:w="2268" w:type="dxa"/>
                  <w:gridSpan w:val="7"/>
                  <w:vAlign w:val="center"/>
                </w:tcPr>
                <w:p>
                  <w:pPr>
                    <w:snapToGrid w:val="0"/>
                    <w:jc w:val="center"/>
                    <w:rPr>
                      <w:szCs w:val="21"/>
                    </w:rPr>
                  </w:pPr>
                  <w:r>
                    <w:rPr>
                      <w:rFonts w:hint="eastAsia"/>
                      <w:szCs w:val="21"/>
                    </w:rPr>
                    <w:t>边长5~50km</w:t>
                  </w:r>
                  <w:r>
                    <w:rPr>
                      <w:rFonts w:hint="eastAsia" w:ascii="MS Mincho" w:hAnsi="MS Mincho" w:eastAsia="MS Mincho" w:cs="MS Mincho"/>
                      <w:szCs w:val="21"/>
                    </w:rPr>
                    <w:t>□</w:t>
                  </w:r>
                </w:p>
              </w:tc>
              <w:tc>
                <w:tcPr>
                  <w:tcW w:w="2190" w:type="dxa"/>
                  <w:gridSpan w:val="5"/>
                  <w:vAlign w:val="center"/>
                </w:tcPr>
                <w:p>
                  <w:pPr>
                    <w:snapToGrid w:val="0"/>
                    <w:jc w:val="center"/>
                    <w:rPr>
                      <w:szCs w:val="21"/>
                    </w:rPr>
                  </w:pPr>
                  <w:r>
                    <w:rPr>
                      <w:rFonts w:hint="eastAsia"/>
                      <w:szCs w:val="21"/>
                    </w:rPr>
                    <w:t>边长=5km□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预测因子</w:t>
                  </w:r>
                </w:p>
              </w:tc>
              <w:tc>
                <w:tcPr>
                  <w:tcW w:w="3363" w:type="dxa"/>
                  <w:gridSpan w:val="9"/>
                  <w:vAlign w:val="center"/>
                </w:tcPr>
                <w:p>
                  <w:pPr>
                    <w:snapToGrid w:val="0"/>
                    <w:jc w:val="center"/>
                    <w:rPr>
                      <w:szCs w:val="21"/>
                    </w:rPr>
                  </w:pPr>
                  <w:r>
                    <w:rPr>
                      <w:rFonts w:hint="eastAsia"/>
                      <w:szCs w:val="21"/>
                    </w:rPr>
                    <w:t>预测因子（颗粒物）</w:t>
                  </w:r>
                </w:p>
              </w:tc>
              <w:tc>
                <w:tcPr>
                  <w:tcW w:w="3363" w:type="dxa"/>
                  <w:gridSpan w:val="9"/>
                  <w:vAlign w:val="center"/>
                </w:tcPr>
                <w:p>
                  <w:pPr>
                    <w:snapToGrid w:val="0"/>
                    <w:jc w:val="center"/>
                    <w:rPr>
                      <w:szCs w:val="21"/>
                    </w:rPr>
                  </w:pPr>
                  <w:r>
                    <w:rPr>
                      <w:rFonts w:hint="eastAsia"/>
                      <w:szCs w:val="21"/>
                    </w:rPr>
                    <w:t>包括二次PM</w:t>
                  </w:r>
                  <w:r>
                    <w:rPr>
                      <w:rFonts w:hint="eastAsia"/>
                      <w:szCs w:val="21"/>
                      <w:vertAlign w:val="subscript"/>
                    </w:rPr>
                    <w:t>2.5</w:t>
                  </w:r>
                  <w:r>
                    <w:rPr>
                      <w:rFonts w:hint="eastAsia"/>
                      <w:szCs w:val="21"/>
                    </w:rPr>
                    <w:t>□</w:t>
                  </w:r>
                </w:p>
                <w:p>
                  <w:pPr>
                    <w:snapToGrid w:val="0"/>
                    <w:jc w:val="center"/>
                    <w:rPr>
                      <w:szCs w:val="21"/>
                    </w:rPr>
                  </w:pPr>
                  <w:r>
                    <w:rPr>
                      <w:rFonts w:hint="eastAsia"/>
                      <w:szCs w:val="21"/>
                    </w:rPr>
                    <w:t>不包括二次PM</w:t>
                  </w:r>
                  <w:r>
                    <w:rPr>
                      <w:rFonts w:hint="eastAsia"/>
                      <w:szCs w:val="21"/>
                      <w:vertAlign w:val="subscript"/>
                    </w:rPr>
                    <w:t>2.5</w:t>
                  </w:r>
                  <w:r>
                    <w:rPr>
                      <w:rFonts w:hint="eastAsia" w:ascii="MS Mincho" w:hAnsi="MS Mincho" w:eastAsia="MS Mincho" w:cs="MS Minch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正常短期排放浓度贡献值</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最大占标率≤100%</w:t>
                  </w:r>
                  <w:r>
                    <w:rPr>
                      <w:rFonts w:hint="eastAsia" w:ascii="MS Mincho" w:hAnsi="MS Mincho" w:eastAsia="MS Mincho" w:cs="MS Mincho"/>
                      <w:szCs w:val="21"/>
                    </w:rPr>
                    <w:t>☑</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Merge w:val="restart"/>
                  <w:vAlign w:val="center"/>
                </w:tcPr>
                <w:p>
                  <w:pPr>
                    <w:snapToGrid w:val="0"/>
                    <w:jc w:val="center"/>
                    <w:rPr>
                      <w:szCs w:val="21"/>
                    </w:rPr>
                  </w:pPr>
                  <w:r>
                    <w:rPr>
                      <w:rFonts w:hint="eastAsia"/>
                      <w:szCs w:val="21"/>
                    </w:rPr>
                    <w:t>正常排放年平均浓度贡献值</w:t>
                  </w:r>
                </w:p>
              </w:tc>
              <w:tc>
                <w:tcPr>
                  <w:tcW w:w="851" w:type="dxa"/>
                  <w:vAlign w:val="center"/>
                </w:tcPr>
                <w:p>
                  <w:pPr>
                    <w:snapToGrid w:val="0"/>
                    <w:jc w:val="center"/>
                    <w:rPr>
                      <w:szCs w:val="21"/>
                    </w:rPr>
                  </w:pPr>
                  <w:r>
                    <w:rPr>
                      <w:rFonts w:hint="eastAsia"/>
                      <w:szCs w:val="21"/>
                    </w:rPr>
                    <w:t>一类区</w:t>
                  </w:r>
                </w:p>
              </w:tc>
              <w:tc>
                <w:tcPr>
                  <w:tcW w:w="2512" w:type="dxa"/>
                  <w:gridSpan w:val="8"/>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最大占标率≤10%□</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Merge w:val="continue"/>
                  <w:vAlign w:val="center"/>
                </w:tcPr>
                <w:p>
                  <w:pPr>
                    <w:snapToGrid w:val="0"/>
                    <w:jc w:val="center"/>
                    <w:rPr>
                      <w:szCs w:val="21"/>
                    </w:rPr>
                  </w:pPr>
                </w:p>
              </w:tc>
              <w:tc>
                <w:tcPr>
                  <w:tcW w:w="851" w:type="dxa"/>
                  <w:vAlign w:val="center"/>
                </w:tcPr>
                <w:p>
                  <w:pPr>
                    <w:snapToGrid w:val="0"/>
                    <w:jc w:val="center"/>
                    <w:rPr>
                      <w:szCs w:val="21"/>
                    </w:rPr>
                  </w:pPr>
                  <w:r>
                    <w:rPr>
                      <w:rFonts w:hint="eastAsia"/>
                      <w:szCs w:val="21"/>
                    </w:rPr>
                    <w:t>二类区</w:t>
                  </w:r>
                </w:p>
              </w:tc>
              <w:tc>
                <w:tcPr>
                  <w:tcW w:w="2512" w:type="dxa"/>
                  <w:gridSpan w:val="8"/>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最大占标率≤30%</w:t>
                  </w:r>
                  <w:r>
                    <w:rPr>
                      <w:rFonts w:hint="eastAsia" w:ascii="MS Mincho" w:hAnsi="MS Mincho" w:eastAsia="MS Mincho" w:cs="MS Mincho"/>
                      <w:szCs w:val="21"/>
                    </w:rPr>
                    <w:t>☑</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本项目</w:t>
                  </w:r>
                  <w:r>
                    <w:rPr>
                      <w:rFonts w:hint="eastAsia"/>
                      <w:szCs w:val="21"/>
                    </w:rPr>
                    <w:t>最大占标率＞30%□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非正常排放1h浓度贡献值</w:t>
                  </w:r>
                </w:p>
              </w:tc>
              <w:tc>
                <w:tcPr>
                  <w:tcW w:w="2242" w:type="dxa"/>
                  <w:gridSpan w:val="5"/>
                  <w:vAlign w:val="center"/>
                </w:tcPr>
                <w:p>
                  <w:pPr>
                    <w:snapToGrid w:val="0"/>
                    <w:jc w:val="center"/>
                    <w:rPr>
                      <w:szCs w:val="21"/>
                    </w:rPr>
                  </w:pPr>
                  <w:r>
                    <w:rPr>
                      <w:rFonts w:hint="eastAsia"/>
                      <w:szCs w:val="21"/>
                    </w:rPr>
                    <w:t>非正常持续时长（）h</w:t>
                  </w:r>
                </w:p>
              </w:tc>
              <w:tc>
                <w:tcPr>
                  <w:tcW w:w="2242" w:type="dxa"/>
                  <w:gridSpan w:val="7"/>
                  <w:vAlign w:val="center"/>
                </w:tcPr>
                <w:p>
                  <w:pPr>
                    <w:snapToGrid w:val="0"/>
                    <w:jc w:val="center"/>
                    <w:rPr>
                      <w:szCs w:val="21"/>
                    </w:rPr>
                  </w:pPr>
                  <w:r>
                    <w:rPr>
                      <w:rFonts w:hint="eastAsia"/>
                      <w:szCs w:val="21"/>
                    </w:rPr>
                    <w:t>C</w:t>
                  </w:r>
                  <w:r>
                    <w:rPr>
                      <w:rFonts w:hint="eastAsia"/>
                      <w:szCs w:val="21"/>
                      <w:vertAlign w:val="subscript"/>
                    </w:rPr>
                    <w:t>非正常</w:t>
                  </w:r>
                  <w:r>
                    <w:rPr>
                      <w:rFonts w:hint="eastAsia"/>
                      <w:szCs w:val="21"/>
                    </w:rPr>
                    <w:t>最大占标率≤100%□</w:t>
                  </w:r>
                </w:p>
              </w:tc>
              <w:tc>
                <w:tcPr>
                  <w:tcW w:w="2242" w:type="dxa"/>
                  <w:gridSpan w:val="6"/>
                  <w:vAlign w:val="center"/>
                </w:tcPr>
                <w:p>
                  <w:pPr>
                    <w:snapToGrid w:val="0"/>
                    <w:jc w:val="center"/>
                    <w:rPr>
                      <w:szCs w:val="21"/>
                    </w:rPr>
                  </w:pPr>
                  <w:r>
                    <w:rPr>
                      <w:rFonts w:hint="eastAsia"/>
                      <w:szCs w:val="21"/>
                    </w:rPr>
                    <w:t>C</w:t>
                  </w:r>
                  <w:r>
                    <w:rPr>
                      <w:rFonts w:hint="eastAsia"/>
                      <w:szCs w:val="21"/>
                      <w:vertAlign w:val="subscript"/>
                    </w:rPr>
                    <w:t>非正常</w:t>
                  </w:r>
                  <w:r>
                    <w:rPr>
                      <w:rFonts w:hint="eastAsia"/>
                      <w:szCs w:val="21"/>
                    </w:rPr>
                    <w:t>最大占标率＞100%□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保证率日平均浓度和年平均浓度叠加值</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叠加</w:t>
                  </w:r>
                  <w:r>
                    <w:rPr>
                      <w:rFonts w:hint="eastAsia"/>
                      <w:szCs w:val="21"/>
                    </w:rPr>
                    <w:t>达标□</w:t>
                  </w:r>
                </w:p>
              </w:tc>
              <w:tc>
                <w:tcPr>
                  <w:tcW w:w="3363" w:type="dxa"/>
                  <w:gridSpan w:val="9"/>
                  <w:vAlign w:val="center"/>
                </w:tcPr>
                <w:p>
                  <w:pPr>
                    <w:snapToGrid w:val="0"/>
                    <w:jc w:val="center"/>
                    <w:rPr>
                      <w:szCs w:val="21"/>
                    </w:rPr>
                  </w:pPr>
                  <w:r>
                    <w:rPr>
                      <w:rFonts w:hint="eastAsia"/>
                      <w:szCs w:val="21"/>
                    </w:rPr>
                    <w:t>C</w:t>
                  </w:r>
                  <w:r>
                    <w:rPr>
                      <w:rFonts w:hint="eastAsia"/>
                      <w:szCs w:val="21"/>
                      <w:vertAlign w:val="subscript"/>
                    </w:rPr>
                    <w:t>叠加不</w:t>
                  </w:r>
                  <w:r>
                    <w:rPr>
                      <w:rFonts w:hint="eastAsia"/>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区域环境质量的整体变化情况</w:t>
                  </w:r>
                </w:p>
              </w:tc>
              <w:tc>
                <w:tcPr>
                  <w:tcW w:w="3363" w:type="dxa"/>
                  <w:gridSpan w:val="9"/>
                  <w:vAlign w:val="center"/>
                </w:tcPr>
                <w:p>
                  <w:pPr>
                    <w:snapToGrid w:val="0"/>
                    <w:jc w:val="center"/>
                    <w:rPr>
                      <w:szCs w:val="21"/>
                    </w:rPr>
                  </w:pPr>
                  <w:r>
                    <w:rPr>
                      <w:rFonts w:hint="eastAsia"/>
                      <w:szCs w:val="21"/>
                    </w:rPr>
                    <w:t>k≤-20%□</w:t>
                  </w:r>
                </w:p>
              </w:tc>
              <w:tc>
                <w:tcPr>
                  <w:tcW w:w="3363" w:type="dxa"/>
                  <w:gridSpan w:val="9"/>
                  <w:vAlign w:val="center"/>
                </w:tcPr>
                <w:p>
                  <w:pPr>
                    <w:snapToGrid w:val="0"/>
                    <w:jc w:val="center"/>
                    <w:rPr>
                      <w:szCs w:val="21"/>
                    </w:rPr>
                  </w:pPr>
                  <w:r>
                    <w:rPr>
                      <w:rFonts w:hint="eastAsia"/>
                      <w:szCs w:val="21"/>
                    </w:rPr>
                    <w:t>k＞-20%□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环境监测计划</w:t>
                  </w:r>
                </w:p>
              </w:tc>
              <w:tc>
                <w:tcPr>
                  <w:tcW w:w="1276" w:type="dxa"/>
                  <w:vAlign w:val="center"/>
                </w:tcPr>
                <w:p>
                  <w:pPr>
                    <w:snapToGrid w:val="0"/>
                    <w:jc w:val="center"/>
                    <w:rPr>
                      <w:szCs w:val="21"/>
                    </w:rPr>
                  </w:pPr>
                  <w:r>
                    <w:rPr>
                      <w:rFonts w:hint="eastAsia"/>
                      <w:szCs w:val="21"/>
                    </w:rPr>
                    <w:t>污染源监测</w:t>
                  </w:r>
                </w:p>
              </w:tc>
              <w:tc>
                <w:tcPr>
                  <w:tcW w:w="2268" w:type="dxa"/>
                  <w:gridSpan w:val="6"/>
                  <w:vAlign w:val="center"/>
                </w:tcPr>
                <w:p>
                  <w:pPr>
                    <w:snapToGrid w:val="0"/>
                    <w:jc w:val="center"/>
                    <w:rPr>
                      <w:szCs w:val="21"/>
                    </w:rPr>
                  </w:pPr>
                  <w:r>
                    <w:rPr>
                      <w:rFonts w:hint="eastAsia"/>
                      <w:szCs w:val="21"/>
                    </w:rPr>
                    <w:t>监测因子（颗粒物）</w:t>
                  </w:r>
                </w:p>
              </w:tc>
              <w:tc>
                <w:tcPr>
                  <w:tcW w:w="2268" w:type="dxa"/>
                  <w:gridSpan w:val="7"/>
                  <w:vAlign w:val="center"/>
                </w:tcPr>
                <w:p>
                  <w:pPr>
                    <w:snapToGrid w:val="0"/>
                    <w:jc w:val="center"/>
                    <w:rPr>
                      <w:szCs w:val="21"/>
                    </w:rPr>
                  </w:pPr>
                  <w:r>
                    <w:rPr>
                      <w:rFonts w:hint="eastAsia"/>
                      <w:szCs w:val="21"/>
                    </w:rPr>
                    <w:t>有组织废气监测</w:t>
                  </w:r>
                  <w:r>
                    <w:rPr>
                      <w:rFonts w:hint="eastAsia" w:ascii="MS Mincho" w:hAnsi="MS Mincho" w:eastAsia="MS Mincho" w:cs="MS Mincho"/>
                      <w:szCs w:val="21"/>
                    </w:rPr>
                    <w:t>☑</w:t>
                  </w:r>
                </w:p>
                <w:p>
                  <w:pPr>
                    <w:snapToGrid w:val="0"/>
                    <w:jc w:val="center"/>
                    <w:rPr>
                      <w:szCs w:val="21"/>
                    </w:rPr>
                  </w:pPr>
                  <w:r>
                    <w:rPr>
                      <w:rFonts w:hint="eastAsia"/>
                      <w:szCs w:val="21"/>
                    </w:rPr>
                    <w:t>无组织废气监测</w:t>
                  </w:r>
                  <w:r>
                    <w:rPr>
                      <w:rFonts w:hint="eastAsia" w:ascii="MS Mincho" w:hAnsi="MS Mincho" w:eastAsia="MS Mincho" w:cs="MS Mincho"/>
                      <w:szCs w:val="21"/>
                    </w:rPr>
                    <w:t>☑</w:t>
                  </w:r>
                </w:p>
              </w:tc>
              <w:tc>
                <w:tcPr>
                  <w:tcW w:w="2190" w:type="dxa"/>
                  <w:gridSpan w:val="5"/>
                  <w:vAlign w:val="center"/>
                </w:tcPr>
                <w:p>
                  <w:pPr>
                    <w:snapToGrid w:val="0"/>
                    <w:jc w:val="center"/>
                    <w:rPr>
                      <w:szCs w:val="21"/>
                    </w:rPr>
                  </w:pPr>
                  <w:r>
                    <w:rPr>
                      <w:rFonts w:hint="eastAsia"/>
                      <w:szCs w:val="21"/>
                    </w:rPr>
                    <w:t>无监测□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环境质量监测</w:t>
                  </w:r>
                </w:p>
              </w:tc>
              <w:tc>
                <w:tcPr>
                  <w:tcW w:w="2268" w:type="dxa"/>
                  <w:gridSpan w:val="6"/>
                  <w:vAlign w:val="center"/>
                </w:tcPr>
                <w:p>
                  <w:pPr>
                    <w:snapToGrid w:val="0"/>
                    <w:jc w:val="center"/>
                    <w:rPr>
                      <w:szCs w:val="21"/>
                    </w:rPr>
                  </w:pPr>
                  <w:r>
                    <w:rPr>
                      <w:rFonts w:hint="eastAsia"/>
                      <w:szCs w:val="21"/>
                    </w:rPr>
                    <w:t>监测因子（    ）</w:t>
                  </w:r>
                </w:p>
              </w:tc>
              <w:tc>
                <w:tcPr>
                  <w:tcW w:w="2268" w:type="dxa"/>
                  <w:gridSpan w:val="7"/>
                  <w:vAlign w:val="center"/>
                </w:tcPr>
                <w:p>
                  <w:pPr>
                    <w:snapToGrid w:val="0"/>
                    <w:jc w:val="center"/>
                    <w:rPr>
                      <w:szCs w:val="21"/>
                    </w:rPr>
                  </w:pPr>
                  <w:r>
                    <w:rPr>
                      <w:rFonts w:hint="eastAsia"/>
                      <w:szCs w:val="21"/>
                    </w:rPr>
                    <w:t>监测点位数（    ）</w:t>
                  </w:r>
                </w:p>
              </w:tc>
              <w:tc>
                <w:tcPr>
                  <w:tcW w:w="2190" w:type="dxa"/>
                  <w:gridSpan w:val="5"/>
                  <w:vAlign w:val="center"/>
                </w:tcPr>
                <w:p>
                  <w:pPr>
                    <w:snapToGrid w:val="0"/>
                    <w:jc w:val="center"/>
                    <w:rPr>
                      <w:szCs w:val="21"/>
                    </w:rPr>
                  </w:pPr>
                  <w:r>
                    <w:rPr>
                      <w:rFonts w:hint="eastAsia"/>
                      <w:szCs w:val="21"/>
                    </w:rPr>
                    <w:t>无监测□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vAlign w:val="center"/>
                </w:tcPr>
                <w:p>
                  <w:pPr>
                    <w:snapToGrid w:val="0"/>
                    <w:jc w:val="center"/>
                    <w:rPr>
                      <w:szCs w:val="21"/>
                    </w:rPr>
                  </w:pPr>
                  <w:r>
                    <w:rPr>
                      <w:rFonts w:hint="eastAsia"/>
                      <w:szCs w:val="21"/>
                    </w:rPr>
                    <w:t>评价结论</w:t>
                  </w:r>
                </w:p>
              </w:tc>
              <w:tc>
                <w:tcPr>
                  <w:tcW w:w="1276" w:type="dxa"/>
                  <w:vAlign w:val="center"/>
                </w:tcPr>
                <w:p>
                  <w:pPr>
                    <w:snapToGrid w:val="0"/>
                    <w:jc w:val="center"/>
                    <w:rPr>
                      <w:szCs w:val="21"/>
                    </w:rPr>
                  </w:pPr>
                  <w:r>
                    <w:rPr>
                      <w:rFonts w:hint="eastAsia"/>
                      <w:szCs w:val="21"/>
                    </w:rPr>
                    <w:t>环境影响</w:t>
                  </w:r>
                </w:p>
              </w:tc>
              <w:tc>
                <w:tcPr>
                  <w:tcW w:w="3363" w:type="dxa"/>
                  <w:gridSpan w:val="9"/>
                  <w:vAlign w:val="center"/>
                </w:tcPr>
                <w:p>
                  <w:pPr>
                    <w:snapToGrid w:val="0"/>
                    <w:jc w:val="center"/>
                    <w:rPr>
                      <w:szCs w:val="21"/>
                    </w:rPr>
                  </w:pPr>
                  <w:r>
                    <w:rPr>
                      <w:rFonts w:hint="eastAsia"/>
                      <w:szCs w:val="21"/>
                    </w:rPr>
                    <w:t>可以接受</w:t>
                  </w:r>
                  <w:r>
                    <w:rPr>
                      <w:rFonts w:hint="eastAsia" w:ascii="MS Mincho" w:hAnsi="MS Mincho" w:eastAsia="MS Mincho" w:cs="MS Mincho"/>
                      <w:szCs w:val="21"/>
                    </w:rPr>
                    <w:t>☑</w:t>
                  </w:r>
                </w:p>
              </w:tc>
              <w:tc>
                <w:tcPr>
                  <w:tcW w:w="3363" w:type="dxa"/>
                  <w:gridSpan w:val="9"/>
                  <w:vAlign w:val="center"/>
                </w:tcPr>
                <w:p>
                  <w:pPr>
                    <w:snapToGrid w:val="0"/>
                    <w:jc w:val="center"/>
                    <w:rPr>
                      <w:szCs w:val="21"/>
                    </w:rPr>
                  </w:pPr>
                  <w:r>
                    <w:rPr>
                      <w:rFonts w:hint="eastAsia"/>
                      <w:szCs w:val="21"/>
                    </w:rPr>
                    <w:t>不可以接受□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大气防护距离</w:t>
                  </w:r>
                </w:p>
              </w:tc>
              <w:tc>
                <w:tcPr>
                  <w:tcW w:w="6726" w:type="dxa"/>
                  <w:gridSpan w:val="18"/>
                  <w:vAlign w:val="center"/>
                </w:tcPr>
                <w:p>
                  <w:pPr>
                    <w:snapToGrid w:val="0"/>
                    <w:jc w:val="center"/>
                    <w:rPr>
                      <w:szCs w:val="21"/>
                    </w:rPr>
                  </w:pPr>
                  <w:r>
                    <w:rPr>
                      <w:rFonts w:hint="eastAsia"/>
                      <w:szCs w:val="21"/>
                    </w:rPr>
                    <w:t>距（）厂界最远距离（）m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vAlign w:val="center"/>
                </w:tcPr>
                <w:p>
                  <w:pPr>
                    <w:snapToGrid w:val="0"/>
                    <w:jc w:val="center"/>
                    <w:rPr>
                      <w:szCs w:val="21"/>
                    </w:rPr>
                  </w:pPr>
                </w:p>
              </w:tc>
              <w:tc>
                <w:tcPr>
                  <w:tcW w:w="1276" w:type="dxa"/>
                  <w:vAlign w:val="center"/>
                </w:tcPr>
                <w:p>
                  <w:pPr>
                    <w:snapToGrid w:val="0"/>
                    <w:jc w:val="center"/>
                    <w:rPr>
                      <w:szCs w:val="21"/>
                    </w:rPr>
                  </w:pPr>
                  <w:r>
                    <w:rPr>
                      <w:rFonts w:hint="eastAsia"/>
                      <w:szCs w:val="21"/>
                    </w:rPr>
                    <w:t>污染源年排放量</w:t>
                  </w:r>
                </w:p>
              </w:tc>
              <w:tc>
                <w:tcPr>
                  <w:tcW w:w="1681" w:type="dxa"/>
                  <w:gridSpan w:val="3"/>
                  <w:vAlign w:val="center"/>
                </w:tcPr>
                <w:p>
                  <w:pPr>
                    <w:snapToGrid w:val="0"/>
                    <w:jc w:val="center"/>
                    <w:rPr>
                      <w:szCs w:val="21"/>
                    </w:rPr>
                  </w:pPr>
                  <w:r>
                    <w:rPr>
                      <w:rFonts w:hint="eastAsia"/>
                      <w:szCs w:val="21"/>
                    </w:rPr>
                    <w:t>SO</w:t>
                  </w:r>
                  <w:r>
                    <w:rPr>
                      <w:rFonts w:hint="eastAsia"/>
                      <w:szCs w:val="21"/>
                      <w:vertAlign w:val="subscript"/>
                    </w:rPr>
                    <w:t>2</w:t>
                  </w:r>
                  <w:r>
                    <w:rPr>
                      <w:rFonts w:hint="eastAsia"/>
                      <w:szCs w:val="21"/>
                    </w:rPr>
                    <w:t>：（  ）t/a</w:t>
                  </w:r>
                </w:p>
              </w:tc>
              <w:tc>
                <w:tcPr>
                  <w:tcW w:w="1682" w:type="dxa"/>
                  <w:gridSpan w:val="6"/>
                  <w:vAlign w:val="center"/>
                </w:tcPr>
                <w:p>
                  <w:pPr>
                    <w:snapToGrid w:val="0"/>
                    <w:jc w:val="center"/>
                    <w:rPr>
                      <w:szCs w:val="21"/>
                    </w:rPr>
                  </w:pPr>
                  <w:r>
                    <w:rPr>
                      <w:rFonts w:hint="eastAsia"/>
                      <w:szCs w:val="21"/>
                    </w:rPr>
                    <w:t>NOx：（  ）t/a</w:t>
                  </w:r>
                </w:p>
              </w:tc>
              <w:tc>
                <w:tcPr>
                  <w:tcW w:w="1681" w:type="dxa"/>
                  <w:gridSpan w:val="6"/>
                  <w:vAlign w:val="center"/>
                </w:tcPr>
                <w:p>
                  <w:pPr>
                    <w:rPr>
                      <w:szCs w:val="21"/>
                    </w:rPr>
                  </w:pPr>
                  <w:r>
                    <w:rPr>
                      <w:szCs w:val="21"/>
                    </w:rPr>
                    <w:t>颗粒物：（）t/a</w:t>
                  </w:r>
                </w:p>
              </w:tc>
              <w:tc>
                <w:tcPr>
                  <w:tcW w:w="1682" w:type="dxa"/>
                  <w:gridSpan w:val="3"/>
                  <w:vAlign w:val="center"/>
                </w:tcPr>
                <w:p>
                  <w:pPr>
                    <w:rPr>
                      <w:szCs w:val="21"/>
                    </w:rPr>
                  </w:pPr>
                  <w:r>
                    <w:rPr>
                      <w:szCs w:val="21"/>
                    </w:rPr>
                    <w:t xml:space="preserve"> VOCs：（）t/a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1" w:type="dxa"/>
                  <w:gridSpan w:val="20"/>
                  <w:vAlign w:val="center"/>
                </w:tcPr>
                <w:p>
                  <w:pPr>
                    <w:snapToGrid w:val="0"/>
                    <w:jc w:val="left"/>
                    <w:rPr>
                      <w:szCs w:val="21"/>
                    </w:rPr>
                  </w:pPr>
                  <w:r>
                    <w:rPr>
                      <w:szCs w:val="21"/>
                    </w:rPr>
                    <w:t>注：“□”为勾选项，可√；“（ ）”为内容填写项。</w:t>
                  </w:r>
                </w:p>
              </w:tc>
            </w:tr>
          </w:tbl>
          <w:p>
            <w:pPr>
              <w:snapToGrid w:val="0"/>
              <w:spacing w:line="360" w:lineRule="auto"/>
              <w:rPr>
                <w:sz w:val="24"/>
              </w:rPr>
            </w:pPr>
            <w:r>
              <w:rPr>
                <w:rFonts w:hint="eastAsia"/>
                <w:sz w:val="24"/>
              </w:rPr>
              <w:t>三、</w:t>
            </w:r>
            <w:r>
              <w:rPr>
                <w:b/>
                <w:bCs/>
                <w:kern w:val="0"/>
                <w:sz w:val="24"/>
              </w:rPr>
              <w:t>噪声环境影响分析</w:t>
            </w:r>
          </w:p>
          <w:p>
            <w:pPr>
              <w:pStyle w:val="61"/>
              <w:snapToGrid w:val="0"/>
              <w:spacing w:before="0" w:line="360" w:lineRule="auto"/>
            </w:pPr>
            <w:r>
              <w:t>本项目</w:t>
            </w:r>
            <w:r>
              <w:rPr>
                <w:rFonts w:hint="eastAsia"/>
              </w:rPr>
              <w:t>主要噪声源为设备工作时候产生的噪声。本评价预测中考虑了声源所在空间位置及设备安装情况以及声波在空气中扩散传播所遇各种衰减因素的影响。预测评价中，选用原现状监测中厂界背景值测点作为预测点。</w:t>
            </w:r>
          </w:p>
          <w:p>
            <w:pPr>
              <w:pStyle w:val="61"/>
              <w:snapToGrid w:val="0"/>
              <w:spacing w:before="0" w:line="360" w:lineRule="auto"/>
              <w:rPr>
                <w:rFonts w:ascii="宋体" w:hAnsi="宋体"/>
              </w:rPr>
            </w:pPr>
            <w:r>
              <w:rPr>
                <w:rFonts w:hint="eastAsia" w:ascii="宋体" w:hAnsi="宋体"/>
              </w:rPr>
              <w:t>选择《环境影响评价技术导则－声环境》</w:t>
            </w:r>
            <w:r>
              <w:rPr>
                <w:rFonts w:hAnsi="宋体"/>
              </w:rPr>
              <w:t>（</w:t>
            </w:r>
            <w:r>
              <w:rPr>
                <w:spacing w:val="-4"/>
              </w:rPr>
              <w:t>HJ2.4</w:t>
            </w:r>
            <w:r>
              <w:rPr>
                <w:rFonts w:hAnsi="宋体"/>
                <w:spacing w:val="-4"/>
              </w:rPr>
              <w:t>－</w:t>
            </w:r>
            <w:r>
              <w:rPr>
                <w:spacing w:val="-4"/>
              </w:rPr>
              <w:t>2009</w:t>
            </w:r>
            <w:r>
              <w:rPr>
                <w:rFonts w:hAnsi="宋体"/>
              </w:rPr>
              <w:t>）</w:t>
            </w:r>
            <w:r>
              <w:rPr>
                <w:rFonts w:hint="eastAsia" w:ascii="宋体" w:hAnsi="宋体"/>
              </w:rPr>
              <w:t>中推荐的半自由声场点声源衰减模式，具体模式如下：</w:t>
            </w:r>
          </w:p>
          <w:p>
            <w:pPr>
              <w:adjustRightInd w:val="0"/>
              <w:snapToGrid w:val="0"/>
              <w:spacing w:line="360" w:lineRule="auto"/>
              <w:ind w:firstLine="1160" w:firstLineChars="500"/>
              <w:rPr>
                <w:rFonts w:ascii="宋体" w:hAnsi="宋体"/>
                <w:spacing w:val="-4"/>
                <w:sz w:val="24"/>
              </w:rPr>
            </w:pPr>
            <w:r>
              <w:rPr>
                <w:rFonts w:hint="eastAsia" w:ascii="宋体" w:hAnsi="宋体"/>
                <w:spacing w:val="-4"/>
                <w:sz w:val="24"/>
              </w:rPr>
              <w:t>L</w:t>
            </w:r>
            <w:r>
              <w:rPr>
                <w:rFonts w:hint="eastAsia" w:ascii="宋体" w:hAnsi="宋体"/>
                <w:spacing w:val="-4"/>
                <w:sz w:val="24"/>
                <w:vertAlign w:val="subscript"/>
              </w:rPr>
              <w:t>A（r）</w:t>
            </w:r>
            <w:r>
              <w:rPr>
                <w:rFonts w:hint="eastAsia" w:ascii="宋体" w:hAnsi="宋体"/>
                <w:spacing w:val="-4"/>
                <w:sz w:val="24"/>
              </w:rPr>
              <w:t>=L</w:t>
            </w:r>
            <w:r>
              <w:rPr>
                <w:rFonts w:hint="eastAsia" w:ascii="宋体" w:hAnsi="宋体"/>
                <w:spacing w:val="-4"/>
                <w:sz w:val="24"/>
                <w:vertAlign w:val="subscript"/>
              </w:rPr>
              <w:t>Aref（r0</w:t>
            </w:r>
            <w:r>
              <w:rPr>
                <w:rFonts w:ascii="宋体" w:hAnsi="宋体"/>
                <w:spacing w:val="-4"/>
                <w:sz w:val="24"/>
                <w:vertAlign w:val="subscript"/>
              </w:rPr>
              <w:t>）</w:t>
            </w:r>
            <w:r>
              <w:rPr>
                <w:rFonts w:hint="eastAsia" w:ascii="宋体" w:hAnsi="宋体"/>
                <w:spacing w:val="-4"/>
                <w:sz w:val="24"/>
              </w:rPr>
              <w:t>－</w:t>
            </w:r>
            <w:r>
              <w:rPr>
                <w:rFonts w:ascii="宋体" w:hAnsi="宋体"/>
                <w:spacing w:val="-4"/>
                <w:sz w:val="24"/>
              </w:rPr>
              <w:t>（</w:t>
            </w:r>
            <w:r>
              <w:rPr>
                <w:rFonts w:hint="eastAsia" w:ascii="宋体" w:hAnsi="宋体"/>
                <w:spacing w:val="-4"/>
                <w:sz w:val="24"/>
              </w:rPr>
              <w:t>A</w:t>
            </w:r>
            <w:r>
              <w:rPr>
                <w:rFonts w:ascii="宋体" w:hAnsi="宋体"/>
                <w:spacing w:val="-4"/>
                <w:sz w:val="24"/>
                <w:vertAlign w:val="subscript"/>
              </w:rPr>
              <w:t>div</w:t>
            </w:r>
            <w:r>
              <w:rPr>
                <w:rFonts w:ascii="宋体" w:hAnsi="宋体"/>
                <w:spacing w:val="-4"/>
                <w:sz w:val="24"/>
              </w:rPr>
              <w:t>+</w:t>
            </w:r>
            <w:r>
              <w:rPr>
                <w:rFonts w:hint="eastAsia" w:ascii="宋体" w:hAnsi="宋体"/>
                <w:spacing w:val="-4"/>
                <w:sz w:val="24"/>
              </w:rPr>
              <w:t>A</w:t>
            </w:r>
            <w:r>
              <w:rPr>
                <w:rFonts w:ascii="宋体" w:hAnsi="宋体"/>
                <w:spacing w:val="-4"/>
                <w:sz w:val="24"/>
                <w:vertAlign w:val="subscript"/>
              </w:rPr>
              <w:t>bar</w:t>
            </w:r>
            <w:r>
              <w:rPr>
                <w:rFonts w:ascii="宋体" w:hAnsi="宋体"/>
                <w:spacing w:val="-4"/>
                <w:sz w:val="24"/>
              </w:rPr>
              <w:t>+</w:t>
            </w:r>
            <w:r>
              <w:rPr>
                <w:rFonts w:hint="eastAsia" w:ascii="宋体" w:hAnsi="宋体"/>
                <w:spacing w:val="-4"/>
                <w:sz w:val="24"/>
              </w:rPr>
              <w:t>A</w:t>
            </w:r>
            <w:r>
              <w:rPr>
                <w:rFonts w:ascii="宋体" w:hAnsi="宋体"/>
                <w:spacing w:val="-4"/>
                <w:sz w:val="24"/>
                <w:vertAlign w:val="subscript"/>
              </w:rPr>
              <w:t>atm</w:t>
            </w:r>
            <w:r>
              <w:rPr>
                <w:rFonts w:ascii="宋体" w:hAnsi="宋体"/>
                <w:spacing w:val="-4"/>
                <w:sz w:val="24"/>
              </w:rPr>
              <w:t>+</w:t>
            </w:r>
            <w:r>
              <w:rPr>
                <w:rFonts w:hint="eastAsia" w:ascii="宋体" w:hAnsi="宋体"/>
                <w:spacing w:val="-4"/>
                <w:sz w:val="24"/>
              </w:rPr>
              <w:t>A</w:t>
            </w:r>
            <w:r>
              <w:rPr>
                <w:rFonts w:ascii="宋体" w:hAnsi="宋体"/>
                <w:spacing w:val="-4"/>
                <w:sz w:val="24"/>
                <w:vertAlign w:val="subscript"/>
              </w:rPr>
              <w:t>exc</w:t>
            </w:r>
            <w:r>
              <w:rPr>
                <w:rFonts w:ascii="宋体" w:hAnsi="宋体"/>
                <w:spacing w:val="-4"/>
                <w:sz w:val="24"/>
              </w:rPr>
              <w:t>）</w:t>
            </w:r>
          </w:p>
          <w:p>
            <w:pPr>
              <w:adjustRightInd w:val="0"/>
              <w:snapToGrid w:val="0"/>
              <w:spacing w:line="360" w:lineRule="auto"/>
              <w:ind w:firstLine="464" w:firstLineChars="200"/>
              <w:rPr>
                <w:rFonts w:ascii="宋体" w:hAnsi="宋体"/>
                <w:spacing w:val="-4"/>
                <w:sz w:val="24"/>
              </w:rPr>
            </w:pPr>
            <w:r>
              <w:rPr>
                <w:rFonts w:hint="eastAsia" w:ascii="宋体" w:hAnsi="宋体"/>
                <w:spacing w:val="-4"/>
                <w:sz w:val="24"/>
              </w:rPr>
              <w:t>式中：L</w:t>
            </w:r>
            <w:r>
              <w:rPr>
                <w:rFonts w:hint="eastAsia" w:ascii="宋体" w:hAnsi="宋体"/>
                <w:spacing w:val="-4"/>
                <w:sz w:val="24"/>
                <w:vertAlign w:val="subscript"/>
              </w:rPr>
              <w:t>A（r）</w:t>
            </w:r>
            <w:r>
              <w:rPr>
                <w:rFonts w:hint="eastAsia" w:ascii="宋体" w:hAnsi="宋体"/>
                <w:spacing w:val="-4"/>
                <w:sz w:val="24"/>
              </w:rPr>
              <w:t>——距离声源r处A声级，dB（A）；</w:t>
            </w:r>
          </w:p>
          <w:p>
            <w:pPr>
              <w:adjustRightInd w:val="0"/>
              <w:snapToGrid w:val="0"/>
              <w:spacing w:line="360" w:lineRule="auto"/>
              <w:ind w:firstLine="1160" w:firstLineChars="500"/>
              <w:rPr>
                <w:rFonts w:ascii="宋体" w:hAnsi="宋体"/>
                <w:sz w:val="24"/>
              </w:rPr>
            </w:pPr>
            <w:r>
              <w:rPr>
                <w:rFonts w:hint="eastAsia" w:ascii="宋体" w:hAnsi="宋体"/>
                <w:spacing w:val="-4"/>
                <w:sz w:val="24"/>
              </w:rPr>
              <w:t>A</w:t>
            </w:r>
            <w:r>
              <w:rPr>
                <w:rFonts w:hint="eastAsia" w:ascii="宋体" w:hAnsi="宋体"/>
                <w:spacing w:val="-4"/>
                <w:sz w:val="24"/>
                <w:vertAlign w:val="subscript"/>
              </w:rPr>
              <w:t>Aref（r0</w:t>
            </w:r>
            <w:r>
              <w:rPr>
                <w:rFonts w:ascii="宋体" w:hAnsi="宋体"/>
                <w:spacing w:val="-4"/>
                <w:sz w:val="24"/>
                <w:vertAlign w:val="subscript"/>
              </w:rPr>
              <w:t>）</w:t>
            </w:r>
            <w:r>
              <w:rPr>
                <w:rFonts w:hint="eastAsia" w:ascii="宋体" w:hAnsi="宋体"/>
                <w:spacing w:val="-4"/>
                <w:sz w:val="24"/>
              </w:rPr>
              <w:t>——参考位置r</w:t>
            </w:r>
            <w:r>
              <w:rPr>
                <w:rFonts w:hint="eastAsia" w:ascii="宋体" w:hAnsi="宋体"/>
                <w:spacing w:val="-4"/>
                <w:sz w:val="24"/>
                <w:vertAlign w:val="subscript"/>
              </w:rPr>
              <w:t>0</w:t>
            </w:r>
            <w:r>
              <w:rPr>
                <w:rFonts w:hint="eastAsia" w:ascii="宋体" w:hAnsi="宋体"/>
                <w:spacing w:val="-4"/>
                <w:sz w:val="24"/>
              </w:rPr>
              <w:t>处A声级，dB（A）；</w:t>
            </w:r>
          </w:p>
          <w:p>
            <w:pPr>
              <w:adjustRightInd w:val="0"/>
              <w:snapToGrid w:val="0"/>
              <w:spacing w:line="360" w:lineRule="auto"/>
              <w:ind w:firstLine="1160" w:firstLineChars="500"/>
              <w:rPr>
                <w:rFonts w:ascii="宋体" w:hAnsi="宋体"/>
                <w:spacing w:val="-4"/>
                <w:sz w:val="24"/>
              </w:rPr>
            </w:pPr>
            <w:r>
              <w:rPr>
                <w:rFonts w:hint="eastAsia" w:ascii="宋体" w:hAnsi="宋体"/>
                <w:spacing w:val="-4"/>
                <w:sz w:val="24"/>
              </w:rPr>
              <w:t>A</w:t>
            </w:r>
            <w:r>
              <w:rPr>
                <w:rFonts w:ascii="宋体" w:hAnsi="宋体"/>
                <w:spacing w:val="-4"/>
                <w:sz w:val="24"/>
                <w:vertAlign w:val="subscript"/>
              </w:rPr>
              <w:t>div</w:t>
            </w:r>
            <w:r>
              <w:rPr>
                <w:rFonts w:hint="eastAsia" w:ascii="宋体" w:hAnsi="宋体"/>
                <w:spacing w:val="-4"/>
                <w:sz w:val="24"/>
              </w:rPr>
              <w:t>——声波几何发散引起的A声级衰减量，dB（A）；</w:t>
            </w:r>
          </w:p>
          <w:p>
            <w:pPr>
              <w:adjustRightInd w:val="0"/>
              <w:snapToGrid w:val="0"/>
              <w:spacing w:line="360" w:lineRule="auto"/>
              <w:ind w:firstLine="1160" w:firstLineChars="500"/>
              <w:rPr>
                <w:rFonts w:ascii="宋体" w:hAnsi="宋体"/>
                <w:spacing w:val="-4"/>
                <w:sz w:val="24"/>
              </w:rPr>
            </w:pPr>
            <w:r>
              <w:rPr>
                <w:rFonts w:hint="eastAsia" w:ascii="宋体" w:hAnsi="宋体"/>
                <w:spacing w:val="-4"/>
                <w:sz w:val="24"/>
              </w:rPr>
              <w:t>A</w:t>
            </w:r>
            <w:r>
              <w:rPr>
                <w:rFonts w:ascii="宋体" w:hAnsi="宋体"/>
                <w:spacing w:val="-4"/>
                <w:sz w:val="24"/>
                <w:vertAlign w:val="subscript"/>
              </w:rPr>
              <w:t>bar</w:t>
            </w:r>
            <w:r>
              <w:rPr>
                <w:rFonts w:hint="eastAsia" w:ascii="宋体" w:hAnsi="宋体"/>
                <w:spacing w:val="-4"/>
                <w:sz w:val="24"/>
              </w:rPr>
              <w:t>——遮挡物引起的A声级衰减量，dB（A）；</w:t>
            </w:r>
          </w:p>
          <w:p>
            <w:pPr>
              <w:adjustRightInd w:val="0"/>
              <w:snapToGrid w:val="0"/>
              <w:spacing w:line="360" w:lineRule="auto"/>
              <w:ind w:firstLine="1160" w:firstLineChars="500"/>
              <w:rPr>
                <w:rFonts w:ascii="宋体" w:hAnsi="宋体"/>
                <w:spacing w:val="-4"/>
                <w:sz w:val="24"/>
              </w:rPr>
            </w:pPr>
            <w:r>
              <w:rPr>
                <w:rFonts w:hint="eastAsia" w:ascii="宋体" w:hAnsi="宋体"/>
                <w:spacing w:val="-4"/>
                <w:sz w:val="24"/>
              </w:rPr>
              <w:t>A</w:t>
            </w:r>
            <w:r>
              <w:rPr>
                <w:rFonts w:ascii="宋体" w:hAnsi="宋体"/>
                <w:spacing w:val="-4"/>
                <w:sz w:val="24"/>
                <w:vertAlign w:val="subscript"/>
              </w:rPr>
              <w:t>atm</w:t>
            </w:r>
            <w:r>
              <w:rPr>
                <w:rFonts w:hint="eastAsia" w:ascii="宋体" w:hAnsi="宋体"/>
                <w:spacing w:val="-4"/>
                <w:sz w:val="24"/>
              </w:rPr>
              <w:t>——空气吸收引起的A声级衰减量，dB（A）；</w:t>
            </w:r>
          </w:p>
          <w:p>
            <w:pPr>
              <w:adjustRightInd w:val="0"/>
              <w:snapToGrid w:val="0"/>
              <w:spacing w:line="360" w:lineRule="auto"/>
              <w:ind w:firstLine="1160" w:firstLineChars="500"/>
              <w:rPr>
                <w:rFonts w:ascii="宋体" w:hAnsi="宋体"/>
                <w:sz w:val="24"/>
              </w:rPr>
            </w:pPr>
            <w:r>
              <w:rPr>
                <w:rFonts w:hint="eastAsia" w:ascii="宋体" w:hAnsi="宋体"/>
                <w:spacing w:val="-4"/>
                <w:sz w:val="24"/>
              </w:rPr>
              <w:t>A</w:t>
            </w:r>
            <w:r>
              <w:rPr>
                <w:rFonts w:ascii="宋体" w:hAnsi="宋体"/>
                <w:spacing w:val="-4"/>
                <w:sz w:val="24"/>
                <w:vertAlign w:val="subscript"/>
              </w:rPr>
              <w:t>exc</w:t>
            </w:r>
            <w:r>
              <w:rPr>
                <w:rFonts w:hint="eastAsia" w:ascii="宋体" w:hAnsi="宋体"/>
                <w:spacing w:val="-4"/>
                <w:sz w:val="24"/>
              </w:rPr>
              <w:t>——附加A声级衰减量，dB（A）。</w:t>
            </w:r>
          </w:p>
          <w:p>
            <w:pPr>
              <w:pStyle w:val="61"/>
              <w:snapToGrid w:val="0"/>
              <w:spacing w:before="0" w:line="360" w:lineRule="auto"/>
              <w:rPr>
                <w:rFonts w:ascii="宋体" w:hAnsi="宋体"/>
              </w:rPr>
            </w:pPr>
            <w:r>
              <w:rPr>
                <w:rFonts w:hint="eastAsia" w:ascii="宋体" w:hAnsi="宋体"/>
              </w:rPr>
              <w:t>根据上述公式，对主要生产设备噪声值进行叠加计算，预测项目实施后对厂界的影响。</w:t>
            </w:r>
          </w:p>
          <w:p>
            <w:pPr>
              <w:pStyle w:val="61"/>
              <w:snapToGrid w:val="0"/>
              <w:spacing w:before="0" w:line="360" w:lineRule="auto"/>
              <w:rPr>
                <w:rFonts w:ascii="宋体" w:hAnsi="宋体"/>
              </w:rPr>
            </w:pPr>
            <w:r>
              <w:rPr>
                <w:rFonts w:hint="eastAsia" w:ascii="宋体" w:hAnsi="宋体"/>
              </w:rPr>
              <w:t>（2）预测参数确定</w:t>
            </w:r>
          </w:p>
          <w:p>
            <w:pPr>
              <w:pStyle w:val="61"/>
              <w:snapToGrid w:val="0"/>
              <w:spacing w:before="0" w:line="360" w:lineRule="auto"/>
              <w:rPr>
                <w:rFonts w:ascii="宋体" w:hAnsi="宋体"/>
                <w:spacing w:val="-4"/>
              </w:rPr>
            </w:pPr>
            <w:r>
              <w:rPr>
                <w:rFonts w:hint="eastAsia" w:ascii="宋体" w:hAnsi="宋体"/>
              </w:rPr>
              <w:t>①几何发散衰</w:t>
            </w:r>
            <w:r>
              <w:rPr>
                <w:rFonts w:hint="eastAsia" w:ascii="宋体" w:hAnsi="宋体"/>
                <w:spacing w:val="-4"/>
              </w:rPr>
              <w:t>减量A</w:t>
            </w:r>
            <w:r>
              <w:rPr>
                <w:rFonts w:ascii="宋体" w:hAnsi="宋体"/>
                <w:spacing w:val="-4"/>
                <w:vertAlign w:val="subscript"/>
              </w:rPr>
              <w:t>div</w:t>
            </w:r>
          </w:p>
          <w:p>
            <w:pPr>
              <w:pStyle w:val="61"/>
              <w:snapToGrid w:val="0"/>
              <w:spacing w:before="0" w:line="360" w:lineRule="auto"/>
              <w:ind w:firstLine="464"/>
              <w:rPr>
                <w:rFonts w:ascii="宋体" w:hAnsi="宋体"/>
                <w:spacing w:val="-4"/>
              </w:rPr>
            </w:pPr>
            <w:r>
              <w:rPr>
                <w:rFonts w:hint="eastAsia" w:ascii="宋体" w:hAnsi="宋体"/>
                <w:spacing w:val="-4"/>
              </w:rPr>
              <w:t>对于无指向性点声源，几何发散衰减量公式为：</w:t>
            </w:r>
          </w:p>
          <w:p>
            <w:pPr>
              <w:pStyle w:val="13"/>
              <w:snapToGrid w:val="0"/>
              <w:ind w:firstLine="464"/>
              <w:jc w:val="center"/>
              <w:rPr>
                <w:spacing w:val="-4"/>
                <w:lang w:val="pt-BR"/>
              </w:rPr>
            </w:pPr>
            <w:r>
              <w:rPr>
                <w:rFonts w:hint="eastAsia"/>
                <w:spacing w:val="-4"/>
                <w:lang w:val="pt-BR"/>
              </w:rPr>
              <w:t>A</w:t>
            </w:r>
            <w:r>
              <w:rPr>
                <w:spacing w:val="-4"/>
                <w:vertAlign w:val="subscript"/>
                <w:lang w:val="pt-BR"/>
              </w:rPr>
              <w:t>div</w:t>
            </w:r>
            <w:r>
              <w:rPr>
                <w:rFonts w:hint="eastAsia"/>
                <w:spacing w:val="-4"/>
                <w:lang w:val="pt-BR"/>
              </w:rPr>
              <w:t>＝20lg（r/r</w:t>
            </w:r>
            <w:r>
              <w:rPr>
                <w:rFonts w:hint="eastAsia"/>
                <w:spacing w:val="-4"/>
                <w:vertAlign w:val="subscript"/>
                <w:lang w:val="pt-BR"/>
              </w:rPr>
              <w:t>0</w:t>
            </w:r>
            <w:r>
              <w:rPr>
                <w:rFonts w:hint="eastAsia"/>
                <w:spacing w:val="-4"/>
                <w:lang w:val="pt-BR"/>
              </w:rPr>
              <w:t>）</w:t>
            </w:r>
          </w:p>
          <w:p>
            <w:pPr>
              <w:pStyle w:val="61"/>
              <w:snapToGrid w:val="0"/>
              <w:spacing w:before="0" w:line="360" w:lineRule="auto"/>
              <w:rPr>
                <w:rFonts w:ascii="宋体" w:hAnsi="宋体"/>
              </w:rPr>
            </w:pPr>
            <w:r>
              <w:rPr>
                <w:rFonts w:hint="eastAsia" w:ascii="宋体" w:hAnsi="宋体"/>
              </w:rPr>
              <w:t>②遮挡物衰减量A</w:t>
            </w:r>
            <w:r>
              <w:rPr>
                <w:rFonts w:ascii="宋体" w:hAnsi="宋体"/>
                <w:vertAlign w:val="subscript"/>
              </w:rPr>
              <w:t>ba</w:t>
            </w:r>
          </w:p>
          <w:p>
            <w:pPr>
              <w:pStyle w:val="61"/>
              <w:snapToGrid w:val="0"/>
              <w:spacing w:before="0" w:line="360" w:lineRule="auto"/>
              <w:rPr>
                <w:rFonts w:ascii="宋体" w:hAnsi="宋体"/>
              </w:rPr>
            </w:pPr>
            <w:r>
              <w:rPr>
                <w:rFonts w:hint="eastAsia" w:ascii="宋体" w:hAnsi="宋体"/>
              </w:rPr>
              <w:t>噪声源辐射的噪声由室内传播至室外遇到围墙或建筑物等障碍物时引起的能量衰减。对于安装在厂房内的设备，预测时主要考虑厂房墙壁等围栏结构产生的衰减量。</w:t>
            </w:r>
          </w:p>
          <w:p>
            <w:pPr>
              <w:pStyle w:val="61"/>
              <w:snapToGrid w:val="0"/>
              <w:spacing w:before="0" w:line="360" w:lineRule="auto"/>
              <w:rPr>
                <w:rFonts w:ascii="宋体" w:hAnsi="宋体"/>
              </w:rPr>
            </w:pPr>
            <w:r>
              <w:rPr>
                <w:rFonts w:hint="eastAsia" w:ascii="宋体" w:hAnsi="宋体"/>
              </w:rPr>
              <w:t>③空气吸收衰减量A</w:t>
            </w:r>
            <w:r>
              <w:rPr>
                <w:rFonts w:ascii="宋体" w:hAnsi="宋体"/>
                <w:vertAlign w:val="subscript"/>
              </w:rPr>
              <w:t>atm</w:t>
            </w:r>
          </w:p>
          <w:p>
            <w:pPr>
              <w:pStyle w:val="61"/>
              <w:snapToGrid w:val="0"/>
              <w:spacing w:before="0" w:line="360" w:lineRule="auto"/>
              <w:rPr>
                <w:rFonts w:ascii="宋体" w:hAnsi="宋体"/>
              </w:rPr>
            </w:pPr>
            <w:r>
              <w:rPr>
                <w:rFonts w:hint="eastAsia" w:ascii="宋体" w:hAnsi="宋体"/>
              </w:rPr>
              <w:t>空气吸收衰减量与几何发散衰减量相比很小，计算中忽略空气吸收衰减量。</w:t>
            </w:r>
          </w:p>
          <w:p>
            <w:pPr>
              <w:pStyle w:val="61"/>
              <w:snapToGrid w:val="0"/>
              <w:spacing w:before="0" w:line="360" w:lineRule="auto"/>
              <w:rPr>
                <w:rFonts w:ascii="宋体" w:hAnsi="宋体"/>
              </w:rPr>
            </w:pPr>
            <w:r>
              <w:rPr>
                <w:rFonts w:hint="eastAsia" w:ascii="宋体" w:hAnsi="宋体"/>
              </w:rPr>
              <w:t>④附加衰减量A</w:t>
            </w:r>
            <w:r>
              <w:rPr>
                <w:rFonts w:ascii="宋体" w:hAnsi="宋体"/>
                <w:vertAlign w:val="subscript"/>
              </w:rPr>
              <w:t>exc</w:t>
            </w:r>
          </w:p>
          <w:p>
            <w:pPr>
              <w:pStyle w:val="61"/>
              <w:snapToGrid w:val="0"/>
              <w:spacing w:before="0" w:line="360" w:lineRule="auto"/>
              <w:rPr>
                <w:rFonts w:ascii="宋体" w:hAnsi="宋体"/>
              </w:rPr>
            </w:pPr>
            <w:r>
              <w:rPr>
                <w:rFonts w:hint="eastAsia" w:ascii="宋体" w:hAnsi="宋体"/>
              </w:rPr>
              <w:t>当预测距离</w:t>
            </w:r>
            <w:r>
              <w:rPr>
                <w:rFonts w:hAnsi="宋体"/>
              </w:rPr>
              <w:t>大于</w:t>
            </w:r>
            <w:r>
              <w:t>50m</w:t>
            </w:r>
            <w:r>
              <w:rPr>
                <w:rFonts w:hAnsi="宋体"/>
              </w:rPr>
              <w:t>且声源与预测点的高度差小于</w:t>
            </w:r>
            <w:r>
              <w:t>3m</w:t>
            </w:r>
            <w:r>
              <w:rPr>
                <w:rFonts w:hAnsi="宋体"/>
              </w:rPr>
              <w:t>时，主要考虑地面效应引起的附加衰减量</w:t>
            </w:r>
            <w:r>
              <w:t>[</w:t>
            </w:r>
            <w:r>
              <w:rPr>
                <w:rFonts w:hAnsi="宋体"/>
              </w:rPr>
              <w:t>上限为</w:t>
            </w:r>
            <w:r>
              <w:t>10dB</w:t>
            </w:r>
            <w:r>
              <w:rPr>
                <w:rFonts w:hAnsi="宋体"/>
              </w:rPr>
              <w:t>（</w:t>
            </w:r>
            <w:r>
              <w:t>A</w:t>
            </w:r>
            <w:r>
              <w:rPr>
                <w:rFonts w:hAnsi="宋体"/>
              </w:rPr>
              <w:t>）</w:t>
            </w:r>
            <w:r>
              <w:t>]</w:t>
            </w:r>
            <w:r>
              <w:rPr>
                <w:rFonts w:hAnsi="宋体"/>
              </w:rPr>
              <w:t>，否则忽</w:t>
            </w:r>
            <w:r>
              <w:rPr>
                <w:rFonts w:hint="eastAsia" w:ascii="宋体" w:hAnsi="宋体"/>
              </w:rPr>
              <w:t>略附加衰减量：</w:t>
            </w:r>
          </w:p>
          <w:p>
            <w:pPr>
              <w:pStyle w:val="16"/>
              <w:snapToGrid w:val="0"/>
              <w:spacing w:line="360" w:lineRule="auto"/>
              <w:ind w:firstLine="570"/>
              <w:rPr>
                <w:rFonts w:hAnsi="宋体"/>
                <w:sz w:val="24"/>
              </w:rPr>
            </w:pPr>
            <w:r>
              <w:rPr>
                <w:rFonts w:hint="eastAsia" w:hAnsi="宋体"/>
                <w:spacing w:val="-4"/>
                <w:sz w:val="24"/>
                <w:lang w:val="pt-BR"/>
              </w:rPr>
              <w:t>A</w:t>
            </w:r>
            <w:r>
              <w:rPr>
                <w:rFonts w:hAnsi="宋体"/>
                <w:spacing w:val="-4"/>
                <w:sz w:val="24"/>
                <w:vertAlign w:val="subscript"/>
                <w:lang w:val="pt-BR"/>
              </w:rPr>
              <w:t>exc</w:t>
            </w:r>
            <w:r>
              <w:rPr>
                <w:rFonts w:hint="eastAsia" w:hAnsi="宋体"/>
                <w:spacing w:val="-4"/>
                <w:sz w:val="24"/>
                <w:lang w:val="pt-BR"/>
              </w:rPr>
              <w:t>＝5lg（r/r</w:t>
            </w:r>
            <w:r>
              <w:rPr>
                <w:rFonts w:hint="eastAsia" w:hAnsi="宋体"/>
                <w:spacing w:val="-4"/>
                <w:sz w:val="24"/>
                <w:vertAlign w:val="subscript"/>
                <w:lang w:val="pt-BR"/>
              </w:rPr>
              <w:t>0</w:t>
            </w:r>
            <w:r>
              <w:rPr>
                <w:rFonts w:hint="eastAsia" w:hAnsi="宋体"/>
                <w:spacing w:val="-4"/>
                <w:sz w:val="24"/>
                <w:lang w:val="pt-BR"/>
              </w:rPr>
              <w:t>）</w:t>
            </w:r>
          </w:p>
          <w:p>
            <w:pPr>
              <w:snapToGrid w:val="0"/>
              <w:spacing w:line="360" w:lineRule="auto"/>
              <w:ind w:firstLine="480" w:firstLineChars="200"/>
              <w:rPr>
                <w:sz w:val="24"/>
              </w:rPr>
            </w:pPr>
            <w:r>
              <w:rPr>
                <w:rFonts w:hint="eastAsia"/>
                <w:sz w:val="24"/>
              </w:rPr>
              <w:t>预测结果及评价：</w:t>
            </w:r>
          </w:p>
          <w:p>
            <w:pPr>
              <w:pStyle w:val="16"/>
              <w:snapToGrid w:val="0"/>
              <w:spacing w:line="360" w:lineRule="auto"/>
              <w:ind w:firstLine="570"/>
              <w:rPr>
                <w:b/>
                <w:bCs/>
              </w:rPr>
            </w:pPr>
            <w:r>
              <w:rPr>
                <w:rFonts w:hint="eastAsia"/>
                <w:sz w:val="24"/>
              </w:rPr>
              <w:t>项目在设备选型过程中充分考虑了声学指标，尽量选用低噪设备，厂房在土建施工中采用隔声、吸音材料处理，设备的安装设计中采用了一系列减振降噪措施，生产厂房的隔声、吸音效果较好，因此，厂房外1米处声级比声源声级有大幅降低。</w:t>
            </w:r>
          </w:p>
          <w:p>
            <w:pPr>
              <w:snapToGrid w:val="0"/>
              <w:jc w:val="center"/>
              <w:rPr>
                <w:b/>
                <w:szCs w:val="21"/>
              </w:rPr>
            </w:pPr>
            <w:r>
              <w:rPr>
                <w:rFonts w:hint="eastAsia"/>
                <w:b/>
                <w:szCs w:val="21"/>
              </w:rPr>
              <w:t>表35厂界外噪声的预测值  单位dB（A）</w:t>
            </w:r>
          </w:p>
          <w:tbl>
            <w:tblPr>
              <w:tblStyle w:val="3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3295"/>
              <w:gridCol w:w="4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Merge w:val="restart"/>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序号</w:t>
                  </w:r>
                </w:p>
              </w:tc>
              <w:tc>
                <w:tcPr>
                  <w:tcW w:w="2225" w:type="dxa"/>
                  <w:vMerge w:val="restart"/>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预测点</w:t>
                  </w: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预测值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Merge w:val="continue"/>
                  <w:vAlign w:val="center"/>
                </w:tcPr>
                <w:p>
                  <w:pPr>
                    <w:pStyle w:val="13"/>
                    <w:snapToGrid w:val="0"/>
                    <w:spacing w:line="240" w:lineRule="auto"/>
                    <w:ind w:firstLine="0" w:firstLineChars="0"/>
                    <w:jc w:val="center"/>
                    <w:rPr>
                      <w:rFonts w:ascii="Times New Roman" w:hAnsi="Times New Roman"/>
                      <w:bCs/>
                      <w:sz w:val="21"/>
                    </w:rPr>
                  </w:pPr>
                </w:p>
              </w:tc>
              <w:tc>
                <w:tcPr>
                  <w:tcW w:w="2225" w:type="dxa"/>
                  <w:vMerge w:val="continue"/>
                  <w:vAlign w:val="center"/>
                </w:tcPr>
                <w:p>
                  <w:pPr>
                    <w:pStyle w:val="13"/>
                    <w:snapToGrid w:val="0"/>
                    <w:spacing w:line="240" w:lineRule="auto"/>
                    <w:ind w:firstLine="0" w:firstLineChars="0"/>
                    <w:jc w:val="center"/>
                    <w:rPr>
                      <w:rFonts w:ascii="Times New Roman" w:hAnsi="Times New Roman"/>
                      <w:bCs/>
                      <w:sz w:val="21"/>
                    </w:rPr>
                  </w:pP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Align w:val="center"/>
                </w:tcPr>
                <w:p>
                  <w:pPr>
                    <w:pStyle w:val="13"/>
                    <w:snapToGrid w:val="0"/>
                    <w:spacing w:line="240" w:lineRule="auto"/>
                    <w:ind w:firstLine="0" w:firstLineChars="0"/>
                    <w:jc w:val="center"/>
                    <w:rPr>
                      <w:rFonts w:ascii="Times New Roman" w:hAnsi="Times New Roman"/>
                      <w:bCs/>
                      <w:sz w:val="21"/>
                    </w:rPr>
                  </w:pPr>
                  <w:r>
                    <w:rPr>
                      <w:rFonts w:ascii="Times New Roman" w:hAnsi="Times New Roman"/>
                      <w:bCs/>
                      <w:sz w:val="21"/>
                    </w:rPr>
                    <w:t>1</w:t>
                  </w:r>
                </w:p>
              </w:tc>
              <w:tc>
                <w:tcPr>
                  <w:tcW w:w="22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东厂界</w:t>
                  </w: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hint="eastAsia" w:ascii="Times New Roman" w:hAnsi="Times New Roman"/>
                      <w:bCs/>
                      <w:sz w:val="21"/>
                    </w:rPr>
                    <w:t>45</w:t>
                  </w:r>
                  <w:r>
                    <w:rPr>
                      <w:rFonts w:ascii="Times New Roman" w:hAnsi="Times New Roman"/>
                      <w:bCs/>
                      <w:sz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Align w:val="center"/>
                </w:tcPr>
                <w:p>
                  <w:pPr>
                    <w:pStyle w:val="13"/>
                    <w:snapToGrid w:val="0"/>
                    <w:spacing w:line="240" w:lineRule="auto"/>
                    <w:ind w:firstLine="0" w:firstLineChars="0"/>
                    <w:jc w:val="center"/>
                    <w:rPr>
                      <w:rFonts w:ascii="Times New Roman" w:hAnsi="Times New Roman"/>
                      <w:bCs/>
                      <w:sz w:val="21"/>
                    </w:rPr>
                  </w:pPr>
                  <w:r>
                    <w:rPr>
                      <w:rFonts w:ascii="Times New Roman" w:hAnsi="Times New Roman"/>
                      <w:bCs/>
                      <w:sz w:val="21"/>
                    </w:rPr>
                    <w:t>2</w:t>
                  </w:r>
                </w:p>
              </w:tc>
              <w:tc>
                <w:tcPr>
                  <w:tcW w:w="22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西厂界</w:t>
                  </w: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hAnsi="Times New Roman"/>
                      <w:bCs/>
                      <w:sz w:val="21"/>
                    </w:rPr>
                    <w:t>5</w:t>
                  </w:r>
                  <w:r>
                    <w:rPr>
                      <w:rFonts w:hint="eastAsia" w:ascii="Times New Roman" w:hAnsi="Times New Roman"/>
                      <w:bCs/>
                      <w:sz w:val="21"/>
                    </w:rPr>
                    <w:t>4</w:t>
                  </w:r>
                  <w:r>
                    <w:rPr>
                      <w:rFonts w:ascii="Times New Roman" w:hAnsi="Times New Roman"/>
                      <w:bCs/>
                      <w:sz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Align w:val="center"/>
                </w:tcPr>
                <w:p>
                  <w:pPr>
                    <w:pStyle w:val="13"/>
                    <w:snapToGrid w:val="0"/>
                    <w:spacing w:line="240" w:lineRule="auto"/>
                    <w:ind w:firstLine="0" w:firstLineChars="0"/>
                    <w:jc w:val="center"/>
                    <w:rPr>
                      <w:rFonts w:ascii="Times New Roman" w:hAnsi="Times New Roman"/>
                      <w:bCs/>
                      <w:sz w:val="21"/>
                    </w:rPr>
                  </w:pPr>
                  <w:r>
                    <w:rPr>
                      <w:rFonts w:ascii="Times New Roman" w:hAnsi="Times New Roman"/>
                      <w:bCs/>
                      <w:sz w:val="21"/>
                    </w:rPr>
                    <w:t>3</w:t>
                  </w:r>
                </w:p>
              </w:tc>
              <w:tc>
                <w:tcPr>
                  <w:tcW w:w="22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南厂界</w:t>
                  </w: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hint="eastAsia" w:ascii="Times New Roman" w:hAnsi="Times New Roman"/>
                      <w:bCs/>
                      <w:sz w:val="21"/>
                    </w:rPr>
                    <w:t>49</w:t>
                  </w:r>
                  <w:r>
                    <w:rPr>
                      <w:rFonts w:ascii="Times New Roman" w:hAnsi="Times New Roman"/>
                      <w:bCs/>
                      <w:sz w:val="21"/>
                    </w:rPr>
                    <w:t>.</w:t>
                  </w:r>
                  <w:r>
                    <w:rPr>
                      <w:rFonts w:hint="eastAsia" w:ascii="Times New Roman" w:hAnsi="Times New Roman"/>
                      <w:bCs/>
                      <w:sz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9" w:type="dxa"/>
                  <w:vAlign w:val="center"/>
                </w:tcPr>
                <w:p>
                  <w:pPr>
                    <w:pStyle w:val="13"/>
                    <w:snapToGrid w:val="0"/>
                    <w:spacing w:line="240" w:lineRule="auto"/>
                    <w:ind w:firstLine="0" w:firstLineChars="0"/>
                    <w:jc w:val="center"/>
                    <w:rPr>
                      <w:rFonts w:ascii="Times New Roman" w:hAnsi="Times New Roman"/>
                      <w:bCs/>
                      <w:sz w:val="21"/>
                    </w:rPr>
                  </w:pPr>
                  <w:r>
                    <w:rPr>
                      <w:rFonts w:ascii="Times New Roman" w:hAnsi="Times New Roman"/>
                      <w:bCs/>
                      <w:sz w:val="21"/>
                    </w:rPr>
                    <w:t>4</w:t>
                  </w:r>
                </w:p>
              </w:tc>
              <w:tc>
                <w:tcPr>
                  <w:tcW w:w="2225" w:type="dxa"/>
                  <w:vAlign w:val="center"/>
                </w:tcPr>
                <w:p>
                  <w:pPr>
                    <w:pStyle w:val="13"/>
                    <w:snapToGrid w:val="0"/>
                    <w:spacing w:line="240" w:lineRule="auto"/>
                    <w:ind w:firstLine="0" w:firstLineChars="0"/>
                    <w:jc w:val="center"/>
                    <w:rPr>
                      <w:rFonts w:ascii="Times New Roman" w:hAnsi="Times New Roman"/>
                      <w:bCs/>
                      <w:sz w:val="21"/>
                    </w:rPr>
                  </w:pPr>
                  <w:r>
                    <w:rPr>
                      <w:rFonts w:ascii="Times New Roman"/>
                      <w:bCs/>
                      <w:sz w:val="21"/>
                    </w:rPr>
                    <w:t>北厂界</w:t>
                  </w:r>
                </w:p>
              </w:tc>
              <w:tc>
                <w:tcPr>
                  <w:tcW w:w="2725" w:type="dxa"/>
                  <w:vAlign w:val="center"/>
                </w:tcPr>
                <w:p>
                  <w:pPr>
                    <w:pStyle w:val="13"/>
                    <w:snapToGrid w:val="0"/>
                    <w:spacing w:line="240" w:lineRule="auto"/>
                    <w:ind w:firstLine="0" w:firstLineChars="0"/>
                    <w:jc w:val="center"/>
                    <w:rPr>
                      <w:rFonts w:ascii="Times New Roman" w:hAnsi="Times New Roman"/>
                      <w:bCs/>
                      <w:sz w:val="21"/>
                    </w:rPr>
                  </w:pPr>
                  <w:r>
                    <w:rPr>
                      <w:rFonts w:hint="eastAsia" w:ascii="Times New Roman" w:hAnsi="Times New Roman"/>
                      <w:bCs/>
                      <w:sz w:val="21"/>
                    </w:rPr>
                    <w:t>48</w:t>
                  </w:r>
                  <w:r>
                    <w:rPr>
                      <w:rFonts w:ascii="Times New Roman" w:hAnsi="Times New Roman"/>
                      <w:bCs/>
                      <w:sz w:val="21"/>
                    </w:rPr>
                    <w:t>.8</w:t>
                  </w:r>
                </w:p>
              </w:tc>
            </w:tr>
          </w:tbl>
          <w:p>
            <w:pPr>
              <w:pStyle w:val="4"/>
              <w:spacing w:before="0" w:line="360" w:lineRule="auto"/>
              <w:ind w:firstLine="480" w:firstLineChars="200"/>
              <w:contextualSpacing/>
              <w:rPr>
                <w:rFonts w:eastAsia="方正宋黑简体"/>
                <w:b w:val="0"/>
                <w:sz w:val="24"/>
                <w:szCs w:val="24"/>
              </w:rPr>
            </w:pPr>
            <w:r>
              <w:rPr>
                <w:rFonts w:hint="eastAsia"/>
                <w:b w:val="0"/>
                <w:sz w:val="24"/>
                <w:szCs w:val="24"/>
              </w:rPr>
              <w:t>由表33可知，拟建项目运行期主要噪声源对厂界的噪声预测值为低于</w:t>
            </w:r>
            <w:r>
              <w:rPr>
                <w:b w:val="0"/>
                <w:sz w:val="24"/>
              </w:rPr>
              <w:t>《工业企业厂界环境噪声排放标准》</w:t>
            </w:r>
            <w:r>
              <w:rPr>
                <w:rFonts w:hint="eastAsia"/>
                <w:b w:val="0"/>
                <w:sz w:val="24"/>
              </w:rPr>
              <w:t>（</w:t>
            </w:r>
            <w:r>
              <w:rPr>
                <w:b w:val="0"/>
                <w:sz w:val="24"/>
              </w:rPr>
              <w:t>GB12348-2008</w:t>
            </w:r>
            <w:r>
              <w:rPr>
                <w:rFonts w:hint="eastAsia"/>
                <w:b w:val="0"/>
                <w:sz w:val="24"/>
              </w:rPr>
              <w:t>）</w:t>
            </w:r>
            <w:r>
              <w:rPr>
                <w:b w:val="0"/>
                <w:sz w:val="24"/>
                <w:szCs w:val="24"/>
              </w:rPr>
              <w:t>中</w:t>
            </w:r>
            <w:r>
              <w:rPr>
                <w:rFonts w:hint="eastAsia"/>
                <w:b w:val="0"/>
                <w:sz w:val="24"/>
                <w:szCs w:val="24"/>
              </w:rPr>
              <w:t>3</w:t>
            </w:r>
            <w:r>
              <w:rPr>
                <w:b w:val="0"/>
                <w:sz w:val="24"/>
                <w:szCs w:val="24"/>
              </w:rPr>
              <w:t>类标准</w:t>
            </w:r>
            <w:r>
              <w:rPr>
                <w:rFonts w:hint="eastAsia"/>
                <w:b w:val="0"/>
                <w:sz w:val="24"/>
                <w:szCs w:val="24"/>
              </w:rPr>
              <w:t>。因此，可做到厂界噪声达标排放，不会对周围声环境质量产生明显的不利影响，本项目对噪声的防治措施是可行的</w:t>
            </w:r>
          </w:p>
          <w:p>
            <w:pPr>
              <w:autoSpaceDE w:val="0"/>
              <w:autoSpaceDN w:val="0"/>
              <w:adjustRightInd w:val="0"/>
              <w:snapToGrid w:val="0"/>
              <w:spacing w:line="360" w:lineRule="auto"/>
              <w:contextualSpacing/>
              <w:rPr>
                <w:b/>
                <w:bCs/>
                <w:kern w:val="0"/>
                <w:sz w:val="24"/>
              </w:rPr>
            </w:pPr>
            <w:r>
              <w:rPr>
                <w:b/>
                <w:bCs/>
                <w:kern w:val="0"/>
                <w:sz w:val="24"/>
              </w:rPr>
              <w:t>四、固体废物环境影响分析</w:t>
            </w:r>
          </w:p>
          <w:p>
            <w:pPr>
              <w:snapToGrid w:val="0"/>
              <w:spacing w:line="360" w:lineRule="auto"/>
              <w:contextualSpacing/>
              <w:rPr>
                <w:b/>
                <w:sz w:val="24"/>
                <w:szCs w:val="21"/>
              </w:rPr>
            </w:pPr>
            <w:r>
              <w:rPr>
                <w:b/>
                <w:sz w:val="24"/>
                <w:szCs w:val="21"/>
              </w:rPr>
              <w:t>1、固废产生、处理及排放情况</w:t>
            </w:r>
          </w:p>
          <w:p>
            <w:pPr>
              <w:snapToGrid w:val="0"/>
              <w:spacing w:line="360" w:lineRule="auto"/>
              <w:ind w:firstLine="480" w:firstLineChars="200"/>
              <w:contextualSpacing/>
              <w:rPr>
                <w:bCs/>
                <w:sz w:val="24"/>
              </w:rPr>
            </w:pPr>
            <w:r>
              <w:rPr>
                <w:bCs/>
                <w:sz w:val="24"/>
                <w:szCs w:val="24"/>
              </w:rPr>
              <w:t>本项目产生</w:t>
            </w:r>
            <w:r>
              <w:rPr>
                <w:rFonts w:hint="eastAsia"/>
                <w:bCs/>
                <w:sz w:val="24"/>
                <w:szCs w:val="24"/>
              </w:rPr>
              <w:t>的</w:t>
            </w:r>
            <w:r>
              <w:rPr>
                <w:bCs/>
                <w:sz w:val="24"/>
                <w:szCs w:val="24"/>
              </w:rPr>
              <w:t>固废主要为：</w:t>
            </w:r>
            <w:r>
              <w:rPr>
                <w:rFonts w:hint="eastAsia"/>
                <w:sz w:val="24"/>
                <w:szCs w:val="24"/>
              </w:rPr>
              <w:t>生产车间产生边角料、废铁屑、维修设备产生的含油抹布手套、废机油、废乳化液等、职工生活垃圾</w:t>
            </w:r>
            <w:r>
              <w:rPr>
                <w:sz w:val="24"/>
                <w:szCs w:val="24"/>
              </w:rPr>
              <w:t>。</w:t>
            </w:r>
            <w:r>
              <w:rPr>
                <w:rFonts w:hint="eastAsia"/>
                <w:bCs/>
                <w:sz w:val="24"/>
              </w:rPr>
              <w:t>产生的</w:t>
            </w:r>
            <w:r>
              <w:rPr>
                <w:bCs/>
                <w:sz w:val="24"/>
              </w:rPr>
              <w:t>生活垃圾</w:t>
            </w:r>
            <w:r>
              <w:rPr>
                <w:rFonts w:hint="eastAsia"/>
                <w:bCs/>
                <w:sz w:val="24"/>
              </w:rPr>
              <w:t>和含油抹布手套经</w:t>
            </w:r>
            <w:r>
              <w:rPr>
                <w:bCs/>
                <w:sz w:val="24"/>
              </w:rPr>
              <w:t>袋装化后，由环卫部门统一收集</w:t>
            </w:r>
            <w:r>
              <w:rPr>
                <w:rFonts w:hint="eastAsia"/>
                <w:bCs/>
                <w:sz w:val="24"/>
              </w:rPr>
              <w:t>处置。产生的生产车间产生边角料、废铁屑，收集后暂存于厂区一般固废临时贮存点，定期交物资回收公司回收利用。项目产生的废乳化液和废机油，属于危险废物，收集后暂存于项目区危险废物临时贮存点，再交由有资质单位</w:t>
            </w:r>
            <w:r>
              <w:rPr>
                <w:bCs/>
                <w:sz w:val="24"/>
              </w:rPr>
              <w:t>处理。</w:t>
            </w:r>
          </w:p>
          <w:p>
            <w:pPr>
              <w:snapToGrid w:val="0"/>
              <w:spacing w:line="360" w:lineRule="auto"/>
              <w:contextualSpacing/>
              <w:rPr>
                <w:b/>
                <w:kern w:val="0"/>
                <w:sz w:val="24"/>
                <w:szCs w:val="24"/>
              </w:rPr>
            </w:pPr>
            <w:r>
              <w:rPr>
                <w:b/>
                <w:kern w:val="0"/>
                <w:sz w:val="24"/>
                <w:szCs w:val="24"/>
              </w:rPr>
              <w:t>2、固废临时贮存要求</w:t>
            </w:r>
          </w:p>
          <w:p>
            <w:pPr>
              <w:snapToGrid w:val="0"/>
              <w:spacing w:line="360" w:lineRule="auto"/>
              <w:ind w:firstLine="482" w:firstLineChars="200"/>
              <w:contextualSpacing/>
              <w:rPr>
                <w:b/>
                <w:kern w:val="0"/>
                <w:sz w:val="24"/>
                <w:szCs w:val="24"/>
              </w:rPr>
            </w:pPr>
            <w:r>
              <w:rPr>
                <w:b/>
                <w:kern w:val="0"/>
                <w:sz w:val="24"/>
                <w:szCs w:val="24"/>
              </w:rPr>
              <w:t>（1）固废存放场所的设置</w:t>
            </w:r>
          </w:p>
          <w:p>
            <w:pPr>
              <w:snapToGrid w:val="0"/>
              <w:spacing w:line="360" w:lineRule="auto"/>
              <w:ind w:firstLine="480" w:firstLineChars="200"/>
              <w:contextualSpacing/>
              <w:rPr>
                <w:kern w:val="0"/>
                <w:sz w:val="24"/>
                <w:szCs w:val="24"/>
              </w:rPr>
            </w:pPr>
            <w:r>
              <w:rPr>
                <w:kern w:val="0"/>
                <w:sz w:val="24"/>
                <w:szCs w:val="24"/>
              </w:rPr>
              <w:t>项目对各类固废的存放场所设置如下：</w:t>
            </w:r>
          </w:p>
          <w:p>
            <w:pPr>
              <w:snapToGrid w:val="0"/>
              <w:spacing w:line="360" w:lineRule="auto"/>
              <w:ind w:firstLine="480" w:firstLineChars="200"/>
              <w:contextualSpacing/>
              <w:rPr>
                <w:kern w:val="0"/>
                <w:sz w:val="24"/>
                <w:szCs w:val="24"/>
              </w:rPr>
            </w:pPr>
            <w:r>
              <w:rPr>
                <w:rFonts w:hint="eastAsia" w:ascii="宋体" w:hAnsi="宋体" w:cs="宋体"/>
                <w:kern w:val="0"/>
                <w:sz w:val="24"/>
                <w:szCs w:val="24"/>
              </w:rPr>
              <w:t>①</w:t>
            </w:r>
            <w:r>
              <w:rPr>
                <w:kern w:val="0"/>
                <w:sz w:val="24"/>
                <w:szCs w:val="24"/>
              </w:rPr>
              <w:t>危险废物临时贮存场所设置情况：</w:t>
            </w:r>
          </w:p>
          <w:p>
            <w:pPr>
              <w:snapToGrid w:val="0"/>
              <w:spacing w:line="360" w:lineRule="auto"/>
              <w:ind w:firstLine="480" w:firstLineChars="200"/>
              <w:contextualSpacing/>
              <w:rPr>
                <w:sz w:val="24"/>
                <w:szCs w:val="21"/>
              </w:rPr>
            </w:pPr>
            <w:r>
              <w:rPr>
                <w:sz w:val="24"/>
                <w:szCs w:val="21"/>
              </w:rPr>
              <w:t>根据《建设项目危险废物环境影响评价指南》要求，危险废物贮存场所（设施）的名称、位置、占地面积、贮存方式、贮存容积、贮存周期等情况详见下表。</w:t>
            </w:r>
          </w:p>
          <w:p>
            <w:pPr>
              <w:snapToGrid w:val="0"/>
              <w:jc w:val="center"/>
              <w:rPr>
                <w:b/>
                <w:bCs/>
                <w:szCs w:val="21"/>
                <w:lang w:val="zh-CN"/>
              </w:rPr>
            </w:pPr>
            <w:r>
              <w:rPr>
                <w:b/>
                <w:szCs w:val="21"/>
              </w:rPr>
              <w:t>表</w:t>
            </w:r>
            <w:r>
              <w:rPr>
                <w:rFonts w:hint="eastAsia"/>
                <w:b/>
                <w:szCs w:val="21"/>
              </w:rPr>
              <w:t>36</w:t>
            </w:r>
            <w:r>
              <w:rPr>
                <w:b/>
                <w:szCs w:val="21"/>
              </w:rPr>
              <w:t>建设项目</w:t>
            </w:r>
            <w:r>
              <w:rPr>
                <w:b/>
                <w:bCs/>
                <w:szCs w:val="21"/>
                <w:lang w:val="zh-CN"/>
              </w:rPr>
              <w:t>危险废物贮存场所（设施）基本情况表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90"/>
              <w:gridCol w:w="1030"/>
              <w:gridCol w:w="875"/>
              <w:gridCol w:w="1185"/>
              <w:gridCol w:w="602"/>
              <w:gridCol w:w="508"/>
              <w:gridCol w:w="1781"/>
              <w:gridCol w:w="925"/>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390" w:type="dxa"/>
                  <w:vAlign w:val="center"/>
                </w:tcPr>
                <w:p>
                  <w:pPr>
                    <w:topLinePunct/>
                    <w:adjustRightInd w:val="0"/>
                    <w:snapToGrid w:val="0"/>
                    <w:jc w:val="center"/>
                    <w:rPr>
                      <w:bCs/>
                      <w:kern w:val="0"/>
                      <w:szCs w:val="21"/>
                    </w:rPr>
                  </w:pPr>
                  <w:r>
                    <w:rPr>
                      <w:bCs/>
                      <w:kern w:val="0"/>
                      <w:szCs w:val="21"/>
                    </w:rPr>
                    <w:t>贮存场所（设施）名称</w:t>
                  </w:r>
                </w:p>
              </w:tc>
              <w:tc>
                <w:tcPr>
                  <w:tcW w:w="1030" w:type="dxa"/>
                  <w:vAlign w:val="center"/>
                </w:tcPr>
                <w:p>
                  <w:pPr>
                    <w:topLinePunct/>
                    <w:adjustRightInd w:val="0"/>
                    <w:snapToGrid w:val="0"/>
                    <w:jc w:val="center"/>
                    <w:rPr>
                      <w:bCs/>
                      <w:kern w:val="0"/>
                      <w:szCs w:val="21"/>
                    </w:rPr>
                  </w:pPr>
                  <w:r>
                    <w:rPr>
                      <w:bCs/>
                      <w:kern w:val="0"/>
                      <w:szCs w:val="21"/>
                    </w:rPr>
                    <w:t>危险废物名称</w:t>
                  </w:r>
                </w:p>
              </w:tc>
              <w:tc>
                <w:tcPr>
                  <w:tcW w:w="875" w:type="dxa"/>
                  <w:vAlign w:val="center"/>
                </w:tcPr>
                <w:p>
                  <w:pPr>
                    <w:topLinePunct/>
                    <w:adjustRightInd w:val="0"/>
                    <w:snapToGrid w:val="0"/>
                    <w:jc w:val="center"/>
                    <w:rPr>
                      <w:bCs/>
                      <w:kern w:val="0"/>
                      <w:szCs w:val="21"/>
                    </w:rPr>
                  </w:pPr>
                  <w:r>
                    <w:rPr>
                      <w:bCs/>
                      <w:kern w:val="0"/>
                      <w:szCs w:val="21"/>
                    </w:rPr>
                    <w:t>危险废物类别</w:t>
                  </w:r>
                </w:p>
              </w:tc>
              <w:tc>
                <w:tcPr>
                  <w:tcW w:w="1185" w:type="dxa"/>
                  <w:vAlign w:val="center"/>
                </w:tcPr>
                <w:p>
                  <w:pPr>
                    <w:topLinePunct/>
                    <w:adjustRightInd w:val="0"/>
                    <w:snapToGrid w:val="0"/>
                    <w:jc w:val="center"/>
                    <w:rPr>
                      <w:bCs/>
                      <w:kern w:val="0"/>
                      <w:szCs w:val="21"/>
                    </w:rPr>
                  </w:pPr>
                  <w:r>
                    <w:rPr>
                      <w:bCs/>
                      <w:kern w:val="0"/>
                      <w:szCs w:val="21"/>
                    </w:rPr>
                    <w:t>危险废物代码</w:t>
                  </w:r>
                </w:p>
              </w:tc>
              <w:tc>
                <w:tcPr>
                  <w:tcW w:w="602" w:type="dxa"/>
                  <w:vAlign w:val="center"/>
                </w:tcPr>
                <w:p>
                  <w:pPr>
                    <w:topLinePunct/>
                    <w:adjustRightInd w:val="0"/>
                    <w:snapToGrid w:val="0"/>
                    <w:jc w:val="center"/>
                    <w:rPr>
                      <w:bCs/>
                      <w:kern w:val="0"/>
                      <w:szCs w:val="21"/>
                    </w:rPr>
                  </w:pPr>
                  <w:r>
                    <w:rPr>
                      <w:bCs/>
                      <w:kern w:val="0"/>
                      <w:szCs w:val="21"/>
                    </w:rPr>
                    <w:t>位置</w:t>
                  </w:r>
                </w:p>
              </w:tc>
              <w:tc>
                <w:tcPr>
                  <w:tcW w:w="508" w:type="dxa"/>
                  <w:vAlign w:val="center"/>
                </w:tcPr>
                <w:p>
                  <w:pPr>
                    <w:topLinePunct/>
                    <w:adjustRightInd w:val="0"/>
                    <w:snapToGrid w:val="0"/>
                    <w:jc w:val="center"/>
                    <w:rPr>
                      <w:bCs/>
                      <w:kern w:val="0"/>
                      <w:szCs w:val="21"/>
                    </w:rPr>
                  </w:pPr>
                  <w:r>
                    <w:rPr>
                      <w:bCs/>
                      <w:kern w:val="0"/>
                      <w:szCs w:val="21"/>
                    </w:rPr>
                    <w:t>占地面积</w:t>
                  </w:r>
                </w:p>
              </w:tc>
              <w:tc>
                <w:tcPr>
                  <w:tcW w:w="1781" w:type="dxa"/>
                  <w:vAlign w:val="center"/>
                </w:tcPr>
                <w:p>
                  <w:pPr>
                    <w:topLinePunct/>
                    <w:adjustRightInd w:val="0"/>
                    <w:snapToGrid w:val="0"/>
                    <w:jc w:val="center"/>
                    <w:rPr>
                      <w:bCs/>
                      <w:kern w:val="0"/>
                      <w:szCs w:val="21"/>
                    </w:rPr>
                  </w:pPr>
                  <w:r>
                    <w:rPr>
                      <w:bCs/>
                      <w:kern w:val="0"/>
                      <w:szCs w:val="21"/>
                    </w:rPr>
                    <w:t>贮存方式</w:t>
                  </w:r>
                </w:p>
              </w:tc>
              <w:tc>
                <w:tcPr>
                  <w:tcW w:w="925" w:type="dxa"/>
                  <w:vAlign w:val="center"/>
                </w:tcPr>
                <w:p>
                  <w:pPr>
                    <w:topLinePunct/>
                    <w:adjustRightInd w:val="0"/>
                    <w:snapToGrid w:val="0"/>
                    <w:jc w:val="center"/>
                    <w:rPr>
                      <w:bCs/>
                      <w:kern w:val="0"/>
                      <w:szCs w:val="21"/>
                    </w:rPr>
                  </w:pPr>
                  <w:r>
                    <w:rPr>
                      <w:bCs/>
                      <w:kern w:val="0"/>
                      <w:szCs w:val="21"/>
                    </w:rPr>
                    <w:t>贮存</w:t>
                  </w:r>
                </w:p>
                <w:p>
                  <w:pPr>
                    <w:topLinePunct/>
                    <w:adjustRightInd w:val="0"/>
                    <w:snapToGrid w:val="0"/>
                    <w:jc w:val="center"/>
                    <w:rPr>
                      <w:bCs/>
                      <w:kern w:val="0"/>
                      <w:szCs w:val="21"/>
                    </w:rPr>
                  </w:pPr>
                  <w:r>
                    <w:rPr>
                      <w:bCs/>
                      <w:kern w:val="0"/>
                      <w:szCs w:val="21"/>
                    </w:rPr>
                    <w:t>能力</w:t>
                  </w:r>
                </w:p>
              </w:tc>
              <w:tc>
                <w:tcPr>
                  <w:tcW w:w="840" w:type="dxa"/>
                  <w:vAlign w:val="center"/>
                </w:tcPr>
                <w:p>
                  <w:pPr>
                    <w:topLinePunct/>
                    <w:adjustRightInd w:val="0"/>
                    <w:snapToGrid w:val="0"/>
                    <w:jc w:val="center"/>
                    <w:rPr>
                      <w:bCs/>
                      <w:kern w:val="0"/>
                      <w:szCs w:val="21"/>
                    </w:rPr>
                  </w:pPr>
                  <w:r>
                    <w:rPr>
                      <w:bCs/>
                      <w:kern w:val="0"/>
                      <w:szCs w:val="21"/>
                    </w:rPr>
                    <w:t>贮存</w:t>
                  </w:r>
                </w:p>
                <w:p>
                  <w:pPr>
                    <w:topLinePunct/>
                    <w:adjustRightInd w:val="0"/>
                    <w:snapToGrid w:val="0"/>
                    <w:jc w:val="center"/>
                    <w:rPr>
                      <w:bCs/>
                      <w:kern w:val="0"/>
                      <w:szCs w:val="21"/>
                    </w:rPr>
                  </w:pPr>
                  <w:r>
                    <w:rPr>
                      <w:bCs/>
                      <w:kern w:val="0"/>
                      <w:szCs w:val="21"/>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390" w:type="dxa"/>
                  <w:vMerge w:val="restart"/>
                  <w:vAlign w:val="center"/>
                </w:tcPr>
                <w:p>
                  <w:pPr>
                    <w:topLinePunct/>
                    <w:adjustRightInd w:val="0"/>
                    <w:snapToGrid w:val="0"/>
                    <w:jc w:val="center"/>
                    <w:rPr>
                      <w:kern w:val="0"/>
                      <w:szCs w:val="21"/>
                    </w:rPr>
                  </w:pPr>
                  <w:r>
                    <w:rPr>
                      <w:kern w:val="0"/>
                      <w:szCs w:val="21"/>
                    </w:rPr>
                    <w:t>危险废物暂存</w:t>
                  </w:r>
                  <w:r>
                    <w:rPr>
                      <w:rFonts w:hint="eastAsia"/>
                      <w:kern w:val="0"/>
                      <w:szCs w:val="21"/>
                    </w:rPr>
                    <w:t>库</w:t>
                  </w:r>
                </w:p>
              </w:tc>
              <w:tc>
                <w:tcPr>
                  <w:tcW w:w="1030" w:type="dxa"/>
                  <w:vAlign w:val="center"/>
                </w:tcPr>
                <w:p>
                  <w:pPr>
                    <w:snapToGrid w:val="0"/>
                    <w:rPr>
                      <w:bCs/>
                      <w:szCs w:val="21"/>
                    </w:rPr>
                  </w:pPr>
                  <w:r>
                    <w:rPr>
                      <w:rFonts w:hint="eastAsia"/>
                      <w:bCs/>
                      <w:szCs w:val="21"/>
                    </w:rPr>
                    <w:t>废乳化液</w:t>
                  </w:r>
                </w:p>
              </w:tc>
              <w:tc>
                <w:tcPr>
                  <w:tcW w:w="875" w:type="dxa"/>
                  <w:vAlign w:val="center"/>
                </w:tcPr>
                <w:p>
                  <w:pPr>
                    <w:autoSpaceDE w:val="0"/>
                    <w:autoSpaceDN w:val="0"/>
                    <w:adjustRightInd w:val="0"/>
                    <w:snapToGrid w:val="0"/>
                    <w:jc w:val="center"/>
                    <w:rPr>
                      <w:kern w:val="0"/>
                      <w:szCs w:val="21"/>
                    </w:rPr>
                  </w:pPr>
                  <w:r>
                    <w:rPr>
                      <w:bCs/>
                      <w:kern w:val="0"/>
                      <w:szCs w:val="21"/>
                    </w:rPr>
                    <w:t>HW</w:t>
                  </w:r>
                  <w:r>
                    <w:rPr>
                      <w:rFonts w:hint="eastAsia"/>
                      <w:bCs/>
                      <w:kern w:val="0"/>
                      <w:szCs w:val="21"/>
                    </w:rPr>
                    <w:t>09</w:t>
                  </w:r>
                </w:p>
              </w:tc>
              <w:tc>
                <w:tcPr>
                  <w:tcW w:w="1185" w:type="dxa"/>
                  <w:vAlign w:val="center"/>
                </w:tcPr>
                <w:p>
                  <w:pPr>
                    <w:snapToGrid w:val="0"/>
                    <w:rPr>
                      <w:bCs/>
                      <w:szCs w:val="21"/>
                    </w:rPr>
                  </w:pPr>
                  <w:r>
                    <w:rPr>
                      <w:rFonts w:hint="eastAsia"/>
                      <w:bCs/>
                      <w:szCs w:val="21"/>
                    </w:rPr>
                    <w:t>900-006-09</w:t>
                  </w:r>
                </w:p>
              </w:tc>
              <w:tc>
                <w:tcPr>
                  <w:tcW w:w="602" w:type="dxa"/>
                  <w:vMerge w:val="restart"/>
                  <w:vAlign w:val="center"/>
                </w:tcPr>
                <w:p>
                  <w:pPr>
                    <w:topLinePunct/>
                    <w:adjustRightInd w:val="0"/>
                    <w:snapToGrid w:val="0"/>
                    <w:jc w:val="center"/>
                    <w:rPr>
                      <w:kern w:val="0"/>
                      <w:szCs w:val="21"/>
                    </w:rPr>
                  </w:pPr>
                  <w:r>
                    <w:rPr>
                      <w:rFonts w:hint="eastAsia"/>
                      <w:szCs w:val="21"/>
                    </w:rPr>
                    <w:t>车间西南角</w:t>
                  </w:r>
                </w:p>
              </w:tc>
              <w:tc>
                <w:tcPr>
                  <w:tcW w:w="508" w:type="dxa"/>
                  <w:vMerge w:val="restart"/>
                  <w:vAlign w:val="center"/>
                </w:tcPr>
                <w:p>
                  <w:pPr>
                    <w:topLinePunct/>
                    <w:adjustRightInd w:val="0"/>
                    <w:snapToGrid w:val="0"/>
                    <w:jc w:val="center"/>
                    <w:rPr>
                      <w:kern w:val="0"/>
                      <w:szCs w:val="21"/>
                    </w:rPr>
                  </w:pPr>
                  <w:r>
                    <w:rPr>
                      <w:rFonts w:hint="eastAsia"/>
                      <w:kern w:val="0"/>
                      <w:szCs w:val="21"/>
                    </w:rPr>
                    <w:t>10</w:t>
                  </w:r>
                  <w:r>
                    <w:rPr>
                      <w:kern w:val="0"/>
                      <w:szCs w:val="21"/>
                    </w:rPr>
                    <w:t>m</w:t>
                  </w:r>
                  <w:r>
                    <w:rPr>
                      <w:kern w:val="0"/>
                      <w:szCs w:val="21"/>
                      <w:vertAlign w:val="superscript"/>
                    </w:rPr>
                    <w:t>2</w:t>
                  </w:r>
                </w:p>
              </w:tc>
              <w:tc>
                <w:tcPr>
                  <w:tcW w:w="1781" w:type="dxa"/>
                  <w:vMerge w:val="restart"/>
                  <w:vAlign w:val="center"/>
                </w:tcPr>
                <w:p>
                  <w:pPr>
                    <w:topLinePunct/>
                    <w:adjustRightInd w:val="0"/>
                    <w:snapToGrid w:val="0"/>
                    <w:jc w:val="center"/>
                    <w:rPr>
                      <w:kern w:val="0"/>
                      <w:szCs w:val="21"/>
                    </w:rPr>
                  </w:pPr>
                  <w:r>
                    <w:rPr>
                      <w:szCs w:val="21"/>
                    </w:rPr>
                    <w:t>按照《危险废物贮存污染控制标准》（GB18597-2001）及2013修改单</w:t>
                  </w:r>
                </w:p>
              </w:tc>
              <w:tc>
                <w:tcPr>
                  <w:tcW w:w="925" w:type="dxa"/>
                  <w:vAlign w:val="center"/>
                </w:tcPr>
                <w:p>
                  <w:pPr>
                    <w:snapToGrid w:val="0"/>
                    <w:rPr>
                      <w:bCs/>
                      <w:szCs w:val="21"/>
                    </w:rPr>
                  </w:pPr>
                  <w:r>
                    <w:rPr>
                      <w:rFonts w:hint="eastAsia"/>
                      <w:bCs/>
                      <w:szCs w:val="21"/>
                    </w:rPr>
                    <w:t>0.1t</w:t>
                  </w:r>
                </w:p>
              </w:tc>
              <w:tc>
                <w:tcPr>
                  <w:tcW w:w="840" w:type="dxa"/>
                  <w:vAlign w:val="center"/>
                </w:tcPr>
                <w:p>
                  <w:pPr>
                    <w:jc w:val="center"/>
                  </w:pPr>
                  <w:r>
                    <w:rPr>
                      <w:rFonts w:hint="eastAsia"/>
                      <w:kern w:val="0"/>
                      <w:szCs w:val="21"/>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 w:hRule="atLeast"/>
                <w:jc w:val="center"/>
              </w:trPr>
              <w:tc>
                <w:tcPr>
                  <w:tcW w:w="1390" w:type="dxa"/>
                  <w:vMerge w:val="continue"/>
                  <w:vAlign w:val="center"/>
                </w:tcPr>
                <w:p>
                  <w:pPr>
                    <w:topLinePunct/>
                    <w:adjustRightInd w:val="0"/>
                    <w:snapToGrid w:val="0"/>
                    <w:jc w:val="center"/>
                    <w:rPr>
                      <w:kern w:val="0"/>
                      <w:szCs w:val="21"/>
                    </w:rPr>
                  </w:pPr>
                </w:p>
              </w:tc>
              <w:tc>
                <w:tcPr>
                  <w:tcW w:w="1030" w:type="dxa"/>
                  <w:vAlign w:val="center"/>
                </w:tcPr>
                <w:p>
                  <w:pPr>
                    <w:snapToGrid w:val="0"/>
                    <w:rPr>
                      <w:bCs/>
                      <w:szCs w:val="21"/>
                    </w:rPr>
                  </w:pPr>
                  <w:r>
                    <w:rPr>
                      <w:rFonts w:hint="eastAsia"/>
                      <w:bCs/>
                      <w:szCs w:val="21"/>
                    </w:rPr>
                    <w:t>废机油</w:t>
                  </w:r>
                </w:p>
              </w:tc>
              <w:tc>
                <w:tcPr>
                  <w:tcW w:w="875" w:type="dxa"/>
                  <w:vAlign w:val="center"/>
                </w:tcPr>
                <w:p>
                  <w:pPr>
                    <w:autoSpaceDE w:val="0"/>
                    <w:autoSpaceDN w:val="0"/>
                    <w:adjustRightInd w:val="0"/>
                    <w:snapToGrid w:val="0"/>
                    <w:jc w:val="center"/>
                    <w:rPr>
                      <w:bCs/>
                      <w:kern w:val="0"/>
                      <w:szCs w:val="21"/>
                    </w:rPr>
                  </w:pPr>
                  <w:r>
                    <w:rPr>
                      <w:bCs/>
                      <w:kern w:val="0"/>
                      <w:szCs w:val="21"/>
                    </w:rPr>
                    <w:t>HW</w:t>
                  </w:r>
                  <w:r>
                    <w:rPr>
                      <w:rFonts w:hint="eastAsia"/>
                      <w:bCs/>
                      <w:kern w:val="0"/>
                      <w:szCs w:val="21"/>
                    </w:rPr>
                    <w:t>08</w:t>
                  </w:r>
                </w:p>
              </w:tc>
              <w:tc>
                <w:tcPr>
                  <w:tcW w:w="1185" w:type="dxa"/>
                  <w:vAlign w:val="center"/>
                </w:tcPr>
                <w:p>
                  <w:pPr>
                    <w:snapToGrid w:val="0"/>
                    <w:rPr>
                      <w:bCs/>
                      <w:szCs w:val="21"/>
                    </w:rPr>
                  </w:pPr>
                  <w:r>
                    <w:rPr>
                      <w:rFonts w:hint="eastAsia"/>
                      <w:bCs/>
                      <w:szCs w:val="21"/>
                    </w:rPr>
                    <w:t>900-249-08</w:t>
                  </w:r>
                </w:p>
              </w:tc>
              <w:tc>
                <w:tcPr>
                  <w:tcW w:w="602" w:type="dxa"/>
                  <w:vMerge w:val="continue"/>
                  <w:vAlign w:val="center"/>
                </w:tcPr>
                <w:p>
                  <w:pPr>
                    <w:topLinePunct/>
                    <w:adjustRightInd w:val="0"/>
                    <w:snapToGrid w:val="0"/>
                    <w:jc w:val="center"/>
                    <w:rPr>
                      <w:kern w:val="0"/>
                      <w:szCs w:val="21"/>
                    </w:rPr>
                  </w:pPr>
                </w:p>
              </w:tc>
              <w:tc>
                <w:tcPr>
                  <w:tcW w:w="508" w:type="dxa"/>
                  <w:vMerge w:val="continue"/>
                  <w:vAlign w:val="center"/>
                </w:tcPr>
                <w:p>
                  <w:pPr>
                    <w:topLinePunct/>
                    <w:adjustRightInd w:val="0"/>
                    <w:snapToGrid w:val="0"/>
                    <w:jc w:val="center"/>
                    <w:rPr>
                      <w:kern w:val="0"/>
                      <w:szCs w:val="21"/>
                    </w:rPr>
                  </w:pPr>
                </w:p>
              </w:tc>
              <w:tc>
                <w:tcPr>
                  <w:tcW w:w="1781" w:type="dxa"/>
                  <w:vMerge w:val="continue"/>
                  <w:vAlign w:val="center"/>
                </w:tcPr>
                <w:p>
                  <w:pPr>
                    <w:topLinePunct/>
                    <w:adjustRightInd w:val="0"/>
                    <w:snapToGrid w:val="0"/>
                    <w:jc w:val="center"/>
                    <w:rPr>
                      <w:szCs w:val="21"/>
                    </w:rPr>
                  </w:pPr>
                </w:p>
              </w:tc>
              <w:tc>
                <w:tcPr>
                  <w:tcW w:w="925" w:type="dxa"/>
                  <w:vAlign w:val="center"/>
                </w:tcPr>
                <w:p>
                  <w:pPr>
                    <w:snapToGrid w:val="0"/>
                    <w:rPr>
                      <w:bCs/>
                      <w:szCs w:val="21"/>
                    </w:rPr>
                  </w:pPr>
                  <w:r>
                    <w:rPr>
                      <w:rFonts w:hint="eastAsia"/>
                      <w:bCs/>
                      <w:szCs w:val="21"/>
                    </w:rPr>
                    <w:t>0.2t</w:t>
                  </w:r>
                </w:p>
              </w:tc>
              <w:tc>
                <w:tcPr>
                  <w:tcW w:w="840" w:type="dxa"/>
                  <w:vAlign w:val="center"/>
                </w:tcPr>
                <w:p>
                  <w:pPr>
                    <w:jc w:val="center"/>
                  </w:pPr>
                  <w:r>
                    <w:rPr>
                      <w:rFonts w:hint="eastAsia"/>
                      <w:kern w:val="0"/>
                      <w:szCs w:val="21"/>
                    </w:rPr>
                    <w:t>一年</w:t>
                  </w:r>
                </w:p>
              </w:tc>
            </w:tr>
          </w:tbl>
          <w:p>
            <w:pPr>
              <w:spacing w:line="480" w:lineRule="exact"/>
              <w:ind w:firstLine="480" w:firstLineChars="200"/>
              <w:rPr>
                <w:sz w:val="24"/>
                <w:szCs w:val="21"/>
              </w:rPr>
            </w:pPr>
            <w:r>
              <w:rPr>
                <w:sz w:val="24"/>
                <w:szCs w:val="21"/>
              </w:rPr>
              <w:t>危废临时贮存场所应严格按照《危险废物储存污染控制标准》的要求设计，采取地面硬化防渗，并做好防风、防晒、防雨等设施。危废清理频次一般为六个月左右或根据情况确定是否清理。贮存容器选用符合国家标准的耐腐蚀、不易破损、变形和老化的容器，并按规定在贮存危险废物的容器上贴上标签，详细注明危险废物的名称、重量、成分、特性以及发生泄漏事故时的应急措施和补救办法。</w:t>
            </w:r>
          </w:p>
          <w:p>
            <w:pPr>
              <w:spacing w:line="480" w:lineRule="exact"/>
              <w:ind w:firstLine="480" w:firstLineChars="200"/>
              <w:rPr>
                <w:kern w:val="0"/>
                <w:sz w:val="24"/>
                <w:szCs w:val="24"/>
                <w:highlight w:val="red"/>
              </w:rPr>
            </w:pPr>
            <w:r>
              <w:rPr>
                <w:rFonts w:hint="eastAsia" w:ascii="宋体" w:hAnsi="宋体" w:cs="宋体"/>
                <w:kern w:val="0"/>
                <w:sz w:val="24"/>
                <w:szCs w:val="24"/>
              </w:rPr>
              <w:t>②</w:t>
            </w:r>
            <w:r>
              <w:rPr>
                <w:kern w:val="0"/>
                <w:sz w:val="24"/>
                <w:szCs w:val="24"/>
              </w:rPr>
              <w:t>一般工业固体废物贮存场所设置情况：在</w:t>
            </w:r>
            <w:r>
              <w:rPr>
                <w:rFonts w:hint="eastAsia"/>
                <w:kern w:val="0"/>
                <w:sz w:val="24"/>
                <w:szCs w:val="24"/>
              </w:rPr>
              <w:t>生产车间西南角</w:t>
            </w:r>
            <w:r>
              <w:rPr>
                <w:kern w:val="0"/>
                <w:sz w:val="24"/>
                <w:szCs w:val="24"/>
              </w:rPr>
              <w:t>设置一处</w:t>
            </w:r>
            <w:r>
              <w:rPr>
                <w:rFonts w:hint="eastAsia"/>
                <w:kern w:val="0"/>
                <w:sz w:val="24"/>
                <w:szCs w:val="24"/>
              </w:rPr>
              <w:t>20</w:t>
            </w:r>
            <w:r>
              <w:rPr>
                <w:kern w:val="0"/>
                <w:sz w:val="24"/>
                <w:szCs w:val="24"/>
              </w:rPr>
              <w:t>m</w:t>
            </w:r>
            <w:r>
              <w:rPr>
                <w:kern w:val="0"/>
                <w:sz w:val="24"/>
                <w:szCs w:val="24"/>
                <w:vertAlign w:val="superscript"/>
              </w:rPr>
              <w:t>2</w:t>
            </w:r>
            <w:r>
              <w:rPr>
                <w:kern w:val="0"/>
                <w:sz w:val="24"/>
                <w:szCs w:val="24"/>
              </w:rPr>
              <w:t>一般固废临时贮存场，用于生产固废临时堆放。</w:t>
            </w:r>
          </w:p>
          <w:p>
            <w:pPr>
              <w:spacing w:line="480" w:lineRule="exact"/>
              <w:ind w:firstLine="482" w:firstLineChars="200"/>
              <w:rPr>
                <w:b/>
                <w:kern w:val="0"/>
                <w:sz w:val="24"/>
                <w:szCs w:val="24"/>
              </w:rPr>
            </w:pPr>
            <w:r>
              <w:rPr>
                <w:b/>
                <w:kern w:val="0"/>
                <w:sz w:val="24"/>
                <w:szCs w:val="24"/>
              </w:rPr>
              <w:t>（2）危险固废暂存、转移和安全处置要求</w:t>
            </w:r>
          </w:p>
          <w:p>
            <w:pPr>
              <w:autoSpaceDE w:val="0"/>
              <w:autoSpaceDN w:val="0"/>
              <w:spacing w:line="480" w:lineRule="exact"/>
              <w:ind w:firstLine="480" w:firstLineChars="200"/>
              <w:rPr>
                <w:kern w:val="0"/>
                <w:sz w:val="24"/>
                <w:szCs w:val="23"/>
              </w:rPr>
            </w:pPr>
            <w:r>
              <w:rPr>
                <w:rFonts w:hint="eastAsia" w:ascii="宋体" w:hAnsi="宋体" w:cs="宋体"/>
                <w:kern w:val="0"/>
                <w:sz w:val="24"/>
                <w:szCs w:val="24"/>
              </w:rPr>
              <w:t>①</w:t>
            </w:r>
            <w:r>
              <w:rPr>
                <w:kern w:val="0"/>
                <w:sz w:val="24"/>
                <w:szCs w:val="23"/>
              </w:rPr>
              <w:t>危险固废储存按《危险废物贮存污染控制标准》（GB18597-2001）执行，危废临时贮存场所设置应满足下述要求：</w:t>
            </w:r>
          </w:p>
          <w:p>
            <w:pPr>
              <w:autoSpaceDE w:val="0"/>
              <w:autoSpaceDN w:val="0"/>
              <w:spacing w:line="480" w:lineRule="exact"/>
              <w:ind w:firstLine="480" w:firstLineChars="200"/>
              <w:rPr>
                <w:kern w:val="0"/>
                <w:sz w:val="24"/>
                <w:szCs w:val="24"/>
              </w:rPr>
            </w:pPr>
            <w:r>
              <w:rPr>
                <w:kern w:val="0"/>
                <w:sz w:val="24"/>
                <w:szCs w:val="24"/>
              </w:rPr>
              <w:t>a、采取分区防渗措施，危废库为重点防渗区。</w:t>
            </w:r>
            <w:r>
              <w:rPr>
                <w:kern w:val="0"/>
                <w:sz w:val="24"/>
                <w:szCs w:val="23"/>
              </w:rPr>
              <w:t>危险固废储存按《危险废物贮存污染控制标准》（GB18597-2001）执行，采取室内贮存方式（防风、防晒、防雨），地面采取水泥硬化+环氧树脂防渗，</w:t>
            </w:r>
            <w:r>
              <w:rPr>
                <w:kern w:val="0"/>
                <w:sz w:val="24"/>
                <w:szCs w:val="24"/>
              </w:rPr>
              <w:t>渗透系数不大于1.0×10</w:t>
            </w:r>
            <w:r>
              <w:rPr>
                <w:kern w:val="0"/>
                <w:sz w:val="24"/>
                <w:szCs w:val="24"/>
                <w:vertAlign w:val="superscript"/>
              </w:rPr>
              <w:t>-</w:t>
            </w:r>
            <w:r>
              <w:rPr>
                <w:rFonts w:hint="eastAsia"/>
                <w:kern w:val="0"/>
                <w:sz w:val="24"/>
                <w:szCs w:val="24"/>
                <w:vertAlign w:val="superscript"/>
              </w:rPr>
              <w:t>12</w:t>
            </w:r>
            <w:r>
              <w:rPr>
                <w:kern w:val="0"/>
                <w:sz w:val="24"/>
                <w:szCs w:val="24"/>
              </w:rPr>
              <w:t>cm/s。</w:t>
            </w:r>
          </w:p>
          <w:p>
            <w:pPr>
              <w:autoSpaceDE w:val="0"/>
              <w:autoSpaceDN w:val="0"/>
              <w:spacing w:line="480" w:lineRule="exact"/>
              <w:ind w:firstLine="480" w:firstLineChars="200"/>
              <w:rPr>
                <w:kern w:val="0"/>
                <w:sz w:val="24"/>
                <w:szCs w:val="23"/>
              </w:rPr>
            </w:pPr>
            <w:r>
              <w:rPr>
                <w:kern w:val="0"/>
                <w:sz w:val="24"/>
                <w:szCs w:val="23"/>
              </w:rPr>
              <w:t>b、在常温常压下不水解、不挥发的固体废物可在存放间内分别堆放，其它危险废物要装入容器内，并禁止将不相容（相互反应）的危险废物在同一容器内混装。装载液体、半固体危险废物的容器顶部与液体表面之间保留100mm以上的空间；无法装入正常容器的危险废物可用防漏胶袋盛装；容器上必须粘贴符合GB18597-2001附录A所示的危险废物标签。</w:t>
            </w:r>
          </w:p>
          <w:p>
            <w:pPr>
              <w:autoSpaceDE w:val="0"/>
              <w:autoSpaceDN w:val="0"/>
              <w:spacing w:line="480" w:lineRule="exact"/>
              <w:ind w:firstLine="480" w:firstLineChars="200"/>
              <w:rPr>
                <w:kern w:val="0"/>
                <w:sz w:val="24"/>
                <w:szCs w:val="23"/>
              </w:rPr>
            </w:pPr>
            <w:r>
              <w:rPr>
                <w:kern w:val="0"/>
                <w:sz w:val="24"/>
                <w:szCs w:val="23"/>
              </w:rPr>
              <w:t>c、装载危险废物的容器必须完好无损，材质要满足相应的强度要求，容器材质与衬里要与危险废物相容（不相互反应），液体危险废物可注入开孔直径不超过70mm并有放气孔的桶中。</w:t>
            </w:r>
          </w:p>
          <w:p>
            <w:pPr>
              <w:autoSpaceDE w:val="0"/>
              <w:autoSpaceDN w:val="0"/>
              <w:spacing w:line="480" w:lineRule="exact"/>
              <w:ind w:firstLine="480" w:firstLineChars="200"/>
              <w:rPr>
                <w:kern w:val="0"/>
                <w:sz w:val="24"/>
                <w:szCs w:val="23"/>
              </w:rPr>
            </w:pPr>
            <w:r>
              <w:rPr>
                <w:kern w:val="0"/>
                <w:sz w:val="24"/>
                <w:szCs w:val="23"/>
              </w:rPr>
              <w:t>d、存放间地面与群脚要用兼顾、防渗的材料建筑，并必须与危险废物相容；必须有泄漏液体的收集装置；内部要有安全照明设施和观察窗口；内部场地要有耐腐蚀的硬化地面且表面无裂隙；不相容的危险废物必须分开存放并设有隔离间隔离。</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②</w:t>
            </w:r>
            <w:r>
              <w:rPr>
                <w:kern w:val="0"/>
                <w:sz w:val="24"/>
                <w:szCs w:val="23"/>
              </w:rPr>
              <w:t>废物贮存容器应有明显标志，具有耐腐蚀、耐压、密封和不与所贮存的废物发生反应等特性。并专人管理、负责暂存工作。在暂存场地应设置醒目的警示标牌，严禁无关人员进入或擅自移动。</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③</w:t>
            </w:r>
            <w:r>
              <w:rPr>
                <w:kern w:val="0"/>
                <w:sz w:val="24"/>
                <w:szCs w:val="23"/>
              </w:rPr>
              <w:t>贮存场所内禁止混放不相容危险废物。收集、贮存危险废物必须按照危险废物特性分类进行，禁止危险废物混入非危险废物中储存。</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④</w:t>
            </w:r>
            <w:r>
              <w:rPr>
                <w:kern w:val="0"/>
                <w:sz w:val="24"/>
                <w:szCs w:val="23"/>
              </w:rPr>
              <w:t>直接从事收集、储存危险废物的人员接受专业培训。</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⑤</w:t>
            </w:r>
            <w:r>
              <w:rPr>
                <w:kern w:val="0"/>
                <w:sz w:val="24"/>
                <w:szCs w:val="23"/>
              </w:rPr>
              <w:t>制订固体废物管理制度，管理人员定期巡视。</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⑥</w:t>
            </w:r>
            <w:r>
              <w:rPr>
                <w:kern w:val="0"/>
                <w:sz w:val="24"/>
                <w:szCs w:val="23"/>
              </w:rPr>
              <w:t>根据《中华人民共和国固体废物环境污染防治法》规定：对于危险废物，企业应按照国家有关规定进行申报登记，执行联单制度；对危险废物的容器和包装物以及收集、储存、运输、处置危险废物的设施、场所必须设置危险废物识别标志，并且危险废物的储存地应远离生产区，注意通风、防火以免引起火灾，运输过程中必须采取密闭运输等防止污染环境的措施，遵守国家有关危险货物运输管理的规定。严禁在雨天进行危废的运输和转运工作。另据《危险废物贮存污染控制标准》（GB18597-2001）中的规定，危险固废要有专门的容器进行分类贮存，装载危险废物的容器及材质要满足相应的强度要求；必须定期对所贮存的危险废物包装容器及贮存设施进行检查，发现破损，应及时采取措施清理更换；危险废物贮存设施都必须按GB15562.2的规定设置警示标志；危险废物贮存设施内清理出来的泄漏物，一律按危废处理；管理及运输人员必须采取必要的安全防护措施。</w:t>
            </w:r>
          </w:p>
          <w:p>
            <w:pPr>
              <w:spacing w:line="480" w:lineRule="exact"/>
              <w:ind w:firstLine="482" w:firstLineChars="200"/>
              <w:rPr>
                <w:b/>
                <w:kern w:val="0"/>
                <w:sz w:val="24"/>
                <w:szCs w:val="24"/>
              </w:rPr>
            </w:pPr>
            <w:r>
              <w:rPr>
                <w:b/>
                <w:kern w:val="0"/>
                <w:sz w:val="24"/>
                <w:szCs w:val="24"/>
              </w:rPr>
              <w:t>（3）一般固废要求</w:t>
            </w:r>
          </w:p>
          <w:p>
            <w:pPr>
              <w:autoSpaceDE w:val="0"/>
              <w:autoSpaceDN w:val="0"/>
              <w:adjustRightInd w:val="0"/>
              <w:spacing w:line="480" w:lineRule="exact"/>
              <w:ind w:firstLine="480" w:firstLineChars="200"/>
              <w:jc w:val="left"/>
              <w:rPr>
                <w:kern w:val="0"/>
                <w:sz w:val="24"/>
                <w:szCs w:val="23"/>
              </w:rPr>
            </w:pPr>
            <w:r>
              <w:rPr>
                <w:kern w:val="0"/>
                <w:sz w:val="24"/>
                <w:szCs w:val="23"/>
              </w:rPr>
              <w:t>一般工业固废的暂存场所应按照《一般工业固体废物贮存、处置场污染控制标准》（GB18599-2001）及修改单要求建设。</w:t>
            </w:r>
          </w:p>
          <w:p>
            <w:pPr>
              <w:autoSpaceDE w:val="0"/>
              <w:autoSpaceDN w:val="0"/>
              <w:adjustRightInd w:val="0"/>
              <w:spacing w:line="480" w:lineRule="exact"/>
              <w:ind w:firstLine="480" w:firstLineChars="200"/>
              <w:jc w:val="left"/>
              <w:rPr>
                <w:kern w:val="0"/>
                <w:sz w:val="24"/>
                <w:szCs w:val="23"/>
              </w:rPr>
            </w:pPr>
            <w:r>
              <w:rPr>
                <w:rFonts w:hint="eastAsia" w:ascii="宋体" w:hAnsi="宋体" w:cs="宋体"/>
                <w:kern w:val="0"/>
                <w:sz w:val="24"/>
                <w:szCs w:val="23"/>
              </w:rPr>
              <w:t>①</w:t>
            </w:r>
            <w:r>
              <w:rPr>
                <w:kern w:val="0"/>
                <w:sz w:val="24"/>
                <w:szCs w:val="23"/>
              </w:rPr>
              <w:t>贮存、处置场的建设类型，必须与将要堆放的一般工业固体废物的类别相一致；</w:t>
            </w:r>
          </w:p>
          <w:p>
            <w:pPr>
              <w:autoSpaceDE w:val="0"/>
              <w:autoSpaceDN w:val="0"/>
              <w:adjustRightInd w:val="0"/>
              <w:spacing w:line="480" w:lineRule="exact"/>
              <w:ind w:firstLine="480" w:firstLineChars="200"/>
              <w:jc w:val="left"/>
              <w:rPr>
                <w:kern w:val="0"/>
                <w:sz w:val="24"/>
                <w:szCs w:val="23"/>
              </w:rPr>
            </w:pPr>
            <w:r>
              <w:rPr>
                <w:rFonts w:hint="eastAsia" w:ascii="宋体" w:hAnsi="宋体" w:cs="宋体"/>
                <w:kern w:val="0"/>
                <w:sz w:val="24"/>
                <w:szCs w:val="23"/>
              </w:rPr>
              <w:t>②</w:t>
            </w:r>
            <w:r>
              <w:rPr>
                <w:kern w:val="0"/>
                <w:sz w:val="24"/>
                <w:szCs w:val="23"/>
              </w:rPr>
              <w:t>贮存、处置场应采取防止粉尘污染的措施；</w:t>
            </w:r>
          </w:p>
          <w:p>
            <w:pPr>
              <w:autoSpaceDE w:val="0"/>
              <w:autoSpaceDN w:val="0"/>
              <w:adjustRightInd w:val="0"/>
              <w:spacing w:line="480" w:lineRule="exact"/>
              <w:ind w:firstLine="480" w:firstLineChars="200"/>
              <w:jc w:val="left"/>
              <w:rPr>
                <w:kern w:val="0"/>
                <w:sz w:val="24"/>
                <w:szCs w:val="23"/>
              </w:rPr>
            </w:pPr>
            <w:r>
              <w:rPr>
                <w:rFonts w:hint="eastAsia" w:ascii="宋体" w:hAnsi="宋体" w:cs="宋体"/>
                <w:kern w:val="0"/>
                <w:sz w:val="24"/>
                <w:szCs w:val="23"/>
              </w:rPr>
              <w:t>③</w:t>
            </w:r>
            <w:r>
              <w:rPr>
                <w:kern w:val="0"/>
                <w:sz w:val="24"/>
                <w:szCs w:val="23"/>
              </w:rPr>
              <w:t>为加强监督管理，贮存、处置场应按GB15562.2设置环境保护图形标志；</w:t>
            </w:r>
          </w:p>
          <w:p>
            <w:pPr>
              <w:autoSpaceDE w:val="0"/>
              <w:autoSpaceDN w:val="0"/>
              <w:adjustRightInd w:val="0"/>
              <w:spacing w:line="480" w:lineRule="exact"/>
              <w:ind w:firstLine="480" w:firstLineChars="200"/>
              <w:jc w:val="left"/>
              <w:rPr>
                <w:kern w:val="0"/>
                <w:sz w:val="24"/>
                <w:szCs w:val="23"/>
              </w:rPr>
            </w:pPr>
            <w:r>
              <w:rPr>
                <w:rFonts w:hint="eastAsia" w:ascii="宋体" w:hAnsi="宋体" w:cs="宋体"/>
                <w:kern w:val="0"/>
                <w:sz w:val="24"/>
                <w:szCs w:val="23"/>
              </w:rPr>
              <w:t>④</w:t>
            </w:r>
            <w:r>
              <w:rPr>
                <w:kern w:val="0"/>
                <w:sz w:val="24"/>
                <w:szCs w:val="23"/>
              </w:rPr>
              <w:t>一般工业固体废物贮存、处置场禁止危险废物和生活垃圾混入；</w:t>
            </w:r>
          </w:p>
          <w:p>
            <w:pPr>
              <w:autoSpaceDE w:val="0"/>
              <w:autoSpaceDN w:val="0"/>
              <w:spacing w:line="480" w:lineRule="exact"/>
              <w:ind w:firstLine="480" w:firstLineChars="200"/>
              <w:rPr>
                <w:kern w:val="0"/>
                <w:sz w:val="24"/>
                <w:szCs w:val="23"/>
              </w:rPr>
            </w:pPr>
            <w:r>
              <w:rPr>
                <w:rFonts w:hint="eastAsia" w:ascii="宋体" w:hAnsi="宋体" w:cs="宋体"/>
                <w:kern w:val="0"/>
                <w:sz w:val="24"/>
                <w:szCs w:val="23"/>
              </w:rPr>
              <w:t>⑤</w:t>
            </w:r>
            <w:r>
              <w:rPr>
                <w:kern w:val="0"/>
                <w:sz w:val="24"/>
                <w:szCs w:val="23"/>
              </w:rPr>
              <w:t>贮存、处置场的使用单位，应建立档案制度。应将入场的一般工业固体废物的种类和数量等资料详细记录在案，长期保存，供随时查阅。</w:t>
            </w:r>
          </w:p>
          <w:p>
            <w:pPr>
              <w:spacing w:line="480" w:lineRule="exact"/>
              <w:rPr>
                <w:b/>
                <w:kern w:val="0"/>
                <w:sz w:val="24"/>
                <w:szCs w:val="24"/>
              </w:rPr>
            </w:pPr>
            <w:r>
              <w:rPr>
                <w:rFonts w:hint="eastAsia"/>
                <w:b/>
                <w:kern w:val="0"/>
                <w:sz w:val="24"/>
                <w:szCs w:val="24"/>
              </w:rPr>
              <w:t>3、</w:t>
            </w:r>
            <w:r>
              <w:rPr>
                <w:b/>
                <w:kern w:val="0"/>
                <w:sz w:val="24"/>
                <w:szCs w:val="24"/>
              </w:rPr>
              <w:t>固废影响分析结论</w:t>
            </w:r>
          </w:p>
          <w:p>
            <w:pPr>
              <w:snapToGrid w:val="0"/>
              <w:spacing w:line="360" w:lineRule="auto"/>
              <w:ind w:firstLine="480" w:firstLineChars="200"/>
              <w:contextualSpacing/>
              <w:rPr>
                <w:sz w:val="24"/>
              </w:rPr>
            </w:pPr>
            <w:r>
              <w:rPr>
                <w:kern w:val="0"/>
                <w:sz w:val="24"/>
                <w:szCs w:val="23"/>
              </w:rPr>
              <w:t>通过采取措施后，拟建项目一般工业固体废物处理措施和处置方案满足《一般工业固体废物贮存、处置场污染控制标准》（GB18599-2001）及修改单要求，危险废物处置措施满足《危险废物贮存污染控制标准》（GB18597-2001）及修改单要求，对周围环境产生影响较小。</w:t>
            </w:r>
          </w:p>
          <w:p>
            <w:pPr>
              <w:autoSpaceDE w:val="0"/>
              <w:autoSpaceDN w:val="0"/>
              <w:adjustRightInd w:val="0"/>
              <w:spacing w:line="480" w:lineRule="exact"/>
              <w:jc w:val="left"/>
              <w:rPr>
                <w:b/>
                <w:bCs/>
                <w:kern w:val="0"/>
                <w:sz w:val="24"/>
                <w:szCs w:val="23"/>
              </w:rPr>
            </w:pPr>
            <w:r>
              <w:rPr>
                <w:rFonts w:hint="eastAsia"/>
                <w:b/>
                <w:bCs/>
                <w:kern w:val="0"/>
                <w:sz w:val="24"/>
                <w:szCs w:val="23"/>
              </w:rPr>
              <w:t>五、土壤环境影响分析</w:t>
            </w:r>
          </w:p>
          <w:p>
            <w:pPr>
              <w:autoSpaceDE w:val="0"/>
              <w:autoSpaceDN w:val="0"/>
              <w:adjustRightInd w:val="0"/>
              <w:spacing w:line="480" w:lineRule="exact"/>
              <w:ind w:firstLine="480" w:firstLineChars="200"/>
              <w:jc w:val="left"/>
              <w:rPr>
                <w:kern w:val="0"/>
                <w:sz w:val="24"/>
                <w:szCs w:val="23"/>
              </w:rPr>
            </w:pPr>
            <w:r>
              <w:rPr>
                <w:rFonts w:hint="eastAsia"/>
                <w:kern w:val="0"/>
                <w:sz w:val="24"/>
                <w:szCs w:val="23"/>
              </w:rPr>
              <w:t>根据《环境影响评价技术导则</w:t>
            </w:r>
            <w:r>
              <w:rPr>
                <w:kern w:val="0"/>
                <w:sz w:val="24"/>
                <w:szCs w:val="23"/>
              </w:rPr>
              <w:t>-</w:t>
            </w:r>
            <w:r>
              <w:rPr>
                <w:rFonts w:hint="eastAsia"/>
                <w:kern w:val="0"/>
                <w:sz w:val="24"/>
                <w:szCs w:val="23"/>
              </w:rPr>
              <w:t>土壤环境》（</w:t>
            </w:r>
            <w:r>
              <w:rPr>
                <w:kern w:val="0"/>
                <w:sz w:val="24"/>
                <w:szCs w:val="23"/>
              </w:rPr>
              <w:t>HJ</w:t>
            </w:r>
            <w:r>
              <w:rPr>
                <w:rFonts w:hint="eastAsia"/>
                <w:kern w:val="0"/>
                <w:sz w:val="24"/>
                <w:szCs w:val="23"/>
              </w:rPr>
              <w:t>964-2018）附录</w:t>
            </w:r>
            <w:r>
              <w:rPr>
                <w:kern w:val="0"/>
                <w:sz w:val="24"/>
                <w:szCs w:val="23"/>
              </w:rPr>
              <w:t>A</w:t>
            </w:r>
            <w:r>
              <w:rPr>
                <w:rFonts w:hint="eastAsia"/>
                <w:kern w:val="0"/>
                <w:sz w:val="24"/>
                <w:szCs w:val="23"/>
              </w:rPr>
              <w:t>土壤环境影响评价项目类别表可知，本项目属于“其他行业”，属于Ⅳ类。根据《环境影响评价技术导则</w:t>
            </w:r>
            <w:r>
              <w:rPr>
                <w:kern w:val="0"/>
                <w:sz w:val="24"/>
                <w:szCs w:val="23"/>
              </w:rPr>
              <w:t>-</w:t>
            </w:r>
            <w:r>
              <w:rPr>
                <w:rFonts w:hint="eastAsia"/>
                <w:kern w:val="0"/>
                <w:sz w:val="24"/>
                <w:szCs w:val="23"/>
              </w:rPr>
              <w:t>土壤环境》（</w:t>
            </w:r>
            <w:r>
              <w:rPr>
                <w:kern w:val="0"/>
                <w:sz w:val="24"/>
                <w:szCs w:val="23"/>
              </w:rPr>
              <w:t>HJ</w:t>
            </w:r>
            <w:r>
              <w:rPr>
                <w:rFonts w:hint="eastAsia"/>
                <w:kern w:val="0"/>
                <w:sz w:val="24"/>
                <w:szCs w:val="23"/>
              </w:rPr>
              <w:t>964-2018），Ⅳ类项目可不开展土壤环境影响评价工作。</w:t>
            </w:r>
          </w:p>
          <w:p>
            <w:pPr>
              <w:autoSpaceDE w:val="0"/>
              <w:autoSpaceDN w:val="0"/>
              <w:adjustRightInd w:val="0"/>
              <w:spacing w:line="440" w:lineRule="exact"/>
              <w:rPr>
                <w:b/>
                <w:bCs/>
                <w:kern w:val="0"/>
                <w:sz w:val="24"/>
              </w:rPr>
            </w:pPr>
            <w:r>
              <w:rPr>
                <w:rFonts w:hint="eastAsia"/>
                <w:b/>
                <w:bCs/>
                <w:kern w:val="0"/>
                <w:sz w:val="24"/>
              </w:rPr>
              <w:t>六、环境监测计划</w:t>
            </w:r>
          </w:p>
          <w:p>
            <w:pPr>
              <w:spacing w:line="360" w:lineRule="auto"/>
              <w:ind w:firstLine="480" w:firstLineChars="200"/>
              <w:rPr>
                <w:bCs/>
                <w:sz w:val="24"/>
              </w:rPr>
            </w:pPr>
            <w:r>
              <w:rPr>
                <w:rFonts w:hint="eastAsia"/>
                <w:bCs/>
                <w:sz w:val="24"/>
              </w:rPr>
              <w:t>1.设置环境管理</w:t>
            </w:r>
            <w:r>
              <w:rPr>
                <w:bCs/>
                <w:sz w:val="24"/>
              </w:rPr>
              <w:t>机构</w:t>
            </w:r>
          </w:p>
          <w:p>
            <w:pPr>
              <w:spacing w:line="360" w:lineRule="auto"/>
              <w:ind w:firstLine="480" w:firstLineChars="200"/>
              <w:rPr>
                <w:bCs/>
                <w:sz w:val="24"/>
              </w:rPr>
            </w:pPr>
            <w:r>
              <w:rPr>
                <w:rFonts w:hint="eastAsia"/>
                <w:bCs/>
                <w:sz w:val="24"/>
              </w:rPr>
              <w:t>项目单位应按照现行的环保管理要求，设置环境管理机构。机构负责人应有副经理或生产厂长担任，机构应设置办公室，安排具体人员担任办公室主任，负责日常环境管理。同时要制定相关的环境管理制度，将本公司的环境保护工作落实到</w:t>
            </w:r>
          </w:p>
          <w:p>
            <w:pPr>
              <w:spacing w:line="360" w:lineRule="auto"/>
              <w:ind w:firstLine="480" w:firstLineChars="200"/>
              <w:rPr>
                <w:bCs/>
                <w:sz w:val="24"/>
              </w:rPr>
            </w:pPr>
            <w:r>
              <w:rPr>
                <w:rFonts w:hint="eastAsia"/>
                <w:bCs/>
                <w:sz w:val="24"/>
              </w:rPr>
              <w:t>2.制定运营期监测计划</w:t>
            </w:r>
          </w:p>
          <w:p>
            <w:pPr>
              <w:pStyle w:val="231"/>
              <w:adjustRightInd/>
              <w:snapToGrid/>
              <w:ind w:firstLine="480"/>
              <w:rPr>
                <w:rFonts w:eastAsia="宋体"/>
              </w:rPr>
            </w:pPr>
            <w:r>
              <w:rPr>
                <w:rFonts w:eastAsia="宋体"/>
                <w:bCs/>
                <w:kern w:val="0"/>
              </w:rPr>
              <w:t>根据本项目生产工艺特点以及《排污单位自行监测技术指南总则》（HJ819-2017），本项目属于非重点排污单位，本项目废气排放口不属于主要排放口，因此确定废气监测频次为1次/年；本项目废水排放污染物COD、BOD</w:t>
            </w:r>
            <w:r>
              <w:rPr>
                <w:rFonts w:eastAsia="宋体"/>
                <w:bCs/>
                <w:kern w:val="0"/>
                <w:vertAlign w:val="subscript"/>
              </w:rPr>
              <w:t>5</w:t>
            </w:r>
            <w:r>
              <w:rPr>
                <w:rFonts w:eastAsia="宋体"/>
                <w:bCs/>
                <w:kern w:val="0"/>
              </w:rPr>
              <w:t>、SS、NH</w:t>
            </w:r>
            <w:r>
              <w:rPr>
                <w:rFonts w:eastAsia="宋体"/>
                <w:bCs/>
                <w:kern w:val="0"/>
                <w:vertAlign w:val="subscript"/>
              </w:rPr>
              <w:t>3</w:t>
            </w:r>
            <w:r>
              <w:rPr>
                <w:rFonts w:eastAsia="宋体"/>
                <w:bCs/>
                <w:kern w:val="0"/>
              </w:rPr>
              <w:t>-N等排放量均不大，因此确定废水监测频次为1次/年；厂界环境噪声每季度开展一次监测，具体内容如下：</w:t>
            </w:r>
          </w:p>
          <w:p>
            <w:pPr>
              <w:pStyle w:val="231"/>
              <w:spacing w:line="240" w:lineRule="auto"/>
              <w:ind w:firstLine="0" w:firstLineChars="0"/>
              <w:jc w:val="center"/>
              <w:rPr>
                <w:rFonts w:eastAsia="宋体"/>
                <w:b/>
                <w:bCs/>
                <w:sz w:val="21"/>
                <w:szCs w:val="21"/>
              </w:rPr>
            </w:pPr>
            <w:r>
              <w:rPr>
                <w:rFonts w:eastAsia="宋体"/>
                <w:b/>
                <w:bCs/>
                <w:sz w:val="21"/>
                <w:szCs w:val="21"/>
              </w:rPr>
              <w:t>表</w:t>
            </w:r>
            <w:r>
              <w:rPr>
                <w:rFonts w:hint="eastAsia" w:eastAsia="宋体"/>
                <w:b/>
                <w:bCs/>
                <w:sz w:val="21"/>
                <w:szCs w:val="21"/>
              </w:rPr>
              <w:t>37污染源</w:t>
            </w:r>
            <w:r>
              <w:rPr>
                <w:rFonts w:eastAsia="宋体"/>
                <w:b/>
                <w:bCs/>
                <w:sz w:val="21"/>
                <w:szCs w:val="21"/>
              </w:rPr>
              <w:t>监测计划</w:t>
            </w:r>
          </w:p>
          <w:tbl>
            <w:tblPr>
              <w:tblStyle w:val="30"/>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4"/>
              <w:gridCol w:w="1276"/>
              <w:gridCol w:w="1134"/>
              <w:gridCol w:w="1843"/>
              <w:gridCol w:w="1156"/>
              <w:gridCol w:w="2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 w:hRule="atLeast"/>
              </w:trPr>
              <w:tc>
                <w:tcPr>
                  <w:tcW w:w="69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分类</w:t>
                  </w:r>
                </w:p>
              </w:tc>
              <w:tc>
                <w:tcPr>
                  <w:tcW w:w="127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监测位置</w:t>
                  </w:r>
                </w:p>
              </w:tc>
              <w:tc>
                <w:tcPr>
                  <w:tcW w:w="113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监测点位数</w:t>
                  </w:r>
                </w:p>
              </w:tc>
              <w:tc>
                <w:tcPr>
                  <w:tcW w:w="1843"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监测指标</w:t>
                  </w:r>
                </w:p>
              </w:tc>
              <w:tc>
                <w:tcPr>
                  <w:tcW w:w="115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监测频次</w:t>
                  </w:r>
                </w:p>
              </w:tc>
              <w:tc>
                <w:tcPr>
                  <w:tcW w:w="2937"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94" w:type="dxa"/>
                  <w:vMerge w:val="restart"/>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废气</w:t>
                  </w:r>
                </w:p>
              </w:tc>
              <w:tc>
                <w:tcPr>
                  <w:tcW w:w="127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厂界上风向</w:t>
                  </w:r>
                </w:p>
              </w:tc>
              <w:tc>
                <w:tcPr>
                  <w:tcW w:w="113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1个</w:t>
                  </w:r>
                </w:p>
              </w:tc>
              <w:tc>
                <w:tcPr>
                  <w:tcW w:w="1843"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颗粒物</w:t>
                  </w:r>
                </w:p>
              </w:tc>
              <w:tc>
                <w:tcPr>
                  <w:tcW w:w="115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1次/年</w:t>
                  </w:r>
                </w:p>
              </w:tc>
              <w:tc>
                <w:tcPr>
                  <w:tcW w:w="2937" w:type="dxa"/>
                  <w:vMerge w:val="restart"/>
                  <w:vAlign w:val="center"/>
                </w:tcPr>
                <w:p>
                  <w:pPr>
                    <w:adjustRightInd w:val="0"/>
                    <w:snapToGrid w:val="0"/>
                    <w:jc w:val="center"/>
                    <w:rPr>
                      <w:bCs/>
                      <w:szCs w:val="21"/>
                    </w:rPr>
                  </w:pPr>
                  <w:r>
                    <w:rPr>
                      <w:bCs/>
                      <w:szCs w:val="21"/>
                    </w:rPr>
                    <w:t>《大气污染物综合排放标准》（GB16297-1996）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694" w:type="dxa"/>
                  <w:vMerge w:val="continue"/>
                  <w:vAlign w:val="center"/>
                </w:tcPr>
                <w:p>
                  <w:pPr>
                    <w:pStyle w:val="231"/>
                    <w:spacing w:line="240" w:lineRule="auto"/>
                    <w:ind w:firstLine="0" w:firstLineChars="0"/>
                    <w:jc w:val="center"/>
                    <w:rPr>
                      <w:rFonts w:eastAsia="宋体"/>
                      <w:bCs/>
                      <w:kern w:val="0"/>
                      <w:sz w:val="21"/>
                      <w:szCs w:val="21"/>
                    </w:rPr>
                  </w:pPr>
                </w:p>
              </w:tc>
              <w:tc>
                <w:tcPr>
                  <w:tcW w:w="127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厂界下风向</w:t>
                  </w:r>
                </w:p>
              </w:tc>
              <w:tc>
                <w:tcPr>
                  <w:tcW w:w="113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2~4个</w:t>
                  </w:r>
                </w:p>
              </w:tc>
              <w:tc>
                <w:tcPr>
                  <w:tcW w:w="1843"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颗粒物</w:t>
                  </w:r>
                </w:p>
              </w:tc>
              <w:tc>
                <w:tcPr>
                  <w:tcW w:w="115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1次/年</w:t>
                  </w:r>
                </w:p>
              </w:tc>
              <w:tc>
                <w:tcPr>
                  <w:tcW w:w="2937" w:type="dxa"/>
                  <w:vMerge w:val="continue"/>
                  <w:vAlign w:val="center"/>
                </w:tcPr>
                <w:p>
                  <w:pPr>
                    <w:adjustRightInd w:val="0"/>
                    <w:snapToGrid w:val="0"/>
                    <w:jc w:val="cente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1" w:hRule="atLeast"/>
              </w:trPr>
              <w:tc>
                <w:tcPr>
                  <w:tcW w:w="69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废水</w:t>
                  </w:r>
                </w:p>
              </w:tc>
              <w:tc>
                <w:tcPr>
                  <w:tcW w:w="127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厂区总排口</w:t>
                  </w:r>
                </w:p>
              </w:tc>
              <w:tc>
                <w:tcPr>
                  <w:tcW w:w="113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1个</w:t>
                  </w:r>
                </w:p>
              </w:tc>
              <w:tc>
                <w:tcPr>
                  <w:tcW w:w="1843"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COD、BOD</w:t>
                  </w:r>
                  <w:r>
                    <w:rPr>
                      <w:rFonts w:eastAsia="宋体"/>
                      <w:bCs/>
                      <w:kern w:val="0"/>
                      <w:sz w:val="21"/>
                      <w:szCs w:val="21"/>
                      <w:vertAlign w:val="subscript"/>
                    </w:rPr>
                    <w:t>5</w:t>
                  </w:r>
                  <w:r>
                    <w:rPr>
                      <w:rFonts w:eastAsia="宋体"/>
                      <w:bCs/>
                      <w:kern w:val="0"/>
                      <w:sz w:val="21"/>
                      <w:szCs w:val="21"/>
                    </w:rPr>
                    <w:t>、SS、NH</w:t>
                  </w:r>
                  <w:r>
                    <w:rPr>
                      <w:rFonts w:eastAsia="宋体"/>
                      <w:bCs/>
                      <w:kern w:val="0"/>
                      <w:sz w:val="21"/>
                      <w:szCs w:val="21"/>
                      <w:vertAlign w:val="subscript"/>
                    </w:rPr>
                    <w:t>3</w:t>
                  </w:r>
                  <w:r>
                    <w:rPr>
                      <w:rFonts w:eastAsia="宋体"/>
                      <w:bCs/>
                      <w:kern w:val="0"/>
                      <w:sz w:val="21"/>
                      <w:szCs w:val="21"/>
                    </w:rPr>
                    <w:t xml:space="preserve">-N </w:t>
                  </w:r>
                </w:p>
              </w:tc>
              <w:tc>
                <w:tcPr>
                  <w:tcW w:w="115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1次/年</w:t>
                  </w:r>
                </w:p>
              </w:tc>
              <w:tc>
                <w:tcPr>
                  <w:tcW w:w="2937" w:type="dxa"/>
                  <w:vAlign w:val="center"/>
                </w:tcPr>
                <w:p>
                  <w:pPr>
                    <w:adjustRightInd w:val="0"/>
                    <w:snapToGrid w:val="0"/>
                    <w:jc w:val="center"/>
                    <w:rPr>
                      <w:bCs/>
                      <w:szCs w:val="21"/>
                    </w:rPr>
                  </w:pPr>
                  <w:r>
                    <w:rPr>
                      <w:rFonts w:hint="eastAsia"/>
                      <w:szCs w:val="21"/>
                    </w:rPr>
                    <w:t>《污水排入城市下水道水质标准》（GB/T 31962-2015）B级标准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噪声</w:t>
                  </w:r>
                </w:p>
              </w:tc>
              <w:tc>
                <w:tcPr>
                  <w:tcW w:w="127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厂界外1m处</w:t>
                  </w:r>
                </w:p>
              </w:tc>
              <w:tc>
                <w:tcPr>
                  <w:tcW w:w="1134"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4个</w:t>
                  </w:r>
                </w:p>
              </w:tc>
              <w:tc>
                <w:tcPr>
                  <w:tcW w:w="1843"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等效连续A声级</w:t>
                  </w:r>
                </w:p>
              </w:tc>
              <w:tc>
                <w:tcPr>
                  <w:tcW w:w="1156"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1次/季度</w:t>
                  </w:r>
                </w:p>
              </w:tc>
              <w:tc>
                <w:tcPr>
                  <w:tcW w:w="2937" w:type="dxa"/>
                  <w:vAlign w:val="center"/>
                </w:tcPr>
                <w:p>
                  <w:pPr>
                    <w:pStyle w:val="231"/>
                    <w:spacing w:line="240" w:lineRule="auto"/>
                    <w:ind w:firstLine="0" w:firstLineChars="0"/>
                    <w:jc w:val="center"/>
                    <w:rPr>
                      <w:rFonts w:eastAsia="宋体"/>
                      <w:bCs/>
                      <w:kern w:val="0"/>
                      <w:sz w:val="21"/>
                      <w:szCs w:val="21"/>
                    </w:rPr>
                  </w:pPr>
                  <w:r>
                    <w:rPr>
                      <w:rFonts w:eastAsia="宋体"/>
                      <w:bCs/>
                      <w:kern w:val="0"/>
                      <w:sz w:val="21"/>
                      <w:szCs w:val="21"/>
                    </w:rPr>
                    <w:t>《工业企业厂界环境噪声排放标准》(GB12348-2008)</w:t>
                  </w:r>
                </w:p>
              </w:tc>
            </w:tr>
          </w:tbl>
          <w:p>
            <w:pPr>
              <w:spacing w:line="360" w:lineRule="auto"/>
              <w:ind w:firstLine="480" w:firstLineChars="200"/>
              <w:rPr>
                <w:sz w:val="24"/>
                <w:szCs w:val="24"/>
              </w:rPr>
            </w:pPr>
            <w:r>
              <w:rPr>
                <w:sz w:val="24"/>
                <w:szCs w:val="24"/>
              </w:rPr>
              <w:t>委托有资质单位负责监测，设置监测报告年报制度。环境监测年报内容包括：对全年的监测结果进行统计，综合评价营运期污染状况；对营运期环保措施的效果进行分析</w:t>
            </w:r>
            <w:r>
              <w:rPr>
                <w:rFonts w:hint="eastAsia"/>
                <w:sz w:val="24"/>
                <w:szCs w:val="24"/>
              </w:rPr>
              <w:t>和优化</w:t>
            </w:r>
            <w:r>
              <w:rPr>
                <w:sz w:val="24"/>
                <w:szCs w:val="24"/>
              </w:rPr>
              <w:t>。</w:t>
            </w:r>
          </w:p>
          <w:p>
            <w:pPr>
              <w:autoSpaceDE w:val="0"/>
              <w:autoSpaceDN w:val="0"/>
              <w:adjustRightInd w:val="0"/>
              <w:spacing w:line="440" w:lineRule="exact"/>
              <w:rPr>
                <w:b/>
                <w:bCs/>
                <w:kern w:val="0"/>
                <w:sz w:val="24"/>
              </w:rPr>
            </w:pPr>
            <w:r>
              <w:rPr>
                <w:rFonts w:hint="eastAsia"/>
                <w:b/>
                <w:bCs/>
                <w:kern w:val="0"/>
                <w:sz w:val="24"/>
              </w:rPr>
              <w:t>七</w:t>
            </w:r>
            <w:r>
              <w:rPr>
                <w:b/>
                <w:bCs/>
                <w:kern w:val="0"/>
                <w:sz w:val="24"/>
              </w:rPr>
              <w:t>、项目环保投资一览表</w:t>
            </w:r>
            <w:r>
              <w:rPr>
                <w:rFonts w:hint="eastAsia"/>
                <w:b/>
                <w:bCs/>
                <w:kern w:val="0"/>
                <w:sz w:val="24"/>
              </w:rPr>
              <w:t>和“三同时”验收一览表</w:t>
            </w:r>
          </w:p>
          <w:p>
            <w:pPr>
              <w:spacing w:line="440" w:lineRule="exact"/>
              <w:ind w:firstLine="480" w:firstLineChars="200"/>
              <w:rPr>
                <w:sz w:val="24"/>
                <w:szCs w:val="24"/>
              </w:rPr>
            </w:pPr>
            <w:r>
              <w:rPr>
                <w:sz w:val="24"/>
                <w:szCs w:val="24"/>
              </w:rPr>
              <w:t>本项目总投资</w:t>
            </w:r>
            <w:r>
              <w:rPr>
                <w:rFonts w:hint="eastAsia"/>
                <w:sz w:val="24"/>
                <w:szCs w:val="24"/>
              </w:rPr>
              <w:t>2000万元</w:t>
            </w:r>
            <w:r>
              <w:rPr>
                <w:sz w:val="24"/>
                <w:szCs w:val="24"/>
              </w:rPr>
              <w:t>，环保投资约</w:t>
            </w:r>
            <w:r>
              <w:rPr>
                <w:rFonts w:hint="eastAsia"/>
                <w:sz w:val="24"/>
                <w:szCs w:val="24"/>
              </w:rPr>
              <w:t>15</w:t>
            </w:r>
            <w:r>
              <w:rPr>
                <w:sz w:val="24"/>
                <w:szCs w:val="24"/>
              </w:rPr>
              <w:t>万元，占投资总额</w:t>
            </w:r>
            <w:r>
              <w:rPr>
                <w:rFonts w:hint="eastAsia"/>
                <w:sz w:val="24"/>
                <w:szCs w:val="24"/>
              </w:rPr>
              <w:t>0.75</w:t>
            </w:r>
            <w:r>
              <w:rPr>
                <w:sz w:val="24"/>
                <w:szCs w:val="24"/>
              </w:rPr>
              <w:t>％，环境保护投资估算详见下表</w:t>
            </w:r>
            <w:r>
              <w:rPr>
                <w:rFonts w:hint="eastAsia"/>
                <w:sz w:val="24"/>
                <w:szCs w:val="24"/>
              </w:rPr>
              <w:t>：</w:t>
            </w:r>
          </w:p>
          <w:p>
            <w:pPr>
              <w:snapToGrid w:val="0"/>
              <w:jc w:val="center"/>
              <w:rPr>
                <w:b/>
                <w:szCs w:val="21"/>
              </w:rPr>
            </w:pPr>
            <w:r>
              <w:rPr>
                <w:b/>
                <w:szCs w:val="21"/>
              </w:rPr>
              <w:t>表</w:t>
            </w:r>
            <w:r>
              <w:rPr>
                <w:rFonts w:hint="eastAsia"/>
                <w:b/>
                <w:szCs w:val="21"/>
              </w:rPr>
              <w:t>38</w:t>
            </w:r>
            <w:r>
              <w:rPr>
                <w:b/>
                <w:szCs w:val="21"/>
              </w:rPr>
              <w:t>环保设施及其估算一览表</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1984"/>
              <w:gridCol w:w="1418"/>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vAlign w:val="center"/>
                </w:tcPr>
                <w:p>
                  <w:pPr>
                    <w:jc w:val="center"/>
                    <w:rPr>
                      <w:bCs/>
                      <w:szCs w:val="21"/>
                    </w:rPr>
                  </w:pPr>
                  <w:r>
                    <w:rPr>
                      <w:bCs/>
                      <w:szCs w:val="21"/>
                    </w:rPr>
                    <w:t>环保投资名称</w:t>
                  </w:r>
                </w:p>
              </w:tc>
              <w:tc>
                <w:tcPr>
                  <w:tcW w:w="1984" w:type="dxa"/>
                  <w:vAlign w:val="center"/>
                </w:tcPr>
                <w:p>
                  <w:pPr>
                    <w:pStyle w:val="83"/>
                    <w:widowControl w:val="0"/>
                    <w:spacing w:before="0" w:beforeAutospacing="0" w:after="0" w:afterAutospacing="0"/>
                    <w:rPr>
                      <w:rFonts w:ascii="Times New Roman" w:hAnsi="Times New Roman"/>
                      <w:bCs/>
                      <w:kern w:val="2"/>
                      <w:sz w:val="21"/>
                      <w:szCs w:val="21"/>
                    </w:rPr>
                  </w:pPr>
                  <w:r>
                    <w:rPr>
                      <w:rFonts w:hint="eastAsia" w:ascii="Times New Roman" w:hAnsi="Times New Roman"/>
                      <w:bCs/>
                      <w:kern w:val="2"/>
                      <w:sz w:val="21"/>
                      <w:szCs w:val="21"/>
                    </w:rPr>
                    <w:t>处理内容</w:t>
                  </w:r>
                </w:p>
              </w:tc>
              <w:tc>
                <w:tcPr>
                  <w:tcW w:w="1418" w:type="dxa"/>
                  <w:vAlign w:val="center"/>
                </w:tcPr>
                <w:p>
                  <w:pPr>
                    <w:jc w:val="center"/>
                    <w:rPr>
                      <w:bCs/>
                      <w:szCs w:val="21"/>
                    </w:rPr>
                  </w:pPr>
                  <w:r>
                    <w:rPr>
                      <w:bCs/>
                      <w:szCs w:val="21"/>
                    </w:rPr>
                    <w:t>费用（万元）</w:t>
                  </w:r>
                </w:p>
              </w:tc>
              <w:tc>
                <w:tcPr>
                  <w:tcW w:w="1486" w:type="dxa"/>
                  <w:vAlign w:val="center"/>
                </w:tcPr>
                <w:p>
                  <w:pPr>
                    <w:jc w:val="center"/>
                    <w:rPr>
                      <w:bCs/>
                      <w:szCs w:val="21"/>
                    </w:rPr>
                  </w:pPr>
                  <w:r>
                    <w:rPr>
                      <w:rFonts w:hint="eastAsia"/>
                      <w:bCs/>
                      <w:szCs w:val="21"/>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vAlign w:val="center"/>
                </w:tcPr>
                <w:p>
                  <w:pPr>
                    <w:jc w:val="center"/>
                    <w:rPr>
                      <w:bCs/>
                      <w:szCs w:val="21"/>
                    </w:rPr>
                  </w:pPr>
                  <w:r>
                    <w:rPr>
                      <w:rFonts w:hint="eastAsia"/>
                      <w:bCs/>
                      <w:szCs w:val="21"/>
                    </w:rPr>
                    <w:t>雨污分流、化粪池</w:t>
                  </w:r>
                </w:p>
              </w:tc>
              <w:tc>
                <w:tcPr>
                  <w:tcW w:w="1984" w:type="dxa"/>
                  <w:vAlign w:val="center"/>
                </w:tcPr>
                <w:p>
                  <w:pPr>
                    <w:jc w:val="center"/>
                    <w:rPr>
                      <w:bCs/>
                      <w:szCs w:val="21"/>
                    </w:rPr>
                  </w:pPr>
                  <w:r>
                    <w:rPr>
                      <w:rFonts w:hint="eastAsia"/>
                      <w:bCs/>
                      <w:szCs w:val="21"/>
                    </w:rPr>
                    <w:t>污水治理</w:t>
                  </w:r>
                </w:p>
              </w:tc>
              <w:tc>
                <w:tcPr>
                  <w:tcW w:w="1418" w:type="dxa"/>
                  <w:vAlign w:val="center"/>
                </w:tcPr>
                <w:p>
                  <w:pPr>
                    <w:jc w:val="center"/>
                    <w:rPr>
                      <w:bCs/>
                      <w:szCs w:val="21"/>
                    </w:rPr>
                  </w:pPr>
                  <w:r>
                    <w:rPr>
                      <w:rFonts w:hint="eastAsia"/>
                      <w:bCs/>
                      <w:szCs w:val="21"/>
                    </w:rPr>
                    <w:t>依托现有</w:t>
                  </w:r>
                </w:p>
              </w:tc>
              <w:tc>
                <w:tcPr>
                  <w:tcW w:w="1486" w:type="dxa"/>
                  <w:vMerge w:val="restart"/>
                  <w:vAlign w:val="center"/>
                </w:tcPr>
                <w:p>
                  <w:pPr>
                    <w:jc w:val="center"/>
                    <w:rPr>
                      <w:bCs/>
                      <w:szCs w:val="21"/>
                    </w:rPr>
                  </w:pPr>
                  <w:r>
                    <w:rPr>
                      <w:rFonts w:hint="eastAsia"/>
                      <w:szCs w:val="21"/>
                    </w:rPr>
                    <w:t>与主体工程同时设计、同时施工、同时投入使用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vAlign w:val="center"/>
                </w:tcPr>
                <w:p>
                  <w:pPr>
                    <w:jc w:val="center"/>
                    <w:rPr>
                      <w:bCs/>
                      <w:szCs w:val="21"/>
                    </w:rPr>
                  </w:pPr>
                  <w:r>
                    <w:rPr>
                      <w:rFonts w:hint="eastAsia"/>
                      <w:bCs/>
                      <w:szCs w:val="21"/>
                    </w:rPr>
                    <w:t>3台移动式焊烟净化器</w:t>
                  </w:r>
                </w:p>
              </w:tc>
              <w:tc>
                <w:tcPr>
                  <w:tcW w:w="1984" w:type="dxa"/>
                  <w:vAlign w:val="center"/>
                </w:tcPr>
                <w:p>
                  <w:pPr>
                    <w:jc w:val="center"/>
                    <w:rPr>
                      <w:bCs/>
                      <w:szCs w:val="21"/>
                    </w:rPr>
                  </w:pPr>
                  <w:r>
                    <w:rPr>
                      <w:rFonts w:hint="eastAsia"/>
                      <w:bCs/>
                      <w:szCs w:val="21"/>
                    </w:rPr>
                    <w:t>切割烟尘及焊接烟尘治理</w:t>
                  </w:r>
                </w:p>
              </w:tc>
              <w:tc>
                <w:tcPr>
                  <w:tcW w:w="1418" w:type="dxa"/>
                  <w:vAlign w:val="center"/>
                </w:tcPr>
                <w:p>
                  <w:pPr>
                    <w:jc w:val="center"/>
                    <w:rPr>
                      <w:bCs/>
                      <w:szCs w:val="21"/>
                    </w:rPr>
                  </w:pPr>
                  <w:r>
                    <w:rPr>
                      <w:rFonts w:hint="eastAsia"/>
                      <w:bCs/>
                      <w:szCs w:val="21"/>
                    </w:rPr>
                    <w:t>7.5</w:t>
                  </w:r>
                </w:p>
              </w:tc>
              <w:tc>
                <w:tcPr>
                  <w:tcW w:w="1486"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vAlign w:val="center"/>
                </w:tcPr>
                <w:p>
                  <w:pPr>
                    <w:jc w:val="center"/>
                    <w:rPr>
                      <w:szCs w:val="21"/>
                    </w:rPr>
                  </w:pPr>
                  <w:r>
                    <w:rPr>
                      <w:szCs w:val="21"/>
                    </w:rPr>
                    <w:t>减</w:t>
                  </w:r>
                  <w:r>
                    <w:rPr>
                      <w:rFonts w:hint="eastAsia"/>
                      <w:szCs w:val="21"/>
                    </w:rPr>
                    <w:t>振机座</w:t>
                  </w:r>
                  <w:r>
                    <w:rPr>
                      <w:szCs w:val="21"/>
                    </w:rPr>
                    <w:t>、</w:t>
                  </w:r>
                  <w:r>
                    <w:rPr>
                      <w:rFonts w:hint="eastAsia"/>
                      <w:szCs w:val="21"/>
                    </w:rPr>
                    <w:t>橡皮垫等</w:t>
                  </w:r>
                </w:p>
              </w:tc>
              <w:tc>
                <w:tcPr>
                  <w:tcW w:w="1984" w:type="dxa"/>
                  <w:vAlign w:val="center"/>
                </w:tcPr>
                <w:p>
                  <w:pPr>
                    <w:jc w:val="center"/>
                    <w:rPr>
                      <w:szCs w:val="21"/>
                    </w:rPr>
                  </w:pPr>
                  <w:r>
                    <w:rPr>
                      <w:rFonts w:hint="eastAsia"/>
                      <w:szCs w:val="21"/>
                    </w:rPr>
                    <w:t>设备</w:t>
                  </w:r>
                  <w:r>
                    <w:rPr>
                      <w:szCs w:val="21"/>
                    </w:rPr>
                    <w:t>噪声</w:t>
                  </w:r>
                  <w:r>
                    <w:rPr>
                      <w:rFonts w:hint="eastAsia"/>
                      <w:szCs w:val="21"/>
                    </w:rPr>
                    <w:t>治理</w:t>
                  </w:r>
                </w:p>
              </w:tc>
              <w:tc>
                <w:tcPr>
                  <w:tcW w:w="1418" w:type="dxa"/>
                  <w:vAlign w:val="center"/>
                </w:tcPr>
                <w:p>
                  <w:pPr>
                    <w:jc w:val="center"/>
                    <w:rPr>
                      <w:kern w:val="0"/>
                      <w:szCs w:val="21"/>
                    </w:rPr>
                  </w:pPr>
                  <w:r>
                    <w:rPr>
                      <w:rFonts w:hint="eastAsia"/>
                      <w:kern w:val="0"/>
                      <w:szCs w:val="21"/>
                    </w:rPr>
                    <w:t>2.5</w:t>
                  </w:r>
                </w:p>
              </w:tc>
              <w:tc>
                <w:tcPr>
                  <w:tcW w:w="1486"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248" w:type="dxa"/>
                  <w:vAlign w:val="center"/>
                </w:tcPr>
                <w:p>
                  <w:pPr>
                    <w:jc w:val="center"/>
                    <w:rPr>
                      <w:szCs w:val="21"/>
                    </w:rPr>
                  </w:pPr>
                  <w:r>
                    <w:rPr>
                      <w:rFonts w:hint="eastAsia"/>
                      <w:szCs w:val="21"/>
                    </w:rPr>
                    <w:t>垃圾桶、一般固废收集点、危险废物临时贮存点设置等</w:t>
                  </w:r>
                </w:p>
              </w:tc>
              <w:tc>
                <w:tcPr>
                  <w:tcW w:w="1984" w:type="dxa"/>
                  <w:vAlign w:val="center"/>
                </w:tcPr>
                <w:p>
                  <w:pPr>
                    <w:jc w:val="center"/>
                    <w:rPr>
                      <w:szCs w:val="21"/>
                    </w:rPr>
                  </w:pPr>
                  <w:r>
                    <w:rPr>
                      <w:rFonts w:hint="eastAsia"/>
                      <w:szCs w:val="21"/>
                    </w:rPr>
                    <w:t>固废收集</w:t>
                  </w:r>
                </w:p>
              </w:tc>
              <w:tc>
                <w:tcPr>
                  <w:tcW w:w="1418" w:type="dxa"/>
                  <w:vAlign w:val="center"/>
                </w:tcPr>
                <w:p>
                  <w:pPr>
                    <w:jc w:val="center"/>
                    <w:rPr>
                      <w:kern w:val="0"/>
                      <w:szCs w:val="21"/>
                    </w:rPr>
                  </w:pPr>
                  <w:r>
                    <w:rPr>
                      <w:rFonts w:hint="eastAsia"/>
                      <w:kern w:val="0"/>
                      <w:szCs w:val="21"/>
                    </w:rPr>
                    <w:t>5</w:t>
                  </w:r>
                </w:p>
              </w:tc>
              <w:tc>
                <w:tcPr>
                  <w:tcW w:w="1486" w:type="dxa"/>
                  <w:vMerge w:val="continue"/>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 w:hRule="atLeast"/>
                <w:jc w:val="center"/>
              </w:trPr>
              <w:tc>
                <w:tcPr>
                  <w:tcW w:w="4248" w:type="dxa"/>
                  <w:vAlign w:val="center"/>
                </w:tcPr>
                <w:p>
                  <w:pPr>
                    <w:jc w:val="center"/>
                    <w:rPr>
                      <w:bCs/>
                      <w:szCs w:val="21"/>
                    </w:rPr>
                  </w:pPr>
                  <w:r>
                    <w:rPr>
                      <w:bCs/>
                      <w:szCs w:val="21"/>
                    </w:rPr>
                    <w:t>总计</w:t>
                  </w:r>
                </w:p>
              </w:tc>
              <w:tc>
                <w:tcPr>
                  <w:tcW w:w="4888" w:type="dxa"/>
                  <w:gridSpan w:val="3"/>
                </w:tcPr>
                <w:p>
                  <w:pPr>
                    <w:jc w:val="center"/>
                    <w:rPr>
                      <w:bCs/>
                      <w:szCs w:val="21"/>
                    </w:rPr>
                  </w:pPr>
                  <w:r>
                    <w:rPr>
                      <w:rFonts w:hint="eastAsia"/>
                      <w:bCs/>
                      <w:szCs w:val="21"/>
                    </w:rPr>
                    <w:t>15</w:t>
                  </w:r>
                </w:p>
              </w:tc>
            </w:tr>
          </w:tbl>
          <w:p>
            <w:pPr>
              <w:snapToGrid w:val="0"/>
              <w:jc w:val="center"/>
              <w:rPr>
                <w:b/>
                <w:bCs/>
                <w:kern w:val="0"/>
                <w:szCs w:val="21"/>
              </w:rPr>
            </w:pPr>
            <w:r>
              <w:rPr>
                <w:b/>
                <w:szCs w:val="21"/>
              </w:rPr>
              <w:t>表</w:t>
            </w:r>
            <w:r>
              <w:rPr>
                <w:rFonts w:hint="eastAsia"/>
                <w:b/>
                <w:szCs w:val="21"/>
              </w:rPr>
              <w:t>39</w:t>
            </w:r>
            <w:r>
              <w:rPr>
                <w:rFonts w:hint="eastAsia"/>
                <w:b/>
                <w:bCs/>
                <w:kern w:val="0"/>
                <w:szCs w:val="21"/>
              </w:rPr>
              <w:t>“三同时”验收一览表</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10"/>
              <w:gridCol w:w="1487"/>
              <w:gridCol w:w="2683"/>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00" w:type="dxa"/>
                  <w:vAlign w:val="center"/>
                </w:tcPr>
                <w:p>
                  <w:pPr>
                    <w:snapToGrid w:val="0"/>
                    <w:jc w:val="center"/>
                    <w:rPr>
                      <w:szCs w:val="21"/>
                    </w:rPr>
                  </w:pPr>
                  <w:r>
                    <w:rPr>
                      <w:rFonts w:hint="eastAsia"/>
                      <w:szCs w:val="21"/>
                    </w:rPr>
                    <w:t>内容</w:t>
                  </w:r>
                </w:p>
              </w:tc>
              <w:tc>
                <w:tcPr>
                  <w:tcW w:w="1210" w:type="dxa"/>
                  <w:vAlign w:val="center"/>
                </w:tcPr>
                <w:p>
                  <w:pPr>
                    <w:snapToGrid w:val="0"/>
                    <w:jc w:val="center"/>
                    <w:rPr>
                      <w:szCs w:val="21"/>
                    </w:rPr>
                  </w:pPr>
                  <w:r>
                    <w:rPr>
                      <w:rFonts w:hint="eastAsia"/>
                      <w:szCs w:val="21"/>
                    </w:rPr>
                    <w:t>排放源</w:t>
                  </w:r>
                </w:p>
              </w:tc>
              <w:tc>
                <w:tcPr>
                  <w:tcW w:w="1487" w:type="dxa"/>
                  <w:vAlign w:val="center"/>
                </w:tcPr>
                <w:p>
                  <w:pPr>
                    <w:snapToGrid w:val="0"/>
                    <w:jc w:val="center"/>
                    <w:rPr>
                      <w:szCs w:val="21"/>
                    </w:rPr>
                  </w:pPr>
                  <w:r>
                    <w:rPr>
                      <w:rFonts w:hint="eastAsia"/>
                      <w:szCs w:val="21"/>
                    </w:rPr>
                    <w:t>污染物名称</w:t>
                  </w:r>
                </w:p>
              </w:tc>
              <w:tc>
                <w:tcPr>
                  <w:tcW w:w="2683" w:type="dxa"/>
                  <w:vAlign w:val="center"/>
                </w:tcPr>
                <w:p>
                  <w:pPr>
                    <w:snapToGrid w:val="0"/>
                    <w:jc w:val="center"/>
                    <w:rPr>
                      <w:szCs w:val="21"/>
                    </w:rPr>
                  </w:pPr>
                  <w:r>
                    <w:rPr>
                      <w:rFonts w:hint="eastAsia"/>
                      <w:szCs w:val="21"/>
                    </w:rPr>
                    <w:t>防治措施</w:t>
                  </w:r>
                </w:p>
              </w:tc>
              <w:tc>
                <w:tcPr>
                  <w:tcW w:w="3056" w:type="dxa"/>
                  <w:vAlign w:val="center"/>
                </w:tcPr>
                <w:p>
                  <w:pPr>
                    <w:snapToGrid w:val="0"/>
                    <w:jc w:val="center"/>
                    <w:rPr>
                      <w:szCs w:val="21"/>
                    </w:rPr>
                  </w:pPr>
                  <w:r>
                    <w:rPr>
                      <w:rFonts w:hint="eastAsia"/>
                      <w:szCs w:val="21"/>
                    </w:rPr>
                    <w:t>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00" w:type="dxa"/>
                  <w:vAlign w:val="center"/>
                </w:tcPr>
                <w:p>
                  <w:pPr>
                    <w:snapToGrid w:val="0"/>
                    <w:jc w:val="center"/>
                    <w:rPr>
                      <w:szCs w:val="21"/>
                    </w:rPr>
                  </w:pPr>
                  <w:r>
                    <w:rPr>
                      <w:rFonts w:hint="eastAsia"/>
                      <w:szCs w:val="21"/>
                    </w:rPr>
                    <w:t>废水</w:t>
                  </w:r>
                </w:p>
              </w:tc>
              <w:tc>
                <w:tcPr>
                  <w:tcW w:w="1210" w:type="dxa"/>
                  <w:vAlign w:val="center"/>
                </w:tcPr>
                <w:p>
                  <w:pPr>
                    <w:snapToGrid w:val="0"/>
                    <w:jc w:val="center"/>
                    <w:rPr>
                      <w:szCs w:val="21"/>
                    </w:rPr>
                  </w:pPr>
                  <w:r>
                    <w:rPr>
                      <w:rFonts w:hint="eastAsia"/>
                      <w:szCs w:val="21"/>
                    </w:rPr>
                    <w:t>生活污水</w:t>
                  </w:r>
                </w:p>
              </w:tc>
              <w:tc>
                <w:tcPr>
                  <w:tcW w:w="1487" w:type="dxa"/>
                  <w:vAlign w:val="center"/>
                </w:tcPr>
                <w:p>
                  <w:pPr>
                    <w:snapToGrid w:val="0"/>
                    <w:jc w:val="center"/>
                    <w:rPr>
                      <w:szCs w:val="21"/>
                    </w:rPr>
                  </w:pPr>
                  <w:r>
                    <w:rPr>
                      <w:rFonts w:hint="eastAsia"/>
                      <w:szCs w:val="21"/>
                    </w:rPr>
                    <w:t>COD</w:t>
                  </w:r>
                  <w:r>
                    <w:rPr>
                      <w:rFonts w:hint="eastAsia"/>
                      <w:szCs w:val="21"/>
                      <w:vertAlign w:val="subscript"/>
                    </w:rPr>
                    <w:t>cr</w:t>
                  </w:r>
                  <w:r>
                    <w:rPr>
                      <w:rFonts w:hint="eastAsia"/>
                      <w:szCs w:val="21"/>
                    </w:rPr>
                    <w:t>、BOD、氨氮SS等</w:t>
                  </w:r>
                </w:p>
              </w:tc>
              <w:tc>
                <w:tcPr>
                  <w:tcW w:w="2683" w:type="dxa"/>
                  <w:vAlign w:val="center"/>
                </w:tcPr>
                <w:p>
                  <w:pPr>
                    <w:snapToGrid w:val="0"/>
                    <w:jc w:val="center"/>
                    <w:rPr>
                      <w:bCs/>
                      <w:szCs w:val="21"/>
                    </w:rPr>
                  </w:pPr>
                  <w:r>
                    <w:rPr>
                      <w:rFonts w:hint="eastAsia"/>
                      <w:bCs/>
                      <w:szCs w:val="21"/>
                    </w:rPr>
                    <w:t>雨污分流、化粪池（依托现有）</w:t>
                  </w:r>
                </w:p>
              </w:tc>
              <w:tc>
                <w:tcPr>
                  <w:tcW w:w="3056" w:type="dxa"/>
                  <w:vAlign w:val="center"/>
                </w:tcPr>
                <w:p>
                  <w:pPr>
                    <w:snapToGrid w:val="0"/>
                    <w:jc w:val="center"/>
                    <w:rPr>
                      <w:bCs/>
                      <w:szCs w:val="21"/>
                    </w:rPr>
                  </w:pPr>
                  <w:r>
                    <w:rPr>
                      <w:bCs/>
                      <w:szCs w:val="21"/>
                    </w:rPr>
                    <w:t>达到</w:t>
                  </w:r>
                  <w:r>
                    <w:rPr>
                      <w:rFonts w:hint="eastAsia"/>
                      <w:bCs/>
                      <w:szCs w:val="21"/>
                    </w:rPr>
                    <w:t>《污水排入城镇下水道水质标准》（GB/T 31962-2015）中B等级放标准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00" w:type="dxa"/>
                  <w:vAlign w:val="center"/>
                </w:tcPr>
                <w:p>
                  <w:pPr>
                    <w:snapToGrid w:val="0"/>
                    <w:jc w:val="center"/>
                    <w:rPr>
                      <w:szCs w:val="21"/>
                    </w:rPr>
                  </w:pPr>
                  <w:r>
                    <w:rPr>
                      <w:rFonts w:hint="eastAsia"/>
                      <w:szCs w:val="21"/>
                    </w:rPr>
                    <w:t>废气</w:t>
                  </w:r>
                </w:p>
              </w:tc>
              <w:tc>
                <w:tcPr>
                  <w:tcW w:w="1210" w:type="dxa"/>
                  <w:vAlign w:val="center"/>
                </w:tcPr>
                <w:p>
                  <w:pPr>
                    <w:jc w:val="center"/>
                    <w:rPr>
                      <w:szCs w:val="21"/>
                    </w:rPr>
                  </w:pPr>
                  <w:r>
                    <w:rPr>
                      <w:rFonts w:hint="eastAsia"/>
                      <w:szCs w:val="21"/>
                    </w:rPr>
                    <w:t>切割工段和焊接工段</w:t>
                  </w:r>
                </w:p>
              </w:tc>
              <w:tc>
                <w:tcPr>
                  <w:tcW w:w="1487" w:type="dxa"/>
                  <w:vAlign w:val="center"/>
                </w:tcPr>
                <w:p>
                  <w:pPr>
                    <w:jc w:val="center"/>
                    <w:rPr>
                      <w:szCs w:val="21"/>
                    </w:rPr>
                  </w:pPr>
                  <w:r>
                    <w:rPr>
                      <w:rFonts w:hint="eastAsia"/>
                      <w:szCs w:val="21"/>
                    </w:rPr>
                    <w:t>颗粒物</w:t>
                  </w:r>
                </w:p>
              </w:tc>
              <w:tc>
                <w:tcPr>
                  <w:tcW w:w="2683" w:type="dxa"/>
                  <w:vAlign w:val="center"/>
                </w:tcPr>
                <w:p>
                  <w:pPr>
                    <w:snapToGrid w:val="0"/>
                    <w:jc w:val="center"/>
                    <w:rPr>
                      <w:bCs/>
                      <w:szCs w:val="21"/>
                    </w:rPr>
                  </w:pPr>
                  <w:r>
                    <w:rPr>
                      <w:rFonts w:hint="eastAsia"/>
                      <w:bCs/>
                      <w:szCs w:val="21"/>
                    </w:rPr>
                    <w:t>3台移动式焊烟净化器</w:t>
                  </w:r>
                </w:p>
              </w:tc>
              <w:tc>
                <w:tcPr>
                  <w:tcW w:w="3056" w:type="dxa"/>
                  <w:vAlign w:val="center"/>
                </w:tcPr>
                <w:p>
                  <w:pPr>
                    <w:snapToGrid w:val="0"/>
                    <w:jc w:val="center"/>
                    <w:rPr>
                      <w:bCs/>
                      <w:szCs w:val="21"/>
                    </w:rPr>
                  </w:pPr>
                  <w:r>
                    <w:rPr>
                      <w:bCs/>
                      <w:szCs w:val="21"/>
                    </w:rPr>
                    <w:t>达到《大气污染物综合排放标准》（GB16297-1996）无组织排放浓度限值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00" w:type="dxa"/>
                  <w:vAlign w:val="center"/>
                </w:tcPr>
                <w:p>
                  <w:pPr>
                    <w:jc w:val="center"/>
                    <w:rPr>
                      <w:szCs w:val="21"/>
                    </w:rPr>
                  </w:pPr>
                  <w:r>
                    <w:rPr>
                      <w:rFonts w:hint="eastAsia"/>
                      <w:szCs w:val="21"/>
                    </w:rPr>
                    <w:t>噪声</w:t>
                  </w:r>
                </w:p>
              </w:tc>
              <w:tc>
                <w:tcPr>
                  <w:tcW w:w="1210" w:type="dxa"/>
                  <w:vAlign w:val="center"/>
                </w:tcPr>
                <w:p>
                  <w:pPr>
                    <w:jc w:val="center"/>
                    <w:rPr>
                      <w:szCs w:val="21"/>
                    </w:rPr>
                  </w:pPr>
                  <w:r>
                    <w:rPr>
                      <w:rFonts w:hint="eastAsia"/>
                      <w:szCs w:val="21"/>
                    </w:rPr>
                    <w:t>生产</w:t>
                  </w:r>
                </w:p>
                <w:p>
                  <w:pPr>
                    <w:jc w:val="center"/>
                    <w:rPr>
                      <w:szCs w:val="21"/>
                    </w:rPr>
                  </w:pPr>
                  <w:r>
                    <w:rPr>
                      <w:rFonts w:hint="eastAsia"/>
                      <w:szCs w:val="21"/>
                    </w:rPr>
                    <w:t>车间</w:t>
                  </w:r>
                </w:p>
              </w:tc>
              <w:tc>
                <w:tcPr>
                  <w:tcW w:w="1487" w:type="dxa"/>
                  <w:vAlign w:val="center"/>
                </w:tcPr>
                <w:p>
                  <w:pPr>
                    <w:jc w:val="center"/>
                    <w:rPr>
                      <w:szCs w:val="21"/>
                    </w:rPr>
                  </w:pPr>
                  <w:r>
                    <w:rPr>
                      <w:rFonts w:hint="eastAsia"/>
                      <w:szCs w:val="21"/>
                    </w:rPr>
                    <w:t>噪声</w:t>
                  </w:r>
                </w:p>
              </w:tc>
              <w:tc>
                <w:tcPr>
                  <w:tcW w:w="2683" w:type="dxa"/>
                  <w:vAlign w:val="center"/>
                </w:tcPr>
                <w:p>
                  <w:pPr>
                    <w:jc w:val="center"/>
                    <w:rPr>
                      <w:szCs w:val="21"/>
                    </w:rPr>
                  </w:pPr>
                  <w:r>
                    <w:rPr>
                      <w:rFonts w:hint="eastAsia"/>
                      <w:szCs w:val="21"/>
                    </w:rPr>
                    <w:t>合理布局、</w:t>
                  </w:r>
                  <w:r>
                    <w:rPr>
                      <w:szCs w:val="21"/>
                    </w:rPr>
                    <w:t>减</w:t>
                  </w:r>
                  <w:r>
                    <w:rPr>
                      <w:rFonts w:hint="eastAsia"/>
                      <w:szCs w:val="21"/>
                    </w:rPr>
                    <w:t>振基座</w:t>
                  </w:r>
                  <w:r>
                    <w:rPr>
                      <w:szCs w:val="21"/>
                    </w:rPr>
                    <w:t>、</w:t>
                  </w:r>
                  <w:r>
                    <w:rPr>
                      <w:rFonts w:hint="eastAsia"/>
                      <w:szCs w:val="21"/>
                    </w:rPr>
                    <w:t>橡皮垫等</w:t>
                  </w:r>
                </w:p>
              </w:tc>
              <w:tc>
                <w:tcPr>
                  <w:tcW w:w="3056" w:type="dxa"/>
                  <w:vAlign w:val="center"/>
                </w:tcPr>
                <w:p>
                  <w:pPr>
                    <w:snapToGrid w:val="0"/>
                    <w:jc w:val="center"/>
                    <w:rPr>
                      <w:szCs w:val="21"/>
                    </w:rPr>
                  </w:pPr>
                  <w:r>
                    <w:rPr>
                      <w:rFonts w:hint="eastAsia"/>
                      <w:szCs w:val="21"/>
                    </w:rPr>
                    <w:t>噪声源对厂界的噪声贡献值为低于</w:t>
                  </w:r>
                  <w:r>
                    <w:rPr>
                      <w:szCs w:val="21"/>
                    </w:rPr>
                    <w:t>《工业企业厂界环境噪声排放标准》</w:t>
                  </w:r>
                  <w:r>
                    <w:rPr>
                      <w:rFonts w:hint="eastAsia"/>
                      <w:szCs w:val="21"/>
                    </w:rPr>
                    <w:t>（</w:t>
                  </w:r>
                  <w:r>
                    <w:rPr>
                      <w:szCs w:val="21"/>
                    </w:rPr>
                    <w:t>GB12348-2008</w:t>
                  </w:r>
                  <w:r>
                    <w:rPr>
                      <w:rFonts w:hint="eastAsia"/>
                      <w:szCs w:val="21"/>
                    </w:rPr>
                    <w:t>）</w:t>
                  </w:r>
                  <w:r>
                    <w:rPr>
                      <w:szCs w:val="21"/>
                    </w:rPr>
                    <w:t>中</w:t>
                  </w:r>
                  <w:r>
                    <w:rPr>
                      <w:rFonts w:hint="eastAsia"/>
                      <w:szCs w:val="21"/>
                    </w:rPr>
                    <w:t>3</w:t>
                  </w:r>
                  <w:r>
                    <w:rPr>
                      <w:szCs w:val="21"/>
                    </w:rPr>
                    <w:t>类标准</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0" w:type="dxa"/>
                  <w:vMerge w:val="restart"/>
                  <w:vAlign w:val="center"/>
                </w:tcPr>
                <w:p>
                  <w:pPr>
                    <w:snapToGrid w:val="0"/>
                    <w:jc w:val="center"/>
                    <w:rPr>
                      <w:szCs w:val="21"/>
                    </w:rPr>
                  </w:pPr>
                  <w:r>
                    <w:rPr>
                      <w:rFonts w:hint="eastAsia"/>
                      <w:szCs w:val="21"/>
                    </w:rPr>
                    <w:t>固废</w:t>
                  </w:r>
                </w:p>
              </w:tc>
              <w:tc>
                <w:tcPr>
                  <w:tcW w:w="1210" w:type="dxa"/>
                  <w:vMerge w:val="restart"/>
                  <w:vAlign w:val="center"/>
                </w:tcPr>
                <w:p>
                  <w:pPr>
                    <w:snapToGrid w:val="0"/>
                    <w:jc w:val="center"/>
                    <w:rPr>
                      <w:szCs w:val="21"/>
                    </w:rPr>
                  </w:pPr>
                  <w:r>
                    <w:rPr>
                      <w:rFonts w:hint="eastAsia"/>
                      <w:szCs w:val="21"/>
                    </w:rPr>
                    <w:t>生产车间</w:t>
                  </w:r>
                </w:p>
              </w:tc>
              <w:tc>
                <w:tcPr>
                  <w:tcW w:w="1487" w:type="dxa"/>
                  <w:vAlign w:val="center"/>
                </w:tcPr>
                <w:p>
                  <w:pPr>
                    <w:snapToGrid w:val="0"/>
                    <w:jc w:val="center"/>
                    <w:rPr>
                      <w:szCs w:val="21"/>
                    </w:rPr>
                  </w:pPr>
                  <w:r>
                    <w:rPr>
                      <w:rFonts w:hint="eastAsia"/>
                      <w:szCs w:val="21"/>
                    </w:rPr>
                    <w:t>生活垃圾</w:t>
                  </w:r>
                </w:p>
              </w:tc>
              <w:tc>
                <w:tcPr>
                  <w:tcW w:w="2683" w:type="dxa"/>
                  <w:vAlign w:val="center"/>
                </w:tcPr>
                <w:p>
                  <w:pPr>
                    <w:snapToGrid w:val="0"/>
                    <w:jc w:val="center"/>
                    <w:rPr>
                      <w:szCs w:val="21"/>
                    </w:rPr>
                  </w:pPr>
                  <w:r>
                    <w:rPr>
                      <w:rFonts w:hint="eastAsia"/>
                      <w:szCs w:val="21"/>
                    </w:rPr>
                    <w:t>收集后环卫部门统一处理</w:t>
                  </w:r>
                </w:p>
              </w:tc>
              <w:tc>
                <w:tcPr>
                  <w:tcW w:w="3056" w:type="dxa"/>
                  <w:vMerge w:val="restart"/>
                  <w:vAlign w:val="center"/>
                </w:tcPr>
                <w:p>
                  <w:pPr>
                    <w:snapToGrid w:val="0"/>
                    <w:jc w:val="center"/>
                    <w:rPr>
                      <w:szCs w:val="21"/>
                    </w:rPr>
                  </w:pPr>
                  <w:r>
                    <w:rPr>
                      <w:rFonts w:hint="eastAsia"/>
                      <w:szCs w:val="21"/>
                    </w:rPr>
                    <w:t>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0" w:type="dxa"/>
                  <w:vMerge w:val="continue"/>
                  <w:vAlign w:val="center"/>
                </w:tcPr>
                <w:p>
                  <w:pPr>
                    <w:snapToGrid w:val="0"/>
                    <w:jc w:val="center"/>
                    <w:rPr>
                      <w:szCs w:val="21"/>
                    </w:rPr>
                  </w:pPr>
                </w:p>
              </w:tc>
              <w:tc>
                <w:tcPr>
                  <w:tcW w:w="1210" w:type="dxa"/>
                  <w:vMerge w:val="continue"/>
                  <w:vAlign w:val="center"/>
                </w:tcPr>
                <w:p>
                  <w:pPr>
                    <w:snapToGrid w:val="0"/>
                    <w:jc w:val="center"/>
                    <w:rPr>
                      <w:szCs w:val="21"/>
                    </w:rPr>
                  </w:pPr>
                </w:p>
              </w:tc>
              <w:tc>
                <w:tcPr>
                  <w:tcW w:w="1487" w:type="dxa"/>
                  <w:vAlign w:val="center"/>
                </w:tcPr>
                <w:p>
                  <w:pPr>
                    <w:snapToGrid w:val="0"/>
                    <w:jc w:val="center"/>
                    <w:rPr>
                      <w:szCs w:val="21"/>
                    </w:rPr>
                  </w:pPr>
                  <w:r>
                    <w:rPr>
                      <w:rFonts w:hint="eastAsia"/>
                      <w:bCs/>
                      <w:szCs w:val="21"/>
                    </w:rPr>
                    <w:t>边角料和废铁屑</w:t>
                  </w:r>
                </w:p>
              </w:tc>
              <w:tc>
                <w:tcPr>
                  <w:tcW w:w="2683" w:type="dxa"/>
                  <w:vAlign w:val="center"/>
                </w:tcPr>
                <w:p>
                  <w:pPr>
                    <w:snapToGrid w:val="0"/>
                    <w:jc w:val="center"/>
                    <w:rPr>
                      <w:szCs w:val="21"/>
                    </w:rPr>
                  </w:pPr>
                  <w:r>
                    <w:rPr>
                      <w:rFonts w:hint="eastAsia"/>
                      <w:bCs/>
                      <w:szCs w:val="21"/>
                    </w:rPr>
                    <w:t>定点收集于厂区一般固废临时贮存点，定期集中外售</w:t>
                  </w:r>
                </w:p>
              </w:tc>
              <w:tc>
                <w:tcPr>
                  <w:tcW w:w="3056" w:type="dxa"/>
                  <w:vMerge w:val="continue"/>
                  <w:vAlign w:val="center"/>
                </w:tcPr>
                <w:p>
                  <w:pPr>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0" w:type="dxa"/>
                  <w:vMerge w:val="continue"/>
                  <w:vAlign w:val="center"/>
                </w:tcPr>
                <w:p>
                  <w:pPr>
                    <w:snapToGrid w:val="0"/>
                    <w:jc w:val="center"/>
                    <w:rPr>
                      <w:szCs w:val="21"/>
                    </w:rPr>
                  </w:pPr>
                </w:p>
              </w:tc>
              <w:tc>
                <w:tcPr>
                  <w:tcW w:w="1210" w:type="dxa"/>
                  <w:vMerge w:val="continue"/>
                  <w:vAlign w:val="center"/>
                </w:tcPr>
                <w:p>
                  <w:pPr>
                    <w:snapToGrid w:val="0"/>
                    <w:jc w:val="center"/>
                    <w:rPr>
                      <w:szCs w:val="21"/>
                    </w:rPr>
                  </w:pPr>
                </w:p>
              </w:tc>
              <w:tc>
                <w:tcPr>
                  <w:tcW w:w="1487" w:type="dxa"/>
                  <w:vAlign w:val="center"/>
                </w:tcPr>
                <w:p>
                  <w:pPr>
                    <w:snapToGrid w:val="0"/>
                    <w:jc w:val="center"/>
                    <w:rPr>
                      <w:bCs/>
                      <w:szCs w:val="21"/>
                    </w:rPr>
                  </w:pPr>
                  <w:r>
                    <w:rPr>
                      <w:rFonts w:hint="eastAsia"/>
                      <w:bCs/>
                      <w:szCs w:val="21"/>
                    </w:rPr>
                    <w:t>废乳化液、废机油</w:t>
                  </w:r>
                </w:p>
              </w:tc>
              <w:tc>
                <w:tcPr>
                  <w:tcW w:w="2683" w:type="dxa"/>
                  <w:vAlign w:val="center"/>
                </w:tcPr>
                <w:p>
                  <w:pPr>
                    <w:snapToGrid w:val="0"/>
                    <w:jc w:val="center"/>
                    <w:rPr>
                      <w:bCs/>
                      <w:szCs w:val="21"/>
                    </w:rPr>
                  </w:pPr>
                  <w:r>
                    <w:rPr>
                      <w:rFonts w:hint="eastAsia"/>
                      <w:bCs/>
                      <w:szCs w:val="21"/>
                    </w:rPr>
                    <w:t>定期收集后暂存于项目区危险废物临时贮存点，定期交有资质单位处理</w:t>
                  </w:r>
                </w:p>
              </w:tc>
              <w:tc>
                <w:tcPr>
                  <w:tcW w:w="3056" w:type="dxa"/>
                  <w:vAlign w:val="center"/>
                </w:tcPr>
                <w:p>
                  <w:pPr>
                    <w:snapToGrid w:val="0"/>
                    <w:jc w:val="center"/>
                    <w:rPr>
                      <w:szCs w:val="21"/>
                    </w:rPr>
                  </w:pPr>
                  <w:r>
                    <w:rPr>
                      <w:rFonts w:hint="eastAsia"/>
                      <w:szCs w:val="21"/>
                    </w:rPr>
                    <w:t>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00" w:type="dxa"/>
                  <w:vMerge w:val="continue"/>
                  <w:vAlign w:val="center"/>
                </w:tcPr>
                <w:p>
                  <w:pPr>
                    <w:snapToGrid w:val="0"/>
                    <w:jc w:val="center"/>
                    <w:rPr>
                      <w:szCs w:val="21"/>
                    </w:rPr>
                  </w:pPr>
                </w:p>
              </w:tc>
              <w:tc>
                <w:tcPr>
                  <w:tcW w:w="1210" w:type="dxa"/>
                  <w:vMerge w:val="continue"/>
                  <w:vAlign w:val="center"/>
                </w:tcPr>
                <w:p>
                  <w:pPr>
                    <w:snapToGrid w:val="0"/>
                    <w:jc w:val="center"/>
                    <w:rPr>
                      <w:szCs w:val="21"/>
                    </w:rPr>
                  </w:pPr>
                </w:p>
              </w:tc>
              <w:tc>
                <w:tcPr>
                  <w:tcW w:w="1487" w:type="dxa"/>
                  <w:vAlign w:val="center"/>
                </w:tcPr>
                <w:p>
                  <w:pPr>
                    <w:snapToGrid w:val="0"/>
                    <w:jc w:val="center"/>
                    <w:rPr>
                      <w:bCs/>
                      <w:szCs w:val="21"/>
                    </w:rPr>
                  </w:pPr>
                  <w:r>
                    <w:rPr>
                      <w:rFonts w:hint="eastAsia"/>
                      <w:bCs/>
                      <w:szCs w:val="21"/>
                    </w:rPr>
                    <w:t>含油抹布、手套</w:t>
                  </w:r>
                </w:p>
              </w:tc>
              <w:tc>
                <w:tcPr>
                  <w:tcW w:w="2683" w:type="dxa"/>
                  <w:vAlign w:val="center"/>
                </w:tcPr>
                <w:p>
                  <w:pPr>
                    <w:snapToGrid w:val="0"/>
                    <w:jc w:val="center"/>
                    <w:rPr>
                      <w:bCs/>
                      <w:szCs w:val="21"/>
                    </w:rPr>
                  </w:pPr>
                  <w:r>
                    <w:rPr>
                      <w:rFonts w:hint="eastAsia"/>
                      <w:bCs/>
                      <w:szCs w:val="21"/>
                    </w:rPr>
                    <w:t>满足豁免条件，收集后与生活垃圾一并</w:t>
                  </w:r>
                  <w:r>
                    <w:rPr>
                      <w:bCs/>
                      <w:szCs w:val="21"/>
                    </w:rPr>
                    <w:t>由环卫部门统一收集、</w:t>
                  </w:r>
                  <w:r>
                    <w:rPr>
                      <w:rFonts w:hint="eastAsia"/>
                      <w:bCs/>
                      <w:szCs w:val="21"/>
                    </w:rPr>
                    <w:t>处置</w:t>
                  </w:r>
                </w:p>
              </w:tc>
              <w:tc>
                <w:tcPr>
                  <w:tcW w:w="3056" w:type="dxa"/>
                  <w:vAlign w:val="center"/>
                </w:tcPr>
                <w:p>
                  <w:pPr>
                    <w:snapToGrid w:val="0"/>
                    <w:jc w:val="center"/>
                    <w:rPr>
                      <w:szCs w:val="21"/>
                    </w:rPr>
                  </w:pPr>
                  <w:r>
                    <w:rPr>
                      <w:rFonts w:hint="eastAsia"/>
                      <w:szCs w:val="21"/>
                    </w:rPr>
                    <w:t>妥善处置</w:t>
                  </w:r>
                </w:p>
              </w:tc>
            </w:tr>
          </w:tbl>
          <w:p>
            <w:pPr>
              <w:spacing w:line="440" w:lineRule="exact"/>
              <w:jc w:val="center"/>
              <w:rPr>
                <w:b/>
                <w:szCs w:val="21"/>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rFonts w:hint="eastAsia"/>
                <w:bCs/>
                <w:sz w:val="24"/>
              </w:rPr>
            </w:pPr>
          </w:p>
          <w:p>
            <w:pPr>
              <w:spacing w:line="440" w:lineRule="exact"/>
              <w:rPr>
                <w:rFonts w:hint="eastAsia"/>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p>
            <w:pPr>
              <w:spacing w:line="440" w:lineRule="exact"/>
              <w:rPr>
                <w:bCs/>
                <w:sz w:val="24"/>
              </w:rPr>
            </w:pPr>
          </w:p>
        </w:tc>
      </w:tr>
    </w:tbl>
    <w:p>
      <w:pPr>
        <w:spacing w:line="480" w:lineRule="auto"/>
        <w:rPr>
          <w:b/>
          <w:sz w:val="32"/>
          <w:szCs w:val="32"/>
        </w:rPr>
      </w:pPr>
      <w:r>
        <w:rPr>
          <w:b/>
          <w:sz w:val="32"/>
          <w:szCs w:val="32"/>
        </w:rPr>
        <w:t>建设项目拟采取的防治措施及预期治理效果</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420"/>
        <w:gridCol w:w="1309"/>
        <w:gridCol w:w="2231"/>
        <w:gridCol w:w="3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934" w:type="dxa"/>
            <w:tcBorders>
              <w:bottom w:val="single" w:color="auto" w:sz="4" w:space="0"/>
              <w:tl2br w:val="single" w:color="auto" w:sz="4" w:space="0"/>
            </w:tcBorders>
            <w:vAlign w:val="center"/>
          </w:tcPr>
          <w:p>
            <w:pPr>
              <w:snapToGrid w:val="0"/>
              <w:spacing w:line="360" w:lineRule="auto"/>
              <w:jc w:val="right"/>
              <w:rPr>
                <w:sz w:val="24"/>
                <w:szCs w:val="24"/>
              </w:rPr>
            </w:pPr>
            <w:r>
              <w:rPr>
                <w:sz w:val="24"/>
                <w:szCs w:val="24"/>
              </w:rPr>
              <w:t>内容</w:t>
            </w:r>
          </w:p>
          <w:p>
            <w:pPr>
              <w:snapToGrid w:val="0"/>
              <w:spacing w:line="360" w:lineRule="auto"/>
              <w:rPr>
                <w:sz w:val="24"/>
                <w:szCs w:val="24"/>
              </w:rPr>
            </w:pPr>
            <w:r>
              <w:rPr>
                <w:sz w:val="24"/>
                <w:szCs w:val="24"/>
              </w:rPr>
              <w:t>类型</w:t>
            </w:r>
          </w:p>
        </w:tc>
        <w:tc>
          <w:tcPr>
            <w:tcW w:w="1420" w:type="dxa"/>
            <w:tcBorders>
              <w:bottom w:val="single" w:color="auto" w:sz="4" w:space="0"/>
            </w:tcBorders>
            <w:vAlign w:val="center"/>
          </w:tcPr>
          <w:p>
            <w:pPr>
              <w:snapToGrid w:val="0"/>
              <w:spacing w:line="360" w:lineRule="auto"/>
              <w:jc w:val="center"/>
              <w:rPr>
                <w:sz w:val="24"/>
                <w:szCs w:val="24"/>
              </w:rPr>
            </w:pPr>
            <w:r>
              <w:rPr>
                <w:sz w:val="24"/>
                <w:szCs w:val="24"/>
              </w:rPr>
              <w:t>排放源</w:t>
            </w:r>
          </w:p>
        </w:tc>
        <w:tc>
          <w:tcPr>
            <w:tcW w:w="1309" w:type="dxa"/>
            <w:tcBorders>
              <w:bottom w:val="single" w:color="auto" w:sz="4" w:space="0"/>
            </w:tcBorders>
            <w:vAlign w:val="center"/>
          </w:tcPr>
          <w:p>
            <w:pPr>
              <w:snapToGrid w:val="0"/>
              <w:spacing w:line="360" w:lineRule="auto"/>
              <w:jc w:val="center"/>
              <w:rPr>
                <w:sz w:val="24"/>
                <w:szCs w:val="24"/>
              </w:rPr>
            </w:pPr>
            <w:r>
              <w:rPr>
                <w:sz w:val="24"/>
                <w:szCs w:val="24"/>
              </w:rPr>
              <w:t>污染物</w:t>
            </w:r>
          </w:p>
          <w:p>
            <w:pPr>
              <w:snapToGrid w:val="0"/>
              <w:spacing w:line="360" w:lineRule="auto"/>
              <w:jc w:val="center"/>
              <w:rPr>
                <w:sz w:val="24"/>
                <w:szCs w:val="24"/>
              </w:rPr>
            </w:pPr>
            <w:r>
              <w:rPr>
                <w:sz w:val="24"/>
                <w:szCs w:val="24"/>
              </w:rPr>
              <w:t>名称</w:t>
            </w:r>
          </w:p>
        </w:tc>
        <w:tc>
          <w:tcPr>
            <w:tcW w:w="2231" w:type="dxa"/>
            <w:tcBorders>
              <w:bottom w:val="single" w:color="auto" w:sz="4" w:space="0"/>
            </w:tcBorders>
            <w:vAlign w:val="center"/>
          </w:tcPr>
          <w:p>
            <w:pPr>
              <w:snapToGrid w:val="0"/>
              <w:spacing w:line="360" w:lineRule="auto"/>
              <w:jc w:val="center"/>
              <w:rPr>
                <w:sz w:val="24"/>
                <w:szCs w:val="24"/>
              </w:rPr>
            </w:pPr>
            <w:r>
              <w:rPr>
                <w:sz w:val="24"/>
                <w:szCs w:val="24"/>
              </w:rPr>
              <w:t>防治措施</w:t>
            </w:r>
          </w:p>
        </w:tc>
        <w:tc>
          <w:tcPr>
            <w:tcW w:w="3214" w:type="dxa"/>
            <w:tcBorders>
              <w:bottom w:val="single" w:color="auto" w:sz="4" w:space="0"/>
            </w:tcBorders>
            <w:vAlign w:val="center"/>
          </w:tcPr>
          <w:p>
            <w:pPr>
              <w:snapToGrid w:val="0"/>
              <w:spacing w:line="360" w:lineRule="auto"/>
              <w:jc w:val="center"/>
              <w:rPr>
                <w:sz w:val="24"/>
                <w:szCs w:val="24"/>
              </w:rPr>
            </w:pPr>
            <w:r>
              <w:rPr>
                <w:sz w:val="24"/>
                <w:szCs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934" w:type="dxa"/>
            <w:vAlign w:val="center"/>
          </w:tcPr>
          <w:p>
            <w:pPr>
              <w:snapToGrid w:val="0"/>
              <w:spacing w:line="360" w:lineRule="auto"/>
              <w:jc w:val="center"/>
              <w:rPr>
                <w:sz w:val="24"/>
                <w:szCs w:val="24"/>
              </w:rPr>
            </w:pPr>
            <w:r>
              <w:rPr>
                <w:rFonts w:hint="eastAsia"/>
                <w:sz w:val="24"/>
                <w:szCs w:val="24"/>
              </w:rPr>
              <w:t>大气污染物质</w:t>
            </w:r>
          </w:p>
        </w:tc>
        <w:tc>
          <w:tcPr>
            <w:tcW w:w="1420" w:type="dxa"/>
            <w:vAlign w:val="center"/>
          </w:tcPr>
          <w:p>
            <w:pPr>
              <w:jc w:val="center"/>
              <w:rPr>
                <w:sz w:val="24"/>
                <w:szCs w:val="24"/>
              </w:rPr>
            </w:pPr>
            <w:r>
              <w:rPr>
                <w:rFonts w:hint="eastAsia"/>
                <w:sz w:val="24"/>
                <w:szCs w:val="24"/>
              </w:rPr>
              <w:t>切割工段和焊接工段</w:t>
            </w:r>
          </w:p>
        </w:tc>
        <w:tc>
          <w:tcPr>
            <w:tcW w:w="1309" w:type="dxa"/>
            <w:vAlign w:val="center"/>
          </w:tcPr>
          <w:p>
            <w:pPr>
              <w:jc w:val="center"/>
              <w:rPr>
                <w:sz w:val="24"/>
                <w:szCs w:val="24"/>
              </w:rPr>
            </w:pPr>
            <w:r>
              <w:rPr>
                <w:rFonts w:hint="eastAsia"/>
                <w:sz w:val="24"/>
                <w:szCs w:val="24"/>
              </w:rPr>
              <w:t>颗粒物</w:t>
            </w:r>
          </w:p>
        </w:tc>
        <w:tc>
          <w:tcPr>
            <w:tcW w:w="2231" w:type="dxa"/>
            <w:vAlign w:val="center"/>
          </w:tcPr>
          <w:p>
            <w:pPr>
              <w:snapToGrid w:val="0"/>
              <w:jc w:val="center"/>
              <w:rPr>
                <w:bCs/>
                <w:sz w:val="24"/>
                <w:szCs w:val="24"/>
              </w:rPr>
            </w:pPr>
            <w:r>
              <w:rPr>
                <w:rFonts w:hint="eastAsia"/>
                <w:bCs/>
                <w:sz w:val="24"/>
                <w:szCs w:val="24"/>
              </w:rPr>
              <w:t>3台移动式焊烟净化器</w:t>
            </w:r>
          </w:p>
        </w:tc>
        <w:tc>
          <w:tcPr>
            <w:tcW w:w="3214" w:type="dxa"/>
            <w:vAlign w:val="center"/>
          </w:tcPr>
          <w:p>
            <w:pPr>
              <w:snapToGrid w:val="0"/>
              <w:jc w:val="center"/>
              <w:rPr>
                <w:bCs/>
                <w:sz w:val="24"/>
                <w:szCs w:val="24"/>
              </w:rPr>
            </w:pPr>
            <w:r>
              <w:rPr>
                <w:bCs/>
                <w:sz w:val="24"/>
                <w:szCs w:val="24"/>
              </w:rPr>
              <w:t>达到《大气污染物综合排放标准》（GB16297-1996）无组织排放浓度限值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934" w:type="dxa"/>
            <w:vAlign w:val="center"/>
          </w:tcPr>
          <w:p>
            <w:pPr>
              <w:snapToGrid w:val="0"/>
              <w:spacing w:line="360" w:lineRule="auto"/>
              <w:jc w:val="center"/>
              <w:rPr>
                <w:sz w:val="24"/>
                <w:szCs w:val="24"/>
              </w:rPr>
            </w:pPr>
            <w:r>
              <w:rPr>
                <w:sz w:val="24"/>
                <w:szCs w:val="24"/>
              </w:rPr>
              <w:t>水污染物质</w:t>
            </w:r>
          </w:p>
        </w:tc>
        <w:tc>
          <w:tcPr>
            <w:tcW w:w="1420" w:type="dxa"/>
            <w:vAlign w:val="center"/>
          </w:tcPr>
          <w:p>
            <w:pPr>
              <w:snapToGrid w:val="0"/>
              <w:spacing w:line="360" w:lineRule="auto"/>
              <w:jc w:val="center"/>
              <w:rPr>
                <w:sz w:val="24"/>
                <w:szCs w:val="24"/>
              </w:rPr>
            </w:pPr>
            <w:r>
              <w:rPr>
                <w:rFonts w:hint="eastAsia"/>
                <w:sz w:val="24"/>
                <w:szCs w:val="24"/>
              </w:rPr>
              <w:t>生活污水</w:t>
            </w:r>
          </w:p>
        </w:tc>
        <w:tc>
          <w:tcPr>
            <w:tcW w:w="1309" w:type="dxa"/>
            <w:vAlign w:val="center"/>
          </w:tcPr>
          <w:p>
            <w:pPr>
              <w:snapToGrid w:val="0"/>
              <w:spacing w:line="360" w:lineRule="auto"/>
              <w:jc w:val="center"/>
              <w:rPr>
                <w:sz w:val="24"/>
                <w:szCs w:val="24"/>
              </w:rPr>
            </w:pPr>
            <w:r>
              <w:rPr>
                <w:rFonts w:hint="eastAsia"/>
                <w:sz w:val="24"/>
                <w:szCs w:val="24"/>
              </w:rPr>
              <w:t>COD</w:t>
            </w:r>
            <w:r>
              <w:rPr>
                <w:rFonts w:hint="eastAsia"/>
                <w:sz w:val="24"/>
                <w:szCs w:val="24"/>
                <w:vertAlign w:val="subscript"/>
              </w:rPr>
              <w:t>cr</w:t>
            </w:r>
            <w:r>
              <w:rPr>
                <w:rFonts w:hint="eastAsia"/>
                <w:sz w:val="24"/>
                <w:szCs w:val="24"/>
              </w:rPr>
              <w:t>、BOD、氨氮SS等</w:t>
            </w:r>
          </w:p>
        </w:tc>
        <w:tc>
          <w:tcPr>
            <w:tcW w:w="2231" w:type="dxa"/>
            <w:vAlign w:val="center"/>
          </w:tcPr>
          <w:p>
            <w:pPr>
              <w:snapToGrid w:val="0"/>
              <w:spacing w:line="360" w:lineRule="auto"/>
              <w:jc w:val="center"/>
              <w:rPr>
                <w:sz w:val="24"/>
                <w:szCs w:val="24"/>
              </w:rPr>
            </w:pPr>
            <w:r>
              <w:rPr>
                <w:rFonts w:hint="eastAsia"/>
                <w:bCs/>
                <w:sz w:val="24"/>
                <w:szCs w:val="24"/>
              </w:rPr>
              <w:t>雨污分流、</w:t>
            </w:r>
            <w:r>
              <w:rPr>
                <w:rFonts w:hint="eastAsia"/>
                <w:sz w:val="24"/>
                <w:szCs w:val="24"/>
              </w:rPr>
              <w:t>化粪池（依托现有）</w:t>
            </w:r>
          </w:p>
        </w:tc>
        <w:tc>
          <w:tcPr>
            <w:tcW w:w="3214" w:type="dxa"/>
            <w:vAlign w:val="center"/>
          </w:tcPr>
          <w:p>
            <w:pPr>
              <w:snapToGrid w:val="0"/>
              <w:spacing w:line="360" w:lineRule="auto"/>
              <w:jc w:val="center"/>
              <w:rPr>
                <w:sz w:val="24"/>
                <w:szCs w:val="24"/>
              </w:rPr>
            </w:pPr>
            <w:r>
              <w:rPr>
                <w:bCs/>
                <w:szCs w:val="21"/>
              </w:rPr>
              <w:t>达到</w:t>
            </w:r>
            <w:r>
              <w:rPr>
                <w:rFonts w:hint="eastAsia"/>
                <w:bCs/>
                <w:szCs w:val="21"/>
              </w:rPr>
              <w:t>《污水排入城镇下水道水质标准》（GB/T 31962-2015）中B等级放标准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34" w:type="dxa"/>
            <w:vMerge w:val="restart"/>
            <w:vAlign w:val="center"/>
          </w:tcPr>
          <w:p>
            <w:pPr>
              <w:snapToGrid w:val="0"/>
              <w:spacing w:line="360" w:lineRule="auto"/>
              <w:jc w:val="center"/>
              <w:rPr>
                <w:sz w:val="24"/>
                <w:szCs w:val="24"/>
              </w:rPr>
            </w:pPr>
            <w:r>
              <w:rPr>
                <w:sz w:val="24"/>
                <w:szCs w:val="24"/>
              </w:rPr>
              <w:t>固体废弃物</w:t>
            </w:r>
          </w:p>
        </w:tc>
        <w:tc>
          <w:tcPr>
            <w:tcW w:w="2729" w:type="dxa"/>
            <w:gridSpan w:val="2"/>
            <w:vAlign w:val="center"/>
          </w:tcPr>
          <w:p>
            <w:pPr>
              <w:snapToGrid w:val="0"/>
              <w:jc w:val="center"/>
              <w:rPr>
                <w:sz w:val="24"/>
                <w:szCs w:val="24"/>
              </w:rPr>
            </w:pPr>
            <w:r>
              <w:rPr>
                <w:rFonts w:hint="eastAsia"/>
                <w:sz w:val="24"/>
                <w:szCs w:val="24"/>
              </w:rPr>
              <w:t>生活垃圾</w:t>
            </w:r>
          </w:p>
        </w:tc>
        <w:tc>
          <w:tcPr>
            <w:tcW w:w="2231" w:type="dxa"/>
            <w:vAlign w:val="center"/>
          </w:tcPr>
          <w:p>
            <w:pPr>
              <w:snapToGrid w:val="0"/>
              <w:jc w:val="center"/>
              <w:rPr>
                <w:sz w:val="24"/>
                <w:szCs w:val="24"/>
              </w:rPr>
            </w:pPr>
            <w:r>
              <w:rPr>
                <w:rFonts w:hint="eastAsia"/>
                <w:sz w:val="24"/>
                <w:szCs w:val="24"/>
              </w:rPr>
              <w:t>收集后环卫部门统一处理</w:t>
            </w:r>
          </w:p>
        </w:tc>
        <w:tc>
          <w:tcPr>
            <w:tcW w:w="3214" w:type="dxa"/>
            <w:vMerge w:val="restart"/>
            <w:vAlign w:val="center"/>
          </w:tcPr>
          <w:p>
            <w:pPr>
              <w:snapToGrid w:val="0"/>
              <w:spacing w:line="360" w:lineRule="auto"/>
              <w:jc w:val="center"/>
              <w:rPr>
                <w:sz w:val="24"/>
                <w:szCs w:val="24"/>
              </w:rPr>
            </w:pPr>
            <w:r>
              <w:rPr>
                <w:rFonts w:hint="eastAsia"/>
                <w:sz w:val="24"/>
                <w:szCs w:val="24"/>
              </w:rPr>
              <w:t>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34" w:type="dxa"/>
            <w:vMerge w:val="continue"/>
            <w:vAlign w:val="center"/>
          </w:tcPr>
          <w:p>
            <w:pPr>
              <w:snapToGrid w:val="0"/>
              <w:spacing w:line="360" w:lineRule="auto"/>
              <w:jc w:val="center"/>
              <w:rPr>
                <w:sz w:val="24"/>
                <w:szCs w:val="24"/>
              </w:rPr>
            </w:pPr>
          </w:p>
        </w:tc>
        <w:tc>
          <w:tcPr>
            <w:tcW w:w="2729" w:type="dxa"/>
            <w:gridSpan w:val="2"/>
            <w:vAlign w:val="center"/>
          </w:tcPr>
          <w:p>
            <w:pPr>
              <w:snapToGrid w:val="0"/>
              <w:jc w:val="center"/>
              <w:rPr>
                <w:sz w:val="24"/>
                <w:szCs w:val="24"/>
              </w:rPr>
            </w:pPr>
            <w:r>
              <w:rPr>
                <w:rFonts w:hint="eastAsia"/>
                <w:bCs/>
                <w:sz w:val="24"/>
                <w:szCs w:val="24"/>
              </w:rPr>
              <w:t>边角料和废铁屑</w:t>
            </w:r>
          </w:p>
        </w:tc>
        <w:tc>
          <w:tcPr>
            <w:tcW w:w="2231" w:type="dxa"/>
            <w:vAlign w:val="center"/>
          </w:tcPr>
          <w:p>
            <w:pPr>
              <w:snapToGrid w:val="0"/>
              <w:jc w:val="center"/>
              <w:rPr>
                <w:sz w:val="24"/>
                <w:szCs w:val="24"/>
              </w:rPr>
            </w:pPr>
            <w:r>
              <w:rPr>
                <w:rFonts w:hint="eastAsia"/>
                <w:bCs/>
                <w:sz w:val="24"/>
                <w:szCs w:val="24"/>
              </w:rPr>
              <w:t>定点收集于厂区一般固废临时贮存点，定期集中外售</w:t>
            </w:r>
          </w:p>
        </w:tc>
        <w:tc>
          <w:tcPr>
            <w:tcW w:w="3214" w:type="dxa"/>
            <w:vMerge w:val="continue"/>
            <w:vAlign w:val="center"/>
          </w:tcPr>
          <w:p>
            <w:pPr>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934" w:type="dxa"/>
            <w:vMerge w:val="continue"/>
            <w:vAlign w:val="center"/>
          </w:tcPr>
          <w:p>
            <w:pPr>
              <w:snapToGrid w:val="0"/>
              <w:spacing w:line="360" w:lineRule="auto"/>
              <w:jc w:val="center"/>
              <w:rPr>
                <w:sz w:val="24"/>
                <w:szCs w:val="24"/>
              </w:rPr>
            </w:pPr>
          </w:p>
        </w:tc>
        <w:tc>
          <w:tcPr>
            <w:tcW w:w="2729" w:type="dxa"/>
            <w:gridSpan w:val="2"/>
            <w:vAlign w:val="center"/>
          </w:tcPr>
          <w:p>
            <w:pPr>
              <w:snapToGrid w:val="0"/>
              <w:jc w:val="center"/>
              <w:rPr>
                <w:bCs/>
                <w:sz w:val="24"/>
                <w:szCs w:val="24"/>
              </w:rPr>
            </w:pPr>
            <w:r>
              <w:rPr>
                <w:rFonts w:hint="eastAsia"/>
                <w:bCs/>
                <w:sz w:val="24"/>
                <w:szCs w:val="24"/>
              </w:rPr>
              <w:t>废乳化液、废机油</w:t>
            </w:r>
          </w:p>
        </w:tc>
        <w:tc>
          <w:tcPr>
            <w:tcW w:w="2231" w:type="dxa"/>
            <w:vAlign w:val="center"/>
          </w:tcPr>
          <w:p>
            <w:pPr>
              <w:snapToGrid w:val="0"/>
              <w:jc w:val="center"/>
              <w:rPr>
                <w:bCs/>
                <w:sz w:val="24"/>
                <w:szCs w:val="24"/>
              </w:rPr>
            </w:pPr>
            <w:r>
              <w:rPr>
                <w:rFonts w:hint="eastAsia"/>
                <w:bCs/>
                <w:sz w:val="24"/>
                <w:szCs w:val="24"/>
              </w:rPr>
              <w:t>定期收集后暂存于项目区危险废物临时贮存点，定期交有资质单位处理</w:t>
            </w:r>
          </w:p>
        </w:tc>
        <w:tc>
          <w:tcPr>
            <w:tcW w:w="3214" w:type="dxa"/>
            <w:vMerge w:val="continue"/>
            <w:vAlign w:val="center"/>
          </w:tcPr>
          <w:p>
            <w:pPr>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934" w:type="dxa"/>
            <w:vMerge w:val="continue"/>
            <w:vAlign w:val="center"/>
          </w:tcPr>
          <w:p>
            <w:pPr>
              <w:snapToGrid w:val="0"/>
              <w:spacing w:line="360" w:lineRule="auto"/>
              <w:jc w:val="center"/>
              <w:rPr>
                <w:sz w:val="24"/>
                <w:szCs w:val="24"/>
              </w:rPr>
            </w:pPr>
          </w:p>
        </w:tc>
        <w:tc>
          <w:tcPr>
            <w:tcW w:w="2729" w:type="dxa"/>
            <w:gridSpan w:val="2"/>
            <w:vAlign w:val="center"/>
          </w:tcPr>
          <w:p>
            <w:pPr>
              <w:snapToGrid w:val="0"/>
              <w:jc w:val="center"/>
              <w:rPr>
                <w:bCs/>
                <w:sz w:val="24"/>
                <w:szCs w:val="24"/>
              </w:rPr>
            </w:pPr>
            <w:r>
              <w:rPr>
                <w:rFonts w:hint="eastAsia"/>
                <w:bCs/>
                <w:sz w:val="24"/>
                <w:szCs w:val="24"/>
              </w:rPr>
              <w:t>含油抹布、手套</w:t>
            </w:r>
          </w:p>
        </w:tc>
        <w:tc>
          <w:tcPr>
            <w:tcW w:w="2231" w:type="dxa"/>
            <w:vAlign w:val="center"/>
          </w:tcPr>
          <w:p>
            <w:pPr>
              <w:snapToGrid w:val="0"/>
              <w:jc w:val="center"/>
              <w:rPr>
                <w:bCs/>
                <w:sz w:val="24"/>
                <w:szCs w:val="24"/>
              </w:rPr>
            </w:pPr>
            <w:r>
              <w:rPr>
                <w:rFonts w:hint="eastAsia"/>
                <w:bCs/>
                <w:sz w:val="24"/>
                <w:szCs w:val="24"/>
              </w:rPr>
              <w:t>满足豁免条件，收集后与生活垃圾一并</w:t>
            </w:r>
            <w:r>
              <w:rPr>
                <w:bCs/>
                <w:sz w:val="24"/>
                <w:szCs w:val="24"/>
              </w:rPr>
              <w:t>由环卫部门统一收集、</w:t>
            </w:r>
            <w:r>
              <w:rPr>
                <w:rFonts w:hint="eastAsia"/>
                <w:bCs/>
                <w:sz w:val="24"/>
                <w:szCs w:val="24"/>
              </w:rPr>
              <w:t>处置</w:t>
            </w:r>
          </w:p>
        </w:tc>
        <w:tc>
          <w:tcPr>
            <w:tcW w:w="3214" w:type="dxa"/>
            <w:vMerge w:val="continue"/>
            <w:vAlign w:val="center"/>
          </w:tcPr>
          <w:p>
            <w:pPr>
              <w:snapToGri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4" w:type="dxa"/>
            <w:vAlign w:val="center"/>
          </w:tcPr>
          <w:p>
            <w:pPr>
              <w:snapToGrid w:val="0"/>
              <w:spacing w:line="360" w:lineRule="auto"/>
              <w:jc w:val="center"/>
              <w:rPr>
                <w:sz w:val="24"/>
                <w:szCs w:val="24"/>
              </w:rPr>
            </w:pPr>
            <w:r>
              <w:rPr>
                <w:sz w:val="24"/>
                <w:szCs w:val="24"/>
              </w:rPr>
              <w:t>噪声</w:t>
            </w:r>
          </w:p>
        </w:tc>
        <w:tc>
          <w:tcPr>
            <w:tcW w:w="1420" w:type="dxa"/>
            <w:vAlign w:val="center"/>
          </w:tcPr>
          <w:p>
            <w:pPr>
              <w:snapToGrid w:val="0"/>
              <w:spacing w:line="360" w:lineRule="auto"/>
              <w:jc w:val="center"/>
              <w:rPr>
                <w:sz w:val="24"/>
                <w:szCs w:val="24"/>
              </w:rPr>
            </w:pPr>
            <w:r>
              <w:rPr>
                <w:sz w:val="24"/>
                <w:szCs w:val="24"/>
              </w:rPr>
              <w:t>运营期</w:t>
            </w:r>
          </w:p>
        </w:tc>
        <w:tc>
          <w:tcPr>
            <w:tcW w:w="1309" w:type="dxa"/>
            <w:vAlign w:val="center"/>
          </w:tcPr>
          <w:p>
            <w:pPr>
              <w:snapToGrid w:val="0"/>
              <w:spacing w:line="360" w:lineRule="auto"/>
              <w:jc w:val="center"/>
              <w:rPr>
                <w:sz w:val="24"/>
                <w:szCs w:val="24"/>
              </w:rPr>
            </w:pPr>
            <w:r>
              <w:rPr>
                <w:rFonts w:hint="eastAsia"/>
                <w:sz w:val="24"/>
                <w:szCs w:val="24"/>
              </w:rPr>
              <w:t>生产设备</w:t>
            </w:r>
            <w:r>
              <w:rPr>
                <w:sz w:val="24"/>
                <w:szCs w:val="24"/>
              </w:rPr>
              <w:t>噪声</w:t>
            </w:r>
          </w:p>
        </w:tc>
        <w:tc>
          <w:tcPr>
            <w:tcW w:w="2231" w:type="dxa"/>
            <w:vAlign w:val="center"/>
          </w:tcPr>
          <w:p>
            <w:pPr>
              <w:snapToGrid w:val="0"/>
              <w:spacing w:line="360" w:lineRule="auto"/>
              <w:rPr>
                <w:sz w:val="24"/>
                <w:szCs w:val="24"/>
              </w:rPr>
            </w:pPr>
            <w:r>
              <w:rPr>
                <w:sz w:val="24"/>
                <w:szCs w:val="24"/>
              </w:rPr>
              <w:t>减</w:t>
            </w:r>
            <w:r>
              <w:rPr>
                <w:rFonts w:hint="eastAsia"/>
                <w:sz w:val="24"/>
                <w:szCs w:val="24"/>
              </w:rPr>
              <w:t>振机座</w:t>
            </w:r>
            <w:r>
              <w:rPr>
                <w:sz w:val="24"/>
                <w:szCs w:val="24"/>
              </w:rPr>
              <w:t>、</w:t>
            </w:r>
            <w:r>
              <w:rPr>
                <w:rFonts w:hint="eastAsia"/>
                <w:sz w:val="24"/>
                <w:szCs w:val="24"/>
              </w:rPr>
              <w:t>橡皮垫等</w:t>
            </w:r>
          </w:p>
        </w:tc>
        <w:tc>
          <w:tcPr>
            <w:tcW w:w="3214" w:type="dxa"/>
            <w:vAlign w:val="center"/>
          </w:tcPr>
          <w:p>
            <w:pPr>
              <w:snapToGrid w:val="0"/>
              <w:spacing w:line="360" w:lineRule="auto"/>
              <w:jc w:val="center"/>
              <w:rPr>
                <w:sz w:val="24"/>
                <w:szCs w:val="24"/>
              </w:rPr>
            </w:pPr>
            <w:r>
              <w:rPr>
                <w:sz w:val="24"/>
                <w:szCs w:val="24"/>
              </w:rPr>
              <w:t>不影响区域声学环境，不改变区域现有的声环境功能级别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5"/>
            <w:vAlign w:val="center"/>
          </w:tcPr>
          <w:p>
            <w:pPr>
              <w:snapToGrid w:val="0"/>
              <w:spacing w:line="360" w:lineRule="auto"/>
              <w:rPr>
                <w:sz w:val="24"/>
                <w:szCs w:val="24"/>
              </w:rPr>
            </w:pPr>
            <w:r>
              <w:rPr>
                <w:sz w:val="24"/>
                <w:szCs w:val="24"/>
              </w:rPr>
              <w:t>生态保护措施及预期结果</w:t>
            </w: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p>
            <w:pPr>
              <w:snapToGrid w:val="0"/>
              <w:spacing w:line="360" w:lineRule="auto"/>
              <w:ind w:firstLine="480" w:firstLineChars="200"/>
              <w:rPr>
                <w:rFonts w:hint="eastAsia"/>
                <w:sz w:val="24"/>
                <w:szCs w:val="24"/>
              </w:rPr>
            </w:pPr>
          </w:p>
          <w:p>
            <w:pPr>
              <w:snapToGrid w:val="0"/>
              <w:spacing w:line="360" w:lineRule="auto"/>
              <w:ind w:firstLine="480" w:firstLineChars="200"/>
              <w:rPr>
                <w:rFonts w:hint="eastAsia"/>
                <w:sz w:val="24"/>
                <w:szCs w:val="24"/>
              </w:rPr>
            </w:pP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p>
            <w:pPr>
              <w:snapToGrid w:val="0"/>
              <w:spacing w:line="360" w:lineRule="auto"/>
              <w:ind w:firstLine="480" w:firstLineChars="200"/>
              <w:rPr>
                <w:sz w:val="24"/>
                <w:szCs w:val="24"/>
              </w:rPr>
            </w:pPr>
          </w:p>
        </w:tc>
      </w:tr>
    </w:tbl>
    <w:p>
      <w:pPr>
        <w:spacing w:line="480" w:lineRule="auto"/>
        <w:rPr>
          <w:rFonts w:eastAsia="仿宋_GB2312"/>
          <w:sz w:val="24"/>
        </w:rPr>
        <w:sectPr>
          <w:pgSz w:w="11906" w:h="16838"/>
          <w:pgMar w:top="1440" w:right="1286" w:bottom="1440" w:left="1474" w:header="851" w:footer="992" w:gutter="0"/>
          <w:cols w:space="720" w:num="1"/>
          <w:docGrid w:type="lines" w:linePitch="312" w:charSpace="0"/>
        </w:sectPr>
      </w:pPr>
    </w:p>
    <w:p>
      <w:pPr>
        <w:pStyle w:val="18"/>
        <w:spacing w:line="480" w:lineRule="auto"/>
        <w:rPr>
          <w:b/>
          <w:bCs/>
          <w:sz w:val="32"/>
          <w:szCs w:val="32"/>
        </w:rPr>
      </w:pPr>
      <w:r>
        <w:rPr>
          <w:b/>
          <w:bCs/>
          <w:sz w:val="32"/>
          <w:szCs w:val="32"/>
        </w:rPr>
        <w:t>结论及建议</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5" w:hRule="atLeast"/>
        </w:trPr>
        <w:tc>
          <w:tcPr>
            <w:tcW w:w="9474" w:type="dxa"/>
          </w:tcPr>
          <w:p>
            <w:pPr>
              <w:pStyle w:val="19"/>
              <w:spacing w:line="360" w:lineRule="auto"/>
              <w:ind w:left="0" w:leftChars="0"/>
              <w:rPr>
                <w:b/>
                <w:sz w:val="24"/>
                <w:szCs w:val="24"/>
              </w:rPr>
            </w:pPr>
            <w:r>
              <w:rPr>
                <w:b/>
                <w:sz w:val="24"/>
                <w:szCs w:val="24"/>
              </w:rPr>
              <w:t>结论</w:t>
            </w:r>
          </w:p>
          <w:p>
            <w:pPr>
              <w:snapToGrid w:val="0"/>
              <w:spacing w:line="360" w:lineRule="auto"/>
              <w:ind w:firstLine="482"/>
              <w:rPr>
                <w:sz w:val="24"/>
                <w:szCs w:val="24"/>
              </w:rPr>
            </w:pPr>
            <w:r>
              <w:rPr>
                <w:sz w:val="24"/>
                <w:szCs w:val="24"/>
              </w:rPr>
              <w:t>1、</w:t>
            </w:r>
            <w:r>
              <w:rPr>
                <w:rFonts w:hint="eastAsia"/>
                <w:sz w:val="24"/>
                <w:szCs w:val="24"/>
              </w:rPr>
              <w:t>项目概况</w:t>
            </w:r>
          </w:p>
          <w:p>
            <w:pPr>
              <w:adjustRightInd w:val="0"/>
              <w:snapToGrid w:val="0"/>
              <w:spacing w:line="360" w:lineRule="auto"/>
              <w:ind w:firstLine="360" w:firstLineChars="150"/>
              <w:rPr>
                <w:kern w:val="0"/>
                <w:sz w:val="24"/>
                <w:szCs w:val="24"/>
              </w:rPr>
            </w:pPr>
            <w:r>
              <w:rPr>
                <w:kern w:val="0"/>
                <w:sz w:val="24"/>
                <w:szCs w:val="24"/>
              </w:rPr>
              <w:t>安徽创立煤矿机械有限公司投资2000万元租赁大通工业聚集区位于大通区康宝路北侧标准化厂房，租赁厂房面积2000m</w:t>
            </w:r>
            <w:r>
              <w:rPr>
                <w:kern w:val="0"/>
                <w:sz w:val="24"/>
                <w:szCs w:val="24"/>
                <w:vertAlign w:val="superscript"/>
              </w:rPr>
              <w:t>2</w:t>
            </w:r>
            <w:r>
              <w:rPr>
                <w:kern w:val="0"/>
                <w:sz w:val="24"/>
                <w:szCs w:val="24"/>
              </w:rPr>
              <w:t>，购置数控车床、数控加工中心、激光切割机、车床、滚齿机、磨床等生产设备进行生产。项目建成后将形成年产矿用掘进临时支护系统100套的生产能力。</w:t>
            </w:r>
          </w:p>
          <w:p>
            <w:pPr>
              <w:snapToGrid w:val="0"/>
              <w:spacing w:line="360" w:lineRule="auto"/>
              <w:ind w:firstLine="482"/>
              <w:rPr>
                <w:sz w:val="24"/>
                <w:szCs w:val="24"/>
              </w:rPr>
            </w:pPr>
            <w:r>
              <w:rPr>
                <w:sz w:val="24"/>
                <w:szCs w:val="24"/>
              </w:rPr>
              <w:t>2、产业政策符合性分析</w:t>
            </w:r>
          </w:p>
          <w:p>
            <w:pPr>
              <w:snapToGrid w:val="0"/>
              <w:spacing w:line="360" w:lineRule="auto"/>
              <w:ind w:firstLine="480" w:firstLineChars="200"/>
              <w:rPr>
                <w:bCs/>
                <w:kern w:val="0"/>
                <w:sz w:val="24"/>
              </w:rPr>
            </w:pPr>
            <w:r>
              <w:rPr>
                <w:kern w:val="0"/>
                <w:sz w:val="24"/>
              </w:rPr>
              <w:t>根据《产业结构调整指导目录（2019年本）》，拟建项目不属于其中鼓励类、限制类和淘汰类，视为允许类，符合国家的产业政策。</w:t>
            </w:r>
            <w:r>
              <w:rPr>
                <w:bCs/>
                <w:kern w:val="0"/>
                <w:sz w:val="24"/>
              </w:rPr>
              <w:t>本项目经合淮南市大通区发展和改革委员会同意备案，项目编号为2020-340402-35-03-001177，本项目的建设符合国家和地方的产业政策要求。</w:t>
            </w:r>
          </w:p>
          <w:p>
            <w:pPr>
              <w:snapToGrid w:val="0"/>
              <w:spacing w:line="360" w:lineRule="auto"/>
              <w:ind w:firstLine="480" w:firstLineChars="200"/>
              <w:rPr>
                <w:bCs/>
                <w:sz w:val="24"/>
                <w:szCs w:val="24"/>
              </w:rPr>
            </w:pPr>
            <w:r>
              <w:rPr>
                <w:rFonts w:hint="eastAsia"/>
                <w:bCs/>
                <w:sz w:val="24"/>
                <w:szCs w:val="24"/>
              </w:rPr>
              <w:t>3</w:t>
            </w:r>
            <w:r>
              <w:rPr>
                <w:bCs/>
                <w:sz w:val="24"/>
                <w:szCs w:val="24"/>
              </w:rPr>
              <w:t>、</w:t>
            </w:r>
            <w:r>
              <w:rPr>
                <w:rFonts w:hint="eastAsia"/>
                <w:bCs/>
                <w:sz w:val="24"/>
                <w:szCs w:val="24"/>
              </w:rPr>
              <w:t>环境质量现状</w:t>
            </w:r>
          </w:p>
          <w:p>
            <w:pPr>
              <w:snapToGrid w:val="0"/>
              <w:spacing w:line="360" w:lineRule="auto"/>
              <w:ind w:firstLine="480" w:firstLineChars="200"/>
              <w:rPr>
                <w:sz w:val="24"/>
              </w:rPr>
            </w:pPr>
            <w:r>
              <w:rPr>
                <w:sz w:val="24"/>
                <w:szCs w:val="24"/>
              </w:rPr>
              <w:t>建设项目所在地区域环境空气质量</w:t>
            </w:r>
            <w:r>
              <w:rPr>
                <w:rFonts w:hint="eastAsia"/>
                <w:sz w:val="24"/>
                <w:szCs w:val="24"/>
              </w:rPr>
              <w:t>不能</w:t>
            </w:r>
            <w:r>
              <w:rPr>
                <w:sz w:val="24"/>
                <w:szCs w:val="24"/>
              </w:rPr>
              <w:t>满足《环境空气质量标准》</w:t>
            </w:r>
            <w:r>
              <w:rPr>
                <w:rFonts w:hint="eastAsia"/>
                <w:sz w:val="24"/>
                <w:szCs w:val="24"/>
              </w:rPr>
              <w:t>（</w:t>
            </w:r>
            <w:r>
              <w:rPr>
                <w:sz w:val="24"/>
                <w:szCs w:val="24"/>
              </w:rPr>
              <w:t>GB3095-2012</w:t>
            </w:r>
            <w:r>
              <w:rPr>
                <w:rFonts w:hint="eastAsia"/>
                <w:sz w:val="24"/>
                <w:szCs w:val="24"/>
              </w:rPr>
              <w:t>）</w:t>
            </w:r>
            <w:r>
              <w:rPr>
                <w:sz w:val="24"/>
                <w:szCs w:val="24"/>
              </w:rPr>
              <w:t>二级标准浓度限值；</w:t>
            </w:r>
            <w:r>
              <w:rPr>
                <w:rFonts w:hint="eastAsia"/>
                <w:sz w:val="24"/>
              </w:rPr>
              <w:t>项目区地表水淮河能满足《地表水环境质量标准》（GB3838-2002）中</w:t>
            </w:r>
            <w:r>
              <w:rPr>
                <w:rFonts w:hint="eastAsia" w:ascii="宋体" w:hAnsi="宋体"/>
                <w:sz w:val="24"/>
              </w:rPr>
              <w:t>的Ⅲ</w:t>
            </w:r>
            <w:r>
              <w:rPr>
                <w:rFonts w:hint="eastAsia"/>
                <w:sz w:val="24"/>
              </w:rPr>
              <w:t>类标准，</w:t>
            </w:r>
            <w:r>
              <w:rPr>
                <w:sz w:val="24"/>
                <w:szCs w:val="24"/>
              </w:rPr>
              <w:t>项目区域声环境质量良好</w:t>
            </w:r>
            <w:r>
              <w:rPr>
                <w:rFonts w:hint="eastAsia"/>
                <w:sz w:val="24"/>
                <w:szCs w:val="24"/>
              </w:rPr>
              <w:t>，</w:t>
            </w:r>
            <w:r>
              <w:rPr>
                <w:sz w:val="24"/>
              </w:rPr>
              <w:t>项目</w:t>
            </w:r>
            <w:r>
              <w:rPr>
                <w:rFonts w:hint="eastAsia"/>
                <w:sz w:val="24"/>
              </w:rPr>
              <w:t>区声环境</w:t>
            </w:r>
            <w:r>
              <w:rPr>
                <w:sz w:val="24"/>
              </w:rPr>
              <w:t>昼间</w:t>
            </w:r>
            <w:r>
              <w:rPr>
                <w:rFonts w:hint="eastAsia"/>
                <w:sz w:val="24"/>
              </w:rPr>
              <w:t>和</w:t>
            </w:r>
            <w:r>
              <w:rPr>
                <w:sz w:val="24"/>
              </w:rPr>
              <w:t>夜间</w:t>
            </w:r>
            <w:r>
              <w:rPr>
                <w:rFonts w:hint="eastAsia"/>
                <w:sz w:val="24"/>
              </w:rPr>
              <w:t>均达到</w:t>
            </w:r>
            <w:r>
              <w:rPr>
                <w:sz w:val="24"/>
              </w:rPr>
              <w:t>《</w:t>
            </w:r>
            <w:r>
              <w:rPr>
                <w:rFonts w:hint="eastAsia"/>
                <w:sz w:val="24"/>
              </w:rPr>
              <w:t>声环境质量标准</w:t>
            </w:r>
            <w:r>
              <w:rPr>
                <w:sz w:val="24"/>
              </w:rPr>
              <w:t>》</w:t>
            </w:r>
            <w:r>
              <w:rPr>
                <w:rFonts w:hint="eastAsia"/>
                <w:sz w:val="24"/>
              </w:rPr>
              <w:t>（</w:t>
            </w:r>
            <w:r>
              <w:rPr>
                <w:sz w:val="24"/>
              </w:rPr>
              <w:t>GB3096－</w:t>
            </w:r>
            <w:r>
              <w:rPr>
                <w:rFonts w:hint="eastAsia"/>
                <w:sz w:val="24"/>
              </w:rPr>
              <w:t>2008）</w:t>
            </w:r>
            <w:r>
              <w:rPr>
                <w:sz w:val="24"/>
              </w:rPr>
              <w:t>中</w:t>
            </w:r>
            <w:r>
              <w:rPr>
                <w:rFonts w:hint="eastAsia"/>
                <w:sz w:val="24"/>
              </w:rPr>
              <w:t>3</w:t>
            </w:r>
            <w:r>
              <w:rPr>
                <w:sz w:val="24"/>
              </w:rPr>
              <w:t>类标准</w:t>
            </w:r>
            <w:r>
              <w:rPr>
                <w:rFonts w:hint="eastAsia"/>
                <w:sz w:val="24"/>
              </w:rPr>
              <w:t>。</w:t>
            </w:r>
          </w:p>
          <w:p>
            <w:pPr>
              <w:snapToGrid w:val="0"/>
              <w:spacing w:line="360" w:lineRule="auto"/>
              <w:ind w:firstLine="480" w:firstLineChars="200"/>
              <w:rPr>
                <w:sz w:val="24"/>
                <w:szCs w:val="24"/>
              </w:rPr>
            </w:pPr>
            <w:r>
              <w:rPr>
                <w:rFonts w:hint="eastAsia"/>
                <w:sz w:val="24"/>
                <w:szCs w:val="24"/>
              </w:rPr>
              <w:t>4</w:t>
            </w:r>
            <w:r>
              <w:rPr>
                <w:sz w:val="24"/>
                <w:szCs w:val="24"/>
              </w:rPr>
              <w:t>、</w:t>
            </w:r>
            <w:r>
              <w:rPr>
                <w:rFonts w:hint="eastAsia"/>
                <w:sz w:val="24"/>
                <w:szCs w:val="24"/>
              </w:rPr>
              <w:t>营运期</w:t>
            </w:r>
            <w:r>
              <w:rPr>
                <w:sz w:val="24"/>
                <w:szCs w:val="24"/>
              </w:rPr>
              <w:t>环境影响分析</w:t>
            </w:r>
          </w:p>
          <w:p>
            <w:pPr>
              <w:snapToGrid w:val="0"/>
              <w:spacing w:line="360" w:lineRule="auto"/>
              <w:ind w:firstLine="480" w:firstLineChars="200"/>
              <w:rPr>
                <w:sz w:val="24"/>
                <w:szCs w:val="24"/>
              </w:rPr>
            </w:pPr>
            <w:r>
              <w:rPr>
                <w:sz w:val="24"/>
                <w:szCs w:val="24"/>
              </w:rPr>
              <w:t>（1）水环境影响分析</w:t>
            </w:r>
          </w:p>
          <w:p>
            <w:pPr>
              <w:snapToGrid w:val="0"/>
              <w:spacing w:line="360" w:lineRule="auto"/>
              <w:ind w:firstLine="480" w:firstLineChars="200"/>
              <w:rPr>
                <w:sz w:val="24"/>
                <w:lang w:val="en-GB"/>
              </w:rPr>
            </w:pPr>
            <w:r>
              <w:rPr>
                <w:sz w:val="24"/>
                <w:szCs w:val="24"/>
              </w:rPr>
              <w:t>项目产生的废水主要为生活污水，</w:t>
            </w:r>
            <w:r>
              <w:rPr>
                <w:rFonts w:hint="eastAsia"/>
                <w:sz w:val="24"/>
                <w:szCs w:val="24"/>
              </w:rPr>
              <w:t>经过托现有化粪池处理达到达到《污水排入城镇下水道水质标准》（GB/T 31962-2015）中B等级放标准</w:t>
            </w:r>
            <w:r>
              <w:rPr>
                <w:rFonts w:hint="eastAsia"/>
                <w:sz w:val="24"/>
                <w:lang w:val="en-GB"/>
              </w:rPr>
              <w:t>，经市政管网进入淮南首创第一污水处理厂处理，对周围地表水环境影响较小。</w:t>
            </w:r>
          </w:p>
          <w:p>
            <w:pPr>
              <w:snapToGrid w:val="0"/>
              <w:spacing w:line="360" w:lineRule="auto"/>
              <w:ind w:firstLine="480" w:firstLineChars="200"/>
              <w:rPr>
                <w:sz w:val="24"/>
                <w:lang w:val="en-GB"/>
              </w:rPr>
            </w:pPr>
            <w:r>
              <w:rPr>
                <w:rFonts w:hint="eastAsia"/>
                <w:sz w:val="24"/>
                <w:lang w:val="en-GB"/>
              </w:rPr>
              <w:t>（2）大气环境影响分析</w:t>
            </w:r>
          </w:p>
          <w:p>
            <w:pPr>
              <w:snapToGrid w:val="0"/>
              <w:spacing w:line="360" w:lineRule="auto"/>
              <w:ind w:firstLine="480" w:firstLineChars="200"/>
              <w:rPr>
                <w:sz w:val="24"/>
                <w:szCs w:val="24"/>
              </w:rPr>
            </w:pPr>
            <w:r>
              <w:rPr>
                <w:rFonts w:hint="eastAsia"/>
                <w:bCs/>
                <w:sz w:val="24"/>
                <w:szCs w:val="24"/>
              </w:rPr>
              <w:t>本项目营运期产生的废气主要为激光切割机下料过程中产生的切割烟尘、焊机焊接过程中产生的焊接烟尘。产生的焊接烟尘和切割烟尘均通过焊烟净化器处理后以无组织形式排放，焊接烟尘和切割烟尘经过处理后无组织排放量为0.01425t/a，0.02166kg/h。</w:t>
            </w:r>
          </w:p>
          <w:p>
            <w:pPr>
              <w:tabs>
                <w:tab w:val="left" w:pos="3558"/>
                <w:tab w:val="left" w:pos="4173"/>
              </w:tabs>
              <w:snapToGrid w:val="0"/>
              <w:spacing w:line="360" w:lineRule="auto"/>
              <w:ind w:firstLine="480" w:firstLineChars="200"/>
              <w:rPr>
                <w:sz w:val="24"/>
                <w:szCs w:val="24"/>
              </w:rPr>
            </w:pPr>
            <w:r>
              <w:rPr>
                <w:sz w:val="24"/>
                <w:szCs w:val="24"/>
              </w:rPr>
              <w:t>（</w:t>
            </w:r>
            <w:r>
              <w:rPr>
                <w:rFonts w:hint="eastAsia"/>
                <w:sz w:val="24"/>
                <w:szCs w:val="24"/>
              </w:rPr>
              <w:t>2</w:t>
            </w:r>
            <w:r>
              <w:rPr>
                <w:sz w:val="24"/>
                <w:szCs w:val="24"/>
              </w:rPr>
              <w:t>）噪声环境影响分析</w:t>
            </w:r>
          </w:p>
          <w:p>
            <w:pPr>
              <w:snapToGrid w:val="0"/>
              <w:spacing w:line="360" w:lineRule="auto"/>
              <w:ind w:firstLine="480" w:firstLineChars="200"/>
              <w:rPr>
                <w:b/>
                <w:sz w:val="24"/>
                <w:szCs w:val="24"/>
              </w:rPr>
            </w:pPr>
            <w:r>
              <w:rPr>
                <w:rFonts w:hint="eastAsia"/>
                <w:sz w:val="24"/>
              </w:rPr>
              <w:t>拟建</w:t>
            </w:r>
            <w:r>
              <w:rPr>
                <w:sz w:val="24"/>
              </w:rPr>
              <w:t>项目</w:t>
            </w:r>
            <w:r>
              <w:rPr>
                <w:rFonts w:hint="eastAsia"/>
                <w:sz w:val="24"/>
                <w:szCs w:val="24"/>
              </w:rPr>
              <w:t>主要噪声源为数控车床、数控加工中心、激光数控切割机、普通车床等生产设备产生的噪声。</w:t>
            </w:r>
            <w:r>
              <w:rPr>
                <w:sz w:val="24"/>
                <w:szCs w:val="24"/>
              </w:rPr>
              <w:t>经预测</w:t>
            </w:r>
            <w:r>
              <w:rPr>
                <w:rFonts w:hint="eastAsia"/>
                <w:sz w:val="24"/>
              </w:rPr>
              <w:t>项目区</w:t>
            </w:r>
            <w:r>
              <w:rPr>
                <w:sz w:val="24"/>
              </w:rPr>
              <w:t>噪声执行《工业企业厂界环境噪声排放标准》</w:t>
            </w:r>
            <w:r>
              <w:rPr>
                <w:rFonts w:hint="eastAsia"/>
                <w:sz w:val="24"/>
              </w:rPr>
              <w:t>（</w:t>
            </w:r>
            <w:r>
              <w:rPr>
                <w:sz w:val="24"/>
              </w:rPr>
              <w:t>GB12348-2008</w:t>
            </w:r>
            <w:r>
              <w:rPr>
                <w:rFonts w:hint="eastAsia"/>
                <w:sz w:val="24"/>
              </w:rPr>
              <w:t>）</w:t>
            </w:r>
            <w:r>
              <w:rPr>
                <w:sz w:val="24"/>
              </w:rPr>
              <w:t>中</w:t>
            </w:r>
            <w:r>
              <w:rPr>
                <w:rFonts w:hint="eastAsia"/>
                <w:sz w:val="24"/>
              </w:rPr>
              <w:t>3</w:t>
            </w:r>
            <w:r>
              <w:rPr>
                <w:sz w:val="24"/>
              </w:rPr>
              <w:t>类标准</w:t>
            </w:r>
            <w:r>
              <w:rPr>
                <w:rFonts w:hint="eastAsia" w:hAnsi="宋体"/>
                <w:sz w:val="24"/>
                <w:szCs w:val="24"/>
              </w:rPr>
              <w:t>。</w:t>
            </w:r>
            <w:r>
              <w:rPr>
                <w:rFonts w:hint="eastAsia" w:ascii="宋体" w:hAnsi="宋体"/>
                <w:sz w:val="24"/>
              </w:rPr>
              <w:t>拟建项目投产后，对区域声环境质量无明显影响。</w:t>
            </w:r>
          </w:p>
          <w:p>
            <w:pPr>
              <w:snapToGrid w:val="0"/>
              <w:spacing w:line="360" w:lineRule="auto"/>
              <w:ind w:firstLine="480" w:firstLineChars="200"/>
              <w:rPr>
                <w:sz w:val="24"/>
                <w:szCs w:val="24"/>
              </w:rPr>
            </w:pPr>
            <w:r>
              <w:rPr>
                <w:sz w:val="24"/>
                <w:szCs w:val="24"/>
              </w:rPr>
              <w:t>（</w:t>
            </w:r>
            <w:r>
              <w:rPr>
                <w:rFonts w:hint="eastAsia"/>
                <w:sz w:val="24"/>
                <w:szCs w:val="24"/>
              </w:rPr>
              <w:t>3</w:t>
            </w:r>
            <w:r>
              <w:rPr>
                <w:sz w:val="24"/>
                <w:szCs w:val="24"/>
              </w:rPr>
              <w:t>）固体废弃物环境影响分析</w:t>
            </w:r>
          </w:p>
          <w:p>
            <w:pPr>
              <w:snapToGrid w:val="0"/>
              <w:spacing w:line="360" w:lineRule="auto"/>
              <w:ind w:firstLine="480" w:firstLineChars="200"/>
              <w:rPr>
                <w:bCs/>
                <w:sz w:val="24"/>
                <w:szCs w:val="24"/>
              </w:rPr>
            </w:pPr>
            <w:r>
              <w:rPr>
                <w:rFonts w:hint="eastAsia"/>
                <w:bCs/>
                <w:sz w:val="24"/>
                <w:szCs w:val="24"/>
              </w:rPr>
              <w:t>本项目产生的固废主要为：生产车间产生边角料、废铁屑、维修设备产生的含油抹布手套等、职工生活垃圾。产生的生活垃圾和含油抹布手套经袋装化后，由环卫部门统一收集处置。产生的生产车间产生边角料、废铁屑，收集后暂存于厂区一般固废临时贮存点，定期交物资回收公司回收利用，不会对周围环境质量产生不利影响。项目产生的废乳化液和废机油，属于危险废物，收集后暂存于项目区危险废物临时贮存点，再交由有资质单位处理。</w:t>
            </w:r>
          </w:p>
          <w:p>
            <w:pPr>
              <w:snapToGrid w:val="0"/>
              <w:spacing w:line="360" w:lineRule="auto"/>
              <w:ind w:firstLine="480" w:firstLineChars="200"/>
              <w:rPr>
                <w:bCs/>
                <w:sz w:val="24"/>
                <w:szCs w:val="24"/>
              </w:rPr>
            </w:pPr>
            <w:r>
              <w:rPr>
                <w:bCs/>
                <w:sz w:val="24"/>
                <w:szCs w:val="24"/>
              </w:rPr>
              <w:t>综上所述，</w:t>
            </w:r>
            <w:r>
              <w:rPr>
                <w:rFonts w:hint="eastAsia"/>
                <w:bCs/>
                <w:sz w:val="24"/>
                <w:szCs w:val="24"/>
              </w:rPr>
              <w:t>本项目</w:t>
            </w:r>
            <w:r>
              <w:rPr>
                <w:bCs/>
                <w:sz w:val="24"/>
                <w:szCs w:val="24"/>
              </w:rPr>
              <w:t>采用本报告表的各项污染防治措施，各项污染物实现达标排放，且不会降低评价区域原有环境质量功能级别。实施过程中要严格执行</w:t>
            </w:r>
            <w:r>
              <w:rPr>
                <w:rFonts w:hint="eastAsia"/>
                <w:bCs/>
                <w:sz w:val="24"/>
                <w:szCs w:val="24"/>
              </w:rPr>
              <w:t>“</w:t>
            </w:r>
            <w:r>
              <w:rPr>
                <w:bCs/>
                <w:sz w:val="24"/>
                <w:szCs w:val="24"/>
              </w:rPr>
              <w:t>三同时</w:t>
            </w:r>
            <w:r>
              <w:rPr>
                <w:rFonts w:hint="eastAsia"/>
                <w:bCs/>
                <w:sz w:val="24"/>
                <w:szCs w:val="24"/>
              </w:rPr>
              <w:t>”</w:t>
            </w:r>
            <w:r>
              <w:rPr>
                <w:bCs/>
                <w:sz w:val="24"/>
                <w:szCs w:val="24"/>
              </w:rPr>
              <w:t>制度，在严格执行各项环保措施的前提下，从环境</w:t>
            </w:r>
            <w:r>
              <w:rPr>
                <w:rFonts w:hint="eastAsia"/>
                <w:bCs/>
                <w:sz w:val="24"/>
                <w:szCs w:val="24"/>
              </w:rPr>
              <w:t>影响</w:t>
            </w:r>
            <w:r>
              <w:rPr>
                <w:bCs/>
                <w:sz w:val="24"/>
                <w:szCs w:val="24"/>
              </w:rPr>
              <w:t>角度而言，该项目是可行的。</w:t>
            </w:r>
          </w:p>
          <w:p>
            <w:pPr>
              <w:spacing w:line="360" w:lineRule="auto"/>
              <w:ind w:firstLine="482" w:firstLineChars="200"/>
              <w:rPr>
                <w:b/>
                <w:bCs/>
                <w:sz w:val="24"/>
                <w:szCs w:val="24"/>
              </w:rPr>
            </w:pPr>
            <w:r>
              <w:rPr>
                <w:b/>
                <w:sz w:val="24"/>
                <w:szCs w:val="24"/>
              </w:rPr>
              <w:t>二、建议</w:t>
            </w:r>
          </w:p>
          <w:p>
            <w:pPr>
              <w:spacing w:line="360" w:lineRule="auto"/>
              <w:ind w:firstLine="456" w:firstLineChars="200"/>
              <w:rPr>
                <w:rFonts w:ascii="宋体" w:hAnsi="宋体"/>
                <w:spacing w:val="-6"/>
                <w:sz w:val="24"/>
              </w:rPr>
            </w:pPr>
            <w:r>
              <w:rPr>
                <w:rFonts w:hint="eastAsia" w:ascii="宋体" w:hAnsi="宋体"/>
                <w:spacing w:val="-6"/>
                <w:sz w:val="24"/>
              </w:rPr>
              <w:t>1、</w:t>
            </w:r>
            <w:r>
              <w:rPr>
                <w:rFonts w:ascii="宋体" w:hAnsi="宋体"/>
                <w:spacing w:val="-6"/>
                <w:sz w:val="24"/>
              </w:rPr>
              <w:t>生产过程中加强运行管理，严格执行操作规程，确保安全生产。</w:t>
            </w:r>
          </w:p>
          <w:p>
            <w:pPr>
              <w:spacing w:line="360" w:lineRule="auto"/>
              <w:ind w:firstLine="456" w:firstLineChars="200"/>
              <w:rPr>
                <w:rFonts w:ascii="宋体" w:hAnsi="宋体"/>
                <w:spacing w:val="-6"/>
                <w:sz w:val="24"/>
              </w:rPr>
            </w:pPr>
            <w:r>
              <w:rPr>
                <w:rFonts w:hint="eastAsia" w:ascii="宋体" w:hAnsi="宋体"/>
                <w:spacing w:val="-6"/>
                <w:sz w:val="24"/>
              </w:rPr>
              <w:t>2、</w:t>
            </w:r>
            <w:r>
              <w:rPr>
                <w:rFonts w:ascii="宋体" w:hAnsi="宋体"/>
                <w:spacing w:val="-6"/>
                <w:sz w:val="24"/>
              </w:rPr>
              <w:t>加强环境监测，防止污染物超标排放。</w:t>
            </w:r>
          </w:p>
          <w:p>
            <w:pPr>
              <w:spacing w:line="360" w:lineRule="auto"/>
              <w:ind w:firstLine="456" w:firstLineChars="200"/>
              <w:rPr>
                <w:rFonts w:ascii="宋体" w:hAnsi="宋体"/>
                <w:spacing w:val="-6"/>
                <w:sz w:val="24"/>
              </w:rPr>
            </w:pPr>
            <w:r>
              <w:rPr>
                <w:rFonts w:hint="eastAsia" w:ascii="宋体" w:hAnsi="宋体"/>
                <w:spacing w:val="-6"/>
                <w:sz w:val="24"/>
              </w:rPr>
              <w:t>3、严把产品质量关，各类产品符合相应质量标准。</w:t>
            </w: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p>
            <w:pPr>
              <w:autoSpaceDE w:val="0"/>
              <w:autoSpaceDN w:val="0"/>
              <w:adjustRightInd w:val="0"/>
              <w:spacing w:line="360" w:lineRule="auto"/>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4" w:type="dxa"/>
          </w:tcPr>
          <w:p>
            <w:pPr>
              <w:spacing w:line="360" w:lineRule="auto"/>
              <w:rPr>
                <w:rFonts w:hAnsi="宋体"/>
                <w:b/>
                <w:bCs/>
                <w:sz w:val="24"/>
                <w:szCs w:val="28"/>
              </w:rPr>
            </w:pPr>
            <w:r>
              <w:rPr>
                <w:rFonts w:hAnsi="宋体"/>
                <w:b/>
                <w:bCs/>
                <w:sz w:val="24"/>
                <w:szCs w:val="28"/>
              </w:rPr>
              <w:t>行业主管部门预审意见：</w:t>
            </w: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ind w:firstLine="7197" w:firstLineChars="2987"/>
              <w:rPr>
                <w:rFonts w:hAnsi="宋体"/>
                <w:b/>
                <w:bCs/>
                <w:sz w:val="24"/>
                <w:szCs w:val="28"/>
              </w:rPr>
            </w:pPr>
            <w:r>
              <w:rPr>
                <w:rFonts w:hAnsi="宋体"/>
                <w:b/>
                <w:bCs/>
                <w:sz w:val="24"/>
                <w:szCs w:val="28"/>
              </w:rPr>
              <w:t>公章</w:t>
            </w:r>
          </w:p>
          <w:p>
            <w:pPr>
              <w:spacing w:line="360" w:lineRule="auto"/>
              <w:rPr>
                <w:rFonts w:eastAsia="仿宋_GB2312"/>
                <w:sz w:val="24"/>
              </w:rPr>
            </w:pPr>
            <w:r>
              <w:rPr>
                <w:rFonts w:hAnsi="宋体"/>
                <w:b/>
                <w:bCs/>
                <w:sz w:val="24"/>
                <w:szCs w:val="28"/>
              </w:rPr>
              <w:t>经办人</w:t>
            </w:r>
            <w:r>
              <w:rPr>
                <w:rFonts w:hint="eastAsia" w:hAnsi="宋体"/>
                <w:b/>
                <w:bCs/>
                <w:sz w:val="24"/>
                <w:szCs w:val="28"/>
              </w:rPr>
              <w:t xml:space="preserve"> </w:t>
            </w:r>
            <w:r>
              <w:rPr>
                <w:rFonts w:hAnsi="宋体"/>
                <w:b/>
                <w:bCs/>
                <w:sz w:val="24"/>
                <w:szCs w:val="28"/>
              </w:rPr>
              <w:t>：</w:t>
            </w:r>
            <w:r>
              <w:rPr>
                <w:rFonts w:hint="eastAsia" w:hAnsi="宋体"/>
                <w:b/>
                <w:bCs/>
                <w:sz w:val="24"/>
                <w:szCs w:val="28"/>
              </w:rPr>
              <w:t xml:space="preserve">   </w:t>
            </w:r>
            <w:r>
              <w:rPr>
                <w:rFonts w:hAnsi="宋体"/>
                <w:b/>
                <w:bCs/>
                <w:sz w:val="24"/>
                <w:szCs w:val="28"/>
              </w:rPr>
              <w:t>年</w:t>
            </w:r>
            <w:r>
              <w:rPr>
                <w:rFonts w:hint="eastAsia" w:hAnsi="宋体"/>
                <w:b/>
                <w:bCs/>
                <w:sz w:val="24"/>
                <w:szCs w:val="28"/>
              </w:rPr>
              <w:t xml:space="preserve">   </w:t>
            </w:r>
            <w:r>
              <w:rPr>
                <w:rFonts w:hAnsi="宋体"/>
                <w:b/>
                <w:bCs/>
                <w:sz w:val="24"/>
                <w:szCs w:val="28"/>
              </w:rPr>
              <w:t>月</w:t>
            </w:r>
            <w:r>
              <w:rPr>
                <w:rFonts w:hint="eastAsia" w:hAnsi="宋体"/>
                <w:b/>
                <w:bCs/>
                <w:sz w:val="24"/>
                <w:szCs w:val="28"/>
              </w:rPr>
              <w:t xml:space="preserve">    </w:t>
            </w:r>
            <w:r>
              <w:rPr>
                <w:rFonts w:hAnsi="宋体"/>
                <w:b/>
                <w:bCs/>
                <w:sz w:val="24"/>
                <w:szCs w:val="28"/>
              </w:rPr>
              <w:t>日</w:t>
            </w:r>
            <w:r>
              <w:rPr>
                <w:rFonts w:hint="eastAsia" w:hAnsi="宋体"/>
                <w:b/>
                <w:bCs/>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74" w:type="dxa"/>
          </w:tcPr>
          <w:p>
            <w:pPr>
              <w:spacing w:line="360" w:lineRule="auto"/>
              <w:rPr>
                <w:rFonts w:hAnsi="宋体"/>
                <w:b/>
                <w:bCs/>
                <w:sz w:val="24"/>
                <w:szCs w:val="28"/>
              </w:rPr>
            </w:pPr>
            <w:r>
              <w:rPr>
                <w:rFonts w:hAnsi="宋体"/>
                <w:b/>
                <w:bCs/>
                <w:sz w:val="24"/>
                <w:szCs w:val="28"/>
              </w:rPr>
              <w:t>下一级环境保护行政主管部门审查意见：</w:t>
            </w: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ind w:firstLine="7197" w:firstLineChars="2987"/>
              <w:rPr>
                <w:rFonts w:hAnsi="宋体"/>
                <w:b/>
                <w:bCs/>
                <w:sz w:val="24"/>
                <w:szCs w:val="28"/>
              </w:rPr>
            </w:pPr>
            <w:r>
              <w:rPr>
                <w:rFonts w:hAnsi="宋体"/>
                <w:b/>
                <w:bCs/>
                <w:sz w:val="24"/>
                <w:szCs w:val="28"/>
              </w:rPr>
              <w:t>公章</w:t>
            </w:r>
          </w:p>
          <w:p>
            <w:pPr>
              <w:spacing w:line="360" w:lineRule="auto"/>
              <w:rPr>
                <w:rFonts w:hAnsi="宋体"/>
                <w:b/>
                <w:bCs/>
                <w:sz w:val="24"/>
                <w:szCs w:val="28"/>
              </w:rPr>
            </w:pPr>
            <w:r>
              <w:rPr>
                <w:rFonts w:hAnsi="宋体"/>
                <w:b/>
                <w:bCs/>
                <w:sz w:val="24"/>
                <w:szCs w:val="28"/>
              </w:rPr>
              <w:t>经办人</w:t>
            </w:r>
            <w:r>
              <w:rPr>
                <w:rFonts w:hint="eastAsia" w:hAnsi="宋体"/>
                <w:b/>
                <w:bCs/>
                <w:sz w:val="24"/>
                <w:szCs w:val="28"/>
              </w:rPr>
              <w:t xml:space="preserve"> </w:t>
            </w:r>
            <w:r>
              <w:rPr>
                <w:rFonts w:hAnsi="宋体"/>
                <w:b/>
                <w:bCs/>
                <w:sz w:val="24"/>
                <w:szCs w:val="28"/>
              </w:rPr>
              <w:t>：</w:t>
            </w:r>
            <w:r>
              <w:rPr>
                <w:rFonts w:hint="eastAsia" w:hAnsi="宋体"/>
                <w:b/>
                <w:bCs/>
                <w:sz w:val="24"/>
                <w:szCs w:val="28"/>
              </w:rPr>
              <w:t xml:space="preserve">   </w:t>
            </w:r>
            <w:r>
              <w:rPr>
                <w:rFonts w:hAnsi="宋体"/>
                <w:b/>
                <w:bCs/>
                <w:sz w:val="24"/>
                <w:szCs w:val="28"/>
              </w:rPr>
              <w:t>年</w:t>
            </w:r>
            <w:r>
              <w:rPr>
                <w:rFonts w:hint="eastAsia" w:hAnsi="宋体"/>
                <w:b/>
                <w:bCs/>
                <w:sz w:val="24"/>
                <w:szCs w:val="28"/>
              </w:rPr>
              <w:t xml:space="preserve">   </w:t>
            </w:r>
            <w:r>
              <w:rPr>
                <w:rFonts w:hAnsi="宋体"/>
                <w:b/>
                <w:bCs/>
                <w:sz w:val="24"/>
                <w:szCs w:val="28"/>
              </w:rPr>
              <w:t>月</w:t>
            </w:r>
            <w:r>
              <w:rPr>
                <w:rFonts w:hint="eastAsia" w:hAnsi="宋体"/>
                <w:b/>
                <w:bCs/>
                <w:sz w:val="24"/>
                <w:szCs w:val="28"/>
              </w:rPr>
              <w:t xml:space="preserve">    </w:t>
            </w:r>
            <w:r>
              <w:rPr>
                <w:rFonts w:hAnsi="宋体"/>
                <w:b/>
                <w:bCs/>
                <w:sz w:val="24"/>
                <w:szCs w:val="28"/>
              </w:rPr>
              <w:t>日</w:t>
            </w:r>
          </w:p>
          <w:p>
            <w:pPr>
              <w:spacing w:line="360" w:lineRule="auto"/>
            </w:pPr>
            <w:r>
              <w:rPr>
                <w:rFonts w:hAnsi="宋体"/>
                <w:b/>
                <w:bCs/>
                <w:sz w:val="24"/>
                <w:szCs w:val="28"/>
              </w:rPr>
              <w:t>审批意见：</w:t>
            </w: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rFonts w:hAnsi="宋体"/>
                <w:b/>
                <w:bCs/>
                <w:sz w:val="24"/>
                <w:szCs w:val="28"/>
              </w:rPr>
            </w:pPr>
          </w:p>
          <w:p>
            <w:pPr>
              <w:spacing w:line="360" w:lineRule="auto"/>
              <w:rPr>
                <w:b/>
                <w:sz w:val="36"/>
                <w:szCs w:val="36"/>
              </w:rPr>
            </w:pPr>
          </w:p>
          <w:p>
            <w:pPr>
              <w:spacing w:line="360" w:lineRule="auto"/>
              <w:rPr>
                <w:b/>
                <w:sz w:val="36"/>
                <w:szCs w:val="36"/>
              </w:rPr>
            </w:pPr>
          </w:p>
          <w:p>
            <w:pPr>
              <w:spacing w:line="360" w:lineRule="auto"/>
              <w:rPr>
                <w:b/>
                <w:sz w:val="36"/>
                <w:szCs w:val="36"/>
              </w:rPr>
            </w:pPr>
          </w:p>
          <w:p>
            <w:pPr>
              <w:spacing w:line="360" w:lineRule="auto"/>
              <w:rPr>
                <w:b/>
                <w:sz w:val="36"/>
                <w:szCs w:val="36"/>
              </w:rPr>
            </w:pPr>
          </w:p>
          <w:p>
            <w:pPr>
              <w:spacing w:line="360" w:lineRule="auto"/>
              <w:ind w:firstLine="7197" w:firstLineChars="2987"/>
              <w:rPr>
                <w:rFonts w:hAnsi="宋体"/>
                <w:b/>
                <w:bCs/>
                <w:sz w:val="24"/>
                <w:szCs w:val="28"/>
              </w:rPr>
            </w:pPr>
            <w:r>
              <w:rPr>
                <w:rFonts w:hAnsi="宋体"/>
                <w:b/>
                <w:bCs/>
                <w:sz w:val="24"/>
                <w:szCs w:val="28"/>
              </w:rPr>
              <w:t>公章</w:t>
            </w:r>
          </w:p>
          <w:p>
            <w:pPr>
              <w:spacing w:line="480" w:lineRule="auto"/>
              <w:rPr>
                <w:rFonts w:eastAsia="仿宋_GB2312"/>
                <w:sz w:val="24"/>
              </w:rPr>
            </w:pPr>
            <w:r>
              <w:rPr>
                <w:rFonts w:hAnsi="宋体"/>
                <w:b/>
                <w:bCs/>
                <w:sz w:val="24"/>
                <w:szCs w:val="28"/>
              </w:rPr>
              <w:t>经办人</w:t>
            </w:r>
            <w:r>
              <w:rPr>
                <w:rFonts w:hint="eastAsia" w:hAnsi="宋体"/>
                <w:b/>
                <w:bCs/>
                <w:sz w:val="24"/>
                <w:szCs w:val="28"/>
              </w:rPr>
              <w:t xml:space="preserve"> </w:t>
            </w:r>
            <w:r>
              <w:rPr>
                <w:rFonts w:hAnsi="宋体"/>
                <w:b/>
                <w:bCs/>
                <w:sz w:val="24"/>
                <w:szCs w:val="28"/>
              </w:rPr>
              <w:t>：</w:t>
            </w:r>
            <w:r>
              <w:rPr>
                <w:rFonts w:hint="eastAsia" w:hAnsi="宋体"/>
                <w:b/>
                <w:bCs/>
                <w:sz w:val="24"/>
                <w:szCs w:val="28"/>
              </w:rPr>
              <w:t xml:space="preserve">   </w:t>
            </w:r>
            <w:r>
              <w:rPr>
                <w:rFonts w:hAnsi="宋体"/>
                <w:b/>
                <w:bCs/>
                <w:sz w:val="24"/>
                <w:szCs w:val="28"/>
              </w:rPr>
              <w:t>年</w:t>
            </w:r>
            <w:r>
              <w:rPr>
                <w:rFonts w:hint="eastAsia" w:hAnsi="宋体"/>
                <w:b/>
                <w:bCs/>
                <w:sz w:val="24"/>
                <w:szCs w:val="28"/>
              </w:rPr>
              <w:t xml:space="preserve">   </w:t>
            </w:r>
            <w:r>
              <w:rPr>
                <w:rFonts w:hAnsi="宋体"/>
                <w:b/>
                <w:bCs/>
                <w:sz w:val="24"/>
                <w:szCs w:val="28"/>
              </w:rPr>
              <w:t>月</w:t>
            </w:r>
            <w:r>
              <w:rPr>
                <w:rFonts w:hint="eastAsia" w:hAnsi="宋体"/>
                <w:b/>
                <w:bCs/>
                <w:sz w:val="24"/>
                <w:szCs w:val="28"/>
              </w:rPr>
              <w:t xml:space="preserve">    </w:t>
            </w:r>
            <w:r>
              <w:rPr>
                <w:rFonts w:hAnsi="宋体"/>
                <w:b/>
                <w:bCs/>
                <w:sz w:val="24"/>
                <w:szCs w:val="28"/>
              </w:rPr>
              <w:t>日</w:t>
            </w:r>
          </w:p>
        </w:tc>
      </w:tr>
    </w:tbl>
    <w:p>
      <w:pPr>
        <w:spacing w:line="480" w:lineRule="auto"/>
        <w:rPr>
          <w:rFonts w:eastAsia="仿宋_GB2312"/>
          <w:sz w:val="24"/>
        </w:rPr>
        <w:sectPr>
          <w:pgSz w:w="11906" w:h="16838"/>
          <w:pgMar w:top="1440" w:right="1174" w:bottom="1440" w:left="1474" w:header="851" w:footer="992" w:gutter="0"/>
          <w:cols w:space="720" w:num="1"/>
          <w:docGrid w:type="lines" w:linePitch="312" w:charSpace="0"/>
        </w:sect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8" w:hRule="atLeast"/>
        </w:trPr>
        <w:tc>
          <w:tcPr>
            <w:tcW w:w="9493" w:type="dxa"/>
          </w:tcPr>
          <w:p>
            <w:pPr>
              <w:spacing w:line="480" w:lineRule="auto"/>
              <w:jc w:val="center"/>
              <w:rPr>
                <w:sz w:val="52"/>
                <w:szCs w:val="52"/>
              </w:rPr>
            </w:pPr>
            <w:r>
              <w:rPr>
                <w:sz w:val="52"/>
                <w:szCs w:val="52"/>
              </w:rPr>
              <w:t>注释</w:t>
            </w:r>
          </w:p>
          <w:p>
            <w:pPr>
              <w:spacing w:line="480" w:lineRule="auto"/>
              <w:ind w:firstLine="360" w:firstLineChars="150"/>
              <w:rPr>
                <w:sz w:val="52"/>
                <w:szCs w:val="52"/>
              </w:rPr>
            </w:pPr>
            <w:r>
              <w:rPr>
                <w:sz w:val="24"/>
              </w:rPr>
              <w:t>一、本报告表应附以下附件、附图:</w:t>
            </w:r>
          </w:p>
          <w:p>
            <w:pPr>
              <w:spacing w:line="480" w:lineRule="auto"/>
              <w:ind w:firstLine="480" w:firstLineChars="200"/>
              <w:rPr>
                <w:sz w:val="24"/>
              </w:rPr>
            </w:pPr>
            <w:r>
              <w:rPr>
                <w:sz w:val="24"/>
              </w:rPr>
              <w:t>附件1</w:t>
            </w:r>
            <w:r>
              <w:rPr>
                <w:rFonts w:hint="eastAsia"/>
                <w:sz w:val="24"/>
              </w:rPr>
              <w:t>立项批准文件</w:t>
            </w:r>
          </w:p>
          <w:p>
            <w:pPr>
              <w:spacing w:line="480" w:lineRule="auto"/>
              <w:ind w:firstLine="480" w:firstLineChars="200"/>
              <w:rPr>
                <w:sz w:val="24"/>
              </w:rPr>
            </w:pPr>
            <w:r>
              <w:rPr>
                <w:sz w:val="24"/>
              </w:rPr>
              <w:t>附件2</w:t>
            </w:r>
            <w:r>
              <w:rPr>
                <w:rFonts w:hint="eastAsia"/>
                <w:sz w:val="24"/>
              </w:rPr>
              <w:t>其他与环境评价有关的行政管理文件</w:t>
            </w:r>
          </w:p>
          <w:p>
            <w:pPr>
              <w:spacing w:line="480" w:lineRule="auto"/>
              <w:ind w:firstLine="480" w:firstLineChars="200"/>
              <w:rPr>
                <w:sz w:val="24"/>
              </w:rPr>
            </w:pPr>
            <w:r>
              <w:rPr>
                <w:sz w:val="24"/>
              </w:rPr>
              <w:t>附图1项目地理位置图</w:t>
            </w:r>
          </w:p>
          <w:p>
            <w:pPr>
              <w:spacing w:line="480" w:lineRule="auto"/>
              <w:ind w:firstLine="480" w:firstLineChars="200"/>
              <w:rPr>
                <w:sz w:val="24"/>
              </w:rPr>
            </w:pPr>
            <w:r>
              <w:rPr>
                <w:sz w:val="24"/>
              </w:rPr>
              <w:t>附图</w:t>
            </w:r>
            <w:r>
              <w:rPr>
                <w:rFonts w:hint="eastAsia"/>
                <w:sz w:val="24"/>
              </w:rPr>
              <w:t>2</w:t>
            </w:r>
            <w:r>
              <w:rPr>
                <w:sz w:val="24"/>
              </w:rPr>
              <w:t>项目</w:t>
            </w:r>
            <w:r>
              <w:rPr>
                <w:rFonts w:hint="eastAsia"/>
                <w:sz w:val="24"/>
              </w:rPr>
              <w:t>四周</w:t>
            </w:r>
            <w:r>
              <w:rPr>
                <w:sz w:val="24"/>
              </w:rPr>
              <w:t>图</w:t>
            </w:r>
          </w:p>
          <w:p>
            <w:pPr>
              <w:spacing w:line="480" w:lineRule="auto"/>
              <w:ind w:firstLine="480" w:firstLineChars="200"/>
              <w:rPr>
                <w:sz w:val="24"/>
              </w:rPr>
            </w:pPr>
            <w:r>
              <w:rPr>
                <w:sz w:val="24"/>
              </w:rPr>
              <w:t>附图</w:t>
            </w:r>
            <w:r>
              <w:rPr>
                <w:rFonts w:hint="eastAsia"/>
                <w:sz w:val="24"/>
              </w:rPr>
              <w:t>3</w:t>
            </w:r>
            <w:r>
              <w:rPr>
                <w:sz w:val="24"/>
              </w:rPr>
              <w:t>项目</w:t>
            </w:r>
            <w:r>
              <w:rPr>
                <w:rFonts w:hint="eastAsia"/>
                <w:sz w:val="24"/>
              </w:rPr>
              <w:t>平</w:t>
            </w:r>
            <w:r>
              <w:rPr>
                <w:sz w:val="24"/>
              </w:rPr>
              <w:t>面而置图</w:t>
            </w:r>
          </w:p>
          <w:p>
            <w:pPr>
              <w:spacing w:line="480" w:lineRule="auto"/>
              <w:rPr>
                <w:sz w:val="24"/>
              </w:rPr>
            </w:pPr>
            <w:r>
              <w:rPr>
                <w:sz w:val="24"/>
              </w:rPr>
              <w:t>二、如果本报告表不能说明项目产生的污染及对环境造成的影响，应进行专项评价。根据建设项目的特点和当地环境境征，应选下列1-2项进行专项评价。</w:t>
            </w:r>
          </w:p>
          <w:p>
            <w:pPr>
              <w:spacing w:line="480" w:lineRule="auto"/>
              <w:ind w:firstLine="480" w:firstLineChars="200"/>
              <w:rPr>
                <w:sz w:val="24"/>
              </w:rPr>
            </w:pPr>
            <w:r>
              <w:rPr>
                <w:sz w:val="24"/>
              </w:rPr>
              <w:t>1.大气环境影响专项评价</w:t>
            </w:r>
          </w:p>
          <w:p>
            <w:pPr>
              <w:spacing w:line="480" w:lineRule="auto"/>
              <w:ind w:firstLine="480" w:firstLineChars="200"/>
              <w:rPr>
                <w:sz w:val="24"/>
              </w:rPr>
            </w:pPr>
            <w:r>
              <w:rPr>
                <w:sz w:val="24"/>
              </w:rPr>
              <w:t>2.水环境影响专项评价(包括地表水和地下水)</w:t>
            </w:r>
          </w:p>
          <w:p>
            <w:pPr>
              <w:spacing w:line="480" w:lineRule="auto"/>
              <w:ind w:firstLine="480" w:firstLineChars="200"/>
              <w:rPr>
                <w:sz w:val="24"/>
              </w:rPr>
            </w:pPr>
            <w:r>
              <w:rPr>
                <w:sz w:val="24"/>
              </w:rPr>
              <w:t>3.生态影响专项评价</w:t>
            </w:r>
          </w:p>
          <w:p>
            <w:pPr>
              <w:spacing w:line="480" w:lineRule="auto"/>
              <w:ind w:firstLine="480" w:firstLineChars="200"/>
              <w:rPr>
                <w:sz w:val="24"/>
              </w:rPr>
            </w:pPr>
            <w:r>
              <w:rPr>
                <w:sz w:val="24"/>
              </w:rPr>
              <w:t>4.声影响专项评价</w:t>
            </w:r>
          </w:p>
          <w:p>
            <w:pPr>
              <w:spacing w:line="480" w:lineRule="auto"/>
              <w:ind w:firstLine="480" w:firstLineChars="200"/>
              <w:rPr>
                <w:sz w:val="24"/>
              </w:rPr>
            </w:pPr>
            <w:r>
              <w:rPr>
                <w:sz w:val="24"/>
              </w:rPr>
              <w:t>5.土壤影响专项评价</w:t>
            </w:r>
          </w:p>
          <w:p>
            <w:pPr>
              <w:spacing w:line="480" w:lineRule="auto"/>
              <w:ind w:firstLine="480" w:firstLineChars="200"/>
              <w:rPr>
                <w:sz w:val="24"/>
              </w:rPr>
            </w:pPr>
            <w:r>
              <w:rPr>
                <w:sz w:val="24"/>
              </w:rPr>
              <w:t>6.固体废弃物影响专项评价</w:t>
            </w:r>
          </w:p>
          <w:p>
            <w:pPr>
              <w:spacing w:line="480" w:lineRule="auto"/>
              <w:ind w:firstLine="480" w:firstLineChars="200"/>
              <w:rPr>
                <w:sz w:val="24"/>
              </w:rPr>
            </w:pPr>
            <w:r>
              <w:rPr>
                <w:sz w:val="24"/>
              </w:rPr>
              <w:t>以上专项评价木包括的可另列专项，专项评价按照《环境影响评价技术导则》中的要求进行</w:t>
            </w:r>
            <w:r>
              <w:rPr>
                <w:rFonts w:hint="eastAsia"/>
                <w:sz w:val="24"/>
              </w:rPr>
              <w:t>。</w:t>
            </w:r>
          </w:p>
          <w:p>
            <w:pPr>
              <w:spacing w:line="480" w:lineRule="auto"/>
              <w:rPr>
                <w:sz w:val="24"/>
              </w:rPr>
            </w:pPr>
          </w:p>
          <w:p>
            <w:pPr>
              <w:spacing w:line="480" w:lineRule="auto"/>
              <w:rPr>
                <w:sz w:val="24"/>
              </w:rPr>
            </w:pPr>
          </w:p>
          <w:p>
            <w:pPr>
              <w:spacing w:line="480" w:lineRule="auto"/>
              <w:rPr>
                <w:sz w:val="24"/>
              </w:rPr>
            </w:pPr>
          </w:p>
        </w:tc>
      </w:tr>
    </w:tbl>
    <w:p/>
    <w:sectPr>
      <w:footerReference r:id="rId7" w:type="default"/>
      <w:pgSz w:w="11906" w:h="16838"/>
      <w:pgMar w:top="1440" w:right="1174" w:bottom="1440" w:left="1474" w:header="0" w:footer="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0287" w:usb1="00000000" w:usb2="00000000" w:usb3="00000000" w:csb0="4000009F" w:csb1="DFD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287" w:usb1="00000000" w:usb2="00000000" w:usb3="00000000" w:csb0="4000009F" w:csb1="DFD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0287" w:usb1="00000000" w:usb2="00000000" w:usb3="00000000" w:csb0="4000009F" w:csb1="DFD70000"/>
  </w:font>
  <w:font w:name="Courier New">
    <w:panose1 w:val="02070309020205020404"/>
    <w:charset w:val="00"/>
    <w:family w:val="modern"/>
    <w:pitch w:val="default"/>
    <w:sig w:usb0="00000287" w:usb1="00000000" w:usb2="00000000" w:usb3="00000000" w:csb0="4000009F" w:csb1="DFD7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MS Mincho">
    <w:panose1 w:val="02020609040205080304"/>
    <w:charset w:val="80"/>
    <w:family w:val="roman"/>
    <w:pitch w:val="default"/>
    <w:sig w:usb0="E00002FF" w:usb1="6AC7FDFB" w:usb2="00000012" w:usb3="00000000" w:csb0="4002009F" w:csb1="DFD70000"/>
  </w:font>
  <w:font w:name="方正宋黑简体">
    <w:panose1 w:val="03000509000000000000"/>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fldChar w:fldCharType="begin"/>
    </w:r>
    <w:r>
      <w:rPr>
        <w:rStyle w:val="34"/>
      </w:rPr>
      <w:instrText xml:space="preserve">PAGE  </w:instrTex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4"/>
      </w:rPr>
    </w:pPr>
    <w:r>
      <w:fldChar w:fldCharType="begin"/>
    </w:r>
    <w:r>
      <w:rPr>
        <w:rStyle w:val="34"/>
      </w:rPr>
      <w:instrText xml:space="preserve">PAGE  </w:instrText>
    </w:r>
    <w:r>
      <w:fldChar w:fldCharType="separate"/>
    </w:r>
    <w:r>
      <w:rPr>
        <w:rStyle w:val="34"/>
      </w:rPr>
      <w:t>38</w:t>
    </w:r>
    <w:r>
      <w:fldChar w:fldCharType="end"/>
    </w:r>
  </w:p>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3C0DA"/>
    <w:multiLevelType w:val="singleLevel"/>
    <w:tmpl w:val="53A3C0DA"/>
    <w:lvl w:ilvl="0" w:tentative="0">
      <w:start w:val="1"/>
      <w:numFmt w:val="decimal"/>
      <w:suff w:val="nothing"/>
      <w:lvlText w:val="（%1）"/>
      <w:lvlJc w:val="left"/>
    </w:lvl>
  </w:abstractNum>
  <w:abstractNum w:abstractNumId="1">
    <w:nsid w:val="5A0B2BF2"/>
    <w:multiLevelType w:val="multilevel"/>
    <w:tmpl w:val="5A0B2BF2"/>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FBDD17B"/>
    <w:multiLevelType w:val="singleLevel"/>
    <w:tmpl w:val="5FBDD17B"/>
    <w:lvl w:ilvl="0" w:tentative="0">
      <w:start w:val="3"/>
      <w:numFmt w:val="upperLetter"/>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E152D"/>
    <w:rsid w:val="000004FA"/>
    <w:rsid w:val="00000895"/>
    <w:rsid w:val="00001203"/>
    <w:rsid w:val="00001BA6"/>
    <w:rsid w:val="0000219C"/>
    <w:rsid w:val="00003331"/>
    <w:rsid w:val="00004E60"/>
    <w:rsid w:val="00005015"/>
    <w:rsid w:val="00005AB4"/>
    <w:rsid w:val="00005EA8"/>
    <w:rsid w:val="00007887"/>
    <w:rsid w:val="00007E43"/>
    <w:rsid w:val="00012209"/>
    <w:rsid w:val="00012247"/>
    <w:rsid w:val="0001261E"/>
    <w:rsid w:val="00014597"/>
    <w:rsid w:val="0001696D"/>
    <w:rsid w:val="00016E9C"/>
    <w:rsid w:val="0001713B"/>
    <w:rsid w:val="00017288"/>
    <w:rsid w:val="00024EF6"/>
    <w:rsid w:val="000256A6"/>
    <w:rsid w:val="0002715B"/>
    <w:rsid w:val="000305C5"/>
    <w:rsid w:val="00030BC8"/>
    <w:rsid w:val="00032309"/>
    <w:rsid w:val="000328D9"/>
    <w:rsid w:val="00032E21"/>
    <w:rsid w:val="00033CA7"/>
    <w:rsid w:val="000348AB"/>
    <w:rsid w:val="00034915"/>
    <w:rsid w:val="0003592E"/>
    <w:rsid w:val="000374EF"/>
    <w:rsid w:val="000409E9"/>
    <w:rsid w:val="00040C1B"/>
    <w:rsid w:val="00041C18"/>
    <w:rsid w:val="00042910"/>
    <w:rsid w:val="000449CF"/>
    <w:rsid w:val="000449EA"/>
    <w:rsid w:val="00045AF0"/>
    <w:rsid w:val="000500E1"/>
    <w:rsid w:val="0005081D"/>
    <w:rsid w:val="000526A9"/>
    <w:rsid w:val="00052CD6"/>
    <w:rsid w:val="00053C6B"/>
    <w:rsid w:val="00053ED9"/>
    <w:rsid w:val="0005453E"/>
    <w:rsid w:val="00054CA4"/>
    <w:rsid w:val="000562DA"/>
    <w:rsid w:val="0005672E"/>
    <w:rsid w:val="000573C4"/>
    <w:rsid w:val="000600BF"/>
    <w:rsid w:val="000613AB"/>
    <w:rsid w:val="00064BB8"/>
    <w:rsid w:val="00065672"/>
    <w:rsid w:val="00065ABB"/>
    <w:rsid w:val="00065D7A"/>
    <w:rsid w:val="000671FE"/>
    <w:rsid w:val="000674A0"/>
    <w:rsid w:val="0007021B"/>
    <w:rsid w:val="00071620"/>
    <w:rsid w:val="00071D1C"/>
    <w:rsid w:val="00072776"/>
    <w:rsid w:val="000735B0"/>
    <w:rsid w:val="00077146"/>
    <w:rsid w:val="00077AD4"/>
    <w:rsid w:val="000802F7"/>
    <w:rsid w:val="00080ABE"/>
    <w:rsid w:val="00081E18"/>
    <w:rsid w:val="00082AEE"/>
    <w:rsid w:val="00083476"/>
    <w:rsid w:val="00083C7C"/>
    <w:rsid w:val="000847F7"/>
    <w:rsid w:val="0008512F"/>
    <w:rsid w:val="00086434"/>
    <w:rsid w:val="00086989"/>
    <w:rsid w:val="000873FE"/>
    <w:rsid w:val="00087B4B"/>
    <w:rsid w:val="00090A0B"/>
    <w:rsid w:val="00090B3B"/>
    <w:rsid w:val="00091164"/>
    <w:rsid w:val="00091368"/>
    <w:rsid w:val="00091E56"/>
    <w:rsid w:val="000925E8"/>
    <w:rsid w:val="000928C4"/>
    <w:rsid w:val="00092BA8"/>
    <w:rsid w:val="00092EC6"/>
    <w:rsid w:val="0009380C"/>
    <w:rsid w:val="00093E97"/>
    <w:rsid w:val="000958E1"/>
    <w:rsid w:val="00095C26"/>
    <w:rsid w:val="000A0DD4"/>
    <w:rsid w:val="000A140A"/>
    <w:rsid w:val="000A293B"/>
    <w:rsid w:val="000A2C27"/>
    <w:rsid w:val="000A34FC"/>
    <w:rsid w:val="000A3559"/>
    <w:rsid w:val="000A3CA7"/>
    <w:rsid w:val="000A4015"/>
    <w:rsid w:val="000A4481"/>
    <w:rsid w:val="000A5D8C"/>
    <w:rsid w:val="000A627A"/>
    <w:rsid w:val="000A7545"/>
    <w:rsid w:val="000B0BB8"/>
    <w:rsid w:val="000B1803"/>
    <w:rsid w:val="000B1D5B"/>
    <w:rsid w:val="000B24E6"/>
    <w:rsid w:val="000B27B1"/>
    <w:rsid w:val="000B2FBE"/>
    <w:rsid w:val="000B34E7"/>
    <w:rsid w:val="000B3B41"/>
    <w:rsid w:val="000B48F1"/>
    <w:rsid w:val="000B53E6"/>
    <w:rsid w:val="000B5402"/>
    <w:rsid w:val="000B5F2D"/>
    <w:rsid w:val="000B7279"/>
    <w:rsid w:val="000B7B1E"/>
    <w:rsid w:val="000B7B2C"/>
    <w:rsid w:val="000C0EC1"/>
    <w:rsid w:val="000C1D6C"/>
    <w:rsid w:val="000C2EA2"/>
    <w:rsid w:val="000C3329"/>
    <w:rsid w:val="000C41AA"/>
    <w:rsid w:val="000C451F"/>
    <w:rsid w:val="000C4526"/>
    <w:rsid w:val="000C4535"/>
    <w:rsid w:val="000C562A"/>
    <w:rsid w:val="000C6076"/>
    <w:rsid w:val="000C6F5B"/>
    <w:rsid w:val="000D039D"/>
    <w:rsid w:val="000D180E"/>
    <w:rsid w:val="000D1D3F"/>
    <w:rsid w:val="000D222E"/>
    <w:rsid w:val="000D36CD"/>
    <w:rsid w:val="000D49E7"/>
    <w:rsid w:val="000D590E"/>
    <w:rsid w:val="000D5BEA"/>
    <w:rsid w:val="000D67CD"/>
    <w:rsid w:val="000D6A59"/>
    <w:rsid w:val="000D71A3"/>
    <w:rsid w:val="000D7F8E"/>
    <w:rsid w:val="000E04CE"/>
    <w:rsid w:val="000E0EA3"/>
    <w:rsid w:val="000E2709"/>
    <w:rsid w:val="000E29FF"/>
    <w:rsid w:val="000E2D9E"/>
    <w:rsid w:val="000E3685"/>
    <w:rsid w:val="000E3FAB"/>
    <w:rsid w:val="000E5340"/>
    <w:rsid w:val="000E5B2A"/>
    <w:rsid w:val="000E5B36"/>
    <w:rsid w:val="000E5F1F"/>
    <w:rsid w:val="000E6152"/>
    <w:rsid w:val="000E6C97"/>
    <w:rsid w:val="000F17D9"/>
    <w:rsid w:val="000F17FA"/>
    <w:rsid w:val="000F186E"/>
    <w:rsid w:val="000F1BEE"/>
    <w:rsid w:val="000F1C5D"/>
    <w:rsid w:val="000F1CD8"/>
    <w:rsid w:val="000F68A4"/>
    <w:rsid w:val="000F6A56"/>
    <w:rsid w:val="000F6F9E"/>
    <w:rsid w:val="00100216"/>
    <w:rsid w:val="00101525"/>
    <w:rsid w:val="00101D54"/>
    <w:rsid w:val="00101EC1"/>
    <w:rsid w:val="0010288C"/>
    <w:rsid w:val="00102D1B"/>
    <w:rsid w:val="00102DDB"/>
    <w:rsid w:val="0010323B"/>
    <w:rsid w:val="00104360"/>
    <w:rsid w:val="00105987"/>
    <w:rsid w:val="00106424"/>
    <w:rsid w:val="00107E4A"/>
    <w:rsid w:val="0011039D"/>
    <w:rsid w:val="00110E0A"/>
    <w:rsid w:val="00110F51"/>
    <w:rsid w:val="0011135D"/>
    <w:rsid w:val="00111A84"/>
    <w:rsid w:val="00111F6F"/>
    <w:rsid w:val="00112B4B"/>
    <w:rsid w:val="001135DA"/>
    <w:rsid w:val="00113C44"/>
    <w:rsid w:val="0011498F"/>
    <w:rsid w:val="00115010"/>
    <w:rsid w:val="001156B0"/>
    <w:rsid w:val="00115B46"/>
    <w:rsid w:val="00116E37"/>
    <w:rsid w:val="00117D99"/>
    <w:rsid w:val="001200F8"/>
    <w:rsid w:val="00121FD1"/>
    <w:rsid w:val="001225E9"/>
    <w:rsid w:val="00124041"/>
    <w:rsid w:val="00125612"/>
    <w:rsid w:val="00126578"/>
    <w:rsid w:val="001276C6"/>
    <w:rsid w:val="00131010"/>
    <w:rsid w:val="00131A63"/>
    <w:rsid w:val="00131AFC"/>
    <w:rsid w:val="00131F77"/>
    <w:rsid w:val="00132180"/>
    <w:rsid w:val="00132209"/>
    <w:rsid w:val="00133CF4"/>
    <w:rsid w:val="00133D20"/>
    <w:rsid w:val="001342B5"/>
    <w:rsid w:val="00134D5D"/>
    <w:rsid w:val="001352EA"/>
    <w:rsid w:val="00135732"/>
    <w:rsid w:val="00135FC9"/>
    <w:rsid w:val="001364A6"/>
    <w:rsid w:val="00137220"/>
    <w:rsid w:val="001378FA"/>
    <w:rsid w:val="001402B1"/>
    <w:rsid w:val="00140EED"/>
    <w:rsid w:val="00141CE3"/>
    <w:rsid w:val="0014250F"/>
    <w:rsid w:val="00142651"/>
    <w:rsid w:val="00142DC5"/>
    <w:rsid w:val="0014460D"/>
    <w:rsid w:val="00145246"/>
    <w:rsid w:val="00145E66"/>
    <w:rsid w:val="00145F2A"/>
    <w:rsid w:val="00146197"/>
    <w:rsid w:val="001469D1"/>
    <w:rsid w:val="00147222"/>
    <w:rsid w:val="00147AE6"/>
    <w:rsid w:val="001507C3"/>
    <w:rsid w:val="00150901"/>
    <w:rsid w:val="00150CCD"/>
    <w:rsid w:val="001511DB"/>
    <w:rsid w:val="00151C8D"/>
    <w:rsid w:val="00152D35"/>
    <w:rsid w:val="0015316E"/>
    <w:rsid w:val="0015331C"/>
    <w:rsid w:val="00155DA7"/>
    <w:rsid w:val="00156517"/>
    <w:rsid w:val="0015718D"/>
    <w:rsid w:val="00157BF8"/>
    <w:rsid w:val="00161654"/>
    <w:rsid w:val="00161E7B"/>
    <w:rsid w:val="00161FEB"/>
    <w:rsid w:val="00162F2B"/>
    <w:rsid w:val="00163E92"/>
    <w:rsid w:val="00163FA9"/>
    <w:rsid w:val="0016565C"/>
    <w:rsid w:val="001668BE"/>
    <w:rsid w:val="0016752A"/>
    <w:rsid w:val="00167C76"/>
    <w:rsid w:val="0017085E"/>
    <w:rsid w:val="00171730"/>
    <w:rsid w:val="00171A31"/>
    <w:rsid w:val="00171F7B"/>
    <w:rsid w:val="00172014"/>
    <w:rsid w:val="0017258E"/>
    <w:rsid w:val="00172EB8"/>
    <w:rsid w:val="00173BF9"/>
    <w:rsid w:val="001748A1"/>
    <w:rsid w:val="00176115"/>
    <w:rsid w:val="0017630A"/>
    <w:rsid w:val="00180C4B"/>
    <w:rsid w:val="001812F1"/>
    <w:rsid w:val="00181655"/>
    <w:rsid w:val="00181AD9"/>
    <w:rsid w:val="00181B17"/>
    <w:rsid w:val="00182CF1"/>
    <w:rsid w:val="00183BF9"/>
    <w:rsid w:val="0018610D"/>
    <w:rsid w:val="0018787E"/>
    <w:rsid w:val="00187FC5"/>
    <w:rsid w:val="0019173A"/>
    <w:rsid w:val="0019175A"/>
    <w:rsid w:val="00192803"/>
    <w:rsid w:val="00192932"/>
    <w:rsid w:val="00194CEF"/>
    <w:rsid w:val="001951E2"/>
    <w:rsid w:val="001952ED"/>
    <w:rsid w:val="00197AB3"/>
    <w:rsid w:val="001A03FE"/>
    <w:rsid w:val="001A0F33"/>
    <w:rsid w:val="001A102E"/>
    <w:rsid w:val="001A1310"/>
    <w:rsid w:val="001A1A77"/>
    <w:rsid w:val="001A3200"/>
    <w:rsid w:val="001A35C0"/>
    <w:rsid w:val="001A3F63"/>
    <w:rsid w:val="001A4834"/>
    <w:rsid w:val="001A4AED"/>
    <w:rsid w:val="001A6082"/>
    <w:rsid w:val="001A7FC6"/>
    <w:rsid w:val="001B020E"/>
    <w:rsid w:val="001B1023"/>
    <w:rsid w:val="001B38D5"/>
    <w:rsid w:val="001B40B8"/>
    <w:rsid w:val="001B4BBF"/>
    <w:rsid w:val="001B4D8A"/>
    <w:rsid w:val="001B6680"/>
    <w:rsid w:val="001B7DEA"/>
    <w:rsid w:val="001C07B1"/>
    <w:rsid w:val="001C0F21"/>
    <w:rsid w:val="001C2DA8"/>
    <w:rsid w:val="001C31B5"/>
    <w:rsid w:val="001C38E6"/>
    <w:rsid w:val="001D3551"/>
    <w:rsid w:val="001D368C"/>
    <w:rsid w:val="001D3693"/>
    <w:rsid w:val="001D3E67"/>
    <w:rsid w:val="001D6328"/>
    <w:rsid w:val="001D6331"/>
    <w:rsid w:val="001D673E"/>
    <w:rsid w:val="001D69A6"/>
    <w:rsid w:val="001E1A06"/>
    <w:rsid w:val="001E265B"/>
    <w:rsid w:val="001E2A9F"/>
    <w:rsid w:val="001E34D3"/>
    <w:rsid w:val="001E3B3B"/>
    <w:rsid w:val="001E47E7"/>
    <w:rsid w:val="001E4C61"/>
    <w:rsid w:val="001E4F41"/>
    <w:rsid w:val="001E538D"/>
    <w:rsid w:val="001F07A3"/>
    <w:rsid w:val="001F199E"/>
    <w:rsid w:val="001F1EC2"/>
    <w:rsid w:val="001F249B"/>
    <w:rsid w:val="001F278B"/>
    <w:rsid w:val="001F327E"/>
    <w:rsid w:val="001F4EC1"/>
    <w:rsid w:val="001F5041"/>
    <w:rsid w:val="001F5649"/>
    <w:rsid w:val="001F6DF1"/>
    <w:rsid w:val="001F7262"/>
    <w:rsid w:val="00200174"/>
    <w:rsid w:val="00200234"/>
    <w:rsid w:val="00200977"/>
    <w:rsid w:val="00201061"/>
    <w:rsid w:val="002014EF"/>
    <w:rsid w:val="002023F3"/>
    <w:rsid w:val="00202B52"/>
    <w:rsid w:val="0020403D"/>
    <w:rsid w:val="0020488D"/>
    <w:rsid w:val="00205DD9"/>
    <w:rsid w:val="002065AA"/>
    <w:rsid w:val="00212C63"/>
    <w:rsid w:val="00212DEC"/>
    <w:rsid w:val="002139C4"/>
    <w:rsid w:val="002143B5"/>
    <w:rsid w:val="00215271"/>
    <w:rsid w:val="00215CD3"/>
    <w:rsid w:val="00215FB7"/>
    <w:rsid w:val="002167F7"/>
    <w:rsid w:val="002173E2"/>
    <w:rsid w:val="00217E82"/>
    <w:rsid w:val="00217FBE"/>
    <w:rsid w:val="0022074D"/>
    <w:rsid w:val="00223426"/>
    <w:rsid w:val="0022388D"/>
    <w:rsid w:val="002244BF"/>
    <w:rsid w:val="00224D02"/>
    <w:rsid w:val="002251D7"/>
    <w:rsid w:val="002262F9"/>
    <w:rsid w:val="002316E6"/>
    <w:rsid w:val="0023178D"/>
    <w:rsid w:val="00231D40"/>
    <w:rsid w:val="00232546"/>
    <w:rsid w:val="00232BCA"/>
    <w:rsid w:val="00232C67"/>
    <w:rsid w:val="00232D6E"/>
    <w:rsid w:val="00232E0A"/>
    <w:rsid w:val="00233537"/>
    <w:rsid w:val="00233CCC"/>
    <w:rsid w:val="002353EC"/>
    <w:rsid w:val="002365C3"/>
    <w:rsid w:val="002379C9"/>
    <w:rsid w:val="00237EF0"/>
    <w:rsid w:val="00240D2B"/>
    <w:rsid w:val="002426FF"/>
    <w:rsid w:val="00242C85"/>
    <w:rsid w:val="00243D4B"/>
    <w:rsid w:val="00244B7E"/>
    <w:rsid w:val="002453D8"/>
    <w:rsid w:val="002465AE"/>
    <w:rsid w:val="002469E1"/>
    <w:rsid w:val="00246FCA"/>
    <w:rsid w:val="002474B0"/>
    <w:rsid w:val="00247C35"/>
    <w:rsid w:val="00247D1C"/>
    <w:rsid w:val="00250E4D"/>
    <w:rsid w:val="00250E7B"/>
    <w:rsid w:val="0025264E"/>
    <w:rsid w:val="00252EAA"/>
    <w:rsid w:val="00253AEE"/>
    <w:rsid w:val="002543DF"/>
    <w:rsid w:val="00257330"/>
    <w:rsid w:val="0026025A"/>
    <w:rsid w:val="00261434"/>
    <w:rsid w:val="00262D10"/>
    <w:rsid w:val="00263F60"/>
    <w:rsid w:val="00264A48"/>
    <w:rsid w:val="00264BBF"/>
    <w:rsid w:val="00267527"/>
    <w:rsid w:val="002675AD"/>
    <w:rsid w:val="002710E6"/>
    <w:rsid w:val="0027143A"/>
    <w:rsid w:val="00271F46"/>
    <w:rsid w:val="00274B02"/>
    <w:rsid w:val="00275D62"/>
    <w:rsid w:val="00276FC2"/>
    <w:rsid w:val="00277EB5"/>
    <w:rsid w:val="002807CD"/>
    <w:rsid w:val="00282F48"/>
    <w:rsid w:val="00283EE6"/>
    <w:rsid w:val="002844F8"/>
    <w:rsid w:val="00284B54"/>
    <w:rsid w:val="00285030"/>
    <w:rsid w:val="00286296"/>
    <w:rsid w:val="0028657A"/>
    <w:rsid w:val="00287094"/>
    <w:rsid w:val="0029140C"/>
    <w:rsid w:val="00292C3F"/>
    <w:rsid w:val="00292D35"/>
    <w:rsid w:val="00292D54"/>
    <w:rsid w:val="00293010"/>
    <w:rsid w:val="002946DD"/>
    <w:rsid w:val="00294975"/>
    <w:rsid w:val="00294B3B"/>
    <w:rsid w:val="00294CDB"/>
    <w:rsid w:val="00295AC7"/>
    <w:rsid w:val="002962EF"/>
    <w:rsid w:val="0029639F"/>
    <w:rsid w:val="00297482"/>
    <w:rsid w:val="002A0548"/>
    <w:rsid w:val="002A08ED"/>
    <w:rsid w:val="002A1373"/>
    <w:rsid w:val="002A1B44"/>
    <w:rsid w:val="002A2805"/>
    <w:rsid w:val="002A2DBF"/>
    <w:rsid w:val="002A4D23"/>
    <w:rsid w:val="002A547C"/>
    <w:rsid w:val="002A587A"/>
    <w:rsid w:val="002A5971"/>
    <w:rsid w:val="002A73A5"/>
    <w:rsid w:val="002A7427"/>
    <w:rsid w:val="002B0132"/>
    <w:rsid w:val="002B0462"/>
    <w:rsid w:val="002B0683"/>
    <w:rsid w:val="002B078F"/>
    <w:rsid w:val="002B1637"/>
    <w:rsid w:val="002B16F3"/>
    <w:rsid w:val="002B1D13"/>
    <w:rsid w:val="002B2F8D"/>
    <w:rsid w:val="002B323C"/>
    <w:rsid w:val="002B34DA"/>
    <w:rsid w:val="002B3B1D"/>
    <w:rsid w:val="002B4830"/>
    <w:rsid w:val="002B67CA"/>
    <w:rsid w:val="002C0526"/>
    <w:rsid w:val="002C0722"/>
    <w:rsid w:val="002C1C94"/>
    <w:rsid w:val="002C300C"/>
    <w:rsid w:val="002C408B"/>
    <w:rsid w:val="002C582F"/>
    <w:rsid w:val="002C6D4B"/>
    <w:rsid w:val="002C761A"/>
    <w:rsid w:val="002D1623"/>
    <w:rsid w:val="002D2399"/>
    <w:rsid w:val="002D531A"/>
    <w:rsid w:val="002D5EF1"/>
    <w:rsid w:val="002D6CF5"/>
    <w:rsid w:val="002D73F0"/>
    <w:rsid w:val="002D77AA"/>
    <w:rsid w:val="002E08C7"/>
    <w:rsid w:val="002E11F4"/>
    <w:rsid w:val="002E21B5"/>
    <w:rsid w:val="002E2424"/>
    <w:rsid w:val="002E24A6"/>
    <w:rsid w:val="002E2CAF"/>
    <w:rsid w:val="002E31C9"/>
    <w:rsid w:val="002E3ACB"/>
    <w:rsid w:val="002E3D87"/>
    <w:rsid w:val="002E464E"/>
    <w:rsid w:val="002E4749"/>
    <w:rsid w:val="002E485D"/>
    <w:rsid w:val="002E4995"/>
    <w:rsid w:val="002E4FD3"/>
    <w:rsid w:val="002E585A"/>
    <w:rsid w:val="002E6030"/>
    <w:rsid w:val="002E6BD4"/>
    <w:rsid w:val="002F1792"/>
    <w:rsid w:val="002F2AE7"/>
    <w:rsid w:val="002F3F48"/>
    <w:rsid w:val="002F44EB"/>
    <w:rsid w:val="002F4FFC"/>
    <w:rsid w:val="002F50D0"/>
    <w:rsid w:val="002F5A0A"/>
    <w:rsid w:val="002F658B"/>
    <w:rsid w:val="002F6689"/>
    <w:rsid w:val="002F6AC2"/>
    <w:rsid w:val="002F7259"/>
    <w:rsid w:val="002F788B"/>
    <w:rsid w:val="002F792F"/>
    <w:rsid w:val="0030031E"/>
    <w:rsid w:val="003024AC"/>
    <w:rsid w:val="00302DC9"/>
    <w:rsid w:val="00303D2A"/>
    <w:rsid w:val="00306080"/>
    <w:rsid w:val="00306CE8"/>
    <w:rsid w:val="00311481"/>
    <w:rsid w:val="003116A7"/>
    <w:rsid w:val="00311A91"/>
    <w:rsid w:val="00311CBC"/>
    <w:rsid w:val="003121C1"/>
    <w:rsid w:val="00313692"/>
    <w:rsid w:val="0031372C"/>
    <w:rsid w:val="0031393B"/>
    <w:rsid w:val="00313ACA"/>
    <w:rsid w:val="00313F20"/>
    <w:rsid w:val="00314CEE"/>
    <w:rsid w:val="003162AF"/>
    <w:rsid w:val="00316FFD"/>
    <w:rsid w:val="003172F5"/>
    <w:rsid w:val="00317D17"/>
    <w:rsid w:val="003200B7"/>
    <w:rsid w:val="0032037E"/>
    <w:rsid w:val="003222BC"/>
    <w:rsid w:val="003230E0"/>
    <w:rsid w:val="00325115"/>
    <w:rsid w:val="00325617"/>
    <w:rsid w:val="0032611C"/>
    <w:rsid w:val="00326395"/>
    <w:rsid w:val="00326A3A"/>
    <w:rsid w:val="00327217"/>
    <w:rsid w:val="00327252"/>
    <w:rsid w:val="00327FEE"/>
    <w:rsid w:val="00331424"/>
    <w:rsid w:val="00331E03"/>
    <w:rsid w:val="0033221A"/>
    <w:rsid w:val="00332684"/>
    <w:rsid w:val="00332D07"/>
    <w:rsid w:val="003343D8"/>
    <w:rsid w:val="00335352"/>
    <w:rsid w:val="00336779"/>
    <w:rsid w:val="00340660"/>
    <w:rsid w:val="00341377"/>
    <w:rsid w:val="00341507"/>
    <w:rsid w:val="00341695"/>
    <w:rsid w:val="003420FF"/>
    <w:rsid w:val="00342A6A"/>
    <w:rsid w:val="00343EF8"/>
    <w:rsid w:val="00345E9B"/>
    <w:rsid w:val="0034611C"/>
    <w:rsid w:val="00346C37"/>
    <w:rsid w:val="003470C5"/>
    <w:rsid w:val="0034769A"/>
    <w:rsid w:val="003521C5"/>
    <w:rsid w:val="003522EF"/>
    <w:rsid w:val="003542CA"/>
    <w:rsid w:val="0035598D"/>
    <w:rsid w:val="00355C80"/>
    <w:rsid w:val="00355E62"/>
    <w:rsid w:val="003561D7"/>
    <w:rsid w:val="003561E2"/>
    <w:rsid w:val="003564C8"/>
    <w:rsid w:val="0035663D"/>
    <w:rsid w:val="003575F3"/>
    <w:rsid w:val="00362284"/>
    <w:rsid w:val="003625DB"/>
    <w:rsid w:val="003634B6"/>
    <w:rsid w:val="00363EB9"/>
    <w:rsid w:val="003645DD"/>
    <w:rsid w:val="003653F6"/>
    <w:rsid w:val="003654A7"/>
    <w:rsid w:val="003700E1"/>
    <w:rsid w:val="0037305A"/>
    <w:rsid w:val="00373FCF"/>
    <w:rsid w:val="0037433C"/>
    <w:rsid w:val="003758F2"/>
    <w:rsid w:val="00375C96"/>
    <w:rsid w:val="00375F07"/>
    <w:rsid w:val="003767CF"/>
    <w:rsid w:val="00376A70"/>
    <w:rsid w:val="00376D4A"/>
    <w:rsid w:val="00377461"/>
    <w:rsid w:val="0037790E"/>
    <w:rsid w:val="003804D0"/>
    <w:rsid w:val="00382749"/>
    <w:rsid w:val="00382DBF"/>
    <w:rsid w:val="003838E5"/>
    <w:rsid w:val="003839F5"/>
    <w:rsid w:val="00383AD5"/>
    <w:rsid w:val="00383B56"/>
    <w:rsid w:val="003854C4"/>
    <w:rsid w:val="00385666"/>
    <w:rsid w:val="0038652A"/>
    <w:rsid w:val="00386551"/>
    <w:rsid w:val="00391405"/>
    <w:rsid w:val="003920C2"/>
    <w:rsid w:val="003922A6"/>
    <w:rsid w:val="00392FA5"/>
    <w:rsid w:val="00393BA2"/>
    <w:rsid w:val="00393F48"/>
    <w:rsid w:val="003957DB"/>
    <w:rsid w:val="003966E6"/>
    <w:rsid w:val="00397451"/>
    <w:rsid w:val="003975FC"/>
    <w:rsid w:val="003A0089"/>
    <w:rsid w:val="003A09DB"/>
    <w:rsid w:val="003A12C9"/>
    <w:rsid w:val="003A245E"/>
    <w:rsid w:val="003A31D7"/>
    <w:rsid w:val="003A59E9"/>
    <w:rsid w:val="003A5C79"/>
    <w:rsid w:val="003A678F"/>
    <w:rsid w:val="003A6935"/>
    <w:rsid w:val="003A7B1D"/>
    <w:rsid w:val="003B01E8"/>
    <w:rsid w:val="003B0791"/>
    <w:rsid w:val="003B0F19"/>
    <w:rsid w:val="003B1847"/>
    <w:rsid w:val="003B2419"/>
    <w:rsid w:val="003B2A97"/>
    <w:rsid w:val="003B2DB5"/>
    <w:rsid w:val="003B3A52"/>
    <w:rsid w:val="003B42FE"/>
    <w:rsid w:val="003B568C"/>
    <w:rsid w:val="003B7B9C"/>
    <w:rsid w:val="003C0D91"/>
    <w:rsid w:val="003C1381"/>
    <w:rsid w:val="003C1C16"/>
    <w:rsid w:val="003C1D22"/>
    <w:rsid w:val="003C3691"/>
    <w:rsid w:val="003C3F7E"/>
    <w:rsid w:val="003C4B8C"/>
    <w:rsid w:val="003C4CE6"/>
    <w:rsid w:val="003C5F46"/>
    <w:rsid w:val="003D0E5A"/>
    <w:rsid w:val="003D129B"/>
    <w:rsid w:val="003D139E"/>
    <w:rsid w:val="003D2556"/>
    <w:rsid w:val="003D3541"/>
    <w:rsid w:val="003D420D"/>
    <w:rsid w:val="003D6188"/>
    <w:rsid w:val="003D72C4"/>
    <w:rsid w:val="003D7492"/>
    <w:rsid w:val="003E078D"/>
    <w:rsid w:val="003E3458"/>
    <w:rsid w:val="003E4B04"/>
    <w:rsid w:val="003E4D45"/>
    <w:rsid w:val="003E4F74"/>
    <w:rsid w:val="003E58C1"/>
    <w:rsid w:val="003F0E8F"/>
    <w:rsid w:val="003F210E"/>
    <w:rsid w:val="003F3508"/>
    <w:rsid w:val="003F4019"/>
    <w:rsid w:val="003F5926"/>
    <w:rsid w:val="003F5B70"/>
    <w:rsid w:val="003F6258"/>
    <w:rsid w:val="003F748E"/>
    <w:rsid w:val="003F7E6B"/>
    <w:rsid w:val="003F7E74"/>
    <w:rsid w:val="0040149F"/>
    <w:rsid w:val="0040298B"/>
    <w:rsid w:val="00404B0A"/>
    <w:rsid w:val="00404CAC"/>
    <w:rsid w:val="004053CB"/>
    <w:rsid w:val="00405C75"/>
    <w:rsid w:val="00406979"/>
    <w:rsid w:val="0040783A"/>
    <w:rsid w:val="004106DC"/>
    <w:rsid w:val="00411416"/>
    <w:rsid w:val="0041319B"/>
    <w:rsid w:val="004137C0"/>
    <w:rsid w:val="00414CE9"/>
    <w:rsid w:val="004154F3"/>
    <w:rsid w:val="0041596E"/>
    <w:rsid w:val="004169D9"/>
    <w:rsid w:val="00416DF6"/>
    <w:rsid w:val="004177C7"/>
    <w:rsid w:val="0042032F"/>
    <w:rsid w:val="004247A0"/>
    <w:rsid w:val="00425140"/>
    <w:rsid w:val="00426129"/>
    <w:rsid w:val="004275D4"/>
    <w:rsid w:val="0042763D"/>
    <w:rsid w:val="00427C4F"/>
    <w:rsid w:val="004310C8"/>
    <w:rsid w:val="004312F2"/>
    <w:rsid w:val="00431547"/>
    <w:rsid w:val="0043221D"/>
    <w:rsid w:val="00432B7C"/>
    <w:rsid w:val="00433649"/>
    <w:rsid w:val="00433918"/>
    <w:rsid w:val="00434A74"/>
    <w:rsid w:val="00434FB5"/>
    <w:rsid w:val="004352E7"/>
    <w:rsid w:val="00437A67"/>
    <w:rsid w:val="00440D7F"/>
    <w:rsid w:val="004421C2"/>
    <w:rsid w:val="004442A5"/>
    <w:rsid w:val="004449A7"/>
    <w:rsid w:val="00444DCA"/>
    <w:rsid w:val="004458B6"/>
    <w:rsid w:val="004471DE"/>
    <w:rsid w:val="00447389"/>
    <w:rsid w:val="00447A86"/>
    <w:rsid w:val="00447F00"/>
    <w:rsid w:val="0045087E"/>
    <w:rsid w:val="00450D9E"/>
    <w:rsid w:val="00451A37"/>
    <w:rsid w:val="00453E07"/>
    <w:rsid w:val="00454042"/>
    <w:rsid w:val="00454F31"/>
    <w:rsid w:val="00455601"/>
    <w:rsid w:val="00455A92"/>
    <w:rsid w:val="00455CF9"/>
    <w:rsid w:val="004565BA"/>
    <w:rsid w:val="00456797"/>
    <w:rsid w:val="00457CE4"/>
    <w:rsid w:val="00457E61"/>
    <w:rsid w:val="004629DF"/>
    <w:rsid w:val="00466661"/>
    <w:rsid w:val="00466FD6"/>
    <w:rsid w:val="004701D8"/>
    <w:rsid w:val="004708EE"/>
    <w:rsid w:val="00471892"/>
    <w:rsid w:val="00471EB6"/>
    <w:rsid w:val="00472CB8"/>
    <w:rsid w:val="00473C39"/>
    <w:rsid w:val="00473C5A"/>
    <w:rsid w:val="00473E57"/>
    <w:rsid w:val="00475C40"/>
    <w:rsid w:val="004760B0"/>
    <w:rsid w:val="00476C81"/>
    <w:rsid w:val="00477158"/>
    <w:rsid w:val="00477185"/>
    <w:rsid w:val="00477A91"/>
    <w:rsid w:val="00477F63"/>
    <w:rsid w:val="00477FCE"/>
    <w:rsid w:val="00480ADD"/>
    <w:rsid w:val="00480B26"/>
    <w:rsid w:val="00480C29"/>
    <w:rsid w:val="00481240"/>
    <w:rsid w:val="00481CC4"/>
    <w:rsid w:val="004828AF"/>
    <w:rsid w:val="00482E66"/>
    <w:rsid w:val="00482EF5"/>
    <w:rsid w:val="004838DE"/>
    <w:rsid w:val="0048399A"/>
    <w:rsid w:val="004847B8"/>
    <w:rsid w:val="00484D86"/>
    <w:rsid w:val="00485B44"/>
    <w:rsid w:val="00486C52"/>
    <w:rsid w:val="004871DC"/>
    <w:rsid w:val="00487BF9"/>
    <w:rsid w:val="00490A2C"/>
    <w:rsid w:val="00490DE4"/>
    <w:rsid w:val="00491D7E"/>
    <w:rsid w:val="00492A9A"/>
    <w:rsid w:val="00492B74"/>
    <w:rsid w:val="00494403"/>
    <w:rsid w:val="00494992"/>
    <w:rsid w:val="00496CF3"/>
    <w:rsid w:val="0049750E"/>
    <w:rsid w:val="004A054B"/>
    <w:rsid w:val="004A2179"/>
    <w:rsid w:val="004A2896"/>
    <w:rsid w:val="004A3437"/>
    <w:rsid w:val="004A345D"/>
    <w:rsid w:val="004A5646"/>
    <w:rsid w:val="004A7A50"/>
    <w:rsid w:val="004B05C6"/>
    <w:rsid w:val="004B0EBA"/>
    <w:rsid w:val="004B1712"/>
    <w:rsid w:val="004B1E19"/>
    <w:rsid w:val="004B2E88"/>
    <w:rsid w:val="004B319E"/>
    <w:rsid w:val="004B384F"/>
    <w:rsid w:val="004B4317"/>
    <w:rsid w:val="004B43A2"/>
    <w:rsid w:val="004B4B75"/>
    <w:rsid w:val="004B4F19"/>
    <w:rsid w:val="004B5376"/>
    <w:rsid w:val="004B6A3B"/>
    <w:rsid w:val="004C0BAB"/>
    <w:rsid w:val="004C0CCC"/>
    <w:rsid w:val="004C0E9B"/>
    <w:rsid w:val="004C13EE"/>
    <w:rsid w:val="004C2586"/>
    <w:rsid w:val="004C36AC"/>
    <w:rsid w:val="004C5F97"/>
    <w:rsid w:val="004C61D6"/>
    <w:rsid w:val="004C70C7"/>
    <w:rsid w:val="004D0767"/>
    <w:rsid w:val="004D0C6C"/>
    <w:rsid w:val="004D243D"/>
    <w:rsid w:val="004D2FA3"/>
    <w:rsid w:val="004D360C"/>
    <w:rsid w:val="004D3976"/>
    <w:rsid w:val="004D50FB"/>
    <w:rsid w:val="004D51D7"/>
    <w:rsid w:val="004D6016"/>
    <w:rsid w:val="004D7A2D"/>
    <w:rsid w:val="004D7E2F"/>
    <w:rsid w:val="004E07AB"/>
    <w:rsid w:val="004E155C"/>
    <w:rsid w:val="004E1702"/>
    <w:rsid w:val="004E1CDF"/>
    <w:rsid w:val="004E270B"/>
    <w:rsid w:val="004E2B40"/>
    <w:rsid w:val="004E5675"/>
    <w:rsid w:val="004E583D"/>
    <w:rsid w:val="004E5FE4"/>
    <w:rsid w:val="004E670B"/>
    <w:rsid w:val="004F095E"/>
    <w:rsid w:val="004F1800"/>
    <w:rsid w:val="004F250B"/>
    <w:rsid w:val="004F29FD"/>
    <w:rsid w:val="004F2AF4"/>
    <w:rsid w:val="004F3AA3"/>
    <w:rsid w:val="004F3DF7"/>
    <w:rsid w:val="004F47D8"/>
    <w:rsid w:val="004F71A7"/>
    <w:rsid w:val="004F71E8"/>
    <w:rsid w:val="004F7456"/>
    <w:rsid w:val="004F7643"/>
    <w:rsid w:val="004F7784"/>
    <w:rsid w:val="0050029E"/>
    <w:rsid w:val="005014E5"/>
    <w:rsid w:val="00501E89"/>
    <w:rsid w:val="0050283A"/>
    <w:rsid w:val="005043E5"/>
    <w:rsid w:val="00506ECD"/>
    <w:rsid w:val="00511318"/>
    <w:rsid w:val="0051256C"/>
    <w:rsid w:val="005127EE"/>
    <w:rsid w:val="00512D10"/>
    <w:rsid w:val="00513005"/>
    <w:rsid w:val="0051360A"/>
    <w:rsid w:val="00513865"/>
    <w:rsid w:val="005139D5"/>
    <w:rsid w:val="00513DB8"/>
    <w:rsid w:val="00516AA3"/>
    <w:rsid w:val="00517380"/>
    <w:rsid w:val="00517A88"/>
    <w:rsid w:val="00517C1D"/>
    <w:rsid w:val="00517C77"/>
    <w:rsid w:val="00517D7B"/>
    <w:rsid w:val="00520442"/>
    <w:rsid w:val="00520DC5"/>
    <w:rsid w:val="0052118C"/>
    <w:rsid w:val="005220EF"/>
    <w:rsid w:val="00522A87"/>
    <w:rsid w:val="00524483"/>
    <w:rsid w:val="00524B93"/>
    <w:rsid w:val="0052547B"/>
    <w:rsid w:val="00527F80"/>
    <w:rsid w:val="00527F90"/>
    <w:rsid w:val="00532899"/>
    <w:rsid w:val="005332D5"/>
    <w:rsid w:val="00540E38"/>
    <w:rsid w:val="00541750"/>
    <w:rsid w:val="005427BF"/>
    <w:rsid w:val="00542CB8"/>
    <w:rsid w:val="00542FFF"/>
    <w:rsid w:val="005439B9"/>
    <w:rsid w:val="00543F27"/>
    <w:rsid w:val="00543F4F"/>
    <w:rsid w:val="005457A6"/>
    <w:rsid w:val="005467DC"/>
    <w:rsid w:val="0055131D"/>
    <w:rsid w:val="00551405"/>
    <w:rsid w:val="005530C3"/>
    <w:rsid w:val="005556EC"/>
    <w:rsid w:val="005577B2"/>
    <w:rsid w:val="005600B8"/>
    <w:rsid w:val="00560D47"/>
    <w:rsid w:val="0056158C"/>
    <w:rsid w:val="005615BD"/>
    <w:rsid w:val="00561CEA"/>
    <w:rsid w:val="00561ECC"/>
    <w:rsid w:val="00562157"/>
    <w:rsid w:val="00562CD2"/>
    <w:rsid w:val="00564832"/>
    <w:rsid w:val="00565E65"/>
    <w:rsid w:val="00565FFF"/>
    <w:rsid w:val="0056727E"/>
    <w:rsid w:val="00570597"/>
    <w:rsid w:val="00570711"/>
    <w:rsid w:val="00571176"/>
    <w:rsid w:val="005721FA"/>
    <w:rsid w:val="0057333F"/>
    <w:rsid w:val="005736EF"/>
    <w:rsid w:val="005739AA"/>
    <w:rsid w:val="00573AC0"/>
    <w:rsid w:val="00573FBD"/>
    <w:rsid w:val="00574AD6"/>
    <w:rsid w:val="005757AE"/>
    <w:rsid w:val="0057608F"/>
    <w:rsid w:val="00577F78"/>
    <w:rsid w:val="00577FA5"/>
    <w:rsid w:val="00580A10"/>
    <w:rsid w:val="00580B72"/>
    <w:rsid w:val="00581167"/>
    <w:rsid w:val="00581FF7"/>
    <w:rsid w:val="00582091"/>
    <w:rsid w:val="00583D4E"/>
    <w:rsid w:val="00584E66"/>
    <w:rsid w:val="0058500A"/>
    <w:rsid w:val="00585641"/>
    <w:rsid w:val="00585F6D"/>
    <w:rsid w:val="00587B2C"/>
    <w:rsid w:val="00590651"/>
    <w:rsid w:val="00590A64"/>
    <w:rsid w:val="00592552"/>
    <w:rsid w:val="00592579"/>
    <w:rsid w:val="0059322F"/>
    <w:rsid w:val="0059335D"/>
    <w:rsid w:val="00593EBE"/>
    <w:rsid w:val="00594294"/>
    <w:rsid w:val="00595289"/>
    <w:rsid w:val="005955F1"/>
    <w:rsid w:val="00596F95"/>
    <w:rsid w:val="005A1B69"/>
    <w:rsid w:val="005A1BA6"/>
    <w:rsid w:val="005A2FB8"/>
    <w:rsid w:val="005A31C2"/>
    <w:rsid w:val="005A3FBD"/>
    <w:rsid w:val="005A4DAA"/>
    <w:rsid w:val="005A5446"/>
    <w:rsid w:val="005A5634"/>
    <w:rsid w:val="005B1BA5"/>
    <w:rsid w:val="005B1C84"/>
    <w:rsid w:val="005B26C7"/>
    <w:rsid w:val="005B51D3"/>
    <w:rsid w:val="005B5FEE"/>
    <w:rsid w:val="005B655E"/>
    <w:rsid w:val="005B7BC7"/>
    <w:rsid w:val="005C0B51"/>
    <w:rsid w:val="005C19E8"/>
    <w:rsid w:val="005C1BCB"/>
    <w:rsid w:val="005C2EC3"/>
    <w:rsid w:val="005C4553"/>
    <w:rsid w:val="005C4692"/>
    <w:rsid w:val="005C515B"/>
    <w:rsid w:val="005C5250"/>
    <w:rsid w:val="005C57CF"/>
    <w:rsid w:val="005C5874"/>
    <w:rsid w:val="005C667C"/>
    <w:rsid w:val="005D0160"/>
    <w:rsid w:val="005D02A7"/>
    <w:rsid w:val="005D02AA"/>
    <w:rsid w:val="005D2A71"/>
    <w:rsid w:val="005D373C"/>
    <w:rsid w:val="005D4124"/>
    <w:rsid w:val="005D7EE5"/>
    <w:rsid w:val="005E0368"/>
    <w:rsid w:val="005E2681"/>
    <w:rsid w:val="005E269E"/>
    <w:rsid w:val="005E2D84"/>
    <w:rsid w:val="005E4155"/>
    <w:rsid w:val="005E4A4A"/>
    <w:rsid w:val="005E4DDF"/>
    <w:rsid w:val="005E5029"/>
    <w:rsid w:val="005E5129"/>
    <w:rsid w:val="005F216A"/>
    <w:rsid w:val="005F2973"/>
    <w:rsid w:val="005F3E80"/>
    <w:rsid w:val="005F45CB"/>
    <w:rsid w:val="005F4FD0"/>
    <w:rsid w:val="005F59A0"/>
    <w:rsid w:val="006002EE"/>
    <w:rsid w:val="006025EB"/>
    <w:rsid w:val="00603663"/>
    <w:rsid w:val="006049E2"/>
    <w:rsid w:val="006056A1"/>
    <w:rsid w:val="00606D0F"/>
    <w:rsid w:val="00607938"/>
    <w:rsid w:val="00610C0E"/>
    <w:rsid w:val="00611329"/>
    <w:rsid w:val="00613765"/>
    <w:rsid w:val="00614192"/>
    <w:rsid w:val="006143E0"/>
    <w:rsid w:val="0061473B"/>
    <w:rsid w:val="00615E5A"/>
    <w:rsid w:val="00620A9B"/>
    <w:rsid w:val="00621C81"/>
    <w:rsid w:val="006222FA"/>
    <w:rsid w:val="00624658"/>
    <w:rsid w:val="006250C7"/>
    <w:rsid w:val="00627DDD"/>
    <w:rsid w:val="00631B6D"/>
    <w:rsid w:val="0064174F"/>
    <w:rsid w:val="00643273"/>
    <w:rsid w:val="006450CD"/>
    <w:rsid w:val="00645826"/>
    <w:rsid w:val="00646BAF"/>
    <w:rsid w:val="00646F8D"/>
    <w:rsid w:val="0064705C"/>
    <w:rsid w:val="00647125"/>
    <w:rsid w:val="00647F88"/>
    <w:rsid w:val="006500E8"/>
    <w:rsid w:val="00651F7B"/>
    <w:rsid w:val="0065237D"/>
    <w:rsid w:val="006529A8"/>
    <w:rsid w:val="00653FAC"/>
    <w:rsid w:val="00655429"/>
    <w:rsid w:val="006554B0"/>
    <w:rsid w:val="00655804"/>
    <w:rsid w:val="006567B1"/>
    <w:rsid w:val="00656A4C"/>
    <w:rsid w:val="00656B35"/>
    <w:rsid w:val="00657C67"/>
    <w:rsid w:val="00657E0B"/>
    <w:rsid w:val="00660832"/>
    <w:rsid w:val="00661C61"/>
    <w:rsid w:val="00662594"/>
    <w:rsid w:val="00663B30"/>
    <w:rsid w:val="0066423E"/>
    <w:rsid w:val="006648EF"/>
    <w:rsid w:val="0066548C"/>
    <w:rsid w:val="00665627"/>
    <w:rsid w:val="00665D33"/>
    <w:rsid w:val="00666311"/>
    <w:rsid w:val="00671226"/>
    <w:rsid w:val="00672F33"/>
    <w:rsid w:val="0067494F"/>
    <w:rsid w:val="00676D01"/>
    <w:rsid w:val="006804A9"/>
    <w:rsid w:val="00680D8B"/>
    <w:rsid w:val="0068162E"/>
    <w:rsid w:val="00681D04"/>
    <w:rsid w:val="00684575"/>
    <w:rsid w:val="00685294"/>
    <w:rsid w:val="0068563F"/>
    <w:rsid w:val="00685EE7"/>
    <w:rsid w:val="00686085"/>
    <w:rsid w:val="00687129"/>
    <w:rsid w:val="006876AD"/>
    <w:rsid w:val="0069036A"/>
    <w:rsid w:val="0069104C"/>
    <w:rsid w:val="0069138F"/>
    <w:rsid w:val="00691ABF"/>
    <w:rsid w:val="006925FB"/>
    <w:rsid w:val="00692634"/>
    <w:rsid w:val="006928B0"/>
    <w:rsid w:val="0069394A"/>
    <w:rsid w:val="00694169"/>
    <w:rsid w:val="00694432"/>
    <w:rsid w:val="0069461A"/>
    <w:rsid w:val="00696882"/>
    <w:rsid w:val="00696E4D"/>
    <w:rsid w:val="00697999"/>
    <w:rsid w:val="006A1787"/>
    <w:rsid w:val="006A1D78"/>
    <w:rsid w:val="006A239E"/>
    <w:rsid w:val="006A2F3C"/>
    <w:rsid w:val="006A59E0"/>
    <w:rsid w:val="006A5C1C"/>
    <w:rsid w:val="006A6C17"/>
    <w:rsid w:val="006A72F9"/>
    <w:rsid w:val="006A758D"/>
    <w:rsid w:val="006A766E"/>
    <w:rsid w:val="006A7DB6"/>
    <w:rsid w:val="006B13AE"/>
    <w:rsid w:val="006B23F8"/>
    <w:rsid w:val="006B2DF6"/>
    <w:rsid w:val="006B3A77"/>
    <w:rsid w:val="006B3DFA"/>
    <w:rsid w:val="006B48F7"/>
    <w:rsid w:val="006B5B0E"/>
    <w:rsid w:val="006B7D66"/>
    <w:rsid w:val="006C1649"/>
    <w:rsid w:val="006C1898"/>
    <w:rsid w:val="006C22F8"/>
    <w:rsid w:val="006C2306"/>
    <w:rsid w:val="006C37B5"/>
    <w:rsid w:val="006C38FE"/>
    <w:rsid w:val="006C566D"/>
    <w:rsid w:val="006C61A7"/>
    <w:rsid w:val="006C6582"/>
    <w:rsid w:val="006D0A6F"/>
    <w:rsid w:val="006D0F4C"/>
    <w:rsid w:val="006D19C5"/>
    <w:rsid w:val="006D234C"/>
    <w:rsid w:val="006D28EE"/>
    <w:rsid w:val="006D2AB2"/>
    <w:rsid w:val="006D317A"/>
    <w:rsid w:val="006D3F04"/>
    <w:rsid w:val="006D4620"/>
    <w:rsid w:val="006D53A8"/>
    <w:rsid w:val="006D5B5E"/>
    <w:rsid w:val="006D6733"/>
    <w:rsid w:val="006D6A35"/>
    <w:rsid w:val="006D75E7"/>
    <w:rsid w:val="006D770A"/>
    <w:rsid w:val="006D7A43"/>
    <w:rsid w:val="006D7FE1"/>
    <w:rsid w:val="006E2107"/>
    <w:rsid w:val="006E2465"/>
    <w:rsid w:val="006E2636"/>
    <w:rsid w:val="006E2AA0"/>
    <w:rsid w:val="006E32E9"/>
    <w:rsid w:val="006E3787"/>
    <w:rsid w:val="006E3D4E"/>
    <w:rsid w:val="006E4987"/>
    <w:rsid w:val="006E52BE"/>
    <w:rsid w:val="006E5915"/>
    <w:rsid w:val="006E5B02"/>
    <w:rsid w:val="006E65D5"/>
    <w:rsid w:val="006E76BD"/>
    <w:rsid w:val="006F0817"/>
    <w:rsid w:val="006F2137"/>
    <w:rsid w:val="006F3CAC"/>
    <w:rsid w:val="006F4BE0"/>
    <w:rsid w:val="006F6B76"/>
    <w:rsid w:val="006F7207"/>
    <w:rsid w:val="006F7C35"/>
    <w:rsid w:val="00700361"/>
    <w:rsid w:val="007015D5"/>
    <w:rsid w:val="007033D9"/>
    <w:rsid w:val="007045B6"/>
    <w:rsid w:val="00704D49"/>
    <w:rsid w:val="00704F1E"/>
    <w:rsid w:val="00705A6D"/>
    <w:rsid w:val="007061B9"/>
    <w:rsid w:val="007065FE"/>
    <w:rsid w:val="007068D0"/>
    <w:rsid w:val="00706D31"/>
    <w:rsid w:val="00706E43"/>
    <w:rsid w:val="00707832"/>
    <w:rsid w:val="00710CBA"/>
    <w:rsid w:val="00713205"/>
    <w:rsid w:val="00713985"/>
    <w:rsid w:val="00714476"/>
    <w:rsid w:val="0071647F"/>
    <w:rsid w:val="00716D1C"/>
    <w:rsid w:val="007177AB"/>
    <w:rsid w:val="007204C5"/>
    <w:rsid w:val="0072262C"/>
    <w:rsid w:val="0072393F"/>
    <w:rsid w:val="00723B64"/>
    <w:rsid w:val="007262CF"/>
    <w:rsid w:val="00727A0A"/>
    <w:rsid w:val="0073032B"/>
    <w:rsid w:val="00730984"/>
    <w:rsid w:val="00730EAE"/>
    <w:rsid w:val="00731CA3"/>
    <w:rsid w:val="00733EBD"/>
    <w:rsid w:val="00734E2E"/>
    <w:rsid w:val="00735647"/>
    <w:rsid w:val="00737AD8"/>
    <w:rsid w:val="0074156A"/>
    <w:rsid w:val="00741664"/>
    <w:rsid w:val="00742A7A"/>
    <w:rsid w:val="0074459C"/>
    <w:rsid w:val="007455F1"/>
    <w:rsid w:val="0074582B"/>
    <w:rsid w:val="00745A78"/>
    <w:rsid w:val="00745B42"/>
    <w:rsid w:val="00746088"/>
    <w:rsid w:val="00746B3B"/>
    <w:rsid w:val="00747992"/>
    <w:rsid w:val="00751412"/>
    <w:rsid w:val="007516FF"/>
    <w:rsid w:val="00751F91"/>
    <w:rsid w:val="00752322"/>
    <w:rsid w:val="00754088"/>
    <w:rsid w:val="007541A0"/>
    <w:rsid w:val="00754C63"/>
    <w:rsid w:val="00754CA8"/>
    <w:rsid w:val="00755196"/>
    <w:rsid w:val="007565EF"/>
    <w:rsid w:val="00756738"/>
    <w:rsid w:val="007576C3"/>
    <w:rsid w:val="00757DCA"/>
    <w:rsid w:val="007600F3"/>
    <w:rsid w:val="007615E1"/>
    <w:rsid w:val="00761A36"/>
    <w:rsid w:val="00761F22"/>
    <w:rsid w:val="007628D0"/>
    <w:rsid w:val="00762B05"/>
    <w:rsid w:val="00762D23"/>
    <w:rsid w:val="00762E8E"/>
    <w:rsid w:val="0076301A"/>
    <w:rsid w:val="007638A1"/>
    <w:rsid w:val="0076419D"/>
    <w:rsid w:val="0076661A"/>
    <w:rsid w:val="00770E80"/>
    <w:rsid w:val="00775C7C"/>
    <w:rsid w:val="007808E6"/>
    <w:rsid w:val="00781CA9"/>
    <w:rsid w:val="00781F7E"/>
    <w:rsid w:val="00783C55"/>
    <w:rsid w:val="00784774"/>
    <w:rsid w:val="00785C5F"/>
    <w:rsid w:val="007867E7"/>
    <w:rsid w:val="0079044F"/>
    <w:rsid w:val="007937AC"/>
    <w:rsid w:val="007942F1"/>
    <w:rsid w:val="00794AD9"/>
    <w:rsid w:val="0079559E"/>
    <w:rsid w:val="00795C05"/>
    <w:rsid w:val="00795DEE"/>
    <w:rsid w:val="00796319"/>
    <w:rsid w:val="0079648E"/>
    <w:rsid w:val="00797AD3"/>
    <w:rsid w:val="00797DFD"/>
    <w:rsid w:val="00797FEA"/>
    <w:rsid w:val="007A0119"/>
    <w:rsid w:val="007A26E3"/>
    <w:rsid w:val="007A2981"/>
    <w:rsid w:val="007A47CA"/>
    <w:rsid w:val="007A51F7"/>
    <w:rsid w:val="007A5CE0"/>
    <w:rsid w:val="007A7235"/>
    <w:rsid w:val="007B0832"/>
    <w:rsid w:val="007B1635"/>
    <w:rsid w:val="007B1F9D"/>
    <w:rsid w:val="007B200B"/>
    <w:rsid w:val="007B20D6"/>
    <w:rsid w:val="007B3383"/>
    <w:rsid w:val="007B3A9B"/>
    <w:rsid w:val="007B3FF9"/>
    <w:rsid w:val="007B469B"/>
    <w:rsid w:val="007B565F"/>
    <w:rsid w:val="007B6016"/>
    <w:rsid w:val="007B6054"/>
    <w:rsid w:val="007B6A3A"/>
    <w:rsid w:val="007B6F8F"/>
    <w:rsid w:val="007C0269"/>
    <w:rsid w:val="007C1187"/>
    <w:rsid w:val="007C15AA"/>
    <w:rsid w:val="007C1F25"/>
    <w:rsid w:val="007C26A7"/>
    <w:rsid w:val="007C3A90"/>
    <w:rsid w:val="007C3C22"/>
    <w:rsid w:val="007C3F6F"/>
    <w:rsid w:val="007C4630"/>
    <w:rsid w:val="007C4740"/>
    <w:rsid w:val="007C49D0"/>
    <w:rsid w:val="007C579C"/>
    <w:rsid w:val="007C6B32"/>
    <w:rsid w:val="007C7BE1"/>
    <w:rsid w:val="007D1397"/>
    <w:rsid w:val="007D17E5"/>
    <w:rsid w:val="007D1AC0"/>
    <w:rsid w:val="007D1C97"/>
    <w:rsid w:val="007D1EDB"/>
    <w:rsid w:val="007D2564"/>
    <w:rsid w:val="007D326D"/>
    <w:rsid w:val="007D3D8A"/>
    <w:rsid w:val="007D452D"/>
    <w:rsid w:val="007D4689"/>
    <w:rsid w:val="007D5DBF"/>
    <w:rsid w:val="007D6B97"/>
    <w:rsid w:val="007D6C30"/>
    <w:rsid w:val="007D6D17"/>
    <w:rsid w:val="007D78CF"/>
    <w:rsid w:val="007E0738"/>
    <w:rsid w:val="007E1772"/>
    <w:rsid w:val="007E20C6"/>
    <w:rsid w:val="007E25CB"/>
    <w:rsid w:val="007E28C1"/>
    <w:rsid w:val="007E558E"/>
    <w:rsid w:val="007E773B"/>
    <w:rsid w:val="007E797C"/>
    <w:rsid w:val="007F0A3D"/>
    <w:rsid w:val="007F0B13"/>
    <w:rsid w:val="007F1307"/>
    <w:rsid w:val="007F15EE"/>
    <w:rsid w:val="007F3CD8"/>
    <w:rsid w:val="007F415D"/>
    <w:rsid w:val="007F457E"/>
    <w:rsid w:val="007F4E00"/>
    <w:rsid w:val="007F4E45"/>
    <w:rsid w:val="007F58EF"/>
    <w:rsid w:val="007F6277"/>
    <w:rsid w:val="007F6F7C"/>
    <w:rsid w:val="007F76B8"/>
    <w:rsid w:val="0080021E"/>
    <w:rsid w:val="00800F10"/>
    <w:rsid w:val="00801017"/>
    <w:rsid w:val="00801162"/>
    <w:rsid w:val="00801E5F"/>
    <w:rsid w:val="008045E9"/>
    <w:rsid w:val="008068AD"/>
    <w:rsid w:val="00806E52"/>
    <w:rsid w:val="00806EFB"/>
    <w:rsid w:val="00807C48"/>
    <w:rsid w:val="00810E0B"/>
    <w:rsid w:val="00811A92"/>
    <w:rsid w:val="00813D44"/>
    <w:rsid w:val="00816E1E"/>
    <w:rsid w:val="008214C0"/>
    <w:rsid w:val="00821757"/>
    <w:rsid w:val="008219D0"/>
    <w:rsid w:val="0082238B"/>
    <w:rsid w:val="008224D0"/>
    <w:rsid w:val="00823C8E"/>
    <w:rsid w:val="00827BC5"/>
    <w:rsid w:val="0083005B"/>
    <w:rsid w:val="00830C5D"/>
    <w:rsid w:val="008326F5"/>
    <w:rsid w:val="00833C52"/>
    <w:rsid w:val="00834055"/>
    <w:rsid w:val="00835085"/>
    <w:rsid w:val="008356FF"/>
    <w:rsid w:val="00837100"/>
    <w:rsid w:val="00841C7C"/>
    <w:rsid w:val="0084237C"/>
    <w:rsid w:val="00842E31"/>
    <w:rsid w:val="0084461A"/>
    <w:rsid w:val="008460F1"/>
    <w:rsid w:val="008463A8"/>
    <w:rsid w:val="00846536"/>
    <w:rsid w:val="008502D2"/>
    <w:rsid w:val="00851902"/>
    <w:rsid w:val="0085206C"/>
    <w:rsid w:val="00852E01"/>
    <w:rsid w:val="0085316A"/>
    <w:rsid w:val="00853DC7"/>
    <w:rsid w:val="00854920"/>
    <w:rsid w:val="00855F2C"/>
    <w:rsid w:val="008571E9"/>
    <w:rsid w:val="00857A7E"/>
    <w:rsid w:val="00863040"/>
    <w:rsid w:val="00865886"/>
    <w:rsid w:val="00865F4F"/>
    <w:rsid w:val="00866815"/>
    <w:rsid w:val="00866F9C"/>
    <w:rsid w:val="00867BF6"/>
    <w:rsid w:val="008700F1"/>
    <w:rsid w:val="00871151"/>
    <w:rsid w:val="008718D7"/>
    <w:rsid w:val="00871E5C"/>
    <w:rsid w:val="00872291"/>
    <w:rsid w:val="00872BF5"/>
    <w:rsid w:val="00873547"/>
    <w:rsid w:val="00873BD8"/>
    <w:rsid w:val="00874F2A"/>
    <w:rsid w:val="00875385"/>
    <w:rsid w:val="00875765"/>
    <w:rsid w:val="00875B93"/>
    <w:rsid w:val="0087609C"/>
    <w:rsid w:val="00876E6A"/>
    <w:rsid w:val="00880277"/>
    <w:rsid w:val="00881981"/>
    <w:rsid w:val="008822DC"/>
    <w:rsid w:val="00883472"/>
    <w:rsid w:val="00883A6A"/>
    <w:rsid w:val="00883C60"/>
    <w:rsid w:val="0088487A"/>
    <w:rsid w:val="00885B5D"/>
    <w:rsid w:val="008869C7"/>
    <w:rsid w:val="00886BBC"/>
    <w:rsid w:val="00887E6E"/>
    <w:rsid w:val="00890CA4"/>
    <w:rsid w:val="00891343"/>
    <w:rsid w:val="00891BAB"/>
    <w:rsid w:val="00891CAC"/>
    <w:rsid w:val="00892225"/>
    <w:rsid w:val="008931EC"/>
    <w:rsid w:val="00893994"/>
    <w:rsid w:val="0089601C"/>
    <w:rsid w:val="00896673"/>
    <w:rsid w:val="008A0703"/>
    <w:rsid w:val="008A0714"/>
    <w:rsid w:val="008A11B4"/>
    <w:rsid w:val="008A1372"/>
    <w:rsid w:val="008A137B"/>
    <w:rsid w:val="008A16CA"/>
    <w:rsid w:val="008A2E41"/>
    <w:rsid w:val="008A3925"/>
    <w:rsid w:val="008A540F"/>
    <w:rsid w:val="008A6A86"/>
    <w:rsid w:val="008B0B87"/>
    <w:rsid w:val="008B1FD5"/>
    <w:rsid w:val="008B2A92"/>
    <w:rsid w:val="008B2B6A"/>
    <w:rsid w:val="008B2B71"/>
    <w:rsid w:val="008B3A26"/>
    <w:rsid w:val="008B4624"/>
    <w:rsid w:val="008B4B53"/>
    <w:rsid w:val="008B5533"/>
    <w:rsid w:val="008B5721"/>
    <w:rsid w:val="008B5CA5"/>
    <w:rsid w:val="008B6BC2"/>
    <w:rsid w:val="008B700D"/>
    <w:rsid w:val="008C01B8"/>
    <w:rsid w:val="008C182A"/>
    <w:rsid w:val="008C1BFE"/>
    <w:rsid w:val="008C46B7"/>
    <w:rsid w:val="008C4812"/>
    <w:rsid w:val="008C58C7"/>
    <w:rsid w:val="008C624E"/>
    <w:rsid w:val="008C65DE"/>
    <w:rsid w:val="008D0B8F"/>
    <w:rsid w:val="008D0FEC"/>
    <w:rsid w:val="008D3A2C"/>
    <w:rsid w:val="008D3CE5"/>
    <w:rsid w:val="008D42BD"/>
    <w:rsid w:val="008D59D4"/>
    <w:rsid w:val="008D7491"/>
    <w:rsid w:val="008E067A"/>
    <w:rsid w:val="008E187E"/>
    <w:rsid w:val="008E2BF5"/>
    <w:rsid w:val="008E4DC5"/>
    <w:rsid w:val="008E505F"/>
    <w:rsid w:val="008E53E6"/>
    <w:rsid w:val="008E5AE1"/>
    <w:rsid w:val="008E603F"/>
    <w:rsid w:val="008E7E0E"/>
    <w:rsid w:val="008F0550"/>
    <w:rsid w:val="008F2278"/>
    <w:rsid w:val="008F29C3"/>
    <w:rsid w:val="008F3AD6"/>
    <w:rsid w:val="008F3CD3"/>
    <w:rsid w:val="008F497E"/>
    <w:rsid w:val="008F50B4"/>
    <w:rsid w:val="008F5105"/>
    <w:rsid w:val="008F5439"/>
    <w:rsid w:val="008F6249"/>
    <w:rsid w:val="009009F5"/>
    <w:rsid w:val="00901F51"/>
    <w:rsid w:val="00902601"/>
    <w:rsid w:val="00903F49"/>
    <w:rsid w:val="009056A0"/>
    <w:rsid w:val="00905D67"/>
    <w:rsid w:val="00906485"/>
    <w:rsid w:val="00906A5D"/>
    <w:rsid w:val="00906FC5"/>
    <w:rsid w:val="0090767E"/>
    <w:rsid w:val="00910E72"/>
    <w:rsid w:val="0091243D"/>
    <w:rsid w:val="009130F5"/>
    <w:rsid w:val="0091403F"/>
    <w:rsid w:val="00914329"/>
    <w:rsid w:val="00914398"/>
    <w:rsid w:val="00917098"/>
    <w:rsid w:val="00917882"/>
    <w:rsid w:val="009178F3"/>
    <w:rsid w:val="0092156A"/>
    <w:rsid w:val="009217E4"/>
    <w:rsid w:val="00921838"/>
    <w:rsid w:val="00921850"/>
    <w:rsid w:val="00921DD2"/>
    <w:rsid w:val="00922037"/>
    <w:rsid w:val="009238CA"/>
    <w:rsid w:val="00923DB4"/>
    <w:rsid w:val="00924A94"/>
    <w:rsid w:val="00927F5E"/>
    <w:rsid w:val="00930848"/>
    <w:rsid w:val="00932EC1"/>
    <w:rsid w:val="009336F2"/>
    <w:rsid w:val="009346AA"/>
    <w:rsid w:val="00935E6B"/>
    <w:rsid w:val="00937849"/>
    <w:rsid w:val="00940256"/>
    <w:rsid w:val="0094085C"/>
    <w:rsid w:val="00940A2F"/>
    <w:rsid w:val="00940C50"/>
    <w:rsid w:val="00940FFF"/>
    <w:rsid w:val="009412DF"/>
    <w:rsid w:val="00941318"/>
    <w:rsid w:val="00941941"/>
    <w:rsid w:val="0094256D"/>
    <w:rsid w:val="009427F3"/>
    <w:rsid w:val="00942EB1"/>
    <w:rsid w:val="00944B43"/>
    <w:rsid w:val="009455EF"/>
    <w:rsid w:val="00947066"/>
    <w:rsid w:val="00953D7F"/>
    <w:rsid w:val="0095482E"/>
    <w:rsid w:val="00955A27"/>
    <w:rsid w:val="00955EAF"/>
    <w:rsid w:val="009563FF"/>
    <w:rsid w:val="00956D98"/>
    <w:rsid w:val="00960A67"/>
    <w:rsid w:val="00962621"/>
    <w:rsid w:val="00962F46"/>
    <w:rsid w:val="00963729"/>
    <w:rsid w:val="00963D09"/>
    <w:rsid w:val="00963EC5"/>
    <w:rsid w:val="00963F46"/>
    <w:rsid w:val="00965C49"/>
    <w:rsid w:val="0096606F"/>
    <w:rsid w:val="009666B3"/>
    <w:rsid w:val="009668BA"/>
    <w:rsid w:val="00966962"/>
    <w:rsid w:val="00966ED1"/>
    <w:rsid w:val="009672D6"/>
    <w:rsid w:val="009713F8"/>
    <w:rsid w:val="00972EEE"/>
    <w:rsid w:val="0097544B"/>
    <w:rsid w:val="00975908"/>
    <w:rsid w:val="00977305"/>
    <w:rsid w:val="00977868"/>
    <w:rsid w:val="0098049B"/>
    <w:rsid w:val="00980BFB"/>
    <w:rsid w:val="00982ACC"/>
    <w:rsid w:val="009832E5"/>
    <w:rsid w:val="00984158"/>
    <w:rsid w:val="009844CB"/>
    <w:rsid w:val="00985503"/>
    <w:rsid w:val="0099087E"/>
    <w:rsid w:val="00992658"/>
    <w:rsid w:val="0099382A"/>
    <w:rsid w:val="009938AC"/>
    <w:rsid w:val="00993BB2"/>
    <w:rsid w:val="00993DCE"/>
    <w:rsid w:val="00994B17"/>
    <w:rsid w:val="00994FA4"/>
    <w:rsid w:val="00995934"/>
    <w:rsid w:val="00995D5E"/>
    <w:rsid w:val="00995E9C"/>
    <w:rsid w:val="0099747D"/>
    <w:rsid w:val="00997A01"/>
    <w:rsid w:val="00997F94"/>
    <w:rsid w:val="009A05C3"/>
    <w:rsid w:val="009A1ACF"/>
    <w:rsid w:val="009A1D8C"/>
    <w:rsid w:val="009A1E85"/>
    <w:rsid w:val="009A2E68"/>
    <w:rsid w:val="009A336F"/>
    <w:rsid w:val="009A350B"/>
    <w:rsid w:val="009A5094"/>
    <w:rsid w:val="009A57BC"/>
    <w:rsid w:val="009A5B66"/>
    <w:rsid w:val="009A6573"/>
    <w:rsid w:val="009A768C"/>
    <w:rsid w:val="009A7765"/>
    <w:rsid w:val="009A7A91"/>
    <w:rsid w:val="009A7D02"/>
    <w:rsid w:val="009A7EE1"/>
    <w:rsid w:val="009B0101"/>
    <w:rsid w:val="009B1C60"/>
    <w:rsid w:val="009B3657"/>
    <w:rsid w:val="009B38E7"/>
    <w:rsid w:val="009B4346"/>
    <w:rsid w:val="009B46FC"/>
    <w:rsid w:val="009B5141"/>
    <w:rsid w:val="009B62FB"/>
    <w:rsid w:val="009B727D"/>
    <w:rsid w:val="009C27A5"/>
    <w:rsid w:val="009C384E"/>
    <w:rsid w:val="009C3E0B"/>
    <w:rsid w:val="009C4047"/>
    <w:rsid w:val="009C5299"/>
    <w:rsid w:val="009C571F"/>
    <w:rsid w:val="009C74FC"/>
    <w:rsid w:val="009C78C8"/>
    <w:rsid w:val="009D228B"/>
    <w:rsid w:val="009D2660"/>
    <w:rsid w:val="009D2700"/>
    <w:rsid w:val="009D375F"/>
    <w:rsid w:val="009D3A0F"/>
    <w:rsid w:val="009D3DBB"/>
    <w:rsid w:val="009D5028"/>
    <w:rsid w:val="009D5EC6"/>
    <w:rsid w:val="009D6583"/>
    <w:rsid w:val="009D6BDF"/>
    <w:rsid w:val="009D7F48"/>
    <w:rsid w:val="009E048C"/>
    <w:rsid w:val="009E0E26"/>
    <w:rsid w:val="009E1058"/>
    <w:rsid w:val="009E22F7"/>
    <w:rsid w:val="009E2E89"/>
    <w:rsid w:val="009E5156"/>
    <w:rsid w:val="009E58FB"/>
    <w:rsid w:val="009E5A44"/>
    <w:rsid w:val="009E6156"/>
    <w:rsid w:val="009E74C2"/>
    <w:rsid w:val="009F08E3"/>
    <w:rsid w:val="009F36B1"/>
    <w:rsid w:val="009F39F5"/>
    <w:rsid w:val="009F4925"/>
    <w:rsid w:val="009F57C1"/>
    <w:rsid w:val="009F6DEB"/>
    <w:rsid w:val="00A00654"/>
    <w:rsid w:val="00A00821"/>
    <w:rsid w:val="00A0135F"/>
    <w:rsid w:val="00A01B43"/>
    <w:rsid w:val="00A02E30"/>
    <w:rsid w:val="00A037E5"/>
    <w:rsid w:val="00A0609A"/>
    <w:rsid w:val="00A06724"/>
    <w:rsid w:val="00A07016"/>
    <w:rsid w:val="00A10E51"/>
    <w:rsid w:val="00A142F7"/>
    <w:rsid w:val="00A1442C"/>
    <w:rsid w:val="00A146DC"/>
    <w:rsid w:val="00A1541D"/>
    <w:rsid w:val="00A15E43"/>
    <w:rsid w:val="00A167AF"/>
    <w:rsid w:val="00A17093"/>
    <w:rsid w:val="00A20429"/>
    <w:rsid w:val="00A20D30"/>
    <w:rsid w:val="00A217DB"/>
    <w:rsid w:val="00A236F3"/>
    <w:rsid w:val="00A23CDD"/>
    <w:rsid w:val="00A24531"/>
    <w:rsid w:val="00A26BB1"/>
    <w:rsid w:val="00A30575"/>
    <w:rsid w:val="00A31901"/>
    <w:rsid w:val="00A31D98"/>
    <w:rsid w:val="00A32E28"/>
    <w:rsid w:val="00A332EA"/>
    <w:rsid w:val="00A34023"/>
    <w:rsid w:val="00A3422D"/>
    <w:rsid w:val="00A34366"/>
    <w:rsid w:val="00A34B81"/>
    <w:rsid w:val="00A352C7"/>
    <w:rsid w:val="00A359D6"/>
    <w:rsid w:val="00A37BFB"/>
    <w:rsid w:val="00A37E03"/>
    <w:rsid w:val="00A42545"/>
    <w:rsid w:val="00A425D7"/>
    <w:rsid w:val="00A45FF7"/>
    <w:rsid w:val="00A469EF"/>
    <w:rsid w:val="00A510EB"/>
    <w:rsid w:val="00A51A6D"/>
    <w:rsid w:val="00A52428"/>
    <w:rsid w:val="00A52719"/>
    <w:rsid w:val="00A53C89"/>
    <w:rsid w:val="00A540AB"/>
    <w:rsid w:val="00A54337"/>
    <w:rsid w:val="00A54608"/>
    <w:rsid w:val="00A54C07"/>
    <w:rsid w:val="00A550ED"/>
    <w:rsid w:val="00A57463"/>
    <w:rsid w:val="00A61C6B"/>
    <w:rsid w:val="00A62F86"/>
    <w:rsid w:val="00A630BF"/>
    <w:rsid w:val="00A63473"/>
    <w:rsid w:val="00A636DD"/>
    <w:rsid w:val="00A64413"/>
    <w:rsid w:val="00A652E7"/>
    <w:rsid w:val="00A65AAC"/>
    <w:rsid w:val="00A67B8E"/>
    <w:rsid w:val="00A67E09"/>
    <w:rsid w:val="00A70121"/>
    <w:rsid w:val="00A701BF"/>
    <w:rsid w:val="00A702B5"/>
    <w:rsid w:val="00A70F99"/>
    <w:rsid w:val="00A714BB"/>
    <w:rsid w:val="00A7218E"/>
    <w:rsid w:val="00A73449"/>
    <w:rsid w:val="00A736C5"/>
    <w:rsid w:val="00A748DC"/>
    <w:rsid w:val="00A74A2F"/>
    <w:rsid w:val="00A76323"/>
    <w:rsid w:val="00A76B30"/>
    <w:rsid w:val="00A7743F"/>
    <w:rsid w:val="00A81FFF"/>
    <w:rsid w:val="00A827EA"/>
    <w:rsid w:val="00A82CF7"/>
    <w:rsid w:val="00A82F71"/>
    <w:rsid w:val="00A84903"/>
    <w:rsid w:val="00A86059"/>
    <w:rsid w:val="00A8670B"/>
    <w:rsid w:val="00A8783E"/>
    <w:rsid w:val="00A919C6"/>
    <w:rsid w:val="00A93797"/>
    <w:rsid w:val="00A94F6B"/>
    <w:rsid w:val="00A95307"/>
    <w:rsid w:val="00A956CA"/>
    <w:rsid w:val="00AA038D"/>
    <w:rsid w:val="00AA1D27"/>
    <w:rsid w:val="00AA2D07"/>
    <w:rsid w:val="00AA3E13"/>
    <w:rsid w:val="00AA592C"/>
    <w:rsid w:val="00AA623D"/>
    <w:rsid w:val="00AA6701"/>
    <w:rsid w:val="00AA6A71"/>
    <w:rsid w:val="00AA72B3"/>
    <w:rsid w:val="00AA76FA"/>
    <w:rsid w:val="00AB02A4"/>
    <w:rsid w:val="00AB2C5B"/>
    <w:rsid w:val="00AB3268"/>
    <w:rsid w:val="00AB3B57"/>
    <w:rsid w:val="00AB3E10"/>
    <w:rsid w:val="00AB4787"/>
    <w:rsid w:val="00AB6388"/>
    <w:rsid w:val="00AB67A7"/>
    <w:rsid w:val="00AB6B10"/>
    <w:rsid w:val="00AC0325"/>
    <w:rsid w:val="00AC1890"/>
    <w:rsid w:val="00AC2271"/>
    <w:rsid w:val="00AC2BA1"/>
    <w:rsid w:val="00AC2C66"/>
    <w:rsid w:val="00AC50AC"/>
    <w:rsid w:val="00AC698C"/>
    <w:rsid w:val="00AC7457"/>
    <w:rsid w:val="00AD5CF3"/>
    <w:rsid w:val="00AD6B1F"/>
    <w:rsid w:val="00AE096B"/>
    <w:rsid w:val="00AE0EEF"/>
    <w:rsid w:val="00AE15C7"/>
    <w:rsid w:val="00AE1B3C"/>
    <w:rsid w:val="00AE1C25"/>
    <w:rsid w:val="00AE2688"/>
    <w:rsid w:val="00AE2E6F"/>
    <w:rsid w:val="00AE2EA9"/>
    <w:rsid w:val="00AE3D01"/>
    <w:rsid w:val="00AE4137"/>
    <w:rsid w:val="00AE4414"/>
    <w:rsid w:val="00AE5149"/>
    <w:rsid w:val="00AE5784"/>
    <w:rsid w:val="00AE5C3E"/>
    <w:rsid w:val="00AE6CEA"/>
    <w:rsid w:val="00AE7E63"/>
    <w:rsid w:val="00AE7EF9"/>
    <w:rsid w:val="00AF1473"/>
    <w:rsid w:val="00AF1CD7"/>
    <w:rsid w:val="00AF1D0D"/>
    <w:rsid w:val="00AF2DEB"/>
    <w:rsid w:val="00AF33B8"/>
    <w:rsid w:val="00AF3FC2"/>
    <w:rsid w:val="00AF4939"/>
    <w:rsid w:val="00AF6170"/>
    <w:rsid w:val="00AF665B"/>
    <w:rsid w:val="00AF671F"/>
    <w:rsid w:val="00AF790E"/>
    <w:rsid w:val="00B01FF3"/>
    <w:rsid w:val="00B0235E"/>
    <w:rsid w:val="00B02426"/>
    <w:rsid w:val="00B02BF8"/>
    <w:rsid w:val="00B03220"/>
    <w:rsid w:val="00B03EE8"/>
    <w:rsid w:val="00B040B6"/>
    <w:rsid w:val="00B04CE0"/>
    <w:rsid w:val="00B06CF6"/>
    <w:rsid w:val="00B07384"/>
    <w:rsid w:val="00B079A6"/>
    <w:rsid w:val="00B10E74"/>
    <w:rsid w:val="00B128FA"/>
    <w:rsid w:val="00B13C45"/>
    <w:rsid w:val="00B140EC"/>
    <w:rsid w:val="00B1533B"/>
    <w:rsid w:val="00B16B52"/>
    <w:rsid w:val="00B17896"/>
    <w:rsid w:val="00B17B2C"/>
    <w:rsid w:val="00B203E6"/>
    <w:rsid w:val="00B21376"/>
    <w:rsid w:val="00B21EF6"/>
    <w:rsid w:val="00B221A8"/>
    <w:rsid w:val="00B2251F"/>
    <w:rsid w:val="00B2394C"/>
    <w:rsid w:val="00B267A1"/>
    <w:rsid w:val="00B273B6"/>
    <w:rsid w:val="00B27A33"/>
    <w:rsid w:val="00B32F8D"/>
    <w:rsid w:val="00B332A7"/>
    <w:rsid w:val="00B338CA"/>
    <w:rsid w:val="00B34211"/>
    <w:rsid w:val="00B3529B"/>
    <w:rsid w:val="00B35E9B"/>
    <w:rsid w:val="00B36319"/>
    <w:rsid w:val="00B36B9B"/>
    <w:rsid w:val="00B36C77"/>
    <w:rsid w:val="00B36DD9"/>
    <w:rsid w:val="00B37EB0"/>
    <w:rsid w:val="00B40881"/>
    <w:rsid w:val="00B4095A"/>
    <w:rsid w:val="00B410AD"/>
    <w:rsid w:val="00B42B12"/>
    <w:rsid w:val="00B433FA"/>
    <w:rsid w:val="00B44D0C"/>
    <w:rsid w:val="00B45050"/>
    <w:rsid w:val="00B45A66"/>
    <w:rsid w:val="00B506C6"/>
    <w:rsid w:val="00B51982"/>
    <w:rsid w:val="00B51FA9"/>
    <w:rsid w:val="00B5277B"/>
    <w:rsid w:val="00B5289D"/>
    <w:rsid w:val="00B52CA3"/>
    <w:rsid w:val="00B53510"/>
    <w:rsid w:val="00B535DE"/>
    <w:rsid w:val="00B545D2"/>
    <w:rsid w:val="00B546AB"/>
    <w:rsid w:val="00B55A3D"/>
    <w:rsid w:val="00B6079A"/>
    <w:rsid w:val="00B61C8F"/>
    <w:rsid w:val="00B63CF6"/>
    <w:rsid w:val="00B6481A"/>
    <w:rsid w:val="00B64920"/>
    <w:rsid w:val="00B65293"/>
    <w:rsid w:val="00B652EF"/>
    <w:rsid w:val="00B6589D"/>
    <w:rsid w:val="00B65EB8"/>
    <w:rsid w:val="00B6625F"/>
    <w:rsid w:val="00B6648C"/>
    <w:rsid w:val="00B7102D"/>
    <w:rsid w:val="00B710A4"/>
    <w:rsid w:val="00B712B1"/>
    <w:rsid w:val="00B717CE"/>
    <w:rsid w:val="00B717EA"/>
    <w:rsid w:val="00B71A45"/>
    <w:rsid w:val="00B71ED9"/>
    <w:rsid w:val="00B71EEC"/>
    <w:rsid w:val="00B72FD6"/>
    <w:rsid w:val="00B748F2"/>
    <w:rsid w:val="00B74A41"/>
    <w:rsid w:val="00B74C94"/>
    <w:rsid w:val="00B75E76"/>
    <w:rsid w:val="00B76E1D"/>
    <w:rsid w:val="00B77B58"/>
    <w:rsid w:val="00B77F96"/>
    <w:rsid w:val="00B80A2F"/>
    <w:rsid w:val="00B814CA"/>
    <w:rsid w:val="00B81A8A"/>
    <w:rsid w:val="00B83B9E"/>
    <w:rsid w:val="00B8476C"/>
    <w:rsid w:val="00B8524B"/>
    <w:rsid w:val="00B85579"/>
    <w:rsid w:val="00B85D6E"/>
    <w:rsid w:val="00B86677"/>
    <w:rsid w:val="00B86817"/>
    <w:rsid w:val="00B877C2"/>
    <w:rsid w:val="00B87D3A"/>
    <w:rsid w:val="00B90072"/>
    <w:rsid w:val="00B90195"/>
    <w:rsid w:val="00B9077C"/>
    <w:rsid w:val="00B91BF8"/>
    <w:rsid w:val="00B92916"/>
    <w:rsid w:val="00B92FD6"/>
    <w:rsid w:val="00B945C7"/>
    <w:rsid w:val="00B94A21"/>
    <w:rsid w:val="00B95962"/>
    <w:rsid w:val="00B95F40"/>
    <w:rsid w:val="00B96E6B"/>
    <w:rsid w:val="00B97868"/>
    <w:rsid w:val="00BA073C"/>
    <w:rsid w:val="00BA0891"/>
    <w:rsid w:val="00BA0C1C"/>
    <w:rsid w:val="00BA1814"/>
    <w:rsid w:val="00BA2001"/>
    <w:rsid w:val="00BA3D18"/>
    <w:rsid w:val="00BA4236"/>
    <w:rsid w:val="00BA5666"/>
    <w:rsid w:val="00BA6E04"/>
    <w:rsid w:val="00BA742B"/>
    <w:rsid w:val="00BB0387"/>
    <w:rsid w:val="00BB15E5"/>
    <w:rsid w:val="00BB3554"/>
    <w:rsid w:val="00BB5EEA"/>
    <w:rsid w:val="00BB66BE"/>
    <w:rsid w:val="00BB6C8B"/>
    <w:rsid w:val="00BB7706"/>
    <w:rsid w:val="00BC0177"/>
    <w:rsid w:val="00BC088B"/>
    <w:rsid w:val="00BC0F60"/>
    <w:rsid w:val="00BC126C"/>
    <w:rsid w:val="00BC1C7D"/>
    <w:rsid w:val="00BC3416"/>
    <w:rsid w:val="00BC3957"/>
    <w:rsid w:val="00BC4471"/>
    <w:rsid w:val="00BC554D"/>
    <w:rsid w:val="00BC742A"/>
    <w:rsid w:val="00BC75AC"/>
    <w:rsid w:val="00BC7D0A"/>
    <w:rsid w:val="00BC7F0D"/>
    <w:rsid w:val="00BD0413"/>
    <w:rsid w:val="00BD0F1D"/>
    <w:rsid w:val="00BD0F27"/>
    <w:rsid w:val="00BD269A"/>
    <w:rsid w:val="00BD2945"/>
    <w:rsid w:val="00BD2BB6"/>
    <w:rsid w:val="00BD31CC"/>
    <w:rsid w:val="00BD326A"/>
    <w:rsid w:val="00BD3C8C"/>
    <w:rsid w:val="00BD4188"/>
    <w:rsid w:val="00BD4589"/>
    <w:rsid w:val="00BD47E4"/>
    <w:rsid w:val="00BD486D"/>
    <w:rsid w:val="00BD4E16"/>
    <w:rsid w:val="00BD60E5"/>
    <w:rsid w:val="00BD6628"/>
    <w:rsid w:val="00BD7DBD"/>
    <w:rsid w:val="00BE033B"/>
    <w:rsid w:val="00BE21B9"/>
    <w:rsid w:val="00BE24DF"/>
    <w:rsid w:val="00BE3302"/>
    <w:rsid w:val="00BE40D7"/>
    <w:rsid w:val="00BE4638"/>
    <w:rsid w:val="00BE4817"/>
    <w:rsid w:val="00BE4912"/>
    <w:rsid w:val="00BE4A53"/>
    <w:rsid w:val="00BE4D3F"/>
    <w:rsid w:val="00BE7E42"/>
    <w:rsid w:val="00BF07F3"/>
    <w:rsid w:val="00BF1807"/>
    <w:rsid w:val="00BF2080"/>
    <w:rsid w:val="00BF2302"/>
    <w:rsid w:val="00BF2A49"/>
    <w:rsid w:val="00BF3ADD"/>
    <w:rsid w:val="00BF3D44"/>
    <w:rsid w:val="00BF5A87"/>
    <w:rsid w:val="00BF5B30"/>
    <w:rsid w:val="00BF6603"/>
    <w:rsid w:val="00BF6DDD"/>
    <w:rsid w:val="00BF7E37"/>
    <w:rsid w:val="00C0039F"/>
    <w:rsid w:val="00C01C2D"/>
    <w:rsid w:val="00C01FA0"/>
    <w:rsid w:val="00C02524"/>
    <w:rsid w:val="00C02E0C"/>
    <w:rsid w:val="00C03BC5"/>
    <w:rsid w:val="00C03BE6"/>
    <w:rsid w:val="00C040C5"/>
    <w:rsid w:val="00C04148"/>
    <w:rsid w:val="00C0479C"/>
    <w:rsid w:val="00C06697"/>
    <w:rsid w:val="00C11053"/>
    <w:rsid w:val="00C1226B"/>
    <w:rsid w:val="00C127E3"/>
    <w:rsid w:val="00C1383F"/>
    <w:rsid w:val="00C14A15"/>
    <w:rsid w:val="00C153FC"/>
    <w:rsid w:val="00C1557A"/>
    <w:rsid w:val="00C15983"/>
    <w:rsid w:val="00C169D2"/>
    <w:rsid w:val="00C16C21"/>
    <w:rsid w:val="00C1716D"/>
    <w:rsid w:val="00C172A4"/>
    <w:rsid w:val="00C1752D"/>
    <w:rsid w:val="00C21506"/>
    <w:rsid w:val="00C21EFB"/>
    <w:rsid w:val="00C21FDF"/>
    <w:rsid w:val="00C24030"/>
    <w:rsid w:val="00C24BDF"/>
    <w:rsid w:val="00C25208"/>
    <w:rsid w:val="00C27349"/>
    <w:rsid w:val="00C27F53"/>
    <w:rsid w:val="00C31035"/>
    <w:rsid w:val="00C359A8"/>
    <w:rsid w:val="00C41485"/>
    <w:rsid w:val="00C41B25"/>
    <w:rsid w:val="00C41F5E"/>
    <w:rsid w:val="00C4218C"/>
    <w:rsid w:val="00C4375A"/>
    <w:rsid w:val="00C43ECC"/>
    <w:rsid w:val="00C448C3"/>
    <w:rsid w:val="00C44C3C"/>
    <w:rsid w:val="00C45617"/>
    <w:rsid w:val="00C45DAB"/>
    <w:rsid w:val="00C46178"/>
    <w:rsid w:val="00C4642D"/>
    <w:rsid w:val="00C46E58"/>
    <w:rsid w:val="00C472F4"/>
    <w:rsid w:val="00C473CE"/>
    <w:rsid w:val="00C473E2"/>
    <w:rsid w:val="00C47772"/>
    <w:rsid w:val="00C50C93"/>
    <w:rsid w:val="00C53064"/>
    <w:rsid w:val="00C552A5"/>
    <w:rsid w:val="00C5552B"/>
    <w:rsid w:val="00C55738"/>
    <w:rsid w:val="00C55B7E"/>
    <w:rsid w:val="00C55CC2"/>
    <w:rsid w:val="00C5620D"/>
    <w:rsid w:val="00C56548"/>
    <w:rsid w:val="00C56A41"/>
    <w:rsid w:val="00C57097"/>
    <w:rsid w:val="00C57198"/>
    <w:rsid w:val="00C572C9"/>
    <w:rsid w:val="00C61E54"/>
    <w:rsid w:val="00C6213B"/>
    <w:rsid w:val="00C62D9B"/>
    <w:rsid w:val="00C632C5"/>
    <w:rsid w:val="00C63AF4"/>
    <w:rsid w:val="00C64534"/>
    <w:rsid w:val="00C64734"/>
    <w:rsid w:val="00C65157"/>
    <w:rsid w:val="00C65442"/>
    <w:rsid w:val="00C65E36"/>
    <w:rsid w:val="00C66175"/>
    <w:rsid w:val="00C66C50"/>
    <w:rsid w:val="00C66E4E"/>
    <w:rsid w:val="00C67433"/>
    <w:rsid w:val="00C6767F"/>
    <w:rsid w:val="00C67C28"/>
    <w:rsid w:val="00C703BD"/>
    <w:rsid w:val="00C70833"/>
    <w:rsid w:val="00C7199F"/>
    <w:rsid w:val="00C72ADC"/>
    <w:rsid w:val="00C72FB6"/>
    <w:rsid w:val="00C7340E"/>
    <w:rsid w:val="00C7360B"/>
    <w:rsid w:val="00C737AF"/>
    <w:rsid w:val="00C742AB"/>
    <w:rsid w:val="00C75A61"/>
    <w:rsid w:val="00C77984"/>
    <w:rsid w:val="00C77B27"/>
    <w:rsid w:val="00C807D6"/>
    <w:rsid w:val="00C81E89"/>
    <w:rsid w:val="00C8290C"/>
    <w:rsid w:val="00C8302E"/>
    <w:rsid w:val="00C8357D"/>
    <w:rsid w:val="00C83584"/>
    <w:rsid w:val="00C83902"/>
    <w:rsid w:val="00C83DE8"/>
    <w:rsid w:val="00C841B2"/>
    <w:rsid w:val="00C8465F"/>
    <w:rsid w:val="00C84A4E"/>
    <w:rsid w:val="00C84B88"/>
    <w:rsid w:val="00C856A8"/>
    <w:rsid w:val="00C86635"/>
    <w:rsid w:val="00C86642"/>
    <w:rsid w:val="00C87EE8"/>
    <w:rsid w:val="00C87FE3"/>
    <w:rsid w:val="00C9187C"/>
    <w:rsid w:val="00C918B5"/>
    <w:rsid w:val="00C91A5F"/>
    <w:rsid w:val="00C93BDF"/>
    <w:rsid w:val="00C94FEF"/>
    <w:rsid w:val="00C9570D"/>
    <w:rsid w:val="00C9646A"/>
    <w:rsid w:val="00C97AFB"/>
    <w:rsid w:val="00CA127F"/>
    <w:rsid w:val="00CA183C"/>
    <w:rsid w:val="00CA271F"/>
    <w:rsid w:val="00CA2A1C"/>
    <w:rsid w:val="00CA34A7"/>
    <w:rsid w:val="00CA45C8"/>
    <w:rsid w:val="00CA5992"/>
    <w:rsid w:val="00CA5C19"/>
    <w:rsid w:val="00CA7635"/>
    <w:rsid w:val="00CA7775"/>
    <w:rsid w:val="00CB0403"/>
    <w:rsid w:val="00CB1EED"/>
    <w:rsid w:val="00CB264F"/>
    <w:rsid w:val="00CB2E46"/>
    <w:rsid w:val="00CB3EA5"/>
    <w:rsid w:val="00CB60B9"/>
    <w:rsid w:val="00CB6B72"/>
    <w:rsid w:val="00CB7846"/>
    <w:rsid w:val="00CB7CF8"/>
    <w:rsid w:val="00CC0209"/>
    <w:rsid w:val="00CC0382"/>
    <w:rsid w:val="00CC147F"/>
    <w:rsid w:val="00CC1771"/>
    <w:rsid w:val="00CC241D"/>
    <w:rsid w:val="00CC3352"/>
    <w:rsid w:val="00CC543B"/>
    <w:rsid w:val="00CC72F1"/>
    <w:rsid w:val="00CC7555"/>
    <w:rsid w:val="00CD074C"/>
    <w:rsid w:val="00CD07E9"/>
    <w:rsid w:val="00CD1270"/>
    <w:rsid w:val="00CD199E"/>
    <w:rsid w:val="00CD1A9B"/>
    <w:rsid w:val="00CD219F"/>
    <w:rsid w:val="00CD2D73"/>
    <w:rsid w:val="00CD55E7"/>
    <w:rsid w:val="00CD5895"/>
    <w:rsid w:val="00CD5E5E"/>
    <w:rsid w:val="00CD61BD"/>
    <w:rsid w:val="00CD61C5"/>
    <w:rsid w:val="00CD6574"/>
    <w:rsid w:val="00CD6C71"/>
    <w:rsid w:val="00CD7119"/>
    <w:rsid w:val="00CD77CD"/>
    <w:rsid w:val="00CE0894"/>
    <w:rsid w:val="00CE0BAB"/>
    <w:rsid w:val="00CE152D"/>
    <w:rsid w:val="00CE26B5"/>
    <w:rsid w:val="00CE3708"/>
    <w:rsid w:val="00CE3804"/>
    <w:rsid w:val="00CE38E5"/>
    <w:rsid w:val="00CE4BA0"/>
    <w:rsid w:val="00CE4DF1"/>
    <w:rsid w:val="00CE4E1E"/>
    <w:rsid w:val="00CE533C"/>
    <w:rsid w:val="00CE5C48"/>
    <w:rsid w:val="00CE5E87"/>
    <w:rsid w:val="00CE766D"/>
    <w:rsid w:val="00CF1C0D"/>
    <w:rsid w:val="00CF2FCC"/>
    <w:rsid w:val="00CF4D25"/>
    <w:rsid w:val="00CF5572"/>
    <w:rsid w:val="00CF62B7"/>
    <w:rsid w:val="00CF6514"/>
    <w:rsid w:val="00CF7092"/>
    <w:rsid w:val="00CF7496"/>
    <w:rsid w:val="00D01234"/>
    <w:rsid w:val="00D01819"/>
    <w:rsid w:val="00D01A8C"/>
    <w:rsid w:val="00D0376F"/>
    <w:rsid w:val="00D03965"/>
    <w:rsid w:val="00D043C9"/>
    <w:rsid w:val="00D05670"/>
    <w:rsid w:val="00D06DAC"/>
    <w:rsid w:val="00D06FCC"/>
    <w:rsid w:val="00D11C87"/>
    <w:rsid w:val="00D12157"/>
    <w:rsid w:val="00D12547"/>
    <w:rsid w:val="00D12924"/>
    <w:rsid w:val="00D12B8D"/>
    <w:rsid w:val="00D1315F"/>
    <w:rsid w:val="00D136F3"/>
    <w:rsid w:val="00D13A3E"/>
    <w:rsid w:val="00D14076"/>
    <w:rsid w:val="00D15019"/>
    <w:rsid w:val="00D15B78"/>
    <w:rsid w:val="00D16ED5"/>
    <w:rsid w:val="00D24054"/>
    <w:rsid w:val="00D256AF"/>
    <w:rsid w:val="00D256FB"/>
    <w:rsid w:val="00D25C0D"/>
    <w:rsid w:val="00D25CDE"/>
    <w:rsid w:val="00D2658F"/>
    <w:rsid w:val="00D27C0C"/>
    <w:rsid w:val="00D300DE"/>
    <w:rsid w:val="00D30344"/>
    <w:rsid w:val="00D30475"/>
    <w:rsid w:val="00D31076"/>
    <w:rsid w:val="00D311C5"/>
    <w:rsid w:val="00D316AB"/>
    <w:rsid w:val="00D31D63"/>
    <w:rsid w:val="00D31EF4"/>
    <w:rsid w:val="00D336B6"/>
    <w:rsid w:val="00D33A45"/>
    <w:rsid w:val="00D34AD5"/>
    <w:rsid w:val="00D34B0D"/>
    <w:rsid w:val="00D35351"/>
    <w:rsid w:val="00D360A0"/>
    <w:rsid w:val="00D36283"/>
    <w:rsid w:val="00D365DF"/>
    <w:rsid w:val="00D37CFA"/>
    <w:rsid w:val="00D37E83"/>
    <w:rsid w:val="00D40403"/>
    <w:rsid w:val="00D40C0C"/>
    <w:rsid w:val="00D40C2B"/>
    <w:rsid w:val="00D421C8"/>
    <w:rsid w:val="00D424CF"/>
    <w:rsid w:val="00D43D8E"/>
    <w:rsid w:val="00D43E53"/>
    <w:rsid w:val="00D448F3"/>
    <w:rsid w:val="00D45CAF"/>
    <w:rsid w:val="00D45E07"/>
    <w:rsid w:val="00D45FB2"/>
    <w:rsid w:val="00D46D52"/>
    <w:rsid w:val="00D50112"/>
    <w:rsid w:val="00D52792"/>
    <w:rsid w:val="00D528F7"/>
    <w:rsid w:val="00D52EB4"/>
    <w:rsid w:val="00D5311C"/>
    <w:rsid w:val="00D53294"/>
    <w:rsid w:val="00D53338"/>
    <w:rsid w:val="00D53DBC"/>
    <w:rsid w:val="00D56037"/>
    <w:rsid w:val="00D579CC"/>
    <w:rsid w:val="00D57C3E"/>
    <w:rsid w:val="00D60B4F"/>
    <w:rsid w:val="00D60C10"/>
    <w:rsid w:val="00D61683"/>
    <w:rsid w:val="00D62372"/>
    <w:rsid w:val="00D62C9E"/>
    <w:rsid w:val="00D63196"/>
    <w:rsid w:val="00D63698"/>
    <w:rsid w:val="00D6384A"/>
    <w:rsid w:val="00D64C94"/>
    <w:rsid w:val="00D668A9"/>
    <w:rsid w:val="00D678E5"/>
    <w:rsid w:val="00D70621"/>
    <w:rsid w:val="00D70ACA"/>
    <w:rsid w:val="00D715BB"/>
    <w:rsid w:val="00D71BD4"/>
    <w:rsid w:val="00D71E90"/>
    <w:rsid w:val="00D722A6"/>
    <w:rsid w:val="00D7314F"/>
    <w:rsid w:val="00D732F5"/>
    <w:rsid w:val="00D7411E"/>
    <w:rsid w:val="00D74B54"/>
    <w:rsid w:val="00D75C95"/>
    <w:rsid w:val="00D76032"/>
    <w:rsid w:val="00D77C4F"/>
    <w:rsid w:val="00D8070E"/>
    <w:rsid w:val="00D81AA4"/>
    <w:rsid w:val="00D82321"/>
    <w:rsid w:val="00D83423"/>
    <w:rsid w:val="00D83455"/>
    <w:rsid w:val="00D83A81"/>
    <w:rsid w:val="00D83AE5"/>
    <w:rsid w:val="00D8452A"/>
    <w:rsid w:val="00D84B36"/>
    <w:rsid w:val="00D855D4"/>
    <w:rsid w:val="00D8564D"/>
    <w:rsid w:val="00D858F2"/>
    <w:rsid w:val="00D8614E"/>
    <w:rsid w:val="00D8669E"/>
    <w:rsid w:val="00D90316"/>
    <w:rsid w:val="00D92DBC"/>
    <w:rsid w:val="00D94061"/>
    <w:rsid w:val="00D9755C"/>
    <w:rsid w:val="00DA0497"/>
    <w:rsid w:val="00DA0BC7"/>
    <w:rsid w:val="00DA336F"/>
    <w:rsid w:val="00DA3669"/>
    <w:rsid w:val="00DA43A4"/>
    <w:rsid w:val="00DA5113"/>
    <w:rsid w:val="00DA5910"/>
    <w:rsid w:val="00DA668C"/>
    <w:rsid w:val="00DB3512"/>
    <w:rsid w:val="00DB4C6F"/>
    <w:rsid w:val="00DB5D7B"/>
    <w:rsid w:val="00DB6081"/>
    <w:rsid w:val="00DB6E42"/>
    <w:rsid w:val="00DB7576"/>
    <w:rsid w:val="00DB76BA"/>
    <w:rsid w:val="00DB77EA"/>
    <w:rsid w:val="00DB7811"/>
    <w:rsid w:val="00DC031E"/>
    <w:rsid w:val="00DC046B"/>
    <w:rsid w:val="00DC0FD3"/>
    <w:rsid w:val="00DC15FC"/>
    <w:rsid w:val="00DC23C6"/>
    <w:rsid w:val="00DC2E84"/>
    <w:rsid w:val="00DC4944"/>
    <w:rsid w:val="00DC5F10"/>
    <w:rsid w:val="00DC6230"/>
    <w:rsid w:val="00DC6488"/>
    <w:rsid w:val="00DD1607"/>
    <w:rsid w:val="00DD22A5"/>
    <w:rsid w:val="00DD235E"/>
    <w:rsid w:val="00DD2836"/>
    <w:rsid w:val="00DD44CD"/>
    <w:rsid w:val="00DD4DC2"/>
    <w:rsid w:val="00DD56CF"/>
    <w:rsid w:val="00DD72E7"/>
    <w:rsid w:val="00DD7400"/>
    <w:rsid w:val="00DD7AB1"/>
    <w:rsid w:val="00DD7BE3"/>
    <w:rsid w:val="00DE047F"/>
    <w:rsid w:val="00DE07AF"/>
    <w:rsid w:val="00DE2A59"/>
    <w:rsid w:val="00DE35B7"/>
    <w:rsid w:val="00DE4DDE"/>
    <w:rsid w:val="00DE68A4"/>
    <w:rsid w:val="00DE71D2"/>
    <w:rsid w:val="00DF04E9"/>
    <w:rsid w:val="00DF1291"/>
    <w:rsid w:val="00DF163E"/>
    <w:rsid w:val="00DF23BA"/>
    <w:rsid w:val="00DF2B11"/>
    <w:rsid w:val="00DF3A81"/>
    <w:rsid w:val="00DF4BA4"/>
    <w:rsid w:val="00DF50EB"/>
    <w:rsid w:val="00DF7B6E"/>
    <w:rsid w:val="00E00CF7"/>
    <w:rsid w:val="00E03203"/>
    <w:rsid w:val="00E04729"/>
    <w:rsid w:val="00E0482D"/>
    <w:rsid w:val="00E04FE3"/>
    <w:rsid w:val="00E10264"/>
    <w:rsid w:val="00E105F7"/>
    <w:rsid w:val="00E12324"/>
    <w:rsid w:val="00E12460"/>
    <w:rsid w:val="00E12859"/>
    <w:rsid w:val="00E12957"/>
    <w:rsid w:val="00E16660"/>
    <w:rsid w:val="00E1746D"/>
    <w:rsid w:val="00E218C1"/>
    <w:rsid w:val="00E2234C"/>
    <w:rsid w:val="00E23850"/>
    <w:rsid w:val="00E23DC4"/>
    <w:rsid w:val="00E2650A"/>
    <w:rsid w:val="00E26532"/>
    <w:rsid w:val="00E26B3C"/>
    <w:rsid w:val="00E26BF4"/>
    <w:rsid w:val="00E272C8"/>
    <w:rsid w:val="00E27579"/>
    <w:rsid w:val="00E27C54"/>
    <w:rsid w:val="00E30023"/>
    <w:rsid w:val="00E32321"/>
    <w:rsid w:val="00E329C0"/>
    <w:rsid w:val="00E32DE3"/>
    <w:rsid w:val="00E33998"/>
    <w:rsid w:val="00E33A3C"/>
    <w:rsid w:val="00E3450B"/>
    <w:rsid w:val="00E34596"/>
    <w:rsid w:val="00E353BE"/>
    <w:rsid w:val="00E373FC"/>
    <w:rsid w:val="00E37861"/>
    <w:rsid w:val="00E4183A"/>
    <w:rsid w:val="00E41F66"/>
    <w:rsid w:val="00E42DD3"/>
    <w:rsid w:val="00E43B60"/>
    <w:rsid w:val="00E43B8E"/>
    <w:rsid w:val="00E469D6"/>
    <w:rsid w:val="00E46D07"/>
    <w:rsid w:val="00E470D6"/>
    <w:rsid w:val="00E47550"/>
    <w:rsid w:val="00E52A95"/>
    <w:rsid w:val="00E52AA6"/>
    <w:rsid w:val="00E52E55"/>
    <w:rsid w:val="00E5458B"/>
    <w:rsid w:val="00E54B17"/>
    <w:rsid w:val="00E5731D"/>
    <w:rsid w:val="00E57573"/>
    <w:rsid w:val="00E57C87"/>
    <w:rsid w:val="00E60292"/>
    <w:rsid w:val="00E60B12"/>
    <w:rsid w:val="00E6183E"/>
    <w:rsid w:val="00E61A3A"/>
    <w:rsid w:val="00E63DF9"/>
    <w:rsid w:val="00E64681"/>
    <w:rsid w:val="00E64880"/>
    <w:rsid w:val="00E64967"/>
    <w:rsid w:val="00E65570"/>
    <w:rsid w:val="00E6569D"/>
    <w:rsid w:val="00E666F7"/>
    <w:rsid w:val="00E667F2"/>
    <w:rsid w:val="00E67477"/>
    <w:rsid w:val="00E679BF"/>
    <w:rsid w:val="00E70462"/>
    <w:rsid w:val="00E7169D"/>
    <w:rsid w:val="00E73BA0"/>
    <w:rsid w:val="00E746FA"/>
    <w:rsid w:val="00E757A6"/>
    <w:rsid w:val="00E76117"/>
    <w:rsid w:val="00E76EA2"/>
    <w:rsid w:val="00E775B7"/>
    <w:rsid w:val="00E77F63"/>
    <w:rsid w:val="00E81231"/>
    <w:rsid w:val="00E81773"/>
    <w:rsid w:val="00E81C8C"/>
    <w:rsid w:val="00E830E0"/>
    <w:rsid w:val="00E83AE9"/>
    <w:rsid w:val="00E84B8F"/>
    <w:rsid w:val="00E85B2D"/>
    <w:rsid w:val="00E91D1F"/>
    <w:rsid w:val="00E940B4"/>
    <w:rsid w:val="00E94250"/>
    <w:rsid w:val="00E94732"/>
    <w:rsid w:val="00E950CF"/>
    <w:rsid w:val="00E95732"/>
    <w:rsid w:val="00E95CEC"/>
    <w:rsid w:val="00E95E76"/>
    <w:rsid w:val="00E97563"/>
    <w:rsid w:val="00E9799E"/>
    <w:rsid w:val="00E97B95"/>
    <w:rsid w:val="00E97BB6"/>
    <w:rsid w:val="00EA0CA9"/>
    <w:rsid w:val="00EA28F9"/>
    <w:rsid w:val="00EA6ACA"/>
    <w:rsid w:val="00EB0CF0"/>
    <w:rsid w:val="00EB14B3"/>
    <w:rsid w:val="00EB22F5"/>
    <w:rsid w:val="00EB3825"/>
    <w:rsid w:val="00EB4E16"/>
    <w:rsid w:val="00EB59D3"/>
    <w:rsid w:val="00EB640C"/>
    <w:rsid w:val="00EB6A9C"/>
    <w:rsid w:val="00EB79C0"/>
    <w:rsid w:val="00EB7B6D"/>
    <w:rsid w:val="00EB7BC8"/>
    <w:rsid w:val="00EC0408"/>
    <w:rsid w:val="00EC099F"/>
    <w:rsid w:val="00EC109A"/>
    <w:rsid w:val="00EC1574"/>
    <w:rsid w:val="00EC2511"/>
    <w:rsid w:val="00EC2B93"/>
    <w:rsid w:val="00EC39E1"/>
    <w:rsid w:val="00EC3CBF"/>
    <w:rsid w:val="00EC3E1D"/>
    <w:rsid w:val="00EC50FA"/>
    <w:rsid w:val="00EC51C3"/>
    <w:rsid w:val="00EC6023"/>
    <w:rsid w:val="00EC7329"/>
    <w:rsid w:val="00ED0C15"/>
    <w:rsid w:val="00ED121F"/>
    <w:rsid w:val="00ED1516"/>
    <w:rsid w:val="00ED2614"/>
    <w:rsid w:val="00ED45A7"/>
    <w:rsid w:val="00ED52A9"/>
    <w:rsid w:val="00EE0E97"/>
    <w:rsid w:val="00EE17E0"/>
    <w:rsid w:val="00EE1B1E"/>
    <w:rsid w:val="00EE24F5"/>
    <w:rsid w:val="00EE2B68"/>
    <w:rsid w:val="00EE353C"/>
    <w:rsid w:val="00EE38C4"/>
    <w:rsid w:val="00EE3EF9"/>
    <w:rsid w:val="00EE4925"/>
    <w:rsid w:val="00EF1072"/>
    <w:rsid w:val="00EF12DB"/>
    <w:rsid w:val="00EF1304"/>
    <w:rsid w:val="00EF1592"/>
    <w:rsid w:val="00EF188B"/>
    <w:rsid w:val="00EF1F76"/>
    <w:rsid w:val="00EF2ECB"/>
    <w:rsid w:val="00EF380B"/>
    <w:rsid w:val="00EF40B0"/>
    <w:rsid w:val="00EF5959"/>
    <w:rsid w:val="00EF629D"/>
    <w:rsid w:val="00EF7CC5"/>
    <w:rsid w:val="00F00571"/>
    <w:rsid w:val="00F01113"/>
    <w:rsid w:val="00F01EB8"/>
    <w:rsid w:val="00F02FBF"/>
    <w:rsid w:val="00F04022"/>
    <w:rsid w:val="00F04A0B"/>
    <w:rsid w:val="00F05B5A"/>
    <w:rsid w:val="00F064C3"/>
    <w:rsid w:val="00F06AFE"/>
    <w:rsid w:val="00F1356D"/>
    <w:rsid w:val="00F1365B"/>
    <w:rsid w:val="00F13804"/>
    <w:rsid w:val="00F14898"/>
    <w:rsid w:val="00F15306"/>
    <w:rsid w:val="00F15831"/>
    <w:rsid w:val="00F15E98"/>
    <w:rsid w:val="00F165EB"/>
    <w:rsid w:val="00F16984"/>
    <w:rsid w:val="00F1727C"/>
    <w:rsid w:val="00F179D4"/>
    <w:rsid w:val="00F17F81"/>
    <w:rsid w:val="00F2107F"/>
    <w:rsid w:val="00F22031"/>
    <w:rsid w:val="00F22FCB"/>
    <w:rsid w:val="00F232D5"/>
    <w:rsid w:val="00F233B2"/>
    <w:rsid w:val="00F2406E"/>
    <w:rsid w:val="00F25923"/>
    <w:rsid w:val="00F2790A"/>
    <w:rsid w:val="00F27B0A"/>
    <w:rsid w:val="00F321C8"/>
    <w:rsid w:val="00F32EDB"/>
    <w:rsid w:val="00F3312F"/>
    <w:rsid w:val="00F3393A"/>
    <w:rsid w:val="00F34018"/>
    <w:rsid w:val="00F346A2"/>
    <w:rsid w:val="00F359DD"/>
    <w:rsid w:val="00F408B0"/>
    <w:rsid w:val="00F4230E"/>
    <w:rsid w:val="00F42B84"/>
    <w:rsid w:val="00F42D76"/>
    <w:rsid w:val="00F43EE1"/>
    <w:rsid w:val="00F446A4"/>
    <w:rsid w:val="00F44991"/>
    <w:rsid w:val="00F46404"/>
    <w:rsid w:val="00F468F7"/>
    <w:rsid w:val="00F46BEC"/>
    <w:rsid w:val="00F46C92"/>
    <w:rsid w:val="00F47A24"/>
    <w:rsid w:val="00F50B91"/>
    <w:rsid w:val="00F514BB"/>
    <w:rsid w:val="00F51B2E"/>
    <w:rsid w:val="00F52286"/>
    <w:rsid w:val="00F525B8"/>
    <w:rsid w:val="00F53679"/>
    <w:rsid w:val="00F53834"/>
    <w:rsid w:val="00F5461F"/>
    <w:rsid w:val="00F55171"/>
    <w:rsid w:val="00F558BE"/>
    <w:rsid w:val="00F573D0"/>
    <w:rsid w:val="00F57896"/>
    <w:rsid w:val="00F60857"/>
    <w:rsid w:val="00F60A55"/>
    <w:rsid w:val="00F610F3"/>
    <w:rsid w:val="00F61EDF"/>
    <w:rsid w:val="00F61F3D"/>
    <w:rsid w:val="00F64859"/>
    <w:rsid w:val="00F65672"/>
    <w:rsid w:val="00F66843"/>
    <w:rsid w:val="00F6705C"/>
    <w:rsid w:val="00F749A2"/>
    <w:rsid w:val="00F74B73"/>
    <w:rsid w:val="00F74FBE"/>
    <w:rsid w:val="00F75146"/>
    <w:rsid w:val="00F75FED"/>
    <w:rsid w:val="00F77824"/>
    <w:rsid w:val="00F77F06"/>
    <w:rsid w:val="00F80130"/>
    <w:rsid w:val="00F80A61"/>
    <w:rsid w:val="00F80D26"/>
    <w:rsid w:val="00F80F43"/>
    <w:rsid w:val="00F81A66"/>
    <w:rsid w:val="00F83D34"/>
    <w:rsid w:val="00F83F82"/>
    <w:rsid w:val="00F853F8"/>
    <w:rsid w:val="00F85EF3"/>
    <w:rsid w:val="00F864DC"/>
    <w:rsid w:val="00F87FB0"/>
    <w:rsid w:val="00F910E3"/>
    <w:rsid w:val="00F91935"/>
    <w:rsid w:val="00F934AC"/>
    <w:rsid w:val="00F93A7E"/>
    <w:rsid w:val="00F93AC8"/>
    <w:rsid w:val="00F94704"/>
    <w:rsid w:val="00F9524B"/>
    <w:rsid w:val="00F96106"/>
    <w:rsid w:val="00F96F7E"/>
    <w:rsid w:val="00F97BA6"/>
    <w:rsid w:val="00FA0433"/>
    <w:rsid w:val="00FA0B7F"/>
    <w:rsid w:val="00FA1C99"/>
    <w:rsid w:val="00FA290B"/>
    <w:rsid w:val="00FA3025"/>
    <w:rsid w:val="00FA3F42"/>
    <w:rsid w:val="00FA45E5"/>
    <w:rsid w:val="00FA49A6"/>
    <w:rsid w:val="00FA5182"/>
    <w:rsid w:val="00FA6D0E"/>
    <w:rsid w:val="00FA6E91"/>
    <w:rsid w:val="00FA706B"/>
    <w:rsid w:val="00FA70E6"/>
    <w:rsid w:val="00FA735E"/>
    <w:rsid w:val="00FA76FB"/>
    <w:rsid w:val="00FA7AD4"/>
    <w:rsid w:val="00FB16D2"/>
    <w:rsid w:val="00FB2F07"/>
    <w:rsid w:val="00FB2F33"/>
    <w:rsid w:val="00FB3077"/>
    <w:rsid w:val="00FB3A62"/>
    <w:rsid w:val="00FB3A6F"/>
    <w:rsid w:val="00FB3C7D"/>
    <w:rsid w:val="00FB4136"/>
    <w:rsid w:val="00FB4BB8"/>
    <w:rsid w:val="00FB4DFE"/>
    <w:rsid w:val="00FB4F2A"/>
    <w:rsid w:val="00FB6BDF"/>
    <w:rsid w:val="00FC14A9"/>
    <w:rsid w:val="00FC2AED"/>
    <w:rsid w:val="00FC3BDD"/>
    <w:rsid w:val="00FC5699"/>
    <w:rsid w:val="00FC5A21"/>
    <w:rsid w:val="00FC6A28"/>
    <w:rsid w:val="00FC6DBB"/>
    <w:rsid w:val="00FC731B"/>
    <w:rsid w:val="00FC73A9"/>
    <w:rsid w:val="00FC7B43"/>
    <w:rsid w:val="00FD220F"/>
    <w:rsid w:val="00FD251B"/>
    <w:rsid w:val="00FD260D"/>
    <w:rsid w:val="00FD2C05"/>
    <w:rsid w:val="00FD5648"/>
    <w:rsid w:val="00FE0357"/>
    <w:rsid w:val="00FE0949"/>
    <w:rsid w:val="00FE13C9"/>
    <w:rsid w:val="00FE1474"/>
    <w:rsid w:val="00FE16DA"/>
    <w:rsid w:val="00FE2960"/>
    <w:rsid w:val="00FE32A0"/>
    <w:rsid w:val="00FE365C"/>
    <w:rsid w:val="00FE3B5A"/>
    <w:rsid w:val="00FE56BC"/>
    <w:rsid w:val="00FE5757"/>
    <w:rsid w:val="00FE714D"/>
    <w:rsid w:val="00FF4435"/>
    <w:rsid w:val="00FF5AD9"/>
    <w:rsid w:val="00FF6E6B"/>
    <w:rsid w:val="00FF7307"/>
    <w:rsid w:val="00FF7586"/>
    <w:rsid w:val="00FF7A8C"/>
    <w:rsid w:val="00FF7BE5"/>
    <w:rsid w:val="0A631D36"/>
    <w:rsid w:val="14944CAF"/>
    <w:rsid w:val="15C3052D"/>
    <w:rsid w:val="1DF22416"/>
    <w:rsid w:val="25607EA7"/>
    <w:rsid w:val="25D552EF"/>
    <w:rsid w:val="368D339F"/>
    <w:rsid w:val="3D831F17"/>
    <w:rsid w:val="50C45942"/>
    <w:rsid w:val="56C12EBC"/>
    <w:rsid w:val="61694CAA"/>
    <w:rsid w:val="664960CF"/>
    <w:rsid w:val="69117DAB"/>
    <w:rsid w:val="6AB8182E"/>
    <w:rsid w:val="70956731"/>
    <w:rsid w:val="798555F8"/>
    <w:rsid w:val="7A4D4102"/>
    <w:rsid w:val="7F685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3"/>
      <o:rules v:ext="edit">
        <o:r id="V:Rule1" type="connector" idref="#_x0000_s3885"/>
        <o:r id="V:Rule2" type="connector" idref="#_x0000_s3888"/>
        <o:r id="V:Rule3" type="connector" idref="#_x0000_s3893"/>
        <o:r id="V:Rule4" type="connector" idref="#_x0000_s3894"/>
        <o:r id="V:Rule5" type="connector" idref="#_x0000_s3896"/>
        <o:r id="V:Rule6" type="connector" idref="#_x0000_s3898"/>
        <o:r id="V:Rule7" type="connector" idref="#_x0000_s3899"/>
        <o:r id="V:Rule8" type="connector" idref="#_x0000_s3901"/>
        <o:r id="V:Rule9" type="connector" idref="#_x0000_s3902"/>
        <o:r id="V:Rule10" type="connector" idref="#_x0000_s3904"/>
        <o:r id="V:Rule11" type="connector" idref="#_x0000_s3906"/>
        <o:r id="V:Rule12" type="connector" idref="#_x0000_s3909"/>
        <o:r id="V:Rule13" type="connector" idref="#_x0000_s3910"/>
        <o:r id="V:Rule14" type="connector" idref="#_x0000_s3913"/>
        <o:r id="V:Rule15" type="connector" idref="#_x0000_s391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5"/>
    <w:qFormat/>
    <w:uiPriority w:val="0"/>
    <w:pPr>
      <w:keepNext/>
      <w:keepLines/>
      <w:snapToGrid w:val="0"/>
      <w:spacing w:before="120"/>
      <w:outlineLvl w:val="2"/>
    </w:pPr>
    <w:rPr>
      <w:b/>
      <w:sz w:val="32"/>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32">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5">
    <w:name w:val="Normal Indent"/>
    <w:basedOn w:val="1"/>
    <w:link w:val="46"/>
    <w:qFormat/>
    <w:uiPriority w:val="0"/>
    <w:pPr>
      <w:ind w:firstLine="420"/>
    </w:pPr>
  </w:style>
  <w:style w:type="paragraph" w:styleId="7">
    <w:name w:val="caption"/>
    <w:basedOn w:val="1"/>
    <w:next w:val="1"/>
    <w:link w:val="59"/>
    <w:qFormat/>
    <w:uiPriority w:val="0"/>
    <w:pPr>
      <w:jc w:val="center"/>
    </w:pPr>
    <w:rPr>
      <w:rFonts w:ascii="宋体" w:hAnsi="Courier New"/>
      <w:szCs w:val="21"/>
    </w:rPr>
  </w:style>
  <w:style w:type="paragraph" w:styleId="8">
    <w:name w:val="Document Map"/>
    <w:basedOn w:val="1"/>
    <w:semiHidden/>
    <w:qFormat/>
    <w:uiPriority w:val="0"/>
    <w:pPr>
      <w:shd w:val="clear" w:color="auto" w:fill="000080"/>
    </w:pPr>
  </w:style>
  <w:style w:type="paragraph" w:styleId="9">
    <w:name w:val="toa heading"/>
    <w:basedOn w:val="1"/>
    <w:next w:val="1"/>
    <w:uiPriority w:val="0"/>
    <w:pPr>
      <w:adjustRightInd w:val="0"/>
      <w:snapToGrid w:val="0"/>
      <w:spacing w:before="120" w:line="312" w:lineRule="auto"/>
    </w:pPr>
    <w:rPr>
      <w:rFonts w:ascii="Arial" w:hAnsi="Arial" w:cs="Arial"/>
      <w:sz w:val="24"/>
      <w:szCs w:val="24"/>
    </w:rPr>
  </w:style>
  <w:style w:type="paragraph" w:styleId="10">
    <w:name w:val="annotation text"/>
    <w:basedOn w:val="1"/>
    <w:link w:val="66"/>
    <w:uiPriority w:val="0"/>
    <w:pPr>
      <w:jc w:val="left"/>
    </w:pPr>
  </w:style>
  <w:style w:type="paragraph" w:styleId="11">
    <w:name w:val="Body Text 3"/>
    <w:basedOn w:val="1"/>
    <w:uiPriority w:val="0"/>
    <w:rPr>
      <w:sz w:val="24"/>
    </w:rPr>
  </w:style>
  <w:style w:type="paragraph" w:styleId="12">
    <w:name w:val="Body Text"/>
    <w:basedOn w:val="1"/>
    <w:link w:val="226"/>
    <w:uiPriority w:val="99"/>
    <w:pPr>
      <w:spacing w:after="120"/>
    </w:pPr>
  </w:style>
  <w:style w:type="paragraph" w:styleId="13">
    <w:name w:val="Body Text Indent"/>
    <w:basedOn w:val="1"/>
    <w:uiPriority w:val="0"/>
    <w:pPr>
      <w:autoSpaceDE w:val="0"/>
      <w:autoSpaceDN w:val="0"/>
      <w:adjustRightInd w:val="0"/>
      <w:spacing w:line="360" w:lineRule="auto"/>
      <w:ind w:firstLine="480" w:firstLineChars="200"/>
    </w:pPr>
    <w:rPr>
      <w:rFonts w:ascii="宋体" w:hAnsi="宋体"/>
      <w:kern w:val="0"/>
      <w:sz w:val="24"/>
      <w:szCs w:val="21"/>
    </w:rPr>
  </w:style>
  <w:style w:type="paragraph" w:styleId="14">
    <w:name w:val="Block Text"/>
    <w:basedOn w:val="1"/>
    <w:uiPriority w:val="0"/>
    <w:pPr>
      <w:spacing w:line="360" w:lineRule="exact"/>
      <w:ind w:left="105" w:leftChars="50" w:right="105" w:rightChars="50"/>
    </w:pPr>
    <w:rPr>
      <w:sz w:val="24"/>
      <w:szCs w:val="24"/>
    </w:rPr>
  </w:style>
  <w:style w:type="paragraph" w:styleId="15">
    <w:name w:val="toc 3"/>
    <w:basedOn w:val="1"/>
    <w:next w:val="1"/>
    <w:uiPriority w:val="0"/>
    <w:pPr>
      <w:ind w:left="840"/>
    </w:pPr>
    <w:rPr>
      <w:szCs w:val="24"/>
    </w:rPr>
  </w:style>
  <w:style w:type="paragraph" w:styleId="16">
    <w:name w:val="Plain Text"/>
    <w:basedOn w:val="1"/>
    <w:link w:val="56"/>
    <w:uiPriority w:val="0"/>
    <w:rPr>
      <w:rFonts w:ascii="宋体" w:hAnsi="Courier New" w:cs="Courier New"/>
      <w:szCs w:val="21"/>
    </w:rPr>
  </w:style>
  <w:style w:type="paragraph" w:styleId="17">
    <w:name w:val="toc 8"/>
    <w:basedOn w:val="1"/>
    <w:next w:val="1"/>
    <w:uiPriority w:val="0"/>
    <w:pPr>
      <w:ind w:left="2940" w:leftChars="1400"/>
    </w:pPr>
    <w:rPr>
      <w:szCs w:val="24"/>
    </w:rPr>
  </w:style>
  <w:style w:type="paragraph" w:styleId="18">
    <w:name w:val="Date"/>
    <w:basedOn w:val="1"/>
    <w:next w:val="1"/>
    <w:uiPriority w:val="0"/>
    <w:rPr>
      <w:sz w:val="28"/>
    </w:rPr>
  </w:style>
  <w:style w:type="paragraph" w:styleId="19">
    <w:name w:val="Body Text Indent 2"/>
    <w:basedOn w:val="1"/>
    <w:link w:val="52"/>
    <w:uiPriority w:val="0"/>
    <w:pPr>
      <w:spacing w:after="120" w:line="480" w:lineRule="auto"/>
      <w:ind w:left="420" w:leftChars="200"/>
    </w:pPr>
  </w:style>
  <w:style w:type="paragraph" w:styleId="20">
    <w:name w:val="Balloon Text"/>
    <w:basedOn w:val="1"/>
    <w:semiHidden/>
    <w:uiPriority w:val="0"/>
    <w:rPr>
      <w:sz w:val="18"/>
      <w:szCs w:val="18"/>
    </w:rPr>
  </w:style>
  <w:style w:type="paragraph" w:styleId="21">
    <w:name w:val="footer"/>
    <w:basedOn w:val="1"/>
    <w:uiPriority w:val="0"/>
    <w:pPr>
      <w:tabs>
        <w:tab w:val="center" w:pos="4153"/>
        <w:tab w:val="right" w:pos="8306"/>
      </w:tabs>
      <w:snapToGrid w:val="0"/>
      <w:jc w:val="left"/>
    </w:pPr>
    <w:rPr>
      <w:sz w:val="18"/>
      <w:szCs w:val="18"/>
    </w:rPr>
  </w:style>
  <w:style w:type="paragraph" w:styleId="2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iPriority w:val="0"/>
    <w:pPr>
      <w:snapToGrid w:val="0"/>
      <w:spacing w:line="360" w:lineRule="auto"/>
    </w:pPr>
    <w:rPr>
      <w:rFonts w:ascii="黑体" w:eastAsia="黑体"/>
      <w:bCs/>
      <w:sz w:val="28"/>
      <w:szCs w:val="24"/>
    </w:rPr>
  </w:style>
  <w:style w:type="paragraph" w:styleId="24">
    <w:name w:val="toc 6"/>
    <w:basedOn w:val="1"/>
    <w:next w:val="1"/>
    <w:uiPriority w:val="0"/>
    <w:pPr>
      <w:ind w:left="2100" w:leftChars="1000"/>
    </w:pPr>
    <w:rPr>
      <w:szCs w:val="24"/>
    </w:rPr>
  </w:style>
  <w:style w:type="paragraph" w:styleId="25">
    <w:name w:val="Body Text Indent 3"/>
    <w:basedOn w:val="1"/>
    <w:uiPriority w:val="0"/>
    <w:pPr>
      <w:ind w:firstLine="560" w:firstLineChars="200"/>
    </w:pPr>
    <w:rPr>
      <w:rFonts w:ascii="宋体" w:hAnsi="宋体"/>
      <w:color w:val="000000"/>
      <w:sz w:val="28"/>
      <w:szCs w:val="24"/>
    </w:rPr>
  </w:style>
  <w:style w:type="paragraph" w:styleId="26">
    <w:name w:val="toc 2"/>
    <w:basedOn w:val="1"/>
    <w:next w:val="1"/>
    <w:uiPriority w:val="0"/>
    <w:pPr>
      <w:snapToGrid w:val="0"/>
      <w:spacing w:line="360" w:lineRule="auto"/>
      <w:ind w:left="200" w:leftChars="200"/>
    </w:pPr>
    <w:rPr>
      <w:sz w:val="28"/>
      <w:szCs w:val="24"/>
    </w:rPr>
  </w:style>
  <w:style w:type="paragraph" w:styleId="2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28">
    <w:name w:val="Normal (Web)"/>
    <w:basedOn w:val="1"/>
    <w:uiPriority w:val="0"/>
    <w:pPr>
      <w:widowControl/>
      <w:spacing w:before="100" w:beforeAutospacing="1" w:after="100" w:afterAutospacing="1"/>
      <w:jc w:val="left"/>
    </w:pPr>
    <w:rPr>
      <w:rFonts w:hint="eastAsia" w:ascii="宋体" w:hAnsi="宋体"/>
      <w:kern w:val="0"/>
      <w:sz w:val="24"/>
      <w:szCs w:val="24"/>
    </w:rPr>
  </w:style>
  <w:style w:type="paragraph" w:styleId="29">
    <w:name w:val="annotation subject"/>
    <w:basedOn w:val="10"/>
    <w:next w:val="10"/>
    <w:link w:val="54"/>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qFormat/>
    <w:uiPriority w:val="0"/>
    <w:rPr>
      <w:b/>
      <w:bCs/>
    </w:rPr>
  </w:style>
  <w:style w:type="character" w:styleId="34">
    <w:name w:val="page number"/>
    <w:basedOn w:val="32"/>
    <w:qFormat/>
    <w:uiPriority w:val="0"/>
  </w:style>
  <w:style w:type="character" w:styleId="35">
    <w:name w:val="Hyperlink"/>
    <w:qFormat/>
    <w:uiPriority w:val="0"/>
    <w:rPr>
      <w:color w:val="000000"/>
      <w:u w:val="none"/>
    </w:rPr>
  </w:style>
  <w:style w:type="character" w:styleId="36">
    <w:name w:val="annotation reference"/>
    <w:qFormat/>
    <w:uiPriority w:val="0"/>
    <w:rPr>
      <w:sz w:val="21"/>
      <w:szCs w:val="21"/>
    </w:rPr>
  </w:style>
  <w:style w:type="character" w:customStyle="1" w:styleId="37">
    <w:name w:val="标题 3 Char Char"/>
    <w:qFormat/>
    <w:uiPriority w:val="0"/>
    <w:rPr>
      <w:rFonts w:eastAsia="宋体"/>
      <w:b/>
      <w:bCs/>
      <w:kern w:val="2"/>
      <w:sz w:val="32"/>
      <w:szCs w:val="32"/>
      <w:lang w:val="en-US" w:eastAsia="zh-CN" w:bidi="ar-SA"/>
    </w:rPr>
  </w:style>
  <w:style w:type="character" w:customStyle="1" w:styleId="38">
    <w:name w:val="zy"/>
    <w:basedOn w:val="32"/>
    <w:qFormat/>
    <w:uiPriority w:val="0"/>
  </w:style>
  <w:style w:type="character" w:customStyle="1" w:styleId="39">
    <w:name w:val="正文首行缩进 2 + Times New Roman Char"/>
    <w:link w:val="40"/>
    <w:qFormat/>
    <w:uiPriority w:val="0"/>
    <w:rPr>
      <w:rFonts w:eastAsia="宋体"/>
      <w:sz w:val="24"/>
      <w:szCs w:val="24"/>
      <w:lang w:val="en-US" w:eastAsia="zh-CN" w:bidi="ar-SA"/>
    </w:rPr>
  </w:style>
  <w:style w:type="paragraph" w:customStyle="1" w:styleId="40">
    <w:name w:val="正文首行缩进 2 + Times New Roman"/>
    <w:basedOn w:val="1"/>
    <w:link w:val="39"/>
    <w:qFormat/>
    <w:uiPriority w:val="0"/>
    <w:pPr>
      <w:tabs>
        <w:tab w:val="left" w:pos="0"/>
        <w:tab w:val="left" w:pos="870"/>
        <w:tab w:val="left" w:pos="3150"/>
      </w:tabs>
      <w:autoSpaceDE w:val="0"/>
      <w:autoSpaceDN w:val="0"/>
      <w:adjustRightInd w:val="0"/>
      <w:snapToGrid w:val="0"/>
      <w:spacing w:line="360" w:lineRule="auto"/>
    </w:pPr>
    <w:rPr>
      <w:kern w:val="0"/>
      <w:sz w:val="24"/>
      <w:szCs w:val="24"/>
    </w:rPr>
  </w:style>
  <w:style w:type="character" w:customStyle="1" w:styleId="41">
    <w:name w:val="君邦正文 Char2"/>
    <w:link w:val="42"/>
    <w:qFormat/>
    <w:uiPriority w:val="0"/>
    <w:rPr>
      <w:bCs/>
      <w:snapToGrid w:val="0"/>
      <w:sz w:val="24"/>
      <w:lang w:val="en-US" w:eastAsia="zh-CN" w:bidi="ar-SA"/>
    </w:rPr>
  </w:style>
  <w:style w:type="paragraph" w:customStyle="1" w:styleId="42">
    <w:name w:val="君邦正文"/>
    <w:link w:val="41"/>
    <w:qFormat/>
    <w:uiPriority w:val="0"/>
    <w:pPr>
      <w:spacing w:after="60" w:line="360" w:lineRule="auto"/>
      <w:ind w:firstLine="480" w:firstLineChars="200"/>
      <w:jc w:val="both"/>
    </w:pPr>
    <w:rPr>
      <w:rFonts w:ascii="Times New Roman" w:hAnsi="Times New Roman" w:eastAsia="宋体" w:cs="Times New Roman"/>
      <w:bCs/>
      <w:snapToGrid w:val="0"/>
      <w:sz w:val="24"/>
      <w:lang w:val="en-US" w:eastAsia="zh-CN" w:bidi="ar-SA"/>
    </w:rPr>
  </w:style>
  <w:style w:type="character" w:customStyle="1" w:styleId="43">
    <w:name w:val="apple-converted-space"/>
    <w:basedOn w:val="32"/>
    <w:qFormat/>
    <w:uiPriority w:val="0"/>
  </w:style>
  <w:style w:type="character" w:customStyle="1" w:styleId="44">
    <w:name w:val="报告正文 Char"/>
    <w:link w:val="45"/>
    <w:qFormat/>
    <w:uiPriority w:val="0"/>
    <w:rPr>
      <w:rFonts w:ascii="宋体" w:hAnsi="宋体"/>
      <w:kern w:val="2"/>
      <w:sz w:val="28"/>
      <w:szCs w:val="28"/>
    </w:rPr>
  </w:style>
  <w:style w:type="paragraph" w:customStyle="1" w:styleId="45">
    <w:name w:val="报告正文"/>
    <w:basedOn w:val="16"/>
    <w:link w:val="44"/>
    <w:qFormat/>
    <w:uiPriority w:val="0"/>
    <w:pPr>
      <w:spacing w:line="600" w:lineRule="exact"/>
      <w:ind w:firstLine="567"/>
    </w:pPr>
    <w:rPr>
      <w:rFonts w:hAnsi="宋体" w:cs="Times New Roman"/>
      <w:sz w:val="28"/>
      <w:szCs w:val="28"/>
    </w:rPr>
  </w:style>
  <w:style w:type="character" w:customStyle="1" w:styleId="46">
    <w:name w:val="正文缩进 Char"/>
    <w:link w:val="5"/>
    <w:qFormat/>
    <w:uiPriority w:val="0"/>
    <w:rPr>
      <w:rFonts w:eastAsia="宋体"/>
      <w:kern w:val="2"/>
      <w:sz w:val="21"/>
      <w:lang w:val="en-US" w:eastAsia="zh-CN" w:bidi="ar-SA"/>
    </w:rPr>
  </w:style>
  <w:style w:type="character" w:customStyle="1" w:styleId="47">
    <w:name w:val="表内格式 Char1"/>
    <w:link w:val="48"/>
    <w:qFormat/>
    <w:uiPriority w:val="0"/>
    <w:rPr>
      <w:rFonts w:eastAsia="宋体"/>
      <w:kern w:val="2"/>
      <w:sz w:val="18"/>
      <w:lang w:val="en-US" w:eastAsia="zh-CN" w:bidi="ar-SA"/>
    </w:rPr>
  </w:style>
  <w:style w:type="paragraph" w:customStyle="1" w:styleId="48">
    <w:name w:val="表内格式"/>
    <w:basedOn w:val="1"/>
    <w:link w:val="47"/>
    <w:qFormat/>
    <w:uiPriority w:val="0"/>
    <w:pPr>
      <w:jc w:val="center"/>
    </w:pPr>
    <w:rPr>
      <w:sz w:val="18"/>
    </w:rPr>
  </w:style>
  <w:style w:type="character" w:customStyle="1" w:styleId="49">
    <w:name w:val="可研正文 Char Char Char"/>
    <w:qFormat/>
    <w:uiPriority w:val="0"/>
    <w:rPr>
      <w:rFonts w:ascii="宋体" w:eastAsia="宋体"/>
      <w:kern w:val="2"/>
      <w:sz w:val="28"/>
      <w:szCs w:val="24"/>
      <w:lang w:val="en-US" w:eastAsia="zh-CN" w:bidi="ar-SA"/>
    </w:rPr>
  </w:style>
  <w:style w:type="character" w:customStyle="1" w:styleId="50">
    <w:name w:val="表1 Char"/>
    <w:qFormat/>
    <w:uiPriority w:val="0"/>
    <w:rPr>
      <w:rFonts w:eastAsia="黑体"/>
      <w:color w:val="000000"/>
      <w:spacing w:val="10"/>
      <w:kern w:val="2"/>
      <w:sz w:val="24"/>
      <w:szCs w:val="21"/>
      <w:lang w:val="en-US" w:eastAsia="zh-CN" w:bidi="ar-SA"/>
    </w:rPr>
  </w:style>
  <w:style w:type="character" w:customStyle="1" w:styleId="51">
    <w:name w:val="body21"/>
    <w:qFormat/>
    <w:uiPriority w:val="0"/>
    <w:rPr>
      <w:rFonts w:hint="eastAsia" w:ascii="宋体" w:hAnsi="宋体" w:eastAsia="宋体"/>
      <w:color w:val="006666"/>
      <w:sz w:val="27"/>
      <w:szCs w:val="27"/>
    </w:rPr>
  </w:style>
  <w:style w:type="character" w:customStyle="1" w:styleId="52">
    <w:name w:val="正文文本缩进 2 Char"/>
    <w:link w:val="19"/>
    <w:qFormat/>
    <w:uiPriority w:val="0"/>
    <w:rPr>
      <w:rFonts w:eastAsia="宋体"/>
      <w:kern w:val="2"/>
      <w:sz w:val="21"/>
      <w:lang w:val="en-US" w:eastAsia="zh-CN" w:bidi="ar-SA"/>
    </w:rPr>
  </w:style>
  <w:style w:type="character" w:customStyle="1" w:styleId="53">
    <w:name w:val="yuedu1"/>
    <w:qFormat/>
    <w:uiPriority w:val="0"/>
    <w:rPr>
      <w:rFonts w:hint="default"/>
      <w:color w:val="000000"/>
      <w:sz w:val="21"/>
      <w:szCs w:val="21"/>
    </w:rPr>
  </w:style>
  <w:style w:type="character" w:customStyle="1" w:styleId="54">
    <w:name w:val="批注主题 Char"/>
    <w:link w:val="29"/>
    <w:qFormat/>
    <w:uiPriority w:val="0"/>
    <w:rPr>
      <w:b/>
      <w:bCs/>
      <w:kern w:val="2"/>
      <w:sz w:val="21"/>
    </w:rPr>
  </w:style>
  <w:style w:type="character" w:customStyle="1" w:styleId="55">
    <w:name w:val="报告正文 Char Char"/>
    <w:qFormat/>
    <w:uiPriority w:val="0"/>
    <w:rPr>
      <w:rFonts w:ascii="宋体" w:hAnsi="宋体" w:eastAsia="宋体"/>
      <w:kern w:val="2"/>
      <w:sz w:val="28"/>
      <w:szCs w:val="28"/>
      <w:lang w:val="en-US" w:eastAsia="zh-CN" w:bidi="ar-SA"/>
    </w:rPr>
  </w:style>
  <w:style w:type="character" w:customStyle="1" w:styleId="56">
    <w:name w:val="纯文本 Char"/>
    <w:link w:val="16"/>
    <w:qFormat/>
    <w:uiPriority w:val="0"/>
    <w:rPr>
      <w:rFonts w:ascii="宋体" w:hAnsi="Courier New" w:eastAsia="宋体" w:cs="Courier New"/>
      <w:kern w:val="2"/>
      <w:sz w:val="21"/>
      <w:szCs w:val="21"/>
      <w:lang w:val="en-US" w:eastAsia="zh-CN" w:bidi="ar-SA"/>
    </w:rPr>
  </w:style>
  <w:style w:type="character" w:customStyle="1" w:styleId="57">
    <w:name w:val="正文－1.5行距－段后6磅 Char"/>
    <w:link w:val="58"/>
    <w:qFormat/>
    <w:uiPriority w:val="0"/>
    <w:rPr>
      <w:rFonts w:ascii="Calibri" w:hAnsi="Calibri" w:eastAsia="宋体"/>
      <w:kern w:val="2"/>
      <w:sz w:val="24"/>
      <w:szCs w:val="21"/>
      <w:lang w:val="en-US" w:eastAsia="zh-CN" w:bidi="ar-SA"/>
    </w:rPr>
  </w:style>
  <w:style w:type="paragraph" w:customStyle="1" w:styleId="58">
    <w:name w:val="正文－1.5行距－段后6磅"/>
    <w:basedOn w:val="1"/>
    <w:link w:val="57"/>
    <w:qFormat/>
    <w:uiPriority w:val="0"/>
    <w:pPr>
      <w:spacing w:after="120" w:line="360" w:lineRule="auto"/>
      <w:ind w:firstLine="200" w:firstLineChars="200"/>
    </w:pPr>
    <w:rPr>
      <w:rFonts w:ascii="Calibri" w:hAnsi="Calibri"/>
      <w:sz w:val="24"/>
      <w:szCs w:val="21"/>
    </w:rPr>
  </w:style>
  <w:style w:type="character" w:customStyle="1" w:styleId="59">
    <w:name w:val="题注 Char"/>
    <w:link w:val="7"/>
    <w:qFormat/>
    <w:uiPriority w:val="0"/>
    <w:rPr>
      <w:rFonts w:ascii="宋体" w:hAnsi="Courier New" w:cs="Courier New"/>
      <w:kern w:val="2"/>
      <w:sz w:val="21"/>
      <w:szCs w:val="21"/>
    </w:rPr>
  </w:style>
  <w:style w:type="character" w:customStyle="1" w:styleId="60">
    <w:name w:val="正文文本－5号字 Char"/>
    <w:link w:val="61"/>
    <w:qFormat/>
    <w:uiPriority w:val="0"/>
    <w:rPr>
      <w:rFonts w:eastAsia="宋体"/>
      <w:kern w:val="2"/>
      <w:sz w:val="24"/>
      <w:lang w:val="en-US" w:eastAsia="zh-CN" w:bidi="ar-SA"/>
    </w:rPr>
  </w:style>
  <w:style w:type="paragraph" w:customStyle="1" w:styleId="61">
    <w:name w:val="正文文本－5号字"/>
    <w:basedOn w:val="12"/>
    <w:link w:val="60"/>
    <w:qFormat/>
    <w:uiPriority w:val="0"/>
    <w:pPr>
      <w:spacing w:before="78" w:after="0" w:line="480" w:lineRule="exact"/>
      <w:ind w:firstLine="480" w:firstLineChars="200"/>
    </w:pPr>
    <w:rPr>
      <w:sz w:val="24"/>
    </w:rPr>
  </w:style>
  <w:style w:type="character" w:customStyle="1" w:styleId="62">
    <w:name w:val="表格文字2 Char"/>
    <w:link w:val="63"/>
    <w:qFormat/>
    <w:uiPriority w:val="0"/>
    <w:rPr>
      <w:rFonts w:ascii="宋体" w:eastAsia="宋体"/>
      <w:sz w:val="24"/>
      <w:lang w:val="en-US" w:eastAsia="zh-CN" w:bidi="ar-SA"/>
    </w:rPr>
  </w:style>
  <w:style w:type="paragraph" w:customStyle="1" w:styleId="63">
    <w:name w:val="表格文字2"/>
    <w:basedOn w:val="1"/>
    <w:link w:val="62"/>
    <w:qFormat/>
    <w:uiPriority w:val="0"/>
    <w:pPr>
      <w:adjustRightInd w:val="0"/>
      <w:spacing w:before="60"/>
      <w:jc w:val="center"/>
      <w:textAlignment w:val="baseline"/>
    </w:pPr>
    <w:rPr>
      <w:rFonts w:ascii="宋体"/>
      <w:kern w:val="0"/>
      <w:sz w:val="24"/>
    </w:rPr>
  </w:style>
  <w:style w:type="character" w:customStyle="1" w:styleId="64">
    <w:name w:val="样式 样式 样式 表内格式 + 左  -0.5 字符 + 左侧:  -0.5 字符 右侧:  -0.5 字符 + 左侧:  -0... Char"/>
    <w:link w:val="65"/>
    <w:qFormat/>
    <w:uiPriority w:val="0"/>
    <w:rPr>
      <w:rFonts w:eastAsia="宋体" w:cs="宋体"/>
      <w:kern w:val="2"/>
      <w:sz w:val="18"/>
      <w:szCs w:val="18"/>
      <w:lang w:val="en-US" w:eastAsia="zh-CN" w:bidi="ar-SA"/>
    </w:rPr>
  </w:style>
  <w:style w:type="paragraph" w:customStyle="1" w:styleId="65">
    <w:name w:val="样式 样式 样式 表内格式 + 左  -0.5 字符 + 左侧:  -0.5 字符 右侧:  -0.5 字符 + 左侧:  -0..."/>
    <w:basedOn w:val="1"/>
    <w:link w:val="64"/>
    <w:qFormat/>
    <w:uiPriority w:val="0"/>
    <w:pPr>
      <w:jc w:val="center"/>
    </w:pPr>
    <w:rPr>
      <w:rFonts w:cs="宋体"/>
      <w:sz w:val="18"/>
      <w:szCs w:val="18"/>
    </w:rPr>
  </w:style>
  <w:style w:type="character" w:customStyle="1" w:styleId="66">
    <w:name w:val="批注文字 Char"/>
    <w:link w:val="10"/>
    <w:qFormat/>
    <w:uiPriority w:val="0"/>
    <w:rPr>
      <w:kern w:val="2"/>
      <w:sz w:val="21"/>
    </w:rPr>
  </w:style>
  <w:style w:type="character" w:customStyle="1" w:styleId="67">
    <w:name w:val="可研正文 Char Char"/>
    <w:link w:val="68"/>
    <w:qFormat/>
    <w:uiPriority w:val="0"/>
    <w:rPr>
      <w:rFonts w:ascii="宋体" w:hAnsi="宋体" w:eastAsia="宋体" w:cs="宋体"/>
      <w:kern w:val="2"/>
      <w:sz w:val="28"/>
      <w:lang w:val="en-US" w:eastAsia="zh-CN" w:bidi="ar-SA"/>
    </w:rPr>
  </w:style>
  <w:style w:type="paragraph" w:customStyle="1" w:styleId="68">
    <w:name w:val="可研正文"/>
    <w:basedOn w:val="1"/>
    <w:link w:val="67"/>
    <w:qFormat/>
    <w:uiPriority w:val="0"/>
    <w:pPr>
      <w:spacing w:line="360" w:lineRule="auto"/>
      <w:ind w:firstLine="560" w:firstLineChars="200"/>
    </w:pPr>
    <w:rPr>
      <w:rFonts w:ascii="宋体" w:hAnsi="宋体" w:cs="宋体"/>
      <w:sz w:val="28"/>
    </w:rPr>
  </w:style>
  <w:style w:type="character" w:customStyle="1" w:styleId="69">
    <w:name w:val="表格 Char"/>
    <w:link w:val="70"/>
    <w:qFormat/>
    <w:uiPriority w:val="0"/>
    <w:rPr>
      <w:rFonts w:eastAsia="仿宋_GB2312"/>
      <w:kern w:val="2"/>
      <w:sz w:val="21"/>
    </w:rPr>
  </w:style>
  <w:style w:type="paragraph" w:customStyle="1" w:styleId="70">
    <w:name w:val="表格"/>
    <w:basedOn w:val="1"/>
    <w:link w:val="69"/>
    <w:qFormat/>
    <w:uiPriority w:val="0"/>
    <w:pPr>
      <w:adjustRightInd w:val="0"/>
      <w:snapToGrid w:val="0"/>
      <w:spacing w:line="240" w:lineRule="atLeast"/>
      <w:jc w:val="center"/>
    </w:pPr>
    <w:rPr>
      <w:rFonts w:eastAsia="仿宋_GB2312"/>
    </w:rPr>
  </w:style>
  <w:style w:type="character" w:customStyle="1" w:styleId="71">
    <w:name w:val="text"/>
    <w:basedOn w:val="32"/>
    <w:qFormat/>
    <w:uiPriority w:val="0"/>
  </w:style>
  <w:style w:type="paragraph" w:customStyle="1" w:styleId="72">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页眉 New New New"/>
    <w:basedOn w:val="75"/>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75">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9">
    <w:name w:val="正文缩进 New New New New New New New"/>
    <w:basedOn w:val="1"/>
    <w:qFormat/>
    <w:uiPriority w:val="0"/>
    <w:pPr>
      <w:ind w:firstLine="420"/>
    </w:pPr>
  </w:style>
  <w:style w:type="paragraph" w:customStyle="1" w:styleId="80">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海尔正文"/>
    <w:basedOn w:val="1"/>
    <w:qFormat/>
    <w:uiPriority w:val="0"/>
    <w:pPr>
      <w:spacing w:line="360" w:lineRule="auto"/>
      <w:ind w:firstLine="560" w:firstLineChars="200"/>
    </w:pPr>
    <w:rPr>
      <w:rFonts w:ascii="宋体" w:hAnsi="宋体" w:cs="宋体"/>
      <w:sz w:val="28"/>
    </w:rPr>
  </w:style>
  <w:style w:type="paragraph" w:customStyle="1" w:styleId="82">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3">
    <w:name w:val="xl2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84">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正文文本缩进 3 New"/>
    <w:basedOn w:val="1"/>
    <w:qFormat/>
    <w:uiPriority w:val="0"/>
    <w:pPr>
      <w:spacing w:line="360" w:lineRule="auto"/>
      <w:ind w:firstLine="560" w:firstLineChars="200"/>
    </w:pPr>
    <w:rPr>
      <w:rFonts w:ascii="仿宋_GB2312" w:hAnsi="Arial" w:eastAsia="仿宋_GB2312" w:cs="Arial"/>
      <w:sz w:val="28"/>
      <w:szCs w:val="24"/>
    </w:rPr>
  </w:style>
  <w:style w:type="paragraph" w:customStyle="1" w:styleId="86">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海尔标题2"/>
    <w:basedOn w:val="3"/>
    <w:qFormat/>
    <w:uiPriority w:val="0"/>
    <w:pPr>
      <w:spacing w:line="240" w:lineRule="atLeast"/>
      <w:jc w:val="left"/>
    </w:pPr>
    <w:rPr>
      <w:rFonts w:ascii="黑体" w:hAnsi="宋体"/>
      <w:bCs w:val="0"/>
    </w:rPr>
  </w:style>
  <w:style w:type="paragraph" w:customStyle="1" w:styleId="90">
    <w:name w:val="Char Char Char Char Char Char"/>
    <w:basedOn w:val="1"/>
    <w:qFormat/>
    <w:uiPriority w:val="0"/>
    <w:rPr>
      <w:sz w:val="24"/>
      <w:szCs w:val="24"/>
    </w:rPr>
  </w:style>
  <w:style w:type="paragraph" w:customStyle="1" w:styleId="91">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2">
    <w:name w:val="表格001"/>
    <w:basedOn w:val="1"/>
    <w:qFormat/>
    <w:uiPriority w:val="0"/>
    <w:pPr>
      <w:jc w:val="center"/>
    </w:pPr>
  </w:style>
  <w:style w:type="paragraph" w:customStyle="1" w:styleId="93">
    <w:name w:val="报告表正文"/>
    <w:basedOn w:val="1"/>
    <w:qFormat/>
    <w:uiPriority w:val="0"/>
    <w:pPr>
      <w:adjustRightInd w:val="0"/>
      <w:spacing w:line="312" w:lineRule="auto"/>
      <w:ind w:left="113" w:right="113" w:firstLine="482"/>
      <w:jc w:val="left"/>
      <w:textAlignment w:val="baseline"/>
    </w:pPr>
    <w:rPr>
      <w:kern w:val="0"/>
      <w:sz w:val="24"/>
    </w:rPr>
  </w:style>
  <w:style w:type="paragraph" w:customStyle="1" w:styleId="94">
    <w:name w:val="Char"/>
    <w:basedOn w:val="1"/>
    <w:qFormat/>
    <w:uiPriority w:val="0"/>
    <w:rPr>
      <w:sz w:val="24"/>
      <w:szCs w:val="24"/>
    </w:rPr>
  </w:style>
  <w:style w:type="paragraph" w:customStyle="1" w:styleId="9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海尔正文 New New New New New New New New New New"/>
    <w:basedOn w:val="1"/>
    <w:qFormat/>
    <w:uiPriority w:val="0"/>
    <w:pPr>
      <w:spacing w:line="360" w:lineRule="auto"/>
      <w:ind w:firstLine="560" w:firstLineChars="200"/>
    </w:pPr>
    <w:rPr>
      <w:rFonts w:ascii="宋体" w:hAnsi="宋体" w:cs="宋体"/>
      <w:sz w:val="28"/>
      <w:szCs w:val="24"/>
      <w:shd w:val="clear" w:color="auto" w:fill="FFFFFF"/>
    </w:rPr>
  </w:style>
  <w:style w:type="paragraph" w:customStyle="1" w:styleId="97">
    <w:name w:val="海尔正文 New New New New"/>
    <w:basedOn w:val="1"/>
    <w:qFormat/>
    <w:uiPriority w:val="0"/>
    <w:pPr>
      <w:spacing w:line="360" w:lineRule="auto"/>
      <w:ind w:firstLine="560" w:firstLineChars="200"/>
    </w:pPr>
    <w:rPr>
      <w:rFonts w:ascii="宋体" w:hAnsi="宋体" w:cs="宋体"/>
      <w:sz w:val="28"/>
      <w:szCs w:val="24"/>
    </w:rPr>
  </w:style>
  <w:style w:type="paragraph" w:customStyle="1" w:styleId="98">
    <w:name w:val="图文框"/>
    <w:basedOn w:val="1"/>
    <w:qFormat/>
    <w:uiPriority w:val="0"/>
    <w:pPr>
      <w:jc w:val="center"/>
    </w:pPr>
    <w:rPr>
      <w:szCs w:val="24"/>
    </w:rPr>
  </w:style>
  <w:style w:type="paragraph" w:customStyle="1" w:styleId="99">
    <w:name w:val="页脚 New New New New"/>
    <w:basedOn w:val="1"/>
    <w:qFormat/>
    <w:uiPriority w:val="0"/>
    <w:pPr>
      <w:tabs>
        <w:tab w:val="center" w:pos="4153"/>
        <w:tab w:val="right" w:pos="8306"/>
      </w:tabs>
      <w:snapToGrid w:val="0"/>
      <w:jc w:val="left"/>
    </w:pPr>
    <w:rPr>
      <w:sz w:val="18"/>
      <w:szCs w:val="18"/>
    </w:rPr>
  </w:style>
  <w:style w:type="paragraph" w:customStyle="1" w:styleId="100">
    <w:name w:val="List Paragraph1"/>
    <w:qFormat/>
    <w:uiPriority w:val="0"/>
    <w:pPr>
      <w:ind w:firstLine="420" w:firstLineChars="200"/>
    </w:pPr>
    <w:rPr>
      <w:rFonts w:ascii="Times New Roman" w:hAnsi="Times New Roman" w:eastAsia="宋体" w:cs="Times New Roman"/>
      <w:lang w:val="en-US" w:eastAsia="zh-CN" w:bidi="ar-SA"/>
    </w:rPr>
  </w:style>
  <w:style w:type="paragraph" w:customStyle="1" w:styleId="101">
    <w:name w:val="海尔标题3 + 加粗"/>
    <w:basedOn w:val="1"/>
    <w:qFormat/>
    <w:uiPriority w:val="0"/>
    <w:pPr>
      <w:spacing w:line="360" w:lineRule="auto"/>
    </w:pPr>
    <w:rPr>
      <w:rFonts w:ascii="宋体" w:hAnsi="宋体" w:eastAsia="黑体" w:cs="宋体"/>
      <w:b/>
      <w:bCs/>
      <w:sz w:val="28"/>
    </w:rPr>
  </w:style>
  <w:style w:type="paragraph" w:customStyle="1" w:styleId="102">
    <w:name w:val="报告正文 New New New"/>
    <w:basedOn w:val="16"/>
    <w:qFormat/>
    <w:uiPriority w:val="0"/>
    <w:pPr>
      <w:spacing w:line="600" w:lineRule="exact"/>
      <w:ind w:firstLine="567"/>
    </w:pPr>
    <w:rPr>
      <w:rFonts w:hAnsi="宋体" w:cs="Times New Roman"/>
      <w:sz w:val="28"/>
      <w:szCs w:val="28"/>
    </w:rPr>
  </w:style>
  <w:style w:type="paragraph" w:customStyle="1" w:styleId="103">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样式3"/>
    <w:basedOn w:val="1"/>
    <w:qFormat/>
    <w:uiPriority w:val="0"/>
    <w:pPr>
      <w:autoSpaceDE w:val="0"/>
      <w:autoSpaceDN w:val="0"/>
      <w:snapToGrid w:val="0"/>
      <w:spacing w:before="120" w:line="460" w:lineRule="atLeast"/>
      <w:jc w:val="center"/>
    </w:pPr>
    <w:rPr>
      <w:rFonts w:eastAsia="黑体"/>
      <w:sz w:val="28"/>
      <w:szCs w:val="24"/>
    </w:rPr>
  </w:style>
  <w:style w:type="paragraph" w:customStyle="1" w:styleId="105">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页脚 New New"/>
    <w:basedOn w:val="1"/>
    <w:qFormat/>
    <w:uiPriority w:val="0"/>
    <w:pPr>
      <w:tabs>
        <w:tab w:val="center" w:pos="4153"/>
        <w:tab w:val="right" w:pos="8306"/>
      </w:tabs>
      <w:snapToGrid w:val="0"/>
      <w:jc w:val="left"/>
    </w:pPr>
    <w:rPr>
      <w:sz w:val="18"/>
      <w:szCs w:val="18"/>
    </w:rPr>
  </w:style>
  <w:style w:type="paragraph" w:customStyle="1" w:styleId="107">
    <w:name w:val="正文缩进 New"/>
    <w:basedOn w:val="1"/>
    <w:qFormat/>
    <w:uiPriority w:val="0"/>
    <w:pPr>
      <w:ind w:firstLine="420"/>
    </w:pPr>
  </w:style>
  <w:style w:type="paragraph" w:customStyle="1" w:styleId="108">
    <w:name w:val="正文缩进 New New New New New New"/>
    <w:basedOn w:val="1"/>
    <w:qFormat/>
    <w:uiPriority w:val="0"/>
    <w:pPr>
      <w:ind w:firstLine="420"/>
    </w:pPr>
  </w:style>
  <w:style w:type="paragraph" w:customStyle="1" w:styleId="109">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
    <w:name w:val="页眉 New New New New"/>
    <w:basedOn w:val="78"/>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11">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2">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正文缩进 New New"/>
    <w:basedOn w:val="1"/>
    <w:qFormat/>
    <w:uiPriority w:val="0"/>
    <w:pPr>
      <w:ind w:firstLine="420"/>
    </w:pPr>
  </w:style>
  <w:style w:type="paragraph" w:customStyle="1" w:styleId="114">
    <w:name w:val="页眉 New New New New New New New New"/>
    <w:basedOn w:val="115"/>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15">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7">
    <w:name w:val="海尔正文 New New New"/>
    <w:basedOn w:val="1"/>
    <w:qFormat/>
    <w:uiPriority w:val="0"/>
    <w:pPr>
      <w:spacing w:line="360" w:lineRule="auto"/>
      <w:ind w:firstLine="560" w:firstLineChars="200"/>
    </w:pPr>
    <w:rPr>
      <w:rFonts w:ascii="宋体" w:hAnsi="宋体" w:cs="宋体"/>
      <w:sz w:val="28"/>
      <w:szCs w:val="24"/>
    </w:rPr>
  </w:style>
  <w:style w:type="paragraph" w:customStyle="1" w:styleId="118">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9">
    <w:name w:val="Char1"/>
    <w:basedOn w:val="1"/>
    <w:next w:val="1"/>
    <w:qFormat/>
    <w:uiPriority w:val="0"/>
    <w:pPr>
      <w:spacing w:line="360" w:lineRule="auto"/>
      <w:ind w:firstLine="200" w:firstLineChars="200"/>
    </w:pPr>
  </w:style>
  <w:style w:type="paragraph" w:customStyle="1" w:styleId="120">
    <w:name w:val="1"/>
    <w:basedOn w:val="1"/>
    <w:next w:val="13"/>
    <w:qFormat/>
    <w:uiPriority w:val="0"/>
    <w:pPr>
      <w:spacing w:line="360" w:lineRule="auto"/>
      <w:ind w:firstLine="480" w:firstLineChars="200"/>
    </w:pPr>
    <w:rPr>
      <w:rFonts w:ascii="宋体"/>
      <w:bCs/>
      <w:sz w:val="24"/>
      <w:szCs w:val="24"/>
    </w:rPr>
  </w:style>
  <w:style w:type="paragraph" w:customStyle="1" w:styleId="121">
    <w:name w:val="海尔正文 New"/>
    <w:basedOn w:val="1"/>
    <w:qFormat/>
    <w:uiPriority w:val="0"/>
    <w:pPr>
      <w:spacing w:line="360" w:lineRule="auto"/>
      <w:ind w:firstLine="560" w:firstLineChars="200"/>
    </w:pPr>
    <w:rPr>
      <w:rFonts w:ascii="宋体" w:hAnsi="宋体" w:cs="宋体"/>
      <w:sz w:val="28"/>
      <w:szCs w:val="24"/>
    </w:rPr>
  </w:style>
  <w:style w:type="paragraph" w:customStyle="1" w:styleId="122">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
    <w:name w:val="报告正文 New New New New New"/>
    <w:basedOn w:val="16"/>
    <w:qFormat/>
    <w:uiPriority w:val="0"/>
    <w:pPr>
      <w:spacing w:line="600" w:lineRule="exact"/>
      <w:ind w:firstLine="567"/>
    </w:pPr>
    <w:rPr>
      <w:rFonts w:hAnsi="宋体" w:cs="Times New Roman"/>
      <w:sz w:val="28"/>
      <w:szCs w:val="28"/>
    </w:rPr>
  </w:style>
  <w:style w:type="paragraph" w:customStyle="1" w:styleId="125">
    <w:name w:val="111正文文本"/>
    <w:basedOn w:val="1"/>
    <w:qFormat/>
    <w:uiPriority w:val="0"/>
    <w:pPr>
      <w:spacing w:before="78" w:line="400" w:lineRule="exact"/>
      <w:ind w:firstLine="480" w:firstLineChars="200"/>
    </w:pPr>
    <w:rPr>
      <w:sz w:val="24"/>
    </w:rPr>
  </w:style>
  <w:style w:type="paragraph" w:customStyle="1" w:styleId="126">
    <w:name w:val="页脚 New New New"/>
    <w:basedOn w:val="1"/>
    <w:qFormat/>
    <w:uiPriority w:val="0"/>
    <w:pPr>
      <w:tabs>
        <w:tab w:val="center" w:pos="4153"/>
        <w:tab w:val="right" w:pos="8306"/>
      </w:tabs>
      <w:snapToGrid w:val="0"/>
      <w:jc w:val="left"/>
    </w:pPr>
    <w:rPr>
      <w:sz w:val="18"/>
      <w:szCs w:val="18"/>
    </w:rPr>
  </w:style>
  <w:style w:type="paragraph" w:customStyle="1" w:styleId="127">
    <w:name w:val="正文缩进 New New New New"/>
    <w:basedOn w:val="1"/>
    <w:qFormat/>
    <w:uiPriority w:val="0"/>
    <w:pPr>
      <w:ind w:firstLine="420"/>
    </w:pPr>
  </w:style>
  <w:style w:type="paragraph" w:customStyle="1" w:styleId="128">
    <w:name w:val="页脚 New"/>
    <w:basedOn w:val="109"/>
    <w:qFormat/>
    <w:uiPriority w:val="0"/>
    <w:pPr>
      <w:tabs>
        <w:tab w:val="center" w:pos="4153"/>
        <w:tab w:val="right" w:pos="8306"/>
      </w:tabs>
      <w:snapToGrid w:val="0"/>
      <w:jc w:val="left"/>
    </w:pPr>
    <w:rPr>
      <w:sz w:val="18"/>
    </w:rPr>
  </w:style>
  <w:style w:type="paragraph" w:customStyle="1" w:styleId="129">
    <w:name w:val="页眉 New New New New New New New New New"/>
    <w:basedOn w:val="11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30">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Char Char Char Char"/>
    <w:basedOn w:val="1"/>
    <w:qFormat/>
    <w:uiPriority w:val="0"/>
    <w:rPr>
      <w:szCs w:val="24"/>
    </w:rPr>
  </w:style>
  <w:style w:type="paragraph" w:customStyle="1" w:styleId="132">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3">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样式1"/>
    <w:basedOn w:val="1"/>
    <w:qFormat/>
    <w:uiPriority w:val="0"/>
    <w:pPr>
      <w:spacing w:line="360" w:lineRule="auto"/>
      <w:ind w:firstLine="510"/>
    </w:pPr>
    <w:rPr>
      <w:sz w:val="24"/>
    </w:rPr>
  </w:style>
  <w:style w:type="paragraph" w:customStyle="1" w:styleId="135">
    <w:name w:val="页眉 New New New New New"/>
    <w:basedOn w:val="136"/>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36">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7">
    <w:name w:val="表名"/>
    <w:basedOn w:val="1"/>
    <w:qFormat/>
    <w:uiPriority w:val="0"/>
    <w:pPr>
      <w:adjustRightInd w:val="0"/>
      <w:spacing w:before="120" w:after="120" w:line="400" w:lineRule="atLeast"/>
      <w:jc w:val="center"/>
      <w:textAlignment w:val="baseline"/>
    </w:pPr>
    <w:rPr>
      <w:rFonts w:eastAsia="黑体"/>
      <w:bCs/>
      <w:kern w:val="0"/>
      <w:sz w:val="24"/>
    </w:rPr>
  </w:style>
  <w:style w:type="paragraph" w:customStyle="1" w:styleId="138">
    <w:name w:val="Default New"/>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默认段落字体 Para Char"/>
    <w:basedOn w:val="1"/>
    <w:qFormat/>
    <w:uiPriority w:val="0"/>
    <w:rPr>
      <w:sz w:val="24"/>
      <w:szCs w:val="24"/>
    </w:rPr>
  </w:style>
  <w:style w:type="paragraph" w:customStyle="1" w:styleId="148">
    <w:name w:val="页脚 New New New New New New"/>
    <w:basedOn w:val="1"/>
    <w:qFormat/>
    <w:uiPriority w:val="0"/>
    <w:pPr>
      <w:tabs>
        <w:tab w:val="center" w:pos="4153"/>
        <w:tab w:val="right" w:pos="8306"/>
      </w:tabs>
      <w:snapToGrid w:val="0"/>
      <w:jc w:val="left"/>
    </w:pPr>
    <w:rPr>
      <w:sz w:val="18"/>
    </w:rPr>
  </w:style>
  <w:style w:type="paragraph" w:customStyle="1" w:styleId="149">
    <w:name w:val="报告正文 New New New New"/>
    <w:basedOn w:val="16"/>
    <w:qFormat/>
    <w:uiPriority w:val="0"/>
    <w:pPr>
      <w:spacing w:line="600" w:lineRule="exact"/>
      <w:ind w:firstLine="567"/>
    </w:pPr>
    <w:rPr>
      <w:rFonts w:hAnsi="宋体" w:cs="Times New Roman"/>
      <w:sz w:val="28"/>
      <w:szCs w:val="28"/>
    </w:rPr>
  </w:style>
  <w:style w:type="paragraph" w:customStyle="1" w:styleId="150">
    <w:name w:val="中文报告书样式"/>
    <w:basedOn w:val="1"/>
    <w:qFormat/>
    <w:uiPriority w:val="0"/>
    <w:pPr>
      <w:adjustRightInd w:val="0"/>
      <w:spacing w:line="480" w:lineRule="atLeast"/>
      <w:ind w:firstLine="482"/>
      <w:textAlignment w:val="baseline"/>
    </w:pPr>
    <w:rPr>
      <w:kern w:val="24"/>
      <w:sz w:val="24"/>
    </w:rPr>
  </w:style>
  <w:style w:type="paragraph" w:customStyle="1" w:styleId="151">
    <w:name w:val="海尔正文 New New New New New New New"/>
    <w:basedOn w:val="1"/>
    <w:qFormat/>
    <w:uiPriority w:val="0"/>
    <w:pPr>
      <w:spacing w:line="360" w:lineRule="auto"/>
      <w:ind w:firstLine="560" w:firstLineChars="200"/>
    </w:pPr>
    <w:rPr>
      <w:rFonts w:ascii="宋体" w:hAnsi="宋体" w:cs="宋体"/>
      <w:sz w:val="28"/>
      <w:szCs w:val="24"/>
      <w:shd w:val="clear" w:color="auto" w:fill="FFFFFF"/>
    </w:rPr>
  </w:style>
  <w:style w:type="paragraph" w:customStyle="1" w:styleId="152">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4">
    <w:name w:val="表内文字"/>
    <w:basedOn w:val="1"/>
    <w:qFormat/>
    <w:uiPriority w:val="0"/>
    <w:pPr>
      <w:widowControl/>
      <w:adjustRightInd w:val="0"/>
      <w:snapToGrid w:val="0"/>
      <w:jc w:val="center"/>
      <w:textAlignment w:val="baseline"/>
    </w:pPr>
    <w:rPr>
      <w:b/>
      <w:snapToGrid w:val="0"/>
      <w:color w:val="000000"/>
      <w:kern w:val="0"/>
      <w:szCs w:val="21"/>
    </w:rPr>
  </w:style>
  <w:style w:type="paragraph" w:customStyle="1" w:styleId="155">
    <w:name w:val="表格文字"/>
    <w:basedOn w:val="1"/>
    <w:qFormat/>
    <w:uiPriority w:val="0"/>
    <w:pPr>
      <w:adjustRightInd w:val="0"/>
      <w:snapToGrid w:val="0"/>
      <w:jc w:val="center"/>
    </w:pPr>
    <w:rPr>
      <w:rFonts w:ascii="仿宋_GB2312" w:hAnsi="Arial Black" w:eastAsia="仿宋_GB2312"/>
      <w:kern w:val="44"/>
      <w:sz w:val="24"/>
    </w:rPr>
  </w:style>
  <w:style w:type="paragraph" w:customStyle="1" w:styleId="156">
    <w:name w:val="Char Char Char Char1"/>
    <w:basedOn w:val="1"/>
    <w:qFormat/>
    <w:uiPriority w:val="0"/>
    <w:rPr>
      <w:szCs w:val="24"/>
    </w:rPr>
  </w:style>
  <w:style w:type="paragraph" w:customStyle="1" w:styleId="157">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海尔正文 New New New New New New New New"/>
    <w:basedOn w:val="1"/>
    <w:qFormat/>
    <w:uiPriority w:val="0"/>
    <w:pPr>
      <w:spacing w:line="360" w:lineRule="auto"/>
      <w:ind w:firstLine="560" w:firstLineChars="200"/>
    </w:pPr>
    <w:rPr>
      <w:rFonts w:ascii="宋体" w:hAnsi="宋体" w:cs="宋体"/>
      <w:sz w:val="28"/>
      <w:szCs w:val="24"/>
      <w:shd w:val="clear" w:color="auto" w:fill="FFFFFF"/>
    </w:rPr>
  </w:style>
  <w:style w:type="paragraph" w:customStyle="1" w:styleId="159">
    <w:name w:val="正文001"/>
    <w:basedOn w:val="1"/>
    <w:qFormat/>
    <w:uiPriority w:val="0"/>
    <w:pPr>
      <w:spacing w:before="60" w:line="420" w:lineRule="exact"/>
      <w:ind w:firstLine="482"/>
    </w:pPr>
    <w:rPr>
      <w:sz w:val="24"/>
    </w:rPr>
  </w:style>
  <w:style w:type="paragraph" w:customStyle="1" w:styleId="160">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Char Char Char1 Char Char Char Char Char Char Char"/>
    <w:basedOn w:val="1"/>
    <w:qFormat/>
    <w:uiPriority w:val="0"/>
    <w:rPr>
      <w:szCs w:val="24"/>
    </w:rPr>
  </w:style>
  <w:style w:type="paragraph" w:customStyle="1" w:styleId="162">
    <w:name w:val="正文缩进 New New New New New"/>
    <w:basedOn w:val="1"/>
    <w:qFormat/>
    <w:uiPriority w:val="0"/>
    <w:pPr>
      <w:ind w:firstLine="420"/>
    </w:pPr>
  </w:style>
  <w:style w:type="paragraph" w:customStyle="1" w:styleId="163">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正文缩进 New New New"/>
    <w:basedOn w:val="1"/>
    <w:qFormat/>
    <w:uiPriority w:val="0"/>
    <w:pPr>
      <w:ind w:firstLine="420"/>
    </w:pPr>
  </w:style>
  <w:style w:type="paragraph" w:customStyle="1" w:styleId="165">
    <w:name w:val="供销社正文"/>
    <w:basedOn w:val="1"/>
    <w:qFormat/>
    <w:uiPriority w:val="0"/>
    <w:pPr>
      <w:spacing w:line="360" w:lineRule="auto"/>
      <w:ind w:firstLine="560" w:firstLineChars="200"/>
    </w:pPr>
    <w:rPr>
      <w:rFonts w:ascii="宋体" w:hAnsi="宋体" w:cs="宋体"/>
      <w:sz w:val="28"/>
    </w:rPr>
  </w:style>
  <w:style w:type="paragraph" w:customStyle="1" w:styleId="166">
    <w:name w:val="页脚 New New New New New"/>
    <w:basedOn w:val="1"/>
    <w:qFormat/>
    <w:uiPriority w:val="0"/>
    <w:pPr>
      <w:tabs>
        <w:tab w:val="center" w:pos="4153"/>
        <w:tab w:val="right" w:pos="8306"/>
      </w:tabs>
      <w:snapToGrid w:val="0"/>
      <w:jc w:val="left"/>
    </w:pPr>
    <w:rPr>
      <w:sz w:val="18"/>
      <w:szCs w:val="18"/>
    </w:rPr>
  </w:style>
  <w:style w:type="paragraph" w:customStyle="1" w:styleId="167">
    <w:name w:val="Default New New"/>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8">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1 Char Char Char Char Char Char Char Char Char Char Char Char Char"/>
    <w:basedOn w:val="1"/>
    <w:qFormat/>
    <w:uiPriority w:val="0"/>
  </w:style>
  <w:style w:type="paragraph" w:customStyle="1" w:styleId="170">
    <w:name w:val="Char Char1 Char Char Char Char Char Char"/>
    <w:basedOn w:val="1"/>
    <w:qFormat/>
    <w:uiPriority w:val="0"/>
  </w:style>
  <w:style w:type="paragraph" w:customStyle="1" w:styleId="171">
    <w:name w:val="Default"/>
    <w:link w:val="228"/>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72">
    <w:name w:val="Char Char Char1 Char Char Char1 Char Char Char Char Char Char Char Char Char Char Char Char1 Char Char Char Char Char Char Char"/>
    <w:basedOn w:val="1"/>
    <w:qFormat/>
    <w:uiPriority w:val="0"/>
    <w:pPr>
      <w:widowControl/>
      <w:spacing w:after="160" w:line="240" w:lineRule="exact"/>
      <w:jc w:val="left"/>
    </w:pPr>
  </w:style>
  <w:style w:type="paragraph" w:customStyle="1" w:styleId="173">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5">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7">
    <w:name w:val="页眉 New"/>
    <w:basedOn w:val="9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78">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
    <w:name w:val="报告表格"/>
    <w:basedOn w:val="1"/>
    <w:qFormat/>
    <w:uiPriority w:val="0"/>
    <w:pPr>
      <w:autoSpaceDE w:val="0"/>
      <w:autoSpaceDN w:val="0"/>
      <w:adjustRightInd w:val="0"/>
      <w:spacing w:before="40" w:after="40"/>
      <w:jc w:val="center"/>
      <w:textAlignment w:val="baseline"/>
    </w:pPr>
    <w:rPr>
      <w:rFonts w:eastAsia="仿宋_GB2312"/>
      <w:kern w:val="0"/>
      <w:sz w:val="24"/>
    </w:rPr>
  </w:style>
  <w:style w:type="paragraph" w:customStyle="1" w:styleId="180">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1">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82">
    <w:name w:val="普通(网站) New"/>
    <w:basedOn w:val="176"/>
    <w:qFormat/>
    <w:uiPriority w:val="0"/>
    <w:pPr>
      <w:widowControl/>
      <w:spacing w:before="100" w:beforeAutospacing="1" w:after="100" w:afterAutospacing="1"/>
      <w:jc w:val="left"/>
    </w:pPr>
    <w:rPr>
      <w:rFonts w:ascii="宋体" w:hAnsi="宋体"/>
      <w:kern w:val="0"/>
      <w:sz w:val="24"/>
      <w:szCs w:val="24"/>
    </w:rPr>
  </w:style>
  <w:style w:type="paragraph" w:customStyle="1" w:styleId="183">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样式 正文 首行缩进:  2 字符 + 首行缩进:  2 字符"/>
    <w:basedOn w:val="1"/>
    <w:qFormat/>
    <w:uiPriority w:val="0"/>
    <w:pPr>
      <w:spacing w:line="520" w:lineRule="exact"/>
      <w:ind w:firstLine="287" w:firstLineChars="150"/>
      <w:jc w:val="center"/>
      <w:textAlignment w:val="bottom"/>
    </w:pPr>
    <w:rPr>
      <w:rFonts w:ascii="宋体" w:hAnsi="宋体"/>
      <w:bCs/>
      <w:w w:val="80"/>
      <w:sz w:val="24"/>
      <w:szCs w:val="24"/>
    </w:rPr>
  </w:style>
  <w:style w:type="paragraph" w:customStyle="1" w:styleId="185">
    <w:name w:val="样式1 Char Char"/>
    <w:basedOn w:val="1"/>
    <w:qFormat/>
    <w:uiPriority w:val="0"/>
    <w:pPr>
      <w:spacing w:line="360" w:lineRule="auto"/>
      <w:ind w:firstLine="510"/>
    </w:pPr>
    <w:rPr>
      <w:rFonts w:eastAsia="仿宋_GB2312"/>
      <w:sz w:val="24"/>
      <w:szCs w:val="24"/>
    </w:rPr>
  </w:style>
  <w:style w:type="paragraph" w:customStyle="1" w:styleId="186">
    <w:name w:val="修订1"/>
    <w:qFormat/>
    <w:uiPriority w:val="0"/>
    <w:rPr>
      <w:rFonts w:ascii="Times New Roman" w:hAnsi="Times New Roman" w:eastAsia="宋体" w:cs="Times New Roman"/>
      <w:kern w:val="2"/>
      <w:sz w:val="21"/>
      <w:szCs w:val="24"/>
      <w:lang w:val="en-US" w:eastAsia="zh-CN" w:bidi="ar-SA"/>
    </w:rPr>
  </w:style>
  <w:style w:type="paragraph" w:customStyle="1" w:styleId="187">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报告"/>
    <w:basedOn w:val="1"/>
    <w:qFormat/>
    <w:uiPriority w:val="0"/>
    <w:pPr>
      <w:spacing w:line="360" w:lineRule="auto"/>
      <w:ind w:firstLine="560" w:firstLineChars="200"/>
    </w:pPr>
    <w:rPr>
      <w:sz w:val="28"/>
      <w:szCs w:val="24"/>
    </w:rPr>
  </w:style>
  <w:style w:type="paragraph" w:customStyle="1" w:styleId="192">
    <w:name w:val="报告正文 New New"/>
    <w:qFormat/>
    <w:uiPriority w:val="0"/>
    <w:pPr>
      <w:spacing w:line="600" w:lineRule="exact"/>
      <w:ind w:firstLine="567"/>
    </w:pPr>
    <w:rPr>
      <w:rFonts w:ascii="宋体" w:hAnsi="宋体" w:eastAsia="宋体" w:cs="Times New Roman"/>
      <w:kern w:val="2"/>
      <w:sz w:val="28"/>
      <w:szCs w:val="28"/>
      <w:lang w:val="en-US" w:eastAsia="zh-CN" w:bidi="ar-SA"/>
    </w:rPr>
  </w:style>
  <w:style w:type="paragraph" w:customStyle="1" w:styleId="193">
    <w:name w:val="duanluo"/>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94">
    <w:name w:val="Char Char Char Char Char Char Char Char Char Char Char Char Char Char Char Char Char Char Char"/>
    <w:basedOn w:val="1"/>
    <w:qFormat/>
    <w:uiPriority w:val="0"/>
    <w:rPr>
      <w:rFonts w:eastAsia="仿宋_GB2312"/>
      <w:sz w:val="24"/>
      <w:szCs w:val="24"/>
    </w:rPr>
  </w:style>
  <w:style w:type="paragraph" w:customStyle="1" w:styleId="195">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页眉 New New New New New New New"/>
    <w:basedOn w:val="132"/>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19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字元 字元"/>
    <w:basedOn w:val="1"/>
    <w:qFormat/>
    <w:uiPriority w:val="0"/>
    <w:rPr>
      <w:szCs w:val="24"/>
    </w:rPr>
  </w:style>
  <w:style w:type="paragraph" w:customStyle="1" w:styleId="199">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海尔正文 New New New New New New"/>
    <w:basedOn w:val="1"/>
    <w:qFormat/>
    <w:uiPriority w:val="0"/>
    <w:pPr>
      <w:spacing w:line="360" w:lineRule="auto"/>
      <w:ind w:firstLine="560" w:firstLineChars="200"/>
    </w:pPr>
    <w:rPr>
      <w:rFonts w:ascii="宋体" w:hAnsi="宋体" w:cs="宋体"/>
      <w:sz w:val="28"/>
      <w:szCs w:val="24"/>
      <w:shd w:val="clear" w:color="auto" w:fill="FFFFFF"/>
    </w:rPr>
  </w:style>
  <w:style w:type="paragraph" w:customStyle="1" w:styleId="201">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
    <w:name w:val="报告标题3"/>
    <w:basedOn w:val="4"/>
    <w:next w:val="124"/>
    <w:qFormat/>
    <w:uiPriority w:val="0"/>
    <w:pPr>
      <w:spacing w:before="260" w:after="260" w:line="580" w:lineRule="exact"/>
    </w:pPr>
    <w:rPr>
      <w:rFonts w:ascii="Arial" w:hAnsi="Arial" w:eastAsia="黑体"/>
      <w:bCs/>
      <w:sz w:val="28"/>
      <w:szCs w:val="28"/>
    </w:rPr>
  </w:style>
  <w:style w:type="paragraph" w:customStyle="1" w:styleId="203">
    <w:name w:val="页眉 New New"/>
    <w:basedOn w:val="82"/>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04">
    <w:name w:val="海尔正文 New New"/>
    <w:basedOn w:val="1"/>
    <w:qFormat/>
    <w:uiPriority w:val="0"/>
    <w:pPr>
      <w:spacing w:line="360" w:lineRule="auto"/>
      <w:ind w:firstLine="560" w:firstLineChars="200"/>
    </w:pPr>
    <w:rPr>
      <w:rFonts w:ascii="宋体" w:hAnsi="宋体" w:cs="宋体"/>
      <w:sz w:val="28"/>
      <w:szCs w:val="24"/>
    </w:rPr>
  </w:style>
  <w:style w:type="paragraph" w:customStyle="1" w:styleId="205">
    <w:name w:val="默认段落字体 Para Char Char Char Char"/>
    <w:basedOn w:val="1"/>
    <w:qFormat/>
    <w:uiPriority w:val="0"/>
    <w:pPr>
      <w:spacing w:line="360" w:lineRule="auto"/>
      <w:ind w:firstLine="200" w:firstLineChars="200"/>
    </w:pPr>
    <w:rPr>
      <w:kern w:val="0"/>
      <w:szCs w:val="21"/>
    </w:rPr>
  </w:style>
  <w:style w:type="paragraph" w:customStyle="1" w:styleId="206">
    <w:name w:val="报告标题2"/>
    <w:basedOn w:val="3"/>
    <w:qFormat/>
    <w:uiPriority w:val="0"/>
    <w:pPr>
      <w:spacing w:line="600" w:lineRule="exact"/>
    </w:pPr>
  </w:style>
  <w:style w:type="paragraph" w:customStyle="1" w:styleId="20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Default New New New"/>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09">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
    <w:name w:val="海尔正文 New New New New New"/>
    <w:basedOn w:val="1"/>
    <w:qFormat/>
    <w:uiPriority w:val="0"/>
    <w:pPr>
      <w:spacing w:line="360" w:lineRule="auto"/>
      <w:ind w:firstLine="560" w:firstLineChars="200"/>
    </w:pPr>
    <w:rPr>
      <w:rFonts w:ascii="宋体" w:hAnsi="宋体" w:cs="宋体"/>
      <w:sz w:val="28"/>
      <w:szCs w:val="24"/>
      <w:shd w:val="clear" w:color="auto" w:fill="FFFFFF"/>
    </w:rPr>
  </w:style>
  <w:style w:type="paragraph" w:customStyle="1" w:styleId="2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建议书正文"/>
    <w:basedOn w:val="1"/>
    <w:qFormat/>
    <w:uiPriority w:val="0"/>
    <w:pPr>
      <w:spacing w:line="360" w:lineRule="auto"/>
      <w:ind w:firstLine="560" w:firstLineChars="200"/>
    </w:pPr>
    <w:rPr>
      <w:rFonts w:ascii="宋体" w:hAnsi="宋体" w:cs="宋体"/>
      <w:sz w:val="28"/>
    </w:rPr>
  </w:style>
  <w:style w:type="paragraph" w:customStyle="1" w:styleId="213">
    <w:name w:val="报告正文 New"/>
    <w:basedOn w:val="16"/>
    <w:qFormat/>
    <w:uiPriority w:val="0"/>
    <w:pPr>
      <w:spacing w:line="600" w:lineRule="exact"/>
      <w:ind w:firstLine="567"/>
    </w:pPr>
    <w:rPr>
      <w:rFonts w:hAnsi="宋体" w:cs="Times New Roman"/>
      <w:sz w:val="28"/>
      <w:szCs w:val="28"/>
    </w:rPr>
  </w:style>
  <w:style w:type="paragraph" w:customStyle="1" w:styleId="214">
    <w:name w:val="页脚 New New New New New New New"/>
    <w:basedOn w:val="176"/>
    <w:qFormat/>
    <w:uiPriority w:val="0"/>
    <w:pPr>
      <w:tabs>
        <w:tab w:val="center" w:pos="4153"/>
        <w:tab w:val="right" w:pos="8306"/>
      </w:tabs>
      <w:adjustRightInd w:val="0"/>
      <w:ind w:firstLine="680"/>
      <w:jc w:val="left"/>
      <w:textAlignment w:val="baseline"/>
    </w:pPr>
    <w:rPr>
      <w:rFonts w:eastAsia="仿宋_GB2312"/>
      <w:kern w:val="0"/>
      <w:sz w:val="18"/>
    </w:rPr>
  </w:style>
  <w:style w:type="paragraph" w:customStyle="1" w:styleId="215">
    <w:name w:val="报告正文 New New New New New New"/>
    <w:basedOn w:val="16"/>
    <w:uiPriority w:val="0"/>
    <w:pPr>
      <w:spacing w:line="600" w:lineRule="exact"/>
      <w:ind w:firstLine="567"/>
    </w:pPr>
    <w:rPr>
      <w:rFonts w:hAnsi="宋体" w:cs="Times New Roman"/>
      <w:sz w:val="28"/>
      <w:szCs w:val="28"/>
    </w:rPr>
  </w:style>
  <w:style w:type="paragraph" w:customStyle="1" w:styleId="216">
    <w:name w:val="Char Char Char Char Char Char Char Char Char Char Char1 Char Char Char Char Char Char Char Char Char"/>
    <w:basedOn w:val="1"/>
    <w:qFormat/>
    <w:uiPriority w:val="0"/>
    <w:rPr>
      <w:rFonts w:ascii="Tahoma" w:hAnsi="Tahoma"/>
      <w:sz w:val="24"/>
      <w:szCs w:val="24"/>
    </w:rPr>
  </w:style>
  <w:style w:type="paragraph" w:customStyle="1" w:styleId="217">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
    <w:name w:val="页眉 New New New New New New"/>
    <w:basedOn w:val="116"/>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customStyle="1" w:styleId="220">
    <w:name w:val="海尔正文 New New New New New New New New New"/>
    <w:basedOn w:val="1"/>
    <w:qFormat/>
    <w:uiPriority w:val="0"/>
    <w:pPr>
      <w:spacing w:line="360" w:lineRule="auto"/>
      <w:ind w:firstLine="560" w:firstLineChars="200"/>
    </w:pPr>
    <w:rPr>
      <w:rFonts w:ascii="宋体" w:hAnsi="宋体" w:cs="宋体"/>
      <w:sz w:val="28"/>
      <w:szCs w:val="24"/>
      <w:shd w:val="clear" w:color="auto" w:fill="FFFFFF"/>
    </w:rPr>
  </w:style>
  <w:style w:type="character" w:customStyle="1" w:styleId="221">
    <w:name w:val="fontstyle01"/>
    <w:basedOn w:val="32"/>
    <w:qFormat/>
    <w:uiPriority w:val="0"/>
    <w:rPr>
      <w:rFonts w:hint="eastAsia" w:ascii="宋体" w:hAnsi="宋体" w:eastAsia="宋体"/>
      <w:color w:val="000000"/>
      <w:sz w:val="24"/>
      <w:szCs w:val="24"/>
    </w:rPr>
  </w:style>
  <w:style w:type="character" w:customStyle="1" w:styleId="222">
    <w:name w:val="font41"/>
    <w:basedOn w:val="32"/>
    <w:qFormat/>
    <w:uiPriority w:val="0"/>
    <w:rPr>
      <w:rFonts w:hint="default" w:ascii="Times New Roman" w:hAnsi="Times New Roman" w:cs="Times New Roman"/>
      <w:color w:val="000000"/>
      <w:sz w:val="18"/>
      <w:szCs w:val="18"/>
      <w:u w:val="none"/>
    </w:rPr>
  </w:style>
  <w:style w:type="character" w:customStyle="1" w:styleId="223">
    <w:name w:val="font51"/>
    <w:basedOn w:val="32"/>
    <w:qFormat/>
    <w:uiPriority w:val="0"/>
    <w:rPr>
      <w:rFonts w:hint="default" w:ascii="Times New Roman" w:hAnsi="Times New Roman" w:cs="Times New Roman"/>
      <w:color w:val="000000"/>
      <w:sz w:val="24"/>
      <w:szCs w:val="24"/>
      <w:u w:val="none"/>
    </w:rPr>
  </w:style>
  <w:style w:type="character" w:customStyle="1" w:styleId="224">
    <w:name w:val="font21"/>
    <w:basedOn w:val="32"/>
    <w:qFormat/>
    <w:uiPriority w:val="0"/>
    <w:rPr>
      <w:rFonts w:hint="default" w:ascii="Times New Roman" w:hAnsi="Times New Roman" w:cs="Times New Roman"/>
      <w:color w:val="000000"/>
      <w:sz w:val="16"/>
      <w:szCs w:val="16"/>
      <w:u w:val="none"/>
    </w:rPr>
  </w:style>
  <w:style w:type="character" w:customStyle="1" w:styleId="225">
    <w:name w:val="font11"/>
    <w:basedOn w:val="32"/>
    <w:qFormat/>
    <w:uiPriority w:val="0"/>
    <w:rPr>
      <w:sz w:val="18"/>
    </w:rPr>
  </w:style>
  <w:style w:type="character" w:customStyle="1" w:styleId="226">
    <w:name w:val="正文文本 Char"/>
    <w:basedOn w:val="32"/>
    <w:link w:val="12"/>
    <w:qFormat/>
    <w:uiPriority w:val="99"/>
    <w:rPr>
      <w:kern w:val="2"/>
      <w:sz w:val="21"/>
    </w:rPr>
  </w:style>
  <w:style w:type="paragraph" w:styleId="227">
    <w:name w:val="List Paragraph"/>
    <w:basedOn w:val="1"/>
    <w:qFormat/>
    <w:uiPriority w:val="0"/>
    <w:pPr>
      <w:spacing w:line="500" w:lineRule="exact"/>
      <w:ind w:firstLine="420" w:firstLineChars="200"/>
    </w:pPr>
    <w:rPr>
      <w:sz w:val="24"/>
      <w:szCs w:val="24"/>
    </w:rPr>
  </w:style>
  <w:style w:type="character" w:customStyle="1" w:styleId="228">
    <w:name w:val="Default Char Char"/>
    <w:link w:val="171"/>
    <w:qFormat/>
    <w:uiPriority w:val="0"/>
    <w:rPr>
      <w:color w:val="000000"/>
      <w:sz w:val="24"/>
      <w:szCs w:val="24"/>
      <w:lang w:bidi="ar-SA"/>
    </w:rPr>
  </w:style>
  <w:style w:type="paragraph" w:customStyle="1" w:styleId="229">
    <w:name w:val="表头lcc"/>
    <w:basedOn w:val="1"/>
    <w:qFormat/>
    <w:uiPriority w:val="99"/>
    <w:pPr>
      <w:adjustRightInd w:val="0"/>
      <w:spacing w:before="40" w:after="40"/>
      <w:jc w:val="center"/>
      <w:textAlignment w:val="baseline"/>
    </w:pPr>
    <w:rPr>
      <w:rFonts w:ascii="Calibri" w:hAnsi="Calibri"/>
      <w:b/>
      <w:kern w:val="0"/>
      <w:szCs w:val="22"/>
    </w:rPr>
  </w:style>
  <w:style w:type="paragraph" w:customStyle="1" w:styleId="230">
    <w:name w:val="Table Paragraph"/>
    <w:basedOn w:val="1"/>
    <w:unhideWhenUsed/>
    <w:qFormat/>
    <w:uiPriority w:val="1"/>
    <w:rPr>
      <w:sz w:val="24"/>
      <w:szCs w:val="24"/>
    </w:rPr>
  </w:style>
  <w:style w:type="paragraph" w:customStyle="1" w:styleId="231">
    <w:name w:val="正文4号"/>
    <w:qFormat/>
    <w:uiPriority w:val="0"/>
    <w:pPr>
      <w:widowControl w:val="0"/>
      <w:adjustRightInd w:val="0"/>
      <w:snapToGrid w:val="0"/>
      <w:spacing w:line="360" w:lineRule="auto"/>
      <w:ind w:firstLine="200" w:firstLineChars="200"/>
      <w:jc w:val="both"/>
    </w:pPr>
    <w:rPr>
      <w:rFonts w:ascii="Times New Roman" w:hAnsi="Times New Roman" w:eastAsia="Times New Roman"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3367"/>
    <customShpInfo spid="_x0000_s3368"/>
    <customShpInfo spid="_x0000_s3369"/>
    <customShpInfo spid="_x0000_s3366"/>
    <customShpInfo spid="_x0000_s3883"/>
    <customShpInfo spid="_x0000_s3884"/>
    <customShpInfo spid="_x0000_s3885"/>
    <customShpInfo spid="_x0000_s3886"/>
    <customShpInfo spid="_x0000_s3887"/>
    <customShpInfo spid="_x0000_s3888"/>
    <customShpInfo spid="_x0000_s3889"/>
    <customShpInfo spid="_x0000_s3890"/>
    <customShpInfo spid="_x0000_s3891"/>
    <customShpInfo spid="_x0000_s3892"/>
    <customShpInfo spid="_x0000_s3893"/>
    <customShpInfo spid="_x0000_s3894"/>
    <customShpInfo spid="_x0000_s3895"/>
    <customShpInfo spid="_x0000_s3896"/>
    <customShpInfo spid="_x0000_s3897"/>
    <customShpInfo spid="_x0000_s3898"/>
    <customShpInfo spid="_x0000_s3899"/>
    <customShpInfo spid="_x0000_s3900"/>
    <customShpInfo spid="_x0000_s3901"/>
    <customShpInfo spid="_x0000_s3902"/>
    <customShpInfo spid="_x0000_s3903"/>
    <customShpInfo spid="_x0000_s3904"/>
    <customShpInfo spid="_x0000_s3905"/>
    <customShpInfo spid="_x0000_s3906"/>
    <customShpInfo spid="_x0000_s3907"/>
    <customShpInfo spid="_x0000_s3908"/>
    <customShpInfo spid="_x0000_s3910"/>
    <customShpInfo spid="_x0000_s3911"/>
    <customShpInfo spid="_x0000_s3912"/>
    <customShpInfo spid="_x0000_s3909"/>
    <customShpInfo spid="_x0000_s3913"/>
    <customShpInfo spid="_x0000_s3914"/>
    <customShpInfo spid="_x0000_s3915"/>
    <customShpInfo spid="_x0000_s3882"/>
    <customShpInfo spid="_x0000_s3765"/>
    <customShpInfo spid="_x0000_s3767"/>
    <customShpInfo spid="_x0000_s3769"/>
    <customShpInfo spid="_x0000_s3770"/>
    <customShpInfo spid="_x0000_s3768"/>
    <customShpInfo spid="_x0000_s3771"/>
    <customShpInfo spid="_x0000_s3772"/>
    <customShpInfo spid="_x0000_s3774"/>
    <customShpInfo spid="_x0000_s3775"/>
    <customShpInfo spid="_x0000_s3776"/>
    <customShpInfo spid="_x0000_s3773"/>
    <customShpInfo spid="_x0000_s3777"/>
    <customShpInfo spid="_x0000_s3778"/>
    <customShpInfo spid="_x0000_s3784"/>
    <customShpInfo spid="_x0000_s3785"/>
    <customShpInfo spid="_x0000_s3795"/>
    <customShpInfo spid="_x0000_s3855"/>
    <customShpInfo spid="_x0000_s3799"/>
    <customShpInfo spid="_x0000_s3917"/>
    <customShpInfo spid="_x0000_s376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45AF4B-00A2-4010-A2F1-00281CFBA9A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5206</Words>
  <Characters>29679</Characters>
  <Lines>247</Lines>
  <Paragraphs>69</Paragraphs>
  <TotalTime>57</TotalTime>
  <ScaleCrop>false</ScaleCrop>
  <LinksUpToDate>false</LinksUpToDate>
  <CharactersWithSpaces>34816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2019-05-30T14:10:00Z</dcterms:created>
  <dc:creator>微软系统</dc:creator>
  <cp:lastModifiedBy>Administrator</cp:lastModifiedBy>
  <cp:lastPrinted>2020-09-09T03:29:49Z</cp:lastPrinted>
  <dcterms:modified xsi:type="dcterms:W3CDTF">2020-09-09T03:38:17Z</dcterms:modified>
  <dc:title>建设项目环境影响报告表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