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20"/>
        <w:jc w:val="center"/>
        <w:rPr>
          <w:b/>
          <w:sz w:val="60"/>
        </w:rPr>
      </w:pPr>
    </w:p>
    <w:p>
      <w:pPr>
        <w:snapToGrid w:val="0"/>
        <w:spacing w:after="120"/>
        <w:jc w:val="center"/>
        <w:rPr>
          <w:b/>
          <w:sz w:val="60"/>
        </w:rPr>
      </w:pPr>
    </w:p>
    <w:p>
      <w:pPr>
        <w:snapToGrid w:val="0"/>
        <w:spacing w:after="120"/>
        <w:jc w:val="center"/>
        <w:rPr>
          <w:b/>
          <w:sz w:val="72"/>
          <w:szCs w:val="72"/>
        </w:rPr>
      </w:pPr>
      <w:r>
        <w:rPr>
          <w:b/>
          <w:sz w:val="72"/>
          <w:szCs w:val="72"/>
        </w:rPr>
        <w:t>建设项目环境影响报告表</w:t>
      </w:r>
    </w:p>
    <w:p>
      <w:pPr>
        <w:snapToGrid w:val="0"/>
        <w:jc w:val="center"/>
        <w:rPr>
          <w:sz w:val="32"/>
        </w:rPr>
      </w:pPr>
    </w:p>
    <w:p>
      <w:pPr>
        <w:snapToGrid w:val="0"/>
        <w:jc w:val="center"/>
        <w:rPr>
          <w:sz w:val="32"/>
        </w:rPr>
      </w:pPr>
    </w:p>
    <w:p>
      <w:pPr>
        <w:snapToGrid w:val="0"/>
        <w:jc w:val="center"/>
        <w:rPr>
          <w:sz w:val="32"/>
        </w:rPr>
      </w:pPr>
    </w:p>
    <w:p>
      <w:pPr>
        <w:snapToGrid w:val="0"/>
        <w:jc w:val="center"/>
        <w:rPr>
          <w:sz w:val="32"/>
        </w:rPr>
      </w:pPr>
    </w:p>
    <w:p>
      <w:pPr>
        <w:snapToGrid w:val="0"/>
        <w:jc w:val="center"/>
        <w:rPr>
          <w:sz w:val="32"/>
        </w:rPr>
      </w:pPr>
    </w:p>
    <w:p>
      <w:pPr>
        <w:snapToGrid w:val="0"/>
        <w:jc w:val="center"/>
        <w:rPr>
          <w:sz w:val="32"/>
        </w:rPr>
      </w:pPr>
    </w:p>
    <w:p>
      <w:pPr>
        <w:snapToGrid w:val="0"/>
        <w:jc w:val="center"/>
        <w:rPr>
          <w:sz w:val="32"/>
          <w:szCs w:val="32"/>
        </w:rPr>
      </w:pPr>
    </w:p>
    <w:p>
      <w:pPr>
        <w:snapToGrid w:val="0"/>
        <w:spacing w:line="480" w:lineRule="auto"/>
        <w:rPr>
          <w:b/>
          <w:sz w:val="32"/>
          <w:szCs w:val="32"/>
          <w:u w:val="single"/>
        </w:rPr>
      </w:pPr>
      <w:r>
        <w:rPr>
          <w:b/>
          <w:sz w:val="32"/>
          <w:szCs w:val="32"/>
        </w:rPr>
        <w:t>项</w:t>
      </w:r>
      <w:r>
        <w:rPr>
          <w:rFonts w:hint="eastAsia"/>
          <w:b/>
          <w:sz w:val="32"/>
          <w:szCs w:val="32"/>
        </w:rPr>
        <w:t xml:space="preserve"> </w:t>
      </w:r>
      <w:r>
        <w:rPr>
          <w:b/>
          <w:sz w:val="32"/>
          <w:szCs w:val="32"/>
        </w:rPr>
        <w:t>目</w:t>
      </w:r>
      <w:r>
        <w:rPr>
          <w:rFonts w:hint="eastAsia"/>
          <w:b/>
          <w:sz w:val="32"/>
          <w:szCs w:val="32"/>
        </w:rPr>
        <w:t xml:space="preserve"> </w:t>
      </w:r>
      <w:r>
        <w:rPr>
          <w:b/>
          <w:sz w:val="32"/>
          <w:szCs w:val="32"/>
        </w:rPr>
        <w:t>名</w:t>
      </w:r>
      <w:r>
        <w:rPr>
          <w:rFonts w:hint="eastAsia"/>
          <w:b/>
          <w:sz w:val="32"/>
          <w:szCs w:val="32"/>
        </w:rPr>
        <w:t xml:space="preserve">  </w:t>
      </w:r>
      <w:r>
        <w:rPr>
          <w:b/>
          <w:sz w:val="32"/>
          <w:szCs w:val="32"/>
        </w:rPr>
        <w:t>称：</w:t>
      </w:r>
      <w:r>
        <w:rPr>
          <w:rFonts w:hint="eastAsia"/>
          <w:b/>
          <w:sz w:val="32"/>
          <w:szCs w:val="32"/>
          <w:u w:val="single"/>
        </w:rPr>
        <w:t xml:space="preserve">       </w:t>
      </w:r>
      <w:r>
        <w:rPr>
          <w:rFonts w:hint="eastAsia"/>
          <w:b/>
          <w:sz w:val="32"/>
          <w:szCs w:val="32"/>
          <w:u w:val="single"/>
          <w:lang w:eastAsia="zh-CN"/>
        </w:rPr>
        <w:t>年产1000万件精密金属结构件</w:t>
      </w:r>
      <w:r>
        <w:rPr>
          <w:rFonts w:hint="eastAsia"/>
          <w:b/>
          <w:sz w:val="32"/>
          <w:szCs w:val="32"/>
          <w:u w:val="single"/>
        </w:rPr>
        <w:t xml:space="preserve">   </w:t>
      </w:r>
      <w:r>
        <w:rPr>
          <w:rFonts w:hint="eastAsia"/>
          <w:b/>
          <w:sz w:val="32"/>
          <w:szCs w:val="32"/>
          <w:u w:val="single"/>
        </w:rPr>
        <w:tab/>
      </w:r>
      <w:r>
        <w:rPr>
          <w:rFonts w:hint="eastAsia"/>
          <w:b/>
          <w:sz w:val="32"/>
          <w:szCs w:val="32"/>
          <w:u w:val="single"/>
        </w:rPr>
        <w:t xml:space="preserve">  </w:t>
      </w:r>
    </w:p>
    <w:p>
      <w:pPr>
        <w:snapToGrid w:val="0"/>
        <w:spacing w:line="480" w:lineRule="auto"/>
        <w:rPr>
          <w:b/>
          <w:sz w:val="32"/>
          <w:szCs w:val="32"/>
          <w:u w:val="single"/>
        </w:rPr>
      </w:pPr>
      <w:r>
        <w:rPr>
          <w:b/>
          <w:sz w:val="32"/>
          <w:szCs w:val="32"/>
        </w:rPr>
        <w:t>建设单位(盖章)：</w:t>
      </w:r>
      <w:r>
        <w:rPr>
          <w:b/>
          <w:sz w:val="32"/>
          <w:szCs w:val="32"/>
          <w:u w:val="single"/>
        </w:rPr>
        <w:t xml:space="preserve">  </w:t>
      </w:r>
      <w:r>
        <w:rPr>
          <w:rFonts w:hint="eastAsia"/>
          <w:b/>
          <w:sz w:val="32"/>
          <w:szCs w:val="32"/>
          <w:u w:val="single"/>
        </w:rPr>
        <w:t xml:space="preserve">   </w:t>
      </w:r>
      <w:r>
        <w:rPr>
          <w:rFonts w:hint="eastAsia"/>
          <w:b/>
          <w:sz w:val="32"/>
          <w:szCs w:val="32"/>
          <w:u w:val="single"/>
          <w:lang w:val="en-US" w:eastAsia="zh-CN"/>
        </w:rPr>
        <w:t xml:space="preserve"> </w:t>
      </w:r>
      <w:r>
        <w:rPr>
          <w:rFonts w:hint="eastAsia"/>
          <w:b/>
          <w:sz w:val="32"/>
          <w:szCs w:val="32"/>
          <w:u w:val="single"/>
          <w:lang w:eastAsia="zh-CN"/>
        </w:rPr>
        <w:t>安徽玉兴智能科技有限公司</w:t>
      </w:r>
      <w:r>
        <w:rPr>
          <w:rFonts w:hint="eastAsia"/>
          <w:b/>
          <w:sz w:val="32"/>
          <w:szCs w:val="32"/>
          <w:u w:val="single"/>
        </w:rPr>
        <w:t xml:space="preserve">     </w:t>
      </w:r>
      <w:r>
        <w:rPr>
          <w:rFonts w:hint="eastAsia"/>
          <w:b/>
          <w:sz w:val="32"/>
          <w:szCs w:val="32"/>
          <w:u w:val="single"/>
        </w:rPr>
        <w:tab/>
      </w:r>
      <w:r>
        <w:rPr>
          <w:rFonts w:hint="eastAsia"/>
          <w:b/>
          <w:sz w:val="32"/>
          <w:szCs w:val="32"/>
          <w:u w:val="single"/>
        </w:rPr>
        <w:t xml:space="preserve">          </w:t>
      </w:r>
    </w:p>
    <w:p>
      <w:pPr>
        <w:snapToGrid w:val="0"/>
        <w:spacing w:line="480" w:lineRule="auto"/>
        <w:jc w:val="center"/>
        <w:rPr>
          <w:sz w:val="32"/>
        </w:rPr>
      </w:pPr>
    </w:p>
    <w:p>
      <w:pPr>
        <w:snapToGrid w:val="0"/>
        <w:spacing w:line="480" w:lineRule="auto"/>
        <w:jc w:val="center"/>
        <w:rPr>
          <w:sz w:val="32"/>
        </w:rPr>
      </w:pPr>
    </w:p>
    <w:p>
      <w:pPr>
        <w:snapToGrid w:val="0"/>
        <w:spacing w:line="480" w:lineRule="auto"/>
        <w:jc w:val="center"/>
        <w:rPr>
          <w:sz w:val="32"/>
        </w:rPr>
      </w:pPr>
    </w:p>
    <w:p>
      <w:pPr>
        <w:snapToGrid w:val="0"/>
        <w:spacing w:line="480" w:lineRule="auto"/>
        <w:jc w:val="center"/>
        <w:rPr>
          <w:sz w:val="32"/>
        </w:rPr>
      </w:pPr>
    </w:p>
    <w:p>
      <w:pPr>
        <w:snapToGrid w:val="0"/>
        <w:spacing w:line="480" w:lineRule="auto"/>
        <w:jc w:val="center"/>
        <w:rPr>
          <w:sz w:val="32"/>
        </w:rPr>
      </w:pPr>
    </w:p>
    <w:p>
      <w:pPr>
        <w:snapToGrid w:val="0"/>
        <w:spacing w:line="480" w:lineRule="auto"/>
        <w:jc w:val="center"/>
        <w:rPr>
          <w:sz w:val="32"/>
        </w:rPr>
      </w:pPr>
    </w:p>
    <w:p>
      <w:pPr>
        <w:snapToGrid w:val="0"/>
        <w:spacing w:line="480" w:lineRule="auto"/>
        <w:jc w:val="center"/>
        <w:rPr>
          <w:b/>
          <w:sz w:val="36"/>
        </w:rPr>
      </w:pPr>
      <w:r>
        <w:rPr>
          <w:b/>
          <w:sz w:val="36"/>
        </w:rPr>
        <w:t>国家</w:t>
      </w:r>
      <w:r>
        <w:rPr>
          <w:rFonts w:hint="eastAsia"/>
          <w:b/>
          <w:sz w:val="36"/>
        </w:rPr>
        <w:t>生态环境</w:t>
      </w:r>
      <w:r>
        <w:rPr>
          <w:b/>
          <w:sz w:val="36"/>
        </w:rPr>
        <w:t>部制</w:t>
      </w:r>
    </w:p>
    <w:p>
      <w:pPr>
        <w:widowControl/>
        <w:jc w:val="center"/>
        <w:rPr>
          <w:rFonts w:ascii="宋体" w:hAnsi="宋体" w:cs="宋体"/>
          <w:kern w:val="0"/>
          <w:sz w:val="24"/>
          <w:szCs w:val="24"/>
        </w:rPr>
      </w:pPr>
      <w:r>
        <w:rPr>
          <w:b/>
          <w:sz w:val="36"/>
        </w:rPr>
        <w:t>编制日期：20</w:t>
      </w:r>
      <w:r>
        <w:rPr>
          <w:rFonts w:hint="eastAsia"/>
          <w:b/>
          <w:sz w:val="36"/>
        </w:rPr>
        <w:t>20</w:t>
      </w:r>
      <w:r>
        <w:rPr>
          <w:b/>
          <w:sz w:val="36"/>
        </w:rPr>
        <w:t>年</w:t>
      </w:r>
      <w:r>
        <w:rPr>
          <w:rFonts w:hint="eastAsia"/>
          <w:b/>
          <w:sz w:val="36"/>
          <w:lang w:val="en-US" w:eastAsia="zh-CN"/>
        </w:rPr>
        <w:t>12</w:t>
      </w:r>
      <w:r>
        <w:rPr>
          <w:b/>
          <w:sz w:val="36"/>
        </w:rPr>
        <w:t>月</w:t>
      </w:r>
    </w:p>
    <w:p>
      <w:pPr>
        <w:snapToGrid w:val="0"/>
        <w:spacing w:line="480" w:lineRule="auto"/>
        <w:jc w:val="center"/>
        <w:rPr>
          <w:b/>
          <w:sz w:val="28"/>
        </w:rPr>
      </w:pPr>
    </w:p>
    <w:p>
      <w:pPr>
        <w:snapToGrid w:val="0"/>
        <w:spacing w:line="480" w:lineRule="auto"/>
        <w:jc w:val="center"/>
        <w:rPr>
          <w:b/>
          <w:sz w:val="36"/>
        </w:rPr>
        <w:sectPr>
          <w:headerReference r:id="rId3" w:type="default"/>
          <w:footerReference r:id="rId4" w:type="default"/>
          <w:footerReference r:id="rId5" w:type="even"/>
          <w:pgSz w:w="11906" w:h="16838"/>
          <w:pgMar w:top="1247" w:right="1588" w:bottom="1247" w:left="1588" w:header="1021" w:footer="1134" w:gutter="284"/>
          <w:cols w:space="720" w:num="1"/>
          <w:docGrid w:type="lines" w:linePitch="312" w:charSpace="0"/>
        </w:sectPr>
      </w:pPr>
    </w:p>
    <w:p>
      <w:pPr>
        <w:tabs>
          <w:tab w:val="center" w:pos="4223"/>
        </w:tabs>
        <w:spacing w:before="240" w:after="240"/>
        <w:jc w:val="center"/>
        <w:outlineLvl w:val="0"/>
        <w:rPr>
          <w:b/>
          <w:sz w:val="28"/>
        </w:rPr>
      </w:pPr>
      <w:r>
        <w:rPr>
          <w:b/>
          <w:sz w:val="28"/>
        </w:rPr>
        <w:t>《建设项目环境影响报告表》编制说明</w:t>
      </w:r>
    </w:p>
    <w:p>
      <w:pPr>
        <w:spacing w:line="360" w:lineRule="auto"/>
        <w:rPr>
          <w:sz w:val="28"/>
        </w:rPr>
      </w:pPr>
      <w:r>
        <w:rPr>
          <w:sz w:val="28"/>
        </w:rPr>
        <w:t>《建设项目环境影响报告表》由具有从事环境影响评价工作资质的单位编制。</w:t>
      </w:r>
    </w:p>
    <w:p>
      <w:pPr>
        <w:pStyle w:val="13"/>
        <w:ind w:firstLine="560"/>
        <w:rPr>
          <w:rFonts w:ascii="Times New Roman" w:hAnsi="Times New Roman"/>
          <w:kern w:val="2"/>
          <w:sz w:val="28"/>
          <w:szCs w:val="20"/>
        </w:rPr>
      </w:pPr>
      <w:r>
        <w:rPr>
          <w:rFonts w:ascii="Times New Roman" w:hAnsi="Times New Roman"/>
          <w:kern w:val="2"/>
          <w:sz w:val="28"/>
          <w:szCs w:val="20"/>
        </w:rPr>
        <w:t>1、项目名称——指项目立项批复时的名称，应不超过30个字（两个英文字段作一个汉字）。</w:t>
      </w:r>
    </w:p>
    <w:p>
      <w:pPr>
        <w:pStyle w:val="13"/>
        <w:ind w:firstLine="560"/>
        <w:rPr>
          <w:rFonts w:ascii="Times New Roman" w:hAnsi="Times New Roman"/>
          <w:kern w:val="2"/>
          <w:sz w:val="28"/>
          <w:szCs w:val="20"/>
        </w:rPr>
      </w:pPr>
      <w:r>
        <w:rPr>
          <w:rFonts w:ascii="Times New Roman" w:hAnsi="Times New Roman"/>
          <w:kern w:val="2"/>
          <w:sz w:val="28"/>
          <w:szCs w:val="20"/>
        </w:rPr>
        <w:t>2、建设地点——指项目所在地详细地址，公路、铁路应填写起止地点。</w:t>
      </w:r>
    </w:p>
    <w:p>
      <w:pPr>
        <w:pStyle w:val="13"/>
        <w:ind w:firstLine="560"/>
        <w:rPr>
          <w:rFonts w:ascii="Times New Roman" w:hAnsi="Times New Roman"/>
          <w:kern w:val="2"/>
          <w:sz w:val="28"/>
          <w:szCs w:val="20"/>
        </w:rPr>
      </w:pPr>
      <w:r>
        <w:rPr>
          <w:rFonts w:ascii="Times New Roman" w:hAnsi="Times New Roman"/>
          <w:kern w:val="2"/>
          <w:sz w:val="28"/>
          <w:szCs w:val="20"/>
        </w:rPr>
        <w:t>3、行业类别——按国标填写。</w:t>
      </w:r>
    </w:p>
    <w:p>
      <w:pPr>
        <w:pStyle w:val="13"/>
        <w:ind w:firstLine="560"/>
        <w:rPr>
          <w:rFonts w:ascii="Times New Roman" w:hAnsi="Times New Roman"/>
          <w:kern w:val="2"/>
          <w:sz w:val="28"/>
          <w:szCs w:val="20"/>
        </w:rPr>
      </w:pPr>
      <w:r>
        <w:rPr>
          <w:rFonts w:ascii="Times New Roman" w:hAnsi="Times New Roman"/>
          <w:kern w:val="2"/>
          <w:sz w:val="28"/>
          <w:szCs w:val="20"/>
        </w:rPr>
        <w:t>4、总投资——指项目投资总额。</w:t>
      </w:r>
    </w:p>
    <w:p>
      <w:pPr>
        <w:pStyle w:val="13"/>
        <w:ind w:firstLine="560"/>
        <w:rPr>
          <w:rFonts w:ascii="Times New Roman" w:hAnsi="Times New Roman"/>
          <w:kern w:val="2"/>
          <w:sz w:val="28"/>
          <w:szCs w:val="20"/>
        </w:rPr>
      </w:pPr>
      <w:r>
        <w:rPr>
          <w:rFonts w:ascii="Times New Roman" w:hAnsi="Times New Roman"/>
          <w:kern w:val="2"/>
          <w:sz w:val="28"/>
          <w:szCs w:val="20"/>
        </w:rPr>
        <w:t>5、主要环境保护目标——指项目区周围一定范围内集中居民住宅区、学校、医院、保护文物、风景名胜区、水源地和生态敏感点等，应尽可能给出保护目标、性质、规模和距厂界距离等。</w:t>
      </w:r>
    </w:p>
    <w:p>
      <w:pPr>
        <w:pStyle w:val="13"/>
        <w:ind w:firstLine="560"/>
        <w:rPr>
          <w:sz w:val="28"/>
        </w:rPr>
      </w:pPr>
      <w:r>
        <w:rPr>
          <w:rFonts w:ascii="Times New Roman" w:hAnsi="Times New Roman"/>
          <w:kern w:val="2"/>
          <w:sz w:val="28"/>
          <w:szCs w:val="20"/>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rPr>
          <w:sz w:val="28"/>
        </w:rPr>
      </w:pPr>
      <w:r>
        <w:rPr>
          <w:sz w:val="28"/>
        </w:rPr>
        <w:t>7、预审意见——由行业主管部门填写答复意见，无主管部门项目，可不填。</w:t>
      </w:r>
    </w:p>
    <w:p>
      <w:pPr>
        <w:spacing w:line="360" w:lineRule="auto"/>
        <w:ind w:firstLine="560" w:firstLineChars="200"/>
        <w:rPr>
          <w:sz w:val="28"/>
        </w:rPr>
        <w:sectPr>
          <w:pgSz w:w="11906" w:h="16838"/>
          <w:pgMar w:top="1247" w:right="1588" w:bottom="1247" w:left="1588" w:header="1021" w:footer="1134" w:gutter="284"/>
          <w:cols w:space="720" w:num="1"/>
          <w:docGrid w:type="lines" w:linePitch="312" w:charSpace="0"/>
        </w:sectPr>
      </w:pPr>
      <w:r>
        <w:rPr>
          <w:sz w:val="28"/>
        </w:rPr>
        <w:t>8、审批意见——由负责审批该项目的环境保护行政主管部门批复。</w:t>
      </w:r>
    </w:p>
    <w:p>
      <w:pPr>
        <w:ind w:firstLine="26"/>
        <w:rPr>
          <w:b/>
          <w:sz w:val="30"/>
          <w:szCs w:val="30"/>
        </w:rPr>
      </w:pPr>
      <w:r>
        <w:rPr>
          <w:b/>
          <w:sz w:val="30"/>
          <w:szCs w:val="30"/>
        </w:rPr>
        <w:t>建设项目基本情况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368"/>
        <w:gridCol w:w="674"/>
        <w:gridCol w:w="226"/>
        <w:gridCol w:w="124"/>
        <w:gridCol w:w="845"/>
        <w:gridCol w:w="663"/>
        <w:gridCol w:w="528"/>
        <w:gridCol w:w="948"/>
        <w:gridCol w:w="25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42" w:type="dxa"/>
            <w:vAlign w:val="center"/>
          </w:tcPr>
          <w:p>
            <w:pPr>
              <w:ind w:left="-14"/>
              <w:jc w:val="center"/>
              <w:rPr>
                <w:sz w:val="24"/>
                <w:szCs w:val="24"/>
              </w:rPr>
            </w:pPr>
            <w:r>
              <w:rPr>
                <w:rFonts w:hAnsi="宋体"/>
                <w:sz w:val="24"/>
                <w:szCs w:val="24"/>
              </w:rPr>
              <w:t>项目名称</w:t>
            </w:r>
          </w:p>
        </w:tc>
        <w:tc>
          <w:tcPr>
            <w:tcW w:w="7720" w:type="dxa"/>
            <w:gridSpan w:val="11"/>
            <w:vAlign w:val="center"/>
          </w:tcPr>
          <w:p>
            <w:pPr>
              <w:spacing w:line="400" w:lineRule="exact"/>
              <w:jc w:val="center"/>
              <w:rPr>
                <w:rFonts w:hint="default" w:ascii="Times New Roman" w:hAnsi="Times New Roman" w:eastAsia="宋体" w:cs="Times New Roman"/>
                <w:sz w:val="24"/>
                <w:szCs w:val="24"/>
                <w:lang w:eastAsia="zh-CN"/>
              </w:rPr>
            </w:pPr>
            <w:r>
              <w:rPr>
                <w:rFonts w:hint="default" w:ascii="Times New Roman" w:hAnsi="Times New Roman" w:cs="Times New Roman"/>
                <w:kern w:val="0"/>
                <w:sz w:val="24"/>
                <w:szCs w:val="24"/>
                <w:lang w:eastAsia="zh-CN"/>
              </w:rPr>
              <w:t>年产1000万件精密金属结构件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42" w:type="dxa"/>
            <w:vAlign w:val="center"/>
          </w:tcPr>
          <w:p>
            <w:pPr>
              <w:ind w:left="-14"/>
              <w:jc w:val="center"/>
              <w:rPr>
                <w:sz w:val="24"/>
                <w:szCs w:val="24"/>
              </w:rPr>
            </w:pPr>
            <w:r>
              <w:rPr>
                <w:rFonts w:hAnsi="宋体"/>
                <w:sz w:val="24"/>
                <w:szCs w:val="24"/>
              </w:rPr>
              <w:t>建设单位</w:t>
            </w:r>
          </w:p>
        </w:tc>
        <w:tc>
          <w:tcPr>
            <w:tcW w:w="7720" w:type="dxa"/>
            <w:gridSpan w:val="11"/>
            <w:vAlign w:val="center"/>
          </w:tcPr>
          <w:p>
            <w:pPr>
              <w:spacing w:line="400" w:lineRule="exact"/>
              <w:jc w:val="center"/>
              <w:rPr>
                <w:rFonts w:hint="default" w:ascii="Times New Roman" w:hAnsi="Times New Roman" w:eastAsia="宋体" w:cs="Times New Roman"/>
                <w:sz w:val="24"/>
                <w:szCs w:val="24"/>
                <w:lang w:eastAsia="zh-CN"/>
              </w:rPr>
            </w:pPr>
            <w:r>
              <w:rPr>
                <w:rFonts w:hint="default" w:ascii="Times New Roman" w:hAnsi="Times New Roman" w:cs="Times New Roman"/>
                <w:kern w:val="0"/>
                <w:sz w:val="24"/>
                <w:szCs w:val="24"/>
                <w:lang w:eastAsia="zh-CN"/>
              </w:rPr>
              <w:t>安徽玉兴智能科技有限公司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42" w:type="dxa"/>
            <w:vAlign w:val="center"/>
          </w:tcPr>
          <w:p>
            <w:pPr>
              <w:ind w:left="-14"/>
              <w:jc w:val="center"/>
              <w:rPr>
                <w:sz w:val="24"/>
                <w:szCs w:val="24"/>
              </w:rPr>
            </w:pPr>
            <w:r>
              <w:rPr>
                <w:rFonts w:hAnsi="宋体"/>
                <w:sz w:val="24"/>
                <w:szCs w:val="24"/>
              </w:rPr>
              <w:t>法人代表</w:t>
            </w:r>
          </w:p>
        </w:tc>
        <w:tc>
          <w:tcPr>
            <w:tcW w:w="2740" w:type="dxa"/>
            <w:gridSpan w:val="3"/>
            <w:vAlign w:val="center"/>
          </w:tcPr>
          <w:p>
            <w:pPr>
              <w:pStyle w:val="83"/>
              <w:spacing w:before="0" w:after="0" w:line="400" w:lineRule="exact"/>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eastAsia="zh-CN"/>
              </w:rPr>
              <w:t>王志国</w:t>
            </w:r>
          </w:p>
        </w:tc>
        <w:tc>
          <w:tcPr>
            <w:tcW w:w="1195" w:type="dxa"/>
            <w:gridSpan w:val="3"/>
            <w:vAlign w:val="center"/>
          </w:tcPr>
          <w:p>
            <w:pPr>
              <w:spacing w:line="4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联系人</w:t>
            </w:r>
          </w:p>
        </w:tc>
        <w:tc>
          <w:tcPr>
            <w:tcW w:w="3785" w:type="dxa"/>
            <w:gridSpan w:val="5"/>
            <w:vAlign w:val="center"/>
          </w:tcPr>
          <w:p>
            <w:pPr>
              <w:pStyle w:val="83"/>
              <w:spacing w:before="0" w:after="0" w:line="400" w:lineRule="exact"/>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吴冉冉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42" w:type="dxa"/>
            <w:vAlign w:val="center"/>
          </w:tcPr>
          <w:p>
            <w:pPr>
              <w:ind w:left="-14"/>
              <w:jc w:val="center"/>
              <w:rPr>
                <w:sz w:val="24"/>
                <w:szCs w:val="24"/>
              </w:rPr>
            </w:pPr>
            <w:r>
              <w:rPr>
                <w:rFonts w:hAnsi="宋体"/>
                <w:sz w:val="24"/>
                <w:szCs w:val="24"/>
              </w:rPr>
              <w:t>通讯地址</w:t>
            </w:r>
          </w:p>
        </w:tc>
        <w:tc>
          <w:tcPr>
            <w:tcW w:w="7720" w:type="dxa"/>
            <w:gridSpan w:val="11"/>
            <w:vAlign w:val="center"/>
          </w:tcPr>
          <w:p>
            <w:pPr>
              <w:spacing w:line="400" w:lineRule="exact"/>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淮南市大通区</w:t>
            </w:r>
            <w:r>
              <w:rPr>
                <w:rFonts w:hint="default" w:ascii="Times New Roman" w:hAnsi="Times New Roman" w:cs="Times New Roman"/>
                <w:kern w:val="0"/>
                <w:sz w:val="24"/>
                <w:szCs w:val="24"/>
                <w:lang w:eastAsia="zh-CN"/>
              </w:rPr>
              <w:t>大通区工业新区标准化厂房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42" w:type="dxa"/>
            <w:vAlign w:val="center"/>
          </w:tcPr>
          <w:p>
            <w:pPr>
              <w:pStyle w:val="83"/>
              <w:spacing w:before="0" w:after="0" w:line="400" w:lineRule="exact"/>
              <w:rPr>
                <w:rFonts w:ascii="Times New Roman" w:hAnsi="Times New Roman"/>
                <w:sz w:val="24"/>
                <w:szCs w:val="24"/>
              </w:rPr>
            </w:pPr>
            <w:r>
              <w:rPr>
                <w:rFonts w:ascii="Times New Roman" w:hAnsi="Times New Roman"/>
                <w:sz w:val="24"/>
                <w:szCs w:val="24"/>
              </w:rPr>
              <w:t>联系电话</w:t>
            </w:r>
          </w:p>
        </w:tc>
        <w:tc>
          <w:tcPr>
            <w:tcW w:w="2066" w:type="dxa"/>
            <w:gridSpan w:val="2"/>
            <w:vAlign w:val="center"/>
          </w:tcPr>
          <w:p>
            <w:pPr>
              <w:pStyle w:val="83"/>
              <w:spacing w:before="0" w:after="0" w:line="400" w:lineRule="exact"/>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15705540573</w:t>
            </w:r>
          </w:p>
        </w:tc>
        <w:tc>
          <w:tcPr>
            <w:tcW w:w="900" w:type="dxa"/>
            <w:gridSpan w:val="2"/>
            <w:vAlign w:val="center"/>
          </w:tcPr>
          <w:p>
            <w:pPr>
              <w:spacing w:line="4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传真</w:t>
            </w:r>
          </w:p>
        </w:tc>
        <w:tc>
          <w:tcPr>
            <w:tcW w:w="2160" w:type="dxa"/>
            <w:gridSpan w:val="4"/>
            <w:vAlign w:val="center"/>
          </w:tcPr>
          <w:p>
            <w:pPr>
              <w:pStyle w:val="19"/>
              <w:spacing w:after="0" w:line="400" w:lineRule="exact"/>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1204" w:type="dxa"/>
            <w:gridSpan w:val="2"/>
            <w:vAlign w:val="center"/>
          </w:tcPr>
          <w:p>
            <w:pPr>
              <w:spacing w:line="4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邮政编码</w:t>
            </w:r>
          </w:p>
        </w:tc>
        <w:tc>
          <w:tcPr>
            <w:tcW w:w="1390" w:type="dxa"/>
            <w:vAlign w:val="center"/>
          </w:tcPr>
          <w:p>
            <w:pPr>
              <w:pStyle w:val="83"/>
              <w:spacing w:before="0" w:after="0" w:line="400" w:lineRule="exact"/>
              <w:rPr>
                <w:rFonts w:hint="default" w:ascii="Times New Roman" w:hAnsi="Times New Roman" w:cs="Times New Roman"/>
                <w:sz w:val="24"/>
                <w:szCs w:val="24"/>
              </w:rPr>
            </w:pPr>
            <w:r>
              <w:rPr>
                <w:rFonts w:hint="default" w:ascii="Times New Roman" w:hAnsi="Times New Roman" w:cs="Times New Roman"/>
                <w:sz w:val="24"/>
                <w:szCs w:val="24"/>
              </w:rPr>
              <w:t>232000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42" w:type="dxa"/>
            <w:vAlign w:val="center"/>
          </w:tcPr>
          <w:p>
            <w:pPr>
              <w:ind w:left="-14"/>
              <w:jc w:val="center"/>
              <w:rPr>
                <w:sz w:val="24"/>
                <w:szCs w:val="24"/>
              </w:rPr>
            </w:pPr>
            <w:r>
              <w:rPr>
                <w:rFonts w:hAnsi="宋体"/>
                <w:sz w:val="24"/>
                <w:szCs w:val="24"/>
              </w:rPr>
              <w:t>建设地点</w:t>
            </w:r>
          </w:p>
        </w:tc>
        <w:tc>
          <w:tcPr>
            <w:tcW w:w="7720" w:type="dxa"/>
            <w:gridSpan w:val="11"/>
            <w:vAlign w:val="center"/>
          </w:tcPr>
          <w:p>
            <w:pPr>
              <w:widowControl/>
              <w:spacing w:line="400" w:lineRule="exact"/>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淮南市大通区</w:t>
            </w:r>
            <w:r>
              <w:rPr>
                <w:rFonts w:hint="default" w:ascii="Times New Roman" w:hAnsi="Times New Roman" w:cs="Times New Roman"/>
                <w:kern w:val="0"/>
                <w:sz w:val="24"/>
                <w:szCs w:val="24"/>
                <w:lang w:eastAsia="zh-CN"/>
              </w:rPr>
              <w:t>大通区工业新区标准化厂房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42" w:type="dxa"/>
            <w:vAlign w:val="center"/>
          </w:tcPr>
          <w:p>
            <w:pPr>
              <w:jc w:val="center"/>
              <w:rPr>
                <w:sz w:val="24"/>
                <w:szCs w:val="24"/>
              </w:rPr>
            </w:pPr>
            <w:r>
              <w:rPr>
                <w:rFonts w:hAnsi="宋体"/>
                <w:sz w:val="24"/>
                <w:szCs w:val="24"/>
              </w:rPr>
              <w:t>立项审批部门</w:t>
            </w:r>
          </w:p>
        </w:tc>
        <w:tc>
          <w:tcPr>
            <w:tcW w:w="3090" w:type="dxa"/>
            <w:gridSpan w:val="5"/>
            <w:vAlign w:val="center"/>
          </w:tcPr>
          <w:p>
            <w:pPr>
              <w:pStyle w:val="104"/>
              <w:widowControl/>
              <w:autoSpaceDE/>
              <w:autoSpaceDN/>
              <w:snapToGrid/>
              <w:spacing w:before="0" w:line="400" w:lineRule="exact"/>
              <w:rPr>
                <w:rFonts w:eastAsia="宋体"/>
                <w:kern w:val="0"/>
                <w:sz w:val="24"/>
                <w:szCs w:val="24"/>
              </w:rPr>
            </w:pPr>
            <w:r>
              <w:rPr>
                <w:rFonts w:hint="eastAsia" w:eastAsia="宋体"/>
                <w:kern w:val="0"/>
                <w:sz w:val="24"/>
                <w:szCs w:val="24"/>
              </w:rPr>
              <w:t>淮南市大通区发展和改革委员会</w:t>
            </w:r>
          </w:p>
        </w:tc>
        <w:tc>
          <w:tcPr>
            <w:tcW w:w="1508" w:type="dxa"/>
            <w:gridSpan w:val="2"/>
            <w:vAlign w:val="center"/>
          </w:tcPr>
          <w:p>
            <w:pPr>
              <w:spacing w:line="400" w:lineRule="exact"/>
              <w:jc w:val="center"/>
              <w:rPr>
                <w:kern w:val="0"/>
                <w:sz w:val="24"/>
                <w:szCs w:val="24"/>
              </w:rPr>
            </w:pPr>
            <w:r>
              <w:rPr>
                <w:kern w:val="0"/>
                <w:sz w:val="24"/>
                <w:szCs w:val="24"/>
              </w:rPr>
              <w:t>批准文号</w:t>
            </w:r>
          </w:p>
        </w:tc>
        <w:tc>
          <w:tcPr>
            <w:tcW w:w="3122" w:type="dxa"/>
            <w:gridSpan w:val="4"/>
            <w:vAlign w:val="center"/>
          </w:tcPr>
          <w:p>
            <w:pPr>
              <w:pStyle w:val="83"/>
              <w:spacing w:before="0" w:after="0" w:line="400" w:lineRule="exact"/>
              <w:rPr>
                <w:rFonts w:hint="default" w:ascii="Times New Roman" w:hAnsi="Times New Roman" w:eastAsia="宋体"/>
                <w:sz w:val="24"/>
                <w:szCs w:val="24"/>
                <w:lang w:val="en-US" w:eastAsia="zh-CN"/>
              </w:rPr>
            </w:pPr>
            <w:r>
              <w:rPr>
                <w:rFonts w:hint="eastAsia" w:ascii="Times New Roman" w:hAnsi="Times New Roman"/>
                <w:sz w:val="24"/>
                <w:szCs w:val="24"/>
              </w:rPr>
              <w:t>20</w:t>
            </w:r>
            <w:r>
              <w:rPr>
                <w:rFonts w:hint="eastAsia" w:ascii="Times New Roman" w:hAnsi="Times New Roman"/>
                <w:sz w:val="24"/>
                <w:szCs w:val="24"/>
                <w:lang w:val="en-US" w:eastAsia="zh-CN"/>
              </w:rPr>
              <w:t>18</w:t>
            </w:r>
            <w:r>
              <w:rPr>
                <w:rFonts w:hint="eastAsia" w:ascii="Times New Roman" w:hAnsi="Times New Roman"/>
                <w:sz w:val="24"/>
                <w:szCs w:val="24"/>
              </w:rPr>
              <w:t>-340402-</w:t>
            </w:r>
            <w:r>
              <w:rPr>
                <w:rFonts w:hint="eastAsia" w:ascii="Times New Roman" w:hAnsi="Times New Roman"/>
                <w:sz w:val="24"/>
                <w:szCs w:val="24"/>
                <w:lang w:val="en-US" w:eastAsia="zh-CN"/>
              </w:rPr>
              <w:t>33</w:t>
            </w:r>
            <w:r>
              <w:rPr>
                <w:rFonts w:hint="eastAsia" w:ascii="Times New Roman" w:hAnsi="Times New Roman"/>
                <w:sz w:val="24"/>
                <w:szCs w:val="24"/>
              </w:rPr>
              <w:t>-03-00</w:t>
            </w:r>
            <w:r>
              <w:rPr>
                <w:rFonts w:hint="eastAsia" w:ascii="Times New Roman" w:hAnsi="Times New Roman"/>
                <w:sz w:val="24"/>
                <w:szCs w:val="24"/>
                <w:lang w:val="en-US" w:eastAsia="zh-CN"/>
              </w:rPr>
              <w:t>11897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642" w:type="dxa"/>
            <w:vAlign w:val="center"/>
          </w:tcPr>
          <w:p>
            <w:pPr>
              <w:jc w:val="center"/>
              <w:rPr>
                <w:sz w:val="24"/>
                <w:szCs w:val="24"/>
              </w:rPr>
            </w:pPr>
            <w:r>
              <w:rPr>
                <w:rFonts w:hAnsi="宋体"/>
                <w:sz w:val="24"/>
                <w:szCs w:val="24"/>
              </w:rPr>
              <w:t>建设性质</w:t>
            </w:r>
          </w:p>
        </w:tc>
        <w:tc>
          <w:tcPr>
            <w:tcW w:w="3090" w:type="dxa"/>
            <w:gridSpan w:val="5"/>
            <w:vAlign w:val="center"/>
          </w:tcPr>
          <w:p>
            <w:pPr>
              <w:pStyle w:val="83"/>
              <w:spacing w:before="0" w:after="0" w:line="400" w:lineRule="exact"/>
              <w:rPr>
                <w:rFonts w:ascii="Times New Roman" w:hAnsi="Times New Roman"/>
                <w:sz w:val="24"/>
                <w:szCs w:val="24"/>
              </w:rPr>
            </w:pPr>
            <w:r>
              <w:rPr>
                <w:rFonts w:hint="eastAsia" w:ascii="Times New Roman"/>
                <w:sz w:val="24"/>
                <w:szCs w:val="24"/>
              </w:rPr>
              <w:t>新建</w:t>
            </w:r>
          </w:p>
        </w:tc>
        <w:tc>
          <w:tcPr>
            <w:tcW w:w="1508" w:type="dxa"/>
            <w:gridSpan w:val="2"/>
            <w:vAlign w:val="center"/>
          </w:tcPr>
          <w:p>
            <w:pPr>
              <w:spacing w:line="400" w:lineRule="exact"/>
              <w:jc w:val="center"/>
              <w:rPr>
                <w:sz w:val="24"/>
                <w:szCs w:val="24"/>
              </w:rPr>
            </w:pPr>
            <w:r>
              <w:rPr>
                <w:sz w:val="24"/>
                <w:szCs w:val="24"/>
              </w:rPr>
              <w:t>行业类别及</w:t>
            </w:r>
          </w:p>
          <w:p>
            <w:pPr>
              <w:spacing w:line="400" w:lineRule="exact"/>
              <w:jc w:val="center"/>
              <w:rPr>
                <w:sz w:val="24"/>
                <w:szCs w:val="24"/>
              </w:rPr>
            </w:pPr>
            <w:r>
              <w:rPr>
                <w:sz w:val="24"/>
                <w:szCs w:val="24"/>
              </w:rPr>
              <w:t>代码</w:t>
            </w:r>
          </w:p>
        </w:tc>
        <w:tc>
          <w:tcPr>
            <w:tcW w:w="3122" w:type="dxa"/>
            <w:gridSpan w:val="4"/>
            <w:vAlign w:val="center"/>
          </w:tcPr>
          <w:p>
            <w:pPr>
              <w:jc w:val="center"/>
              <w:rPr>
                <w:sz w:val="24"/>
                <w:szCs w:val="24"/>
              </w:rPr>
            </w:pPr>
            <w:r>
              <w:rPr>
                <w:sz w:val="24"/>
                <w:szCs w:val="24"/>
              </w:rPr>
              <w:t>C</w:t>
            </w:r>
            <w:r>
              <w:rPr>
                <w:rFonts w:hint="eastAsia"/>
                <w:sz w:val="24"/>
                <w:szCs w:val="24"/>
              </w:rPr>
              <w:t>33</w:t>
            </w:r>
            <w:r>
              <w:rPr>
                <w:rFonts w:hint="eastAsia"/>
                <w:sz w:val="24"/>
                <w:szCs w:val="24"/>
                <w:lang w:val="en-US" w:eastAsia="zh-CN"/>
              </w:rPr>
              <w:t>11</w:t>
            </w:r>
            <w:r>
              <w:rPr>
                <w:rFonts w:hint="eastAsia"/>
                <w:sz w:val="24"/>
                <w:szCs w:val="24"/>
              </w:rPr>
              <w:t>金属</w:t>
            </w:r>
            <w:r>
              <w:rPr>
                <w:rFonts w:hint="eastAsia"/>
                <w:sz w:val="24"/>
                <w:szCs w:val="24"/>
                <w:lang w:eastAsia="zh-CN"/>
              </w:rPr>
              <w:t>结构</w:t>
            </w:r>
            <w:r>
              <w:rPr>
                <w:rFonts w:hint="eastAsia"/>
                <w:sz w:val="24"/>
                <w:szCs w:val="24"/>
              </w:rPr>
              <w:t>制造</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642" w:type="dxa"/>
            <w:vAlign w:val="center"/>
          </w:tcPr>
          <w:p>
            <w:pPr>
              <w:jc w:val="center"/>
              <w:rPr>
                <w:sz w:val="24"/>
                <w:szCs w:val="24"/>
              </w:rPr>
            </w:pPr>
            <w:r>
              <w:rPr>
                <w:rFonts w:hAnsi="宋体"/>
                <w:sz w:val="24"/>
                <w:szCs w:val="24"/>
              </w:rPr>
              <w:t>占地面积</w:t>
            </w:r>
          </w:p>
          <w:p>
            <w:pPr>
              <w:jc w:val="center"/>
              <w:rPr>
                <w:sz w:val="24"/>
                <w:szCs w:val="24"/>
              </w:rPr>
            </w:pPr>
            <w:r>
              <w:rPr>
                <w:rFonts w:hAnsi="宋体"/>
                <w:sz w:val="24"/>
                <w:szCs w:val="24"/>
              </w:rPr>
              <w:t>（平方米）</w:t>
            </w:r>
          </w:p>
        </w:tc>
        <w:tc>
          <w:tcPr>
            <w:tcW w:w="3090" w:type="dxa"/>
            <w:gridSpan w:val="5"/>
            <w:vAlign w:val="center"/>
          </w:tcPr>
          <w:p>
            <w:pPr>
              <w:spacing w:line="360" w:lineRule="auto"/>
              <w:jc w:val="center"/>
              <w:rPr>
                <w:rFonts w:hint="default" w:eastAsia="宋体"/>
                <w:sz w:val="24"/>
                <w:szCs w:val="24"/>
                <w:lang w:val="en-US" w:eastAsia="zh-CN"/>
              </w:rPr>
            </w:pPr>
            <w:r>
              <w:rPr>
                <w:rFonts w:hint="eastAsia"/>
                <w:sz w:val="24"/>
                <w:szCs w:val="24"/>
                <w:lang w:val="en-US" w:eastAsia="zh-CN"/>
              </w:rPr>
              <w:t>4800</w:t>
            </w:r>
          </w:p>
        </w:tc>
        <w:tc>
          <w:tcPr>
            <w:tcW w:w="1508" w:type="dxa"/>
            <w:gridSpan w:val="2"/>
            <w:vAlign w:val="center"/>
          </w:tcPr>
          <w:p>
            <w:pPr>
              <w:spacing w:line="400" w:lineRule="exact"/>
              <w:jc w:val="center"/>
              <w:rPr>
                <w:sz w:val="24"/>
                <w:szCs w:val="24"/>
              </w:rPr>
            </w:pPr>
            <w:r>
              <w:rPr>
                <w:sz w:val="24"/>
                <w:szCs w:val="24"/>
              </w:rPr>
              <w:t>绿化面积</w:t>
            </w:r>
          </w:p>
          <w:p>
            <w:pPr>
              <w:spacing w:line="400" w:lineRule="exact"/>
              <w:jc w:val="center"/>
              <w:rPr>
                <w:sz w:val="24"/>
                <w:szCs w:val="24"/>
              </w:rPr>
            </w:pPr>
            <w:r>
              <w:rPr>
                <w:sz w:val="24"/>
                <w:szCs w:val="24"/>
              </w:rPr>
              <w:t>（平方米）</w:t>
            </w:r>
          </w:p>
        </w:tc>
        <w:tc>
          <w:tcPr>
            <w:tcW w:w="3122" w:type="dxa"/>
            <w:gridSpan w:val="4"/>
            <w:vAlign w:val="center"/>
          </w:tcPr>
          <w:p>
            <w:pPr>
              <w:pStyle w:val="83"/>
              <w:spacing w:before="0" w:after="0" w:line="400" w:lineRule="exact"/>
              <w:rPr>
                <w:rFonts w:ascii="Times New Roman" w:hAnsi="Times New Roman"/>
                <w:sz w:val="24"/>
                <w:szCs w:val="24"/>
              </w:rPr>
            </w:pP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42" w:type="dxa"/>
            <w:vAlign w:val="center"/>
          </w:tcPr>
          <w:p>
            <w:pPr>
              <w:jc w:val="center"/>
              <w:rPr>
                <w:sz w:val="24"/>
                <w:szCs w:val="24"/>
              </w:rPr>
            </w:pPr>
            <w:r>
              <w:rPr>
                <w:rFonts w:hAnsi="宋体"/>
                <w:sz w:val="24"/>
                <w:szCs w:val="24"/>
              </w:rPr>
              <w:t>总投资</w:t>
            </w:r>
          </w:p>
          <w:p>
            <w:pPr>
              <w:jc w:val="center"/>
              <w:rPr>
                <w:sz w:val="24"/>
                <w:szCs w:val="24"/>
              </w:rPr>
            </w:pPr>
            <w:r>
              <w:rPr>
                <w:rFonts w:hAnsi="宋体"/>
                <w:sz w:val="24"/>
                <w:szCs w:val="24"/>
              </w:rPr>
              <w:t>（万元）</w:t>
            </w:r>
          </w:p>
        </w:tc>
        <w:tc>
          <w:tcPr>
            <w:tcW w:w="1698" w:type="dxa"/>
            <w:vAlign w:val="center"/>
          </w:tcPr>
          <w:p>
            <w:pPr>
              <w:pStyle w:val="83"/>
              <w:spacing w:before="0" w:after="0" w:line="400" w:lineRule="exact"/>
              <w:rPr>
                <w:rFonts w:ascii="Times New Roman" w:hAnsi="Times New Roman"/>
                <w:sz w:val="24"/>
                <w:szCs w:val="24"/>
              </w:rPr>
            </w:pPr>
            <w:r>
              <w:rPr>
                <w:rFonts w:hint="eastAsia" w:ascii="Times New Roman" w:hAnsi="Times New Roman"/>
                <w:sz w:val="24"/>
                <w:szCs w:val="24"/>
                <w:lang w:val="en-US" w:eastAsia="zh-CN"/>
              </w:rPr>
              <w:t>20</w:t>
            </w:r>
            <w:r>
              <w:rPr>
                <w:rFonts w:hint="eastAsia" w:ascii="Times New Roman" w:hAnsi="Times New Roman"/>
                <w:sz w:val="24"/>
                <w:szCs w:val="24"/>
              </w:rPr>
              <w:t>000</w:t>
            </w:r>
          </w:p>
        </w:tc>
        <w:tc>
          <w:tcPr>
            <w:tcW w:w="1392" w:type="dxa"/>
            <w:gridSpan w:val="4"/>
            <w:vAlign w:val="center"/>
          </w:tcPr>
          <w:p>
            <w:pPr>
              <w:spacing w:line="300" w:lineRule="exact"/>
              <w:jc w:val="center"/>
              <w:rPr>
                <w:sz w:val="24"/>
                <w:szCs w:val="24"/>
              </w:rPr>
            </w:pPr>
            <w:r>
              <w:rPr>
                <w:sz w:val="24"/>
                <w:szCs w:val="24"/>
              </w:rPr>
              <w:t>其中：环保投资（万元）</w:t>
            </w:r>
          </w:p>
        </w:tc>
        <w:tc>
          <w:tcPr>
            <w:tcW w:w="1508" w:type="dxa"/>
            <w:gridSpan w:val="2"/>
            <w:vAlign w:val="center"/>
          </w:tcPr>
          <w:p>
            <w:pPr>
              <w:pStyle w:val="83"/>
              <w:spacing w:before="0" w:after="0" w:line="400" w:lineRule="exact"/>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42.5</w:t>
            </w:r>
          </w:p>
        </w:tc>
        <w:tc>
          <w:tcPr>
            <w:tcW w:w="1476" w:type="dxa"/>
            <w:gridSpan w:val="2"/>
            <w:vAlign w:val="center"/>
          </w:tcPr>
          <w:p>
            <w:pPr>
              <w:ind w:left="2"/>
              <w:jc w:val="center"/>
              <w:rPr>
                <w:sz w:val="24"/>
                <w:szCs w:val="24"/>
              </w:rPr>
            </w:pPr>
            <w:r>
              <w:rPr>
                <w:sz w:val="24"/>
                <w:szCs w:val="24"/>
              </w:rPr>
              <w:t>环保投资占</w:t>
            </w:r>
          </w:p>
          <w:p>
            <w:pPr>
              <w:ind w:left="2"/>
              <w:jc w:val="center"/>
              <w:rPr>
                <w:sz w:val="24"/>
                <w:szCs w:val="24"/>
              </w:rPr>
            </w:pPr>
            <w:r>
              <w:rPr>
                <w:sz w:val="24"/>
                <w:szCs w:val="24"/>
              </w:rPr>
              <w:t>总投资比例</w:t>
            </w:r>
          </w:p>
        </w:tc>
        <w:tc>
          <w:tcPr>
            <w:tcW w:w="1646" w:type="dxa"/>
            <w:gridSpan w:val="2"/>
            <w:vAlign w:val="center"/>
          </w:tcPr>
          <w:p>
            <w:pPr>
              <w:rPr>
                <w:sz w:val="24"/>
                <w:szCs w:val="24"/>
              </w:rPr>
            </w:pPr>
            <w:r>
              <w:rPr>
                <w:rFonts w:hint="eastAsia"/>
                <w:sz w:val="24"/>
                <w:szCs w:val="24"/>
              </w:rPr>
              <w:t>0.</w:t>
            </w:r>
            <w:r>
              <w:rPr>
                <w:rFonts w:hint="eastAsia"/>
                <w:sz w:val="24"/>
                <w:szCs w:val="24"/>
                <w:lang w:val="en-US" w:eastAsia="zh-CN"/>
              </w:rPr>
              <w:t>21</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642" w:type="dxa"/>
            <w:vAlign w:val="center"/>
          </w:tcPr>
          <w:p>
            <w:pPr>
              <w:jc w:val="center"/>
              <w:rPr>
                <w:sz w:val="24"/>
                <w:szCs w:val="24"/>
              </w:rPr>
            </w:pPr>
            <w:r>
              <w:rPr>
                <w:rFonts w:hAnsi="宋体"/>
                <w:sz w:val="24"/>
                <w:szCs w:val="24"/>
              </w:rPr>
              <w:t>评价经费</w:t>
            </w:r>
          </w:p>
          <w:p>
            <w:pPr>
              <w:jc w:val="center"/>
              <w:rPr>
                <w:sz w:val="24"/>
                <w:szCs w:val="24"/>
              </w:rPr>
            </w:pPr>
            <w:r>
              <w:rPr>
                <w:rFonts w:hAnsi="宋体"/>
                <w:sz w:val="24"/>
                <w:szCs w:val="24"/>
              </w:rPr>
              <w:t>（万元）</w:t>
            </w:r>
          </w:p>
        </w:tc>
        <w:tc>
          <w:tcPr>
            <w:tcW w:w="1698" w:type="dxa"/>
            <w:vAlign w:val="center"/>
          </w:tcPr>
          <w:p>
            <w:pPr>
              <w:pStyle w:val="83"/>
              <w:spacing w:before="0" w:after="0" w:line="400" w:lineRule="exact"/>
              <w:rPr>
                <w:rFonts w:ascii="Times New Roman" w:hAnsi="Times New Roman"/>
                <w:sz w:val="24"/>
                <w:szCs w:val="24"/>
              </w:rPr>
            </w:pPr>
          </w:p>
        </w:tc>
        <w:tc>
          <w:tcPr>
            <w:tcW w:w="1392" w:type="dxa"/>
            <w:gridSpan w:val="4"/>
            <w:vAlign w:val="center"/>
          </w:tcPr>
          <w:p>
            <w:pPr>
              <w:spacing w:line="400" w:lineRule="exact"/>
              <w:jc w:val="center"/>
              <w:rPr>
                <w:sz w:val="24"/>
                <w:szCs w:val="24"/>
              </w:rPr>
            </w:pPr>
            <w:r>
              <w:rPr>
                <w:rFonts w:hint="eastAsia"/>
                <w:sz w:val="24"/>
                <w:szCs w:val="24"/>
              </w:rPr>
              <w:t>投产</w:t>
            </w:r>
            <w:r>
              <w:rPr>
                <w:sz w:val="24"/>
                <w:szCs w:val="24"/>
              </w:rPr>
              <w:t>日期</w:t>
            </w:r>
          </w:p>
        </w:tc>
        <w:tc>
          <w:tcPr>
            <w:tcW w:w="4630" w:type="dxa"/>
            <w:gridSpan w:val="6"/>
            <w:vAlign w:val="center"/>
          </w:tcPr>
          <w:p>
            <w:pPr>
              <w:pStyle w:val="83"/>
              <w:spacing w:before="0" w:after="0" w:line="400" w:lineRule="exact"/>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rPr>
              <w:t>20</w:t>
            </w:r>
            <w:r>
              <w:rPr>
                <w:rFonts w:ascii="Times New Roman"/>
                <w:sz w:val="24"/>
                <w:szCs w:val="24"/>
              </w:rPr>
              <w:t>年</w:t>
            </w:r>
            <w:r>
              <w:rPr>
                <w:rFonts w:hint="eastAsia" w:ascii="Times New Roman" w:hAnsi="Times New Roman"/>
                <w:sz w:val="24"/>
                <w:szCs w:val="24"/>
                <w:lang w:val="en-US" w:eastAsia="zh-CN"/>
              </w:rPr>
              <w:t>8</w:t>
            </w:r>
            <w:r>
              <w:rPr>
                <w:rFonts w:ascii="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9362" w:type="dxa"/>
            <w:gridSpan w:val="12"/>
          </w:tcPr>
          <w:p>
            <w:pPr>
              <w:rPr>
                <w:b/>
                <w:bCs/>
                <w:sz w:val="24"/>
                <w:szCs w:val="24"/>
              </w:rPr>
            </w:pPr>
            <w:r>
              <w:rPr>
                <w:rFonts w:hAnsi="宋体"/>
                <w:b/>
                <w:bCs/>
                <w:sz w:val="24"/>
                <w:szCs w:val="24"/>
              </w:rPr>
              <w:t>工程内容及规模：</w:t>
            </w:r>
          </w:p>
          <w:p>
            <w:pPr>
              <w:adjustRightInd w:val="0"/>
              <w:snapToGrid w:val="0"/>
              <w:spacing w:line="360" w:lineRule="auto"/>
              <w:rPr>
                <w:b/>
                <w:sz w:val="24"/>
                <w:szCs w:val="24"/>
              </w:rPr>
            </w:pPr>
            <w:r>
              <w:rPr>
                <w:rFonts w:hint="eastAsia"/>
                <w:b/>
                <w:sz w:val="24"/>
                <w:szCs w:val="24"/>
              </w:rPr>
              <w:t>1、</w:t>
            </w:r>
            <w:r>
              <w:rPr>
                <w:b/>
                <w:sz w:val="24"/>
                <w:szCs w:val="24"/>
              </w:rPr>
              <w:t>项目的由来</w:t>
            </w:r>
          </w:p>
          <w:p>
            <w:pPr>
              <w:adjustRightInd w:val="0"/>
              <w:snapToGrid w:val="0"/>
              <w:spacing w:line="360" w:lineRule="auto"/>
              <w:ind w:firstLine="360" w:firstLineChars="150"/>
              <w:rPr>
                <w:rFonts w:hAnsi="宋体"/>
                <w:kern w:val="0"/>
                <w:sz w:val="24"/>
                <w:szCs w:val="24"/>
              </w:rPr>
            </w:pPr>
            <w:r>
              <w:rPr>
                <w:rFonts w:hAnsi="宋体"/>
                <w:kern w:val="0"/>
                <w:sz w:val="24"/>
                <w:szCs w:val="24"/>
              </w:rPr>
              <w:t>根据市场发展需要，</w:t>
            </w:r>
            <w:r>
              <w:rPr>
                <w:rFonts w:hint="eastAsia" w:hAnsi="宋体"/>
                <w:kern w:val="0"/>
                <w:sz w:val="24"/>
                <w:szCs w:val="24"/>
                <w:lang w:eastAsia="zh-CN"/>
              </w:rPr>
              <w:t>安徽玉兴智能科技有限公司</w:t>
            </w:r>
            <w:r>
              <w:rPr>
                <w:rFonts w:hAnsi="宋体"/>
                <w:kern w:val="0"/>
                <w:sz w:val="24"/>
                <w:szCs w:val="24"/>
              </w:rPr>
              <w:t>拟投资</w:t>
            </w:r>
            <w:r>
              <w:rPr>
                <w:rFonts w:hint="eastAsia" w:hAnsi="宋体"/>
                <w:kern w:val="0"/>
                <w:sz w:val="24"/>
                <w:szCs w:val="24"/>
                <w:lang w:eastAsia="zh-CN"/>
              </w:rPr>
              <w:t>20000万元租赁大通区工业新区标准化厂房</w:t>
            </w:r>
            <w:r>
              <w:rPr>
                <w:rFonts w:hint="eastAsia" w:hAnsi="宋体"/>
                <w:kern w:val="0"/>
                <w:sz w:val="24"/>
                <w:szCs w:val="24"/>
              </w:rPr>
              <w:t>，建设</w:t>
            </w:r>
            <w:r>
              <w:rPr>
                <w:rFonts w:hint="eastAsia" w:hAnsi="宋体"/>
                <w:kern w:val="0"/>
                <w:sz w:val="24"/>
                <w:szCs w:val="24"/>
                <w:lang w:eastAsia="zh-CN"/>
              </w:rPr>
              <w:t>年产1000万件精密金属结构件</w:t>
            </w:r>
            <w:r>
              <w:rPr>
                <w:rFonts w:hint="eastAsia" w:hAnsi="宋体"/>
                <w:kern w:val="0"/>
                <w:sz w:val="24"/>
                <w:szCs w:val="24"/>
              </w:rPr>
              <w:t>。</w:t>
            </w:r>
            <w:r>
              <w:rPr>
                <w:rFonts w:hAnsi="宋体"/>
                <w:kern w:val="0"/>
                <w:sz w:val="24"/>
                <w:szCs w:val="24"/>
              </w:rPr>
              <w:t>项目已于20</w:t>
            </w:r>
            <w:r>
              <w:rPr>
                <w:rFonts w:hint="eastAsia" w:hAnsi="宋体"/>
                <w:kern w:val="0"/>
                <w:sz w:val="24"/>
                <w:szCs w:val="24"/>
                <w:lang w:val="en-US" w:eastAsia="zh-CN"/>
              </w:rPr>
              <w:t>18</w:t>
            </w:r>
            <w:r>
              <w:rPr>
                <w:rFonts w:hAnsi="宋体"/>
                <w:kern w:val="0"/>
                <w:sz w:val="24"/>
                <w:szCs w:val="24"/>
              </w:rPr>
              <w:t>年</w:t>
            </w:r>
            <w:r>
              <w:rPr>
                <w:rFonts w:hint="eastAsia" w:hAnsi="宋体"/>
                <w:kern w:val="0"/>
                <w:sz w:val="24"/>
                <w:szCs w:val="24"/>
                <w:lang w:val="en-US" w:eastAsia="zh-CN"/>
              </w:rPr>
              <w:t>1</w:t>
            </w:r>
            <w:r>
              <w:rPr>
                <w:rFonts w:hAnsi="宋体"/>
                <w:kern w:val="0"/>
                <w:sz w:val="24"/>
                <w:szCs w:val="24"/>
              </w:rPr>
              <w:t>月</w:t>
            </w:r>
            <w:r>
              <w:rPr>
                <w:rFonts w:hint="eastAsia" w:hAnsi="宋体"/>
                <w:kern w:val="0"/>
                <w:sz w:val="24"/>
                <w:szCs w:val="24"/>
                <w:lang w:val="en-US" w:eastAsia="zh-CN"/>
              </w:rPr>
              <w:t>25</w:t>
            </w:r>
            <w:r>
              <w:rPr>
                <w:rFonts w:hAnsi="宋体"/>
                <w:kern w:val="0"/>
                <w:sz w:val="24"/>
                <w:szCs w:val="24"/>
              </w:rPr>
              <w:t>日由</w:t>
            </w:r>
            <w:r>
              <w:rPr>
                <w:rFonts w:hint="eastAsia" w:hAnsi="宋体"/>
                <w:kern w:val="0"/>
                <w:sz w:val="24"/>
                <w:szCs w:val="24"/>
              </w:rPr>
              <w:t>淮南市大通区发展和改革委员会</w:t>
            </w:r>
            <w:r>
              <w:rPr>
                <w:rFonts w:hAnsi="宋体"/>
                <w:kern w:val="0"/>
                <w:sz w:val="24"/>
                <w:szCs w:val="24"/>
              </w:rPr>
              <w:t>（项目代码</w:t>
            </w:r>
            <w:r>
              <w:rPr>
                <w:rFonts w:hint="eastAsia" w:hAnsi="宋体"/>
                <w:kern w:val="0"/>
                <w:sz w:val="24"/>
                <w:szCs w:val="24"/>
                <w:lang w:eastAsia="zh-CN"/>
              </w:rPr>
              <w:t>2018-340402-33-03-0011897</w:t>
            </w:r>
            <w:r>
              <w:rPr>
                <w:rFonts w:hAnsi="宋体"/>
                <w:kern w:val="0"/>
                <w:sz w:val="24"/>
                <w:szCs w:val="24"/>
              </w:rPr>
              <w:t>）备案。</w:t>
            </w:r>
          </w:p>
          <w:p>
            <w:pPr>
              <w:snapToGrid w:val="0"/>
              <w:spacing w:line="360" w:lineRule="auto"/>
              <w:ind w:firstLine="480" w:firstLineChars="200"/>
              <w:rPr>
                <w:rFonts w:hAnsi="宋体"/>
                <w:sz w:val="24"/>
                <w:szCs w:val="24"/>
              </w:rPr>
            </w:pPr>
            <w:r>
              <w:rPr>
                <w:rFonts w:hAnsi="宋体"/>
                <w:sz w:val="24"/>
                <w:szCs w:val="24"/>
              </w:rPr>
              <w:t>按照《中华人民共和国环境保护法》、《中华人民共和国环境影响评价法》、《建设项目环境保护管理条例》</w:t>
            </w:r>
            <w:r>
              <w:rPr>
                <w:rFonts w:hint="eastAsia" w:hAnsi="宋体"/>
                <w:sz w:val="24"/>
                <w:szCs w:val="24"/>
              </w:rPr>
              <w:t>（国令第682号）</w:t>
            </w:r>
            <w:r>
              <w:rPr>
                <w:rFonts w:hAnsi="宋体"/>
                <w:sz w:val="24"/>
                <w:szCs w:val="24"/>
              </w:rPr>
              <w:t>等法规文件</w:t>
            </w:r>
            <w:r>
              <w:rPr>
                <w:rFonts w:hint="eastAsia" w:hAnsi="宋体"/>
                <w:sz w:val="24"/>
                <w:szCs w:val="24"/>
              </w:rPr>
              <w:t>，本项目属于二十二类金属制品业中第67项金属制品加工制造中其他（仅切割组装除外），需编制环境影响评价报告表</w:t>
            </w:r>
            <w:r>
              <w:rPr>
                <w:rFonts w:hAnsi="宋体"/>
                <w:sz w:val="24"/>
                <w:szCs w:val="24"/>
              </w:rPr>
              <w:t>。因此建设</w:t>
            </w:r>
            <w:r>
              <w:rPr>
                <w:rFonts w:hint="eastAsia" w:hAnsi="宋体"/>
                <w:sz w:val="24"/>
                <w:szCs w:val="24"/>
              </w:rPr>
              <w:t>单位</w:t>
            </w:r>
            <w:r>
              <w:rPr>
                <w:rFonts w:hint="eastAsia" w:hAnsi="宋体"/>
                <w:sz w:val="24"/>
                <w:szCs w:val="24"/>
                <w:lang w:eastAsia="zh-CN"/>
              </w:rPr>
              <w:t>安徽玉兴智能科技有限公司</w:t>
            </w:r>
            <w:r>
              <w:rPr>
                <w:rFonts w:hAnsi="宋体"/>
                <w:sz w:val="24"/>
                <w:szCs w:val="24"/>
              </w:rPr>
              <w:t>委托</w:t>
            </w:r>
            <w:r>
              <w:rPr>
                <w:rFonts w:hint="eastAsia" w:hAnsi="宋体"/>
                <w:sz w:val="24"/>
                <w:szCs w:val="24"/>
                <w:lang w:eastAsia="zh-CN"/>
              </w:rPr>
              <w:t>安徽合群</w:t>
            </w:r>
            <w:r>
              <w:rPr>
                <w:rFonts w:hint="eastAsia" w:hAnsi="宋体"/>
                <w:sz w:val="24"/>
                <w:szCs w:val="24"/>
              </w:rPr>
              <w:t>环保科技有限公司</w:t>
            </w:r>
            <w:r>
              <w:rPr>
                <w:rFonts w:hAnsi="宋体"/>
                <w:sz w:val="24"/>
                <w:szCs w:val="24"/>
              </w:rPr>
              <w:t>承担本项目环境影响报告表的编制工作。接受委托后，我单位有关工程技术人员对本项目进行了的详细的现场踏勘、资料收集工作，在对本项目工程有关环境现状和可能造成的环境影响进行分析后，依照环境影响评价技术导则的要求编制了环境影响报告表。</w:t>
            </w:r>
          </w:p>
          <w:p>
            <w:pPr>
              <w:adjustRightInd w:val="0"/>
              <w:snapToGrid w:val="0"/>
              <w:spacing w:line="360" w:lineRule="auto"/>
              <w:rPr>
                <w:b/>
                <w:sz w:val="24"/>
                <w:szCs w:val="24"/>
              </w:rPr>
            </w:pPr>
            <w:r>
              <w:rPr>
                <w:rFonts w:hint="eastAsia"/>
                <w:b/>
                <w:sz w:val="24"/>
                <w:szCs w:val="24"/>
              </w:rPr>
              <w:t>2</w:t>
            </w:r>
            <w:r>
              <w:rPr>
                <w:b/>
                <w:sz w:val="24"/>
                <w:szCs w:val="24"/>
              </w:rPr>
              <w:t>、</w:t>
            </w:r>
            <w:r>
              <w:rPr>
                <w:rFonts w:hint="eastAsia"/>
                <w:b/>
                <w:sz w:val="24"/>
                <w:szCs w:val="24"/>
              </w:rPr>
              <w:t>拟建项目建设内容及生产规模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sz w:val="24"/>
                <w:szCs w:val="24"/>
              </w:rPr>
            </w:pPr>
            <w:r>
              <w:rPr>
                <w:rFonts w:hint="eastAsia"/>
                <w:sz w:val="24"/>
                <w:szCs w:val="24"/>
              </w:rPr>
              <w:t>拟建项目投资</w:t>
            </w:r>
            <w:r>
              <w:rPr>
                <w:rFonts w:hint="eastAsia"/>
                <w:sz w:val="24"/>
                <w:szCs w:val="24"/>
                <w:lang w:eastAsia="zh-CN"/>
              </w:rPr>
              <w:t>20000万元</w:t>
            </w:r>
            <w:r>
              <w:rPr>
                <w:rFonts w:hint="eastAsia"/>
                <w:sz w:val="24"/>
                <w:szCs w:val="24"/>
              </w:rPr>
              <w:t>，</w:t>
            </w:r>
            <w:r>
              <w:rPr>
                <w:rFonts w:hint="eastAsia"/>
                <w:sz w:val="24"/>
                <w:szCs w:val="24"/>
                <w:lang w:eastAsia="zh-CN"/>
              </w:rPr>
              <w:t>租赁大通区工业新区标准化厂房</w:t>
            </w:r>
            <w:r>
              <w:rPr>
                <w:rFonts w:hint="eastAsia" w:hAnsi="宋体"/>
                <w:kern w:val="0"/>
                <w:sz w:val="24"/>
                <w:szCs w:val="24"/>
              </w:rPr>
              <w:t>，</w:t>
            </w:r>
            <w:r>
              <w:rPr>
                <w:rFonts w:hint="eastAsia" w:hAnsi="宋体"/>
                <w:kern w:val="0"/>
                <w:sz w:val="24"/>
                <w:szCs w:val="24"/>
                <w:lang w:eastAsia="zh-CN"/>
              </w:rPr>
              <w:t>租赁</w:t>
            </w:r>
            <w:r>
              <w:rPr>
                <w:rFonts w:hint="eastAsia" w:hAnsi="宋体"/>
                <w:kern w:val="0"/>
                <w:sz w:val="24"/>
                <w:szCs w:val="24"/>
              </w:rPr>
              <w:t>厂房面积</w:t>
            </w:r>
            <w:r>
              <w:rPr>
                <w:rFonts w:hint="eastAsia" w:hAnsi="宋体"/>
                <w:kern w:val="0"/>
                <w:sz w:val="24"/>
                <w:szCs w:val="24"/>
                <w:lang w:val="en-US" w:eastAsia="zh-CN"/>
              </w:rPr>
              <w:t>48</w:t>
            </w:r>
            <w:r>
              <w:rPr>
                <w:rFonts w:hint="eastAsia" w:hAnsi="宋体"/>
                <w:kern w:val="0"/>
                <w:sz w:val="24"/>
                <w:szCs w:val="24"/>
              </w:rPr>
              <w:t>00m</w:t>
            </w:r>
            <w:r>
              <w:rPr>
                <w:rFonts w:hint="eastAsia" w:hAnsi="宋体"/>
                <w:kern w:val="0"/>
                <w:sz w:val="24"/>
                <w:szCs w:val="24"/>
                <w:vertAlign w:val="superscript"/>
              </w:rPr>
              <w:t>2</w:t>
            </w:r>
            <w:r>
              <w:rPr>
                <w:rFonts w:hint="eastAsia" w:hAnsi="宋体"/>
                <w:kern w:val="0"/>
                <w:sz w:val="24"/>
                <w:szCs w:val="24"/>
              </w:rPr>
              <w:t>，购置</w:t>
            </w:r>
            <w:r>
              <w:rPr>
                <w:rFonts w:hint="eastAsia"/>
                <w:sz w:val="24"/>
                <w:szCs w:val="24"/>
                <w:lang w:val="en-US" w:eastAsia="zh-CN"/>
              </w:rPr>
              <w:t>10</w:t>
            </w:r>
            <w:r>
              <w:rPr>
                <w:rFonts w:hint="eastAsia"/>
                <w:sz w:val="24"/>
                <w:szCs w:val="24"/>
              </w:rPr>
              <w:t>台车床、</w:t>
            </w:r>
            <w:r>
              <w:rPr>
                <w:rFonts w:hint="eastAsia"/>
                <w:sz w:val="24"/>
                <w:szCs w:val="24"/>
                <w:lang w:val="en-US" w:eastAsia="zh-CN"/>
              </w:rPr>
              <w:t>10</w:t>
            </w:r>
            <w:r>
              <w:rPr>
                <w:rFonts w:hint="eastAsia"/>
                <w:sz w:val="24"/>
                <w:szCs w:val="24"/>
              </w:rPr>
              <w:t>台铣床、</w:t>
            </w:r>
            <w:r>
              <w:rPr>
                <w:rFonts w:hint="eastAsia"/>
                <w:sz w:val="24"/>
                <w:szCs w:val="24"/>
                <w:lang w:val="en-US" w:eastAsia="zh-CN"/>
              </w:rPr>
              <w:t>5</w:t>
            </w:r>
            <w:r>
              <w:rPr>
                <w:rFonts w:hint="eastAsia"/>
                <w:sz w:val="24"/>
                <w:szCs w:val="24"/>
              </w:rPr>
              <w:t>台钻床、</w:t>
            </w:r>
            <w:r>
              <w:rPr>
                <w:rFonts w:hint="eastAsia"/>
                <w:sz w:val="24"/>
                <w:szCs w:val="24"/>
                <w:lang w:val="en-US" w:eastAsia="zh-CN"/>
              </w:rPr>
              <w:t>5台雕刻机、2台切割机、1</w:t>
            </w:r>
            <w:r>
              <w:rPr>
                <w:rFonts w:hint="eastAsia"/>
                <w:sz w:val="24"/>
                <w:szCs w:val="24"/>
              </w:rPr>
              <w:t>6台CNC数控加工机床等设备</w:t>
            </w:r>
            <w:r>
              <w:rPr>
                <w:rFonts w:hint="eastAsia"/>
                <w:sz w:val="24"/>
                <w:szCs w:val="24"/>
                <w:lang w:eastAsia="zh-CN"/>
              </w:rPr>
              <w:t>、</w:t>
            </w:r>
            <w:r>
              <w:rPr>
                <w:rFonts w:hint="eastAsia"/>
                <w:sz w:val="24"/>
                <w:szCs w:val="24"/>
                <w:lang w:val="en-US" w:eastAsia="zh-CN"/>
              </w:rPr>
              <w:t>10台</w:t>
            </w:r>
            <w:r>
              <w:rPr>
                <w:rFonts w:hint="eastAsia"/>
                <w:sz w:val="24"/>
                <w:szCs w:val="24"/>
                <w:lang w:eastAsia="zh-CN"/>
              </w:rPr>
              <w:t>手磨机</w:t>
            </w:r>
            <w:r>
              <w:rPr>
                <w:rFonts w:hint="eastAsia" w:hAnsi="宋体"/>
                <w:kern w:val="0"/>
                <w:sz w:val="24"/>
                <w:szCs w:val="24"/>
              </w:rPr>
              <w:t>等生产设备进行生产</w:t>
            </w:r>
            <w:r>
              <w:rPr>
                <w:rFonts w:hint="eastAsia"/>
                <w:sz w:val="24"/>
                <w:szCs w:val="24"/>
              </w:rPr>
              <w:t>。</w:t>
            </w:r>
            <w:r>
              <w:rPr>
                <w:rFonts w:hint="eastAsia" w:hAnsi="宋体"/>
                <w:kern w:val="0"/>
                <w:sz w:val="24"/>
                <w:szCs w:val="24"/>
              </w:rPr>
              <w:t>项目建成后将形成</w:t>
            </w:r>
            <w:r>
              <w:rPr>
                <w:rFonts w:hint="eastAsia" w:hAnsi="宋体"/>
                <w:kern w:val="0"/>
                <w:sz w:val="24"/>
                <w:szCs w:val="24"/>
                <w:lang w:eastAsia="zh-CN"/>
              </w:rPr>
              <w:t>年产1000万件精密金属结构件</w:t>
            </w:r>
            <w:r>
              <w:rPr>
                <w:rFonts w:hint="eastAsia" w:hAnsi="宋体"/>
                <w:kern w:val="0"/>
                <w:sz w:val="24"/>
                <w:szCs w:val="24"/>
              </w:rPr>
              <w:t>的生产能力</w:t>
            </w:r>
            <w:r>
              <w:rPr>
                <w:rFonts w:hint="eastAsia" w:hAnsi="宋体"/>
                <w:kern w:val="0"/>
                <w:sz w:val="24"/>
                <w:szCs w:val="24"/>
                <w:lang w:eastAsia="zh-CN"/>
              </w:rPr>
              <w:t>，主要产品包括</w:t>
            </w:r>
            <w:r>
              <w:rPr>
                <w:rFonts w:hint="eastAsia" w:ascii="宋体" w:hAnsi="宋体"/>
                <w:sz w:val="24"/>
                <w:szCs w:val="24"/>
              </w:rPr>
              <w:t>手机外壳</w:t>
            </w:r>
            <w:r>
              <w:rPr>
                <w:rFonts w:hint="eastAsia" w:ascii="宋体" w:hAnsi="宋体"/>
                <w:sz w:val="24"/>
                <w:szCs w:val="24"/>
                <w:lang w:eastAsia="zh-CN"/>
              </w:rPr>
              <w:t>、</w:t>
            </w:r>
            <w:r>
              <w:rPr>
                <w:rFonts w:hint="eastAsia" w:ascii="宋体" w:hAnsi="宋体"/>
                <w:sz w:val="24"/>
                <w:szCs w:val="24"/>
              </w:rPr>
              <w:t>手机卡托</w:t>
            </w:r>
            <w:r>
              <w:rPr>
                <w:rFonts w:hint="eastAsia" w:ascii="宋体" w:hAnsi="宋体"/>
                <w:sz w:val="24"/>
                <w:szCs w:val="24"/>
                <w:lang w:eastAsia="zh-CN"/>
              </w:rPr>
              <w:t>、</w:t>
            </w:r>
            <w:r>
              <w:rPr>
                <w:rFonts w:hint="eastAsia" w:ascii="宋体" w:hAnsi="宋体"/>
                <w:sz w:val="24"/>
                <w:szCs w:val="24"/>
              </w:rPr>
              <w:t>手机音量键</w:t>
            </w:r>
            <w:r>
              <w:rPr>
                <w:rFonts w:hint="eastAsia" w:ascii="宋体" w:hAnsi="宋体"/>
                <w:sz w:val="24"/>
                <w:szCs w:val="24"/>
                <w:lang w:eastAsia="zh-CN"/>
              </w:rPr>
              <w:t>、</w:t>
            </w:r>
            <w:r>
              <w:rPr>
                <w:rFonts w:hint="eastAsia" w:ascii="宋体" w:hAnsi="宋体"/>
                <w:sz w:val="24"/>
                <w:szCs w:val="24"/>
              </w:rPr>
              <w:t>手机开关键</w:t>
            </w:r>
            <w:r>
              <w:rPr>
                <w:rFonts w:hint="eastAsia" w:ascii="宋体" w:hAnsi="宋体"/>
                <w:sz w:val="24"/>
                <w:szCs w:val="24"/>
                <w:lang w:eastAsia="zh-CN"/>
              </w:rPr>
              <w:t>、</w:t>
            </w:r>
            <w:r>
              <w:rPr>
                <w:rFonts w:hint="eastAsia" w:ascii="宋体" w:hAnsi="宋体"/>
                <w:sz w:val="24"/>
                <w:szCs w:val="24"/>
              </w:rPr>
              <w:t>手环扣</w:t>
            </w:r>
            <w:r>
              <w:rPr>
                <w:rFonts w:hint="eastAsia" w:ascii="宋体" w:hAnsi="宋体"/>
                <w:sz w:val="24"/>
                <w:szCs w:val="24"/>
                <w:lang w:eastAsia="zh-CN"/>
              </w:rPr>
              <w:t>、</w:t>
            </w:r>
            <w:r>
              <w:rPr>
                <w:rFonts w:hint="eastAsia" w:ascii="宋体" w:hAnsi="宋体"/>
                <w:sz w:val="24"/>
                <w:szCs w:val="24"/>
              </w:rPr>
              <w:t>相机键</w:t>
            </w:r>
            <w:r>
              <w:rPr>
                <w:rFonts w:hint="eastAsia" w:hAnsi="宋体"/>
                <w:kern w:val="0"/>
                <w:sz w:val="24"/>
                <w:szCs w:val="24"/>
              </w:rPr>
              <w:t>。</w:t>
            </w:r>
            <w:r>
              <w:rPr>
                <w:rFonts w:hint="eastAsia"/>
                <w:sz w:val="24"/>
                <w:szCs w:val="24"/>
              </w:rPr>
              <w:t>拟建项目</w:t>
            </w:r>
            <w:r>
              <w:rPr>
                <w:sz w:val="24"/>
                <w:szCs w:val="24"/>
              </w:rPr>
              <w:t>建设组成详见表</w:t>
            </w:r>
            <w:r>
              <w:rPr>
                <w:rFonts w:hint="eastAsia"/>
                <w:sz w:val="24"/>
                <w:szCs w:val="24"/>
              </w:rPr>
              <w:t>1：</w:t>
            </w:r>
          </w:p>
          <w:p>
            <w:pPr>
              <w:jc w:val="center"/>
              <w:rPr>
                <w:b/>
                <w:sz w:val="21"/>
                <w:szCs w:val="21"/>
              </w:rPr>
            </w:pPr>
            <w:r>
              <w:rPr>
                <w:b/>
                <w:sz w:val="21"/>
                <w:szCs w:val="21"/>
              </w:rPr>
              <w:t>表</w:t>
            </w:r>
            <w:r>
              <w:rPr>
                <w:rFonts w:hint="eastAsia"/>
                <w:b/>
                <w:sz w:val="21"/>
                <w:szCs w:val="21"/>
              </w:rPr>
              <w:t>1拟建项目</w:t>
            </w:r>
            <w:r>
              <w:rPr>
                <w:b/>
                <w:sz w:val="21"/>
                <w:szCs w:val="21"/>
              </w:rPr>
              <w:t>组成一览表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62"/>
              <w:gridCol w:w="1488"/>
              <w:gridCol w:w="3375"/>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adjustRightInd w:val="0"/>
                    <w:jc w:val="center"/>
                    <w:rPr>
                      <w:sz w:val="21"/>
                      <w:szCs w:val="21"/>
                    </w:rPr>
                  </w:pPr>
                  <w:r>
                    <w:rPr>
                      <w:sz w:val="21"/>
                      <w:szCs w:val="21"/>
                    </w:rPr>
                    <w:t>序号</w:t>
                  </w:r>
                </w:p>
              </w:tc>
              <w:tc>
                <w:tcPr>
                  <w:tcW w:w="1062" w:type="dxa"/>
                  <w:vAlign w:val="center"/>
                </w:tcPr>
                <w:p>
                  <w:pPr>
                    <w:adjustRightInd w:val="0"/>
                    <w:jc w:val="center"/>
                    <w:rPr>
                      <w:sz w:val="21"/>
                      <w:szCs w:val="21"/>
                    </w:rPr>
                  </w:pPr>
                  <w:r>
                    <w:rPr>
                      <w:sz w:val="21"/>
                      <w:szCs w:val="21"/>
                    </w:rPr>
                    <w:t>工程类别</w:t>
                  </w:r>
                </w:p>
              </w:tc>
              <w:tc>
                <w:tcPr>
                  <w:tcW w:w="1488" w:type="dxa"/>
                  <w:vAlign w:val="center"/>
                </w:tcPr>
                <w:p>
                  <w:pPr>
                    <w:adjustRightInd w:val="0"/>
                    <w:jc w:val="center"/>
                    <w:rPr>
                      <w:sz w:val="21"/>
                      <w:szCs w:val="21"/>
                    </w:rPr>
                  </w:pPr>
                  <w:r>
                    <w:rPr>
                      <w:sz w:val="21"/>
                      <w:szCs w:val="21"/>
                    </w:rPr>
                    <w:t>单项工程名称</w:t>
                  </w:r>
                </w:p>
              </w:tc>
              <w:tc>
                <w:tcPr>
                  <w:tcW w:w="3375" w:type="dxa"/>
                  <w:vAlign w:val="center"/>
                </w:tcPr>
                <w:p>
                  <w:pPr>
                    <w:adjustRightInd w:val="0"/>
                    <w:jc w:val="center"/>
                    <w:rPr>
                      <w:sz w:val="21"/>
                      <w:szCs w:val="21"/>
                    </w:rPr>
                  </w:pPr>
                  <w:r>
                    <w:rPr>
                      <w:sz w:val="21"/>
                      <w:szCs w:val="21"/>
                    </w:rPr>
                    <w:t>工程内容</w:t>
                  </w:r>
                </w:p>
              </w:tc>
              <w:tc>
                <w:tcPr>
                  <w:tcW w:w="2478" w:type="dxa"/>
                  <w:vAlign w:val="center"/>
                </w:tcPr>
                <w:p>
                  <w:pPr>
                    <w:adjustRightInd w:val="0"/>
                    <w:jc w:val="center"/>
                    <w:rPr>
                      <w:sz w:val="21"/>
                      <w:szCs w:val="21"/>
                    </w:rPr>
                  </w:pPr>
                  <w:r>
                    <w:rPr>
                      <w:sz w:val="21"/>
                      <w:szCs w:val="21"/>
                    </w:rPr>
                    <w:t>工程规模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adjustRightInd w:val="0"/>
                    <w:jc w:val="center"/>
                    <w:rPr>
                      <w:sz w:val="21"/>
                      <w:szCs w:val="21"/>
                    </w:rPr>
                  </w:pPr>
                  <w:r>
                    <w:rPr>
                      <w:sz w:val="21"/>
                      <w:szCs w:val="21"/>
                    </w:rPr>
                    <w:t>1</w:t>
                  </w:r>
                </w:p>
              </w:tc>
              <w:tc>
                <w:tcPr>
                  <w:tcW w:w="1062" w:type="dxa"/>
                  <w:vAlign w:val="center"/>
                </w:tcPr>
                <w:p>
                  <w:pPr>
                    <w:adjustRightInd w:val="0"/>
                    <w:jc w:val="center"/>
                    <w:rPr>
                      <w:sz w:val="21"/>
                      <w:szCs w:val="21"/>
                    </w:rPr>
                  </w:pPr>
                  <w:r>
                    <w:rPr>
                      <w:sz w:val="21"/>
                      <w:szCs w:val="21"/>
                    </w:rPr>
                    <w:t>主体工程</w:t>
                  </w:r>
                </w:p>
              </w:tc>
              <w:tc>
                <w:tcPr>
                  <w:tcW w:w="1488" w:type="dxa"/>
                  <w:vAlign w:val="center"/>
                </w:tcPr>
                <w:p>
                  <w:pPr>
                    <w:adjustRightInd w:val="0"/>
                    <w:jc w:val="center"/>
                    <w:rPr>
                      <w:sz w:val="21"/>
                      <w:szCs w:val="21"/>
                    </w:rPr>
                  </w:pPr>
                  <w:r>
                    <w:rPr>
                      <w:rFonts w:hint="eastAsia"/>
                      <w:sz w:val="21"/>
                      <w:szCs w:val="21"/>
                    </w:rPr>
                    <w:t>生产区</w:t>
                  </w:r>
                </w:p>
              </w:tc>
              <w:tc>
                <w:tcPr>
                  <w:tcW w:w="3375" w:type="dxa"/>
                  <w:vAlign w:val="center"/>
                </w:tcPr>
                <w:p>
                  <w:pPr>
                    <w:adjustRightInd w:val="0"/>
                    <w:jc w:val="center"/>
                    <w:rPr>
                      <w:rFonts w:hint="default" w:eastAsia="宋体"/>
                      <w:sz w:val="21"/>
                      <w:szCs w:val="21"/>
                      <w:lang w:val="en-US" w:eastAsia="zh-CN"/>
                    </w:rPr>
                  </w:pPr>
                  <w:r>
                    <w:rPr>
                      <w:sz w:val="21"/>
                      <w:szCs w:val="21"/>
                    </w:rPr>
                    <w:t>设置</w:t>
                  </w:r>
                  <w:r>
                    <w:rPr>
                      <w:rFonts w:hint="eastAsia"/>
                      <w:sz w:val="21"/>
                      <w:szCs w:val="21"/>
                      <w:lang w:val="en-US" w:eastAsia="zh-CN"/>
                    </w:rPr>
                    <w:t>10</w:t>
                  </w:r>
                  <w:r>
                    <w:rPr>
                      <w:rFonts w:hint="eastAsia"/>
                      <w:sz w:val="21"/>
                      <w:szCs w:val="21"/>
                    </w:rPr>
                    <w:t>台车床、</w:t>
                  </w:r>
                  <w:r>
                    <w:rPr>
                      <w:rFonts w:hint="eastAsia"/>
                      <w:sz w:val="21"/>
                      <w:szCs w:val="21"/>
                      <w:lang w:val="en-US" w:eastAsia="zh-CN"/>
                    </w:rPr>
                    <w:t>10</w:t>
                  </w:r>
                  <w:r>
                    <w:rPr>
                      <w:rFonts w:hint="eastAsia"/>
                      <w:sz w:val="21"/>
                      <w:szCs w:val="21"/>
                    </w:rPr>
                    <w:t>台铣床、</w:t>
                  </w:r>
                  <w:r>
                    <w:rPr>
                      <w:rFonts w:hint="eastAsia"/>
                      <w:sz w:val="21"/>
                      <w:szCs w:val="21"/>
                      <w:lang w:val="en-US" w:eastAsia="zh-CN"/>
                    </w:rPr>
                    <w:t>5</w:t>
                  </w:r>
                  <w:r>
                    <w:rPr>
                      <w:rFonts w:hint="eastAsia"/>
                      <w:sz w:val="21"/>
                      <w:szCs w:val="21"/>
                    </w:rPr>
                    <w:t>台钻床、</w:t>
                  </w:r>
                  <w:r>
                    <w:rPr>
                      <w:rFonts w:hint="eastAsia"/>
                      <w:sz w:val="21"/>
                      <w:szCs w:val="21"/>
                      <w:lang w:val="en-US" w:eastAsia="zh-CN"/>
                    </w:rPr>
                    <w:t>5台雕刻机、2台切割机、1</w:t>
                  </w:r>
                  <w:r>
                    <w:rPr>
                      <w:rFonts w:hint="eastAsia"/>
                      <w:sz w:val="21"/>
                      <w:szCs w:val="21"/>
                    </w:rPr>
                    <w:t>6台CNC数控加工机床</w:t>
                  </w:r>
                  <w:r>
                    <w:rPr>
                      <w:rFonts w:hint="eastAsia"/>
                      <w:sz w:val="21"/>
                      <w:szCs w:val="21"/>
                      <w:lang w:eastAsia="zh-CN"/>
                    </w:rPr>
                    <w:t>、</w:t>
                  </w:r>
                  <w:r>
                    <w:rPr>
                      <w:rFonts w:hint="eastAsia"/>
                      <w:sz w:val="21"/>
                      <w:szCs w:val="21"/>
                      <w:lang w:val="en-US" w:eastAsia="zh-CN"/>
                    </w:rPr>
                    <w:t>10台</w:t>
                  </w:r>
                  <w:r>
                    <w:rPr>
                      <w:rFonts w:hint="eastAsia"/>
                      <w:sz w:val="21"/>
                      <w:szCs w:val="21"/>
                      <w:lang w:eastAsia="zh-CN"/>
                    </w:rPr>
                    <w:t>手磨机、</w:t>
                  </w:r>
                  <w:r>
                    <w:rPr>
                      <w:rFonts w:hint="eastAsia"/>
                      <w:sz w:val="21"/>
                      <w:szCs w:val="21"/>
                      <w:lang w:val="en-US" w:eastAsia="zh-CN"/>
                    </w:rPr>
                    <w:t>7台空压机</w:t>
                  </w:r>
                </w:p>
              </w:tc>
              <w:tc>
                <w:tcPr>
                  <w:tcW w:w="2478" w:type="dxa"/>
                  <w:vAlign w:val="center"/>
                </w:tcPr>
                <w:p>
                  <w:pPr>
                    <w:adjustRightInd w:val="0"/>
                    <w:jc w:val="center"/>
                    <w:rPr>
                      <w:sz w:val="21"/>
                      <w:szCs w:val="21"/>
                    </w:rPr>
                  </w:pPr>
                  <w:r>
                    <w:rPr>
                      <w:rFonts w:hint="eastAsia"/>
                      <w:sz w:val="21"/>
                      <w:szCs w:val="21"/>
                    </w:rPr>
                    <w:t>建筑面积</w:t>
                  </w:r>
                  <w:r>
                    <w:rPr>
                      <w:rFonts w:hint="eastAsia"/>
                      <w:sz w:val="21"/>
                      <w:szCs w:val="21"/>
                      <w:lang w:val="en-US" w:eastAsia="zh-CN"/>
                    </w:rPr>
                    <w:t>40</w:t>
                  </w:r>
                  <w:r>
                    <w:rPr>
                      <w:rFonts w:hint="eastAsia"/>
                      <w:sz w:val="21"/>
                      <w:szCs w:val="21"/>
                    </w:rPr>
                    <w:t>00m</w:t>
                  </w:r>
                  <w:r>
                    <w:rPr>
                      <w:rFonts w:hint="eastAsia"/>
                      <w:sz w:val="21"/>
                      <w:szCs w:val="21"/>
                      <w:vertAlign w:val="superscript"/>
                    </w:rPr>
                    <w:t>2</w:t>
                  </w:r>
                  <w:r>
                    <w:rPr>
                      <w:rFonts w:hint="eastAsia"/>
                      <w:sz w:val="21"/>
                      <w:szCs w:val="21"/>
                    </w:rPr>
                    <w:t>，</w:t>
                  </w:r>
                  <w:r>
                    <w:rPr>
                      <w:rFonts w:hint="eastAsia" w:hAnsi="宋体"/>
                      <w:kern w:val="0"/>
                      <w:sz w:val="21"/>
                      <w:szCs w:val="21"/>
                      <w:lang w:eastAsia="zh-CN"/>
                    </w:rPr>
                    <w:t>年产1000万件精密金属结构件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adjustRightInd w:val="0"/>
                    <w:jc w:val="center"/>
                    <w:rPr>
                      <w:sz w:val="21"/>
                      <w:szCs w:val="21"/>
                    </w:rPr>
                  </w:pPr>
                  <w:r>
                    <w:rPr>
                      <w:sz w:val="21"/>
                      <w:szCs w:val="21"/>
                    </w:rPr>
                    <w:t>2</w:t>
                  </w:r>
                </w:p>
              </w:tc>
              <w:tc>
                <w:tcPr>
                  <w:tcW w:w="1062" w:type="dxa"/>
                  <w:vAlign w:val="center"/>
                </w:tcPr>
                <w:p>
                  <w:pPr>
                    <w:adjustRightInd w:val="0"/>
                    <w:jc w:val="center"/>
                    <w:rPr>
                      <w:sz w:val="21"/>
                      <w:szCs w:val="21"/>
                    </w:rPr>
                  </w:pPr>
                  <w:r>
                    <w:rPr>
                      <w:sz w:val="21"/>
                      <w:szCs w:val="21"/>
                    </w:rPr>
                    <w:t>辅助工程</w:t>
                  </w:r>
                </w:p>
              </w:tc>
              <w:tc>
                <w:tcPr>
                  <w:tcW w:w="1488" w:type="dxa"/>
                  <w:vAlign w:val="center"/>
                </w:tcPr>
                <w:p>
                  <w:pPr>
                    <w:adjustRightInd w:val="0"/>
                    <w:jc w:val="center"/>
                    <w:rPr>
                      <w:sz w:val="21"/>
                      <w:szCs w:val="21"/>
                    </w:rPr>
                  </w:pPr>
                  <w:r>
                    <w:rPr>
                      <w:rFonts w:hint="eastAsia"/>
                      <w:sz w:val="21"/>
                      <w:szCs w:val="21"/>
                    </w:rPr>
                    <w:t>办公室</w:t>
                  </w:r>
                </w:p>
              </w:tc>
              <w:tc>
                <w:tcPr>
                  <w:tcW w:w="3375" w:type="dxa"/>
                  <w:vAlign w:val="center"/>
                </w:tcPr>
                <w:p>
                  <w:pPr>
                    <w:adjustRightInd w:val="0"/>
                    <w:jc w:val="center"/>
                    <w:rPr>
                      <w:sz w:val="21"/>
                      <w:szCs w:val="21"/>
                    </w:rPr>
                  </w:pPr>
                  <w:r>
                    <w:rPr>
                      <w:rFonts w:hint="eastAsia"/>
                      <w:sz w:val="21"/>
                      <w:szCs w:val="21"/>
                    </w:rPr>
                    <w:t>办公、接待</w:t>
                  </w:r>
                </w:p>
              </w:tc>
              <w:tc>
                <w:tcPr>
                  <w:tcW w:w="2478" w:type="dxa"/>
                  <w:vAlign w:val="center"/>
                </w:tcPr>
                <w:p>
                  <w:pPr>
                    <w:adjustRightInd w:val="0"/>
                    <w:jc w:val="center"/>
                    <w:rPr>
                      <w:sz w:val="21"/>
                      <w:szCs w:val="21"/>
                    </w:rPr>
                  </w:pPr>
                  <w:r>
                    <w:rPr>
                      <w:rFonts w:hint="eastAsia"/>
                      <w:sz w:val="21"/>
                      <w:szCs w:val="21"/>
                      <w:lang w:eastAsia="zh-CN"/>
                    </w:rPr>
                    <w:t>建筑面积</w:t>
                  </w:r>
                  <w:r>
                    <w:rPr>
                      <w:rFonts w:hint="eastAsia"/>
                      <w:sz w:val="21"/>
                      <w:szCs w:val="21"/>
                      <w:lang w:val="en-US" w:eastAsia="zh-CN"/>
                    </w:rPr>
                    <w:t>50</w:t>
                  </w:r>
                  <w:r>
                    <w:rPr>
                      <w:rFonts w:hint="eastAsia"/>
                      <w:sz w:val="21"/>
                      <w:szCs w:val="21"/>
                    </w:rPr>
                    <w:t>m</w:t>
                  </w:r>
                  <w:r>
                    <w:rPr>
                      <w:rFonts w:hint="eastAsia"/>
                      <w:sz w:val="21"/>
                      <w:szCs w:val="21"/>
                      <w:vertAlign w:val="superscript"/>
                    </w:rPr>
                    <w:t>2</w:t>
                  </w:r>
                  <w:r>
                    <w:rPr>
                      <w:rFonts w:hint="eastAsia"/>
                      <w:sz w:val="21"/>
                      <w:szCs w:val="21"/>
                    </w:rPr>
                    <w:t>，位于生产车间</w:t>
                  </w:r>
                  <w:r>
                    <w:rPr>
                      <w:rFonts w:hint="eastAsia"/>
                      <w:sz w:val="21"/>
                      <w:szCs w:val="21"/>
                      <w:lang w:eastAsia="zh-CN"/>
                    </w:rPr>
                    <w:t>东</w:t>
                  </w:r>
                  <w:r>
                    <w:rPr>
                      <w:rFonts w:hint="eastAsia"/>
                      <w:sz w:val="21"/>
                      <w:szCs w:val="21"/>
                    </w:rPr>
                    <w:t>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vAlign w:val="center"/>
                </w:tcPr>
                <w:p>
                  <w:pPr>
                    <w:adjustRightInd w:val="0"/>
                    <w:jc w:val="center"/>
                    <w:rPr>
                      <w:sz w:val="21"/>
                      <w:szCs w:val="21"/>
                    </w:rPr>
                  </w:pPr>
                  <w:r>
                    <w:rPr>
                      <w:sz w:val="21"/>
                      <w:szCs w:val="21"/>
                    </w:rPr>
                    <w:t>3</w:t>
                  </w:r>
                </w:p>
              </w:tc>
              <w:tc>
                <w:tcPr>
                  <w:tcW w:w="1062" w:type="dxa"/>
                  <w:vMerge w:val="restart"/>
                  <w:vAlign w:val="center"/>
                </w:tcPr>
                <w:p>
                  <w:pPr>
                    <w:adjustRightInd w:val="0"/>
                    <w:jc w:val="center"/>
                    <w:rPr>
                      <w:sz w:val="21"/>
                      <w:szCs w:val="21"/>
                    </w:rPr>
                  </w:pPr>
                  <w:r>
                    <w:rPr>
                      <w:sz w:val="21"/>
                      <w:szCs w:val="21"/>
                    </w:rPr>
                    <w:t>储运工程</w:t>
                  </w:r>
                </w:p>
              </w:tc>
              <w:tc>
                <w:tcPr>
                  <w:tcW w:w="1488" w:type="dxa"/>
                  <w:vAlign w:val="center"/>
                </w:tcPr>
                <w:p>
                  <w:pPr>
                    <w:adjustRightInd w:val="0"/>
                    <w:jc w:val="center"/>
                    <w:rPr>
                      <w:sz w:val="21"/>
                      <w:szCs w:val="21"/>
                    </w:rPr>
                  </w:pPr>
                  <w:r>
                    <w:rPr>
                      <w:rFonts w:hint="eastAsia"/>
                      <w:sz w:val="21"/>
                      <w:szCs w:val="21"/>
                    </w:rPr>
                    <w:t>原材料区</w:t>
                  </w:r>
                </w:p>
              </w:tc>
              <w:tc>
                <w:tcPr>
                  <w:tcW w:w="3375" w:type="dxa"/>
                  <w:vAlign w:val="center"/>
                </w:tcPr>
                <w:p>
                  <w:pPr>
                    <w:adjustRightInd w:val="0"/>
                    <w:jc w:val="center"/>
                    <w:rPr>
                      <w:rFonts w:hint="default" w:eastAsia="宋体"/>
                      <w:sz w:val="21"/>
                      <w:szCs w:val="21"/>
                      <w:lang w:val="en-US" w:eastAsia="zh-CN"/>
                    </w:rPr>
                  </w:pPr>
                  <w:r>
                    <w:rPr>
                      <w:rFonts w:hint="eastAsia"/>
                      <w:sz w:val="21"/>
                      <w:szCs w:val="21"/>
                      <w:lang w:eastAsia="zh-CN"/>
                    </w:rPr>
                    <w:t>铝材</w:t>
                  </w:r>
                  <w:r>
                    <w:rPr>
                      <w:sz w:val="21"/>
                      <w:szCs w:val="21"/>
                    </w:rPr>
                    <w:t>仓储量约</w:t>
                  </w:r>
                  <w:r>
                    <w:rPr>
                      <w:rFonts w:hint="eastAsia"/>
                      <w:sz w:val="21"/>
                      <w:szCs w:val="21"/>
                      <w:lang w:val="en-US" w:eastAsia="zh-CN"/>
                    </w:rPr>
                    <w:t>67</w:t>
                  </w:r>
                  <w:r>
                    <w:rPr>
                      <w:rFonts w:hint="eastAsia"/>
                      <w:sz w:val="21"/>
                      <w:szCs w:val="21"/>
                    </w:rPr>
                    <w:t>t</w:t>
                  </w:r>
                  <w:r>
                    <w:rPr>
                      <w:sz w:val="21"/>
                      <w:szCs w:val="21"/>
                    </w:rPr>
                    <w:t>，周转周期1个月；</w:t>
                  </w:r>
                  <w:r>
                    <w:rPr>
                      <w:rFonts w:hint="eastAsia"/>
                      <w:sz w:val="21"/>
                      <w:szCs w:val="21"/>
                      <w:lang w:eastAsia="zh-CN"/>
                    </w:rPr>
                    <w:t>切削液仓储</w:t>
                  </w:r>
                  <w:r>
                    <w:rPr>
                      <w:rFonts w:hint="eastAsia"/>
                      <w:sz w:val="21"/>
                      <w:szCs w:val="21"/>
                      <w:lang w:val="en-US" w:eastAsia="zh-CN"/>
                    </w:rPr>
                    <w:t>0.5t，</w:t>
                  </w:r>
                  <w:r>
                    <w:rPr>
                      <w:sz w:val="21"/>
                      <w:szCs w:val="21"/>
                    </w:rPr>
                    <w:t>，周转周期</w:t>
                  </w:r>
                  <w:r>
                    <w:rPr>
                      <w:rFonts w:hint="eastAsia"/>
                      <w:sz w:val="21"/>
                      <w:szCs w:val="21"/>
                      <w:lang w:val="en-US" w:eastAsia="zh-CN"/>
                    </w:rPr>
                    <w:t>6</w:t>
                  </w:r>
                  <w:r>
                    <w:rPr>
                      <w:sz w:val="21"/>
                      <w:szCs w:val="21"/>
                    </w:rPr>
                    <w:t>个月</w:t>
                  </w:r>
                </w:p>
              </w:tc>
              <w:tc>
                <w:tcPr>
                  <w:tcW w:w="2478" w:type="dxa"/>
                  <w:vAlign w:val="center"/>
                </w:tcPr>
                <w:p>
                  <w:pPr>
                    <w:adjustRightInd w:val="0"/>
                    <w:jc w:val="center"/>
                    <w:rPr>
                      <w:rFonts w:hint="eastAsia"/>
                      <w:sz w:val="21"/>
                      <w:szCs w:val="21"/>
                      <w:lang w:eastAsia="zh-CN"/>
                    </w:rPr>
                  </w:pPr>
                  <w:r>
                    <w:rPr>
                      <w:rFonts w:hint="eastAsia"/>
                      <w:sz w:val="21"/>
                      <w:szCs w:val="21"/>
                      <w:lang w:eastAsia="zh-CN"/>
                    </w:rPr>
                    <w:t>建筑面积</w:t>
                  </w:r>
                  <w:r>
                    <w:rPr>
                      <w:rFonts w:hint="eastAsia"/>
                      <w:sz w:val="21"/>
                      <w:szCs w:val="21"/>
                      <w:lang w:val="en-US" w:eastAsia="zh-CN"/>
                    </w:rPr>
                    <w:t>150</w:t>
                  </w:r>
                  <w:r>
                    <w:rPr>
                      <w:rFonts w:hint="eastAsia"/>
                      <w:sz w:val="21"/>
                      <w:szCs w:val="21"/>
                    </w:rPr>
                    <w:t>m</w:t>
                  </w:r>
                  <w:r>
                    <w:rPr>
                      <w:rFonts w:hint="eastAsia"/>
                      <w:sz w:val="21"/>
                      <w:szCs w:val="21"/>
                      <w:vertAlign w:val="superscript"/>
                    </w:rPr>
                    <w:t>2</w:t>
                  </w:r>
                  <w:r>
                    <w:rPr>
                      <w:rFonts w:hint="eastAsia"/>
                      <w:sz w:val="21"/>
                      <w:szCs w:val="21"/>
                    </w:rPr>
                    <w:t>，位于车间</w:t>
                  </w:r>
                  <w:r>
                    <w:rPr>
                      <w:rFonts w:hint="eastAsia"/>
                      <w:sz w:val="21"/>
                      <w:szCs w:val="21"/>
                      <w:lang w:eastAsia="zh-CN"/>
                    </w:rPr>
                    <w:t>东北</w:t>
                  </w:r>
                  <w:r>
                    <w:rPr>
                      <w:rFonts w:hint="eastAsia"/>
                      <w:sz w:val="21"/>
                      <w:szCs w:val="21"/>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djustRightInd w:val="0"/>
                    <w:jc w:val="center"/>
                    <w:rPr>
                      <w:sz w:val="21"/>
                      <w:szCs w:val="21"/>
                    </w:rPr>
                  </w:pPr>
                </w:p>
              </w:tc>
              <w:tc>
                <w:tcPr>
                  <w:tcW w:w="1062" w:type="dxa"/>
                  <w:vMerge w:val="continue"/>
                  <w:vAlign w:val="center"/>
                </w:tcPr>
                <w:p>
                  <w:pPr>
                    <w:adjustRightInd w:val="0"/>
                    <w:jc w:val="center"/>
                    <w:rPr>
                      <w:sz w:val="21"/>
                      <w:szCs w:val="21"/>
                    </w:rPr>
                  </w:pPr>
                </w:p>
              </w:tc>
              <w:tc>
                <w:tcPr>
                  <w:tcW w:w="1488" w:type="dxa"/>
                  <w:vAlign w:val="center"/>
                </w:tcPr>
                <w:p>
                  <w:pPr>
                    <w:adjustRightInd w:val="0"/>
                    <w:jc w:val="center"/>
                    <w:rPr>
                      <w:sz w:val="21"/>
                      <w:szCs w:val="21"/>
                    </w:rPr>
                  </w:pPr>
                  <w:r>
                    <w:rPr>
                      <w:rFonts w:hint="eastAsia"/>
                      <w:sz w:val="21"/>
                      <w:szCs w:val="21"/>
                    </w:rPr>
                    <w:t>成品区</w:t>
                  </w:r>
                </w:p>
              </w:tc>
              <w:tc>
                <w:tcPr>
                  <w:tcW w:w="3375" w:type="dxa"/>
                  <w:vAlign w:val="center"/>
                </w:tcPr>
                <w:p>
                  <w:pPr>
                    <w:adjustRightInd w:val="0"/>
                    <w:jc w:val="center"/>
                    <w:rPr>
                      <w:sz w:val="21"/>
                      <w:szCs w:val="21"/>
                    </w:rPr>
                  </w:pPr>
                  <w:r>
                    <w:rPr>
                      <w:rFonts w:hint="eastAsia"/>
                      <w:sz w:val="21"/>
                      <w:szCs w:val="21"/>
                    </w:rPr>
                    <w:t>成品临时仓储</w:t>
                  </w:r>
                </w:p>
              </w:tc>
              <w:tc>
                <w:tcPr>
                  <w:tcW w:w="2478" w:type="dxa"/>
                  <w:vAlign w:val="center"/>
                </w:tcPr>
                <w:p>
                  <w:pPr>
                    <w:adjustRightInd w:val="0"/>
                    <w:jc w:val="center"/>
                    <w:rPr>
                      <w:sz w:val="21"/>
                      <w:szCs w:val="21"/>
                    </w:rPr>
                  </w:pPr>
                  <w:r>
                    <w:rPr>
                      <w:rFonts w:hint="eastAsia"/>
                      <w:sz w:val="21"/>
                      <w:szCs w:val="21"/>
                      <w:lang w:eastAsia="zh-CN"/>
                    </w:rPr>
                    <w:t>建筑面积</w:t>
                  </w:r>
                  <w:r>
                    <w:rPr>
                      <w:rFonts w:hint="eastAsia"/>
                      <w:sz w:val="21"/>
                      <w:szCs w:val="21"/>
                      <w:lang w:val="en-US" w:eastAsia="zh-CN"/>
                    </w:rPr>
                    <w:t>350</w:t>
                  </w:r>
                  <w:r>
                    <w:rPr>
                      <w:rFonts w:hint="eastAsia"/>
                      <w:sz w:val="21"/>
                      <w:szCs w:val="21"/>
                    </w:rPr>
                    <w:t>m</w:t>
                  </w:r>
                  <w:r>
                    <w:rPr>
                      <w:rFonts w:hint="eastAsia"/>
                      <w:sz w:val="21"/>
                      <w:szCs w:val="21"/>
                      <w:vertAlign w:val="superscript"/>
                    </w:rPr>
                    <w:t>2</w:t>
                  </w:r>
                  <w:r>
                    <w:rPr>
                      <w:rFonts w:hint="eastAsia"/>
                      <w:sz w:val="21"/>
                      <w:szCs w:val="21"/>
                    </w:rPr>
                    <w:t>，位于生产车间北侧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djustRightInd w:val="0"/>
                    <w:jc w:val="center"/>
                    <w:rPr>
                      <w:sz w:val="21"/>
                      <w:szCs w:val="21"/>
                    </w:rPr>
                  </w:pPr>
                </w:p>
              </w:tc>
              <w:tc>
                <w:tcPr>
                  <w:tcW w:w="1062" w:type="dxa"/>
                  <w:vMerge w:val="continue"/>
                  <w:vAlign w:val="center"/>
                </w:tcPr>
                <w:p>
                  <w:pPr>
                    <w:adjustRightInd w:val="0"/>
                    <w:jc w:val="center"/>
                    <w:rPr>
                      <w:sz w:val="21"/>
                      <w:szCs w:val="21"/>
                    </w:rPr>
                  </w:pPr>
                </w:p>
              </w:tc>
              <w:tc>
                <w:tcPr>
                  <w:tcW w:w="1488" w:type="dxa"/>
                  <w:vAlign w:val="center"/>
                </w:tcPr>
                <w:p>
                  <w:pPr>
                    <w:adjustRightInd w:val="0"/>
                    <w:jc w:val="center"/>
                    <w:rPr>
                      <w:sz w:val="21"/>
                      <w:szCs w:val="21"/>
                    </w:rPr>
                  </w:pPr>
                  <w:r>
                    <w:rPr>
                      <w:rFonts w:hint="eastAsia"/>
                      <w:sz w:val="21"/>
                      <w:szCs w:val="21"/>
                    </w:rPr>
                    <w:t>运输系统</w:t>
                  </w:r>
                </w:p>
              </w:tc>
              <w:tc>
                <w:tcPr>
                  <w:tcW w:w="3375" w:type="dxa"/>
                  <w:vAlign w:val="center"/>
                </w:tcPr>
                <w:p>
                  <w:pPr>
                    <w:adjustRightInd w:val="0"/>
                    <w:jc w:val="center"/>
                    <w:rPr>
                      <w:sz w:val="21"/>
                      <w:szCs w:val="21"/>
                    </w:rPr>
                  </w:pPr>
                  <w:r>
                    <w:rPr>
                      <w:rFonts w:hint="eastAsia"/>
                      <w:sz w:val="21"/>
                      <w:szCs w:val="21"/>
                    </w:rPr>
                    <w:t>原材料采用汽车运输</w:t>
                  </w:r>
                </w:p>
              </w:tc>
              <w:tc>
                <w:tcPr>
                  <w:tcW w:w="2478" w:type="dxa"/>
                  <w:vAlign w:val="center"/>
                </w:tcPr>
                <w:p>
                  <w:pPr>
                    <w:adjustRightInd w:val="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vAlign w:val="center"/>
                </w:tcPr>
                <w:p>
                  <w:pPr>
                    <w:adjustRightInd w:val="0"/>
                    <w:jc w:val="center"/>
                    <w:rPr>
                      <w:sz w:val="21"/>
                      <w:szCs w:val="21"/>
                    </w:rPr>
                  </w:pPr>
                  <w:r>
                    <w:rPr>
                      <w:sz w:val="21"/>
                      <w:szCs w:val="21"/>
                    </w:rPr>
                    <w:t>4</w:t>
                  </w:r>
                </w:p>
              </w:tc>
              <w:tc>
                <w:tcPr>
                  <w:tcW w:w="1062" w:type="dxa"/>
                  <w:vMerge w:val="restart"/>
                  <w:vAlign w:val="center"/>
                </w:tcPr>
                <w:p>
                  <w:pPr>
                    <w:adjustRightInd w:val="0"/>
                    <w:jc w:val="center"/>
                    <w:rPr>
                      <w:sz w:val="21"/>
                      <w:szCs w:val="21"/>
                    </w:rPr>
                  </w:pPr>
                  <w:r>
                    <w:rPr>
                      <w:sz w:val="21"/>
                      <w:szCs w:val="21"/>
                    </w:rPr>
                    <w:t>公用工程</w:t>
                  </w:r>
                </w:p>
              </w:tc>
              <w:tc>
                <w:tcPr>
                  <w:tcW w:w="1488" w:type="dxa"/>
                  <w:vAlign w:val="center"/>
                </w:tcPr>
                <w:p>
                  <w:pPr>
                    <w:adjustRightInd w:val="0"/>
                    <w:jc w:val="center"/>
                    <w:rPr>
                      <w:sz w:val="21"/>
                      <w:szCs w:val="21"/>
                    </w:rPr>
                  </w:pPr>
                  <w:r>
                    <w:rPr>
                      <w:sz w:val="21"/>
                      <w:szCs w:val="21"/>
                    </w:rPr>
                    <w:t>给水</w:t>
                  </w:r>
                </w:p>
              </w:tc>
              <w:tc>
                <w:tcPr>
                  <w:tcW w:w="3375" w:type="dxa"/>
                  <w:vAlign w:val="center"/>
                </w:tcPr>
                <w:p>
                  <w:pPr>
                    <w:jc w:val="center"/>
                    <w:rPr>
                      <w:sz w:val="21"/>
                      <w:szCs w:val="21"/>
                    </w:rPr>
                  </w:pPr>
                  <w:r>
                    <w:rPr>
                      <w:rFonts w:hint="eastAsia"/>
                      <w:sz w:val="21"/>
                      <w:szCs w:val="21"/>
                    </w:rPr>
                    <w:t>采用</w:t>
                  </w:r>
                  <w:r>
                    <w:rPr>
                      <w:rFonts w:hint="eastAsia"/>
                      <w:sz w:val="21"/>
                      <w:szCs w:val="21"/>
                      <w:lang w:eastAsia="zh-CN"/>
                    </w:rPr>
                    <w:t>大通区工业新区</w:t>
                  </w:r>
                  <w:r>
                    <w:rPr>
                      <w:rFonts w:hint="eastAsia"/>
                      <w:sz w:val="21"/>
                      <w:szCs w:val="21"/>
                    </w:rPr>
                    <w:t>供水管网</w:t>
                  </w:r>
                </w:p>
              </w:tc>
              <w:tc>
                <w:tcPr>
                  <w:tcW w:w="2478" w:type="dxa"/>
                  <w:vAlign w:val="center"/>
                </w:tcPr>
                <w:p>
                  <w:pPr>
                    <w:adjustRightInd w:val="0"/>
                    <w:jc w:val="center"/>
                    <w:rPr>
                      <w:sz w:val="21"/>
                      <w:szCs w:val="21"/>
                    </w:rPr>
                  </w:pPr>
                  <w:r>
                    <w:rPr>
                      <w:sz w:val="21"/>
                      <w:szCs w:val="21"/>
                    </w:rPr>
                    <w:t>用水量</w:t>
                  </w:r>
                  <w:r>
                    <w:rPr>
                      <w:rFonts w:hint="eastAsia" w:hAnsi="宋体"/>
                      <w:sz w:val="21"/>
                      <w:szCs w:val="21"/>
                    </w:rPr>
                    <w:t>450m</w:t>
                  </w:r>
                  <w:r>
                    <w:rPr>
                      <w:rFonts w:hint="eastAsia"/>
                      <w:sz w:val="21"/>
                      <w:szCs w:val="21"/>
                      <w:vertAlign w:val="superscript"/>
                    </w:rPr>
                    <w:t>3</w:t>
                  </w: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djustRightInd w:val="0"/>
                    <w:jc w:val="center"/>
                    <w:rPr>
                      <w:sz w:val="21"/>
                      <w:szCs w:val="21"/>
                    </w:rPr>
                  </w:pPr>
                </w:p>
              </w:tc>
              <w:tc>
                <w:tcPr>
                  <w:tcW w:w="1062" w:type="dxa"/>
                  <w:vMerge w:val="continue"/>
                  <w:vAlign w:val="center"/>
                </w:tcPr>
                <w:p>
                  <w:pPr>
                    <w:adjustRightInd w:val="0"/>
                    <w:jc w:val="center"/>
                    <w:rPr>
                      <w:sz w:val="21"/>
                      <w:szCs w:val="21"/>
                    </w:rPr>
                  </w:pPr>
                </w:p>
              </w:tc>
              <w:tc>
                <w:tcPr>
                  <w:tcW w:w="1488" w:type="dxa"/>
                  <w:vAlign w:val="center"/>
                </w:tcPr>
                <w:p>
                  <w:pPr>
                    <w:adjustRightInd w:val="0"/>
                    <w:jc w:val="center"/>
                    <w:rPr>
                      <w:sz w:val="21"/>
                      <w:szCs w:val="21"/>
                    </w:rPr>
                  </w:pPr>
                  <w:r>
                    <w:rPr>
                      <w:sz w:val="21"/>
                      <w:szCs w:val="21"/>
                    </w:rPr>
                    <w:t>排水</w:t>
                  </w:r>
                </w:p>
              </w:tc>
              <w:tc>
                <w:tcPr>
                  <w:tcW w:w="3375" w:type="dxa"/>
                  <w:vAlign w:val="center"/>
                </w:tcPr>
                <w:p>
                  <w:pPr>
                    <w:jc w:val="center"/>
                    <w:rPr>
                      <w:sz w:val="21"/>
                      <w:szCs w:val="21"/>
                    </w:rPr>
                  </w:pPr>
                  <w:r>
                    <w:rPr>
                      <w:rFonts w:hint="eastAsia"/>
                      <w:sz w:val="21"/>
                      <w:szCs w:val="21"/>
                    </w:rPr>
                    <w:t>项目</w:t>
                  </w:r>
                  <w:r>
                    <w:rPr>
                      <w:rFonts w:hint="eastAsia"/>
                      <w:sz w:val="21"/>
                      <w:szCs w:val="21"/>
                      <w:lang w:eastAsia="zh-CN"/>
                    </w:rPr>
                    <w:t>没有</w:t>
                  </w:r>
                  <w:r>
                    <w:rPr>
                      <w:rFonts w:hint="eastAsia"/>
                      <w:sz w:val="21"/>
                      <w:szCs w:val="21"/>
                    </w:rPr>
                    <w:t>生产废水，仅产生少量的生活污水，生活污水经化粪池预处理后排入</w:t>
                  </w:r>
                  <w:r>
                    <w:rPr>
                      <w:rFonts w:hint="eastAsia"/>
                      <w:sz w:val="21"/>
                      <w:szCs w:val="21"/>
                      <w:lang w:eastAsia="zh-CN"/>
                    </w:rPr>
                    <w:t>园区</w:t>
                  </w:r>
                  <w:r>
                    <w:rPr>
                      <w:rFonts w:hint="eastAsia"/>
                      <w:sz w:val="21"/>
                      <w:szCs w:val="21"/>
                    </w:rPr>
                    <w:t>污水</w:t>
                  </w:r>
                  <w:r>
                    <w:rPr>
                      <w:rFonts w:hint="eastAsia"/>
                      <w:sz w:val="21"/>
                      <w:szCs w:val="21"/>
                      <w:lang w:eastAsia="zh-CN"/>
                    </w:rPr>
                    <w:t>处理站</w:t>
                  </w:r>
                  <w:r>
                    <w:rPr>
                      <w:rFonts w:hint="eastAsia"/>
                      <w:sz w:val="21"/>
                      <w:szCs w:val="21"/>
                    </w:rPr>
                    <w:t>，最后进入淮南首创第一污水处理厂处理。</w:t>
                  </w:r>
                </w:p>
              </w:tc>
              <w:tc>
                <w:tcPr>
                  <w:tcW w:w="2478" w:type="dxa"/>
                  <w:vAlign w:val="center"/>
                </w:tcPr>
                <w:p>
                  <w:pPr>
                    <w:adjustRightInd w:val="0"/>
                    <w:jc w:val="center"/>
                    <w:rPr>
                      <w:sz w:val="21"/>
                      <w:szCs w:val="21"/>
                    </w:rPr>
                  </w:pPr>
                  <w:r>
                    <w:rPr>
                      <w:sz w:val="21"/>
                      <w:szCs w:val="21"/>
                    </w:rPr>
                    <w:t>排水量</w:t>
                  </w:r>
                  <w:r>
                    <w:rPr>
                      <w:rFonts w:hint="eastAsia"/>
                      <w:sz w:val="21"/>
                      <w:szCs w:val="21"/>
                    </w:rPr>
                    <w:t>360m</w:t>
                  </w:r>
                  <w:r>
                    <w:rPr>
                      <w:rFonts w:hint="eastAsia"/>
                      <w:sz w:val="21"/>
                      <w:szCs w:val="21"/>
                      <w:vertAlign w:val="superscript"/>
                    </w:rPr>
                    <w:t>3</w:t>
                  </w: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djustRightInd w:val="0"/>
                    <w:jc w:val="center"/>
                    <w:rPr>
                      <w:sz w:val="21"/>
                      <w:szCs w:val="21"/>
                    </w:rPr>
                  </w:pPr>
                </w:p>
              </w:tc>
              <w:tc>
                <w:tcPr>
                  <w:tcW w:w="1062" w:type="dxa"/>
                  <w:vMerge w:val="continue"/>
                  <w:vAlign w:val="center"/>
                </w:tcPr>
                <w:p>
                  <w:pPr>
                    <w:adjustRightInd w:val="0"/>
                    <w:jc w:val="center"/>
                    <w:rPr>
                      <w:sz w:val="21"/>
                      <w:szCs w:val="21"/>
                    </w:rPr>
                  </w:pPr>
                </w:p>
              </w:tc>
              <w:tc>
                <w:tcPr>
                  <w:tcW w:w="1488" w:type="dxa"/>
                  <w:vAlign w:val="center"/>
                </w:tcPr>
                <w:p>
                  <w:pPr>
                    <w:adjustRightInd w:val="0"/>
                    <w:jc w:val="center"/>
                    <w:rPr>
                      <w:sz w:val="21"/>
                      <w:szCs w:val="21"/>
                    </w:rPr>
                  </w:pPr>
                  <w:r>
                    <w:rPr>
                      <w:sz w:val="21"/>
                      <w:szCs w:val="21"/>
                    </w:rPr>
                    <w:t>供电</w:t>
                  </w:r>
                </w:p>
              </w:tc>
              <w:tc>
                <w:tcPr>
                  <w:tcW w:w="3375" w:type="dxa"/>
                  <w:vAlign w:val="center"/>
                </w:tcPr>
                <w:p>
                  <w:pPr>
                    <w:adjustRightInd w:val="0"/>
                    <w:jc w:val="center"/>
                    <w:rPr>
                      <w:sz w:val="21"/>
                      <w:szCs w:val="21"/>
                    </w:rPr>
                  </w:pPr>
                  <w:r>
                    <w:rPr>
                      <w:rFonts w:hint="eastAsia"/>
                      <w:sz w:val="21"/>
                      <w:szCs w:val="21"/>
                    </w:rPr>
                    <w:t>市政</w:t>
                  </w:r>
                  <w:r>
                    <w:rPr>
                      <w:sz w:val="21"/>
                      <w:szCs w:val="21"/>
                    </w:rPr>
                    <w:t>电网</w:t>
                  </w:r>
                </w:p>
              </w:tc>
              <w:tc>
                <w:tcPr>
                  <w:tcW w:w="2478" w:type="dxa"/>
                  <w:vAlign w:val="center"/>
                </w:tcPr>
                <w:p>
                  <w:pPr>
                    <w:adjustRightInd w:val="0"/>
                    <w:jc w:val="center"/>
                    <w:rPr>
                      <w:sz w:val="21"/>
                      <w:szCs w:val="21"/>
                    </w:rPr>
                  </w:pPr>
                  <w:r>
                    <w:rPr>
                      <w:rFonts w:hint="eastAsia"/>
                      <w:sz w:val="21"/>
                      <w:szCs w:val="21"/>
                    </w:rPr>
                    <w:t>年用电量为</w:t>
                  </w:r>
                  <w:r>
                    <w:rPr>
                      <w:rFonts w:hint="eastAsia"/>
                      <w:sz w:val="21"/>
                      <w:szCs w:val="21"/>
                      <w:lang w:val="en-US" w:eastAsia="zh-CN"/>
                    </w:rPr>
                    <w:t>3</w:t>
                  </w:r>
                  <w:r>
                    <w:rPr>
                      <w:rFonts w:hint="eastAsia"/>
                      <w:sz w:val="21"/>
                      <w:szCs w:val="21"/>
                    </w:rPr>
                    <w:t>.6万度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djustRightInd w:val="0"/>
                    <w:jc w:val="center"/>
                    <w:rPr>
                      <w:sz w:val="21"/>
                      <w:szCs w:val="21"/>
                    </w:rPr>
                  </w:pPr>
                </w:p>
              </w:tc>
              <w:tc>
                <w:tcPr>
                  <w:tcW w:w="1062" w:type="dxa"/>
                  <w:vMerge w:val="continue"/>
                  <w:vAlign w:val="center"/>
                </w:tcPr>
                <w:p>
                  <w:pPr>
                    <w:adjustRightInd w:val="0"/>
                    <w:jc w:val="center"/>
                    <w:rPr>
                      <w:sz w:val="21"/>
                      <w:szCs w:val="21"/>
                    </w:rPr>
                  </w:pPr>
                </w:p>
              </w:tc>
              <w:tc>
                <w:tcPr>
                  <w:tcW w:w="1488" w:type="dxa"/>
                  <w:vAlign w:val="center"/>
                </w:tcPr>
                <w:p>
                  <w:pPr>
                    <w:jc w:val="center"/>
                    <w:rPr>
                      <w:sz w:val="21"/>
                      <w:szCs w:val="21"/>
                    </w:rPr>
                  </w:pPr>
                  <w:r>
                    <w:rPr>
                      <w:sz w:val="21"/>
                      <w:szCs w:val="21"/>
                    </w:rPr>
                    <w:t>消防系统</w:t>
                  </w:r>
                </w:p>
              </w:tc>
              <w:tc>
                <w:tcPr>
                  <w:tcW w:w="5853" w:type="dxa"/>
                  <w:gridSpan w:val="2"/>
                  <w:vAlign w:val="center"/>
                </w:tcPr>
                <w:p>
                  <w:pPr>
                    <w:jc w:val="center"/>
                    <w:rPr>
                      <w:sz w:val="21"/>
                      <w:szCs w:val="21"/>
                    </w:rPr>
                  </w:pPr>
                  <w:r>
                    <w:rPr>
                      <w:sz w:val="21"/>
                      <w:szCs w:val="21"/>
                    </w:rPr>
                    <w:t>符合《建筑设计防火规范》（GB50016-</w:t>
                  </w:r>
                  <w:r>
                    <w:rPr>
                      <w:rFonts w:hint="eastAsia"/>
                      <w:sz w:val="21"/>
                      <w:szCs w:val="21"/>
                    </w:rPr>
                    <w:t>2014</w:t>
                  </w:r>
                  <w:r>
                    <w:rPr>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vAlign w:val="center"/>
                </w:tcPr>
                <w:p>
                  <w:pPr>
                    <w:adjustRightInd w:val="0"/>
                    <w:jc w:val="center"/>
                    <w:rPr>
                      <w:sz w:val="21"/>
                      <w:szCs w:val="21"/>
                    </w:rPr>
                  </w:pPr>
                  <w:r>
                    <w:rPr>
                      <w:sz w:val="21"/>
                      <w:szCs w:val="21"/>
                    </w:rPr>
                    <w:t>5</w:t>
                  </w:r>
                </w:p>
              </w:tc>
              <w:tc>
                <w:tcPr>
                  <w:tcW w:w="1062" w:type="dxa"/>
                  <w:vMerge w:val="restart"/>
                  <w:vAlign w:val="center"/>
                </w:tcPr>
                <w:p>
                  <w:pPr>
                    <w:adjustRightInd w:val="0"/>
                    <w:jc w:val="center"/>
                    <w:rPr>
                      <w:sz w:val="21"/>
                      <w:szCs w:val="21"/>
                    </w:rPr>
                  </w:pPr>
                  <w:r>
                    <w:rPr>
                      <w:sz w:val="21"/>
                      <w:szCs w:val="21"/>
                    </w:rPr>
                    <w:t>环保工程</w:t>
                  </w:r>
                </w:p>
              </w:tc>
              <w:tc>
                <w:tcPr>
                  <w:tcW w:w="1488" w:type="dxa"/>
                  <w:vAlign w:val="center"/>
                </w:tcPr>
                <w:p>
                  <w:pPr>
                    <w:jc w:val="center"/>
                    <w:rPr>
                      <w:sz w:val="21"/>
                      <w:szCs w:val="21"/>
                    </w:rPr>
                  </w:pPr>
                  <w:r>
                    <w:rPr>
                      <w:rFonts w:hint="eastAsia"/>
                      <w:sz w:val="21"/>
                      <w:szCs w:val="21"/>
                    </w:rPr>
                    <w:t>废水治理工程</w:t>
                  </w:r>
                </w:p>
              </w:tc>
              <w:tc>
                <w:tcPr>
                  <w:tcW w:w="5853" w:type="dxa"/>
                  <w:gridSpan w:val="2"/>
                  <w:vAlign w:val="center"/>
                </w:tcPr>
                <w:p>
                  <w:pPr>
                    <w:jc w:val="center"/>
                    <w:rPr>
                      <w:sz w:val="21"/>
                      <w:szCs w:val="21"/>
                    </w:rPr>
                  </w:pPr>
                  <w:r>
                    <w:rPr>
                      <w:rFonts w:hint="eastAsia"/>
                      <w:sz w:val="21"/>
                      <w:szCs w:val="21"/>
                    </w:rPr>
                    <w:t>依托租赁厂房现有的雨污管网及化粪池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djustRightInd w:val="0"/>
                    <w:jc w:val="center"/>
                    <w:rPr>
                      <w:sz w:val="21"/>
                      <w:szCs w:val="21"/>
                    </w:rPr>
                  </w:pPr>
                </w:p>
              </w:tc>
              <w:tc>
                <w:tcPr>
                  <w:tcW w:w="1062" w:type="dxa"/>
                  <w:vMerge w:val="continue"/>
                  <w:vAlign w:val="center"/>
                </w:tcPr>
                <w:p>
                  <w:pPr>
                    <w:adjustRightInd w:val="0"/>
                    <w:jc w:val="center"/>
                    <w:rPr>
                      <w:sz w:val="21"/>
                      <w:szCs w:val="21"/>
                    </w:rPr>
                  </w:pPr>
                </w:p>
              </w:tc>
              <w:tc>
                <w:tcPr>
                  <w:tcW w:w="1488" w:type="dxa"/>
                  <w:vAlign w:val="center"/>
                </w:tcPr>
                <w:p>
                  <w:pPr>
                    <w:jc w:val="center"/>
                    <w:rPr>
                      <w:sz w:val="21"/>
                      <w:szCs w:val="21"/>
                    </w:rPr>
                  </w:pPr>
                  <w:r>
                    <w:rPr>
                      <w:rFonts w:hint="eastAsia"/>
                      <w:sz w:val="21"/>
                      <w:szCs w:val="21"/>
                    </w:rPr>
                    <w:t>废气治理工程</w:t>
                  </w:r>
                </w:p>
              </w:tc>
              <w:tc>
                <w:tcPr>
                  <w:tcW w:w="5853" w:type="dxa"/>
                  <w:gridSpan w:val="2"/>
                  <w:vAlign w:val="center"/>
                </w:tcPr>
                <w:p>
                  <w:pPr>
                    <w:rPr>
                      <w:rFonts w:hint="eastAsia" w:eastAsia="宋体"/>
                      <w:sz w:val="21"/>
                      <w:szCs w:val="21"/>
                      <w:lang w:eastAsia="zh-CN"/>
                    </w:rPr>
                  </w:pPr>
                  <w:r>
                    <w:rPr>
                      <w:rFonts w:hint="eastAsia"/>
                      <w:sz w:val="21"/>
                      <w:szCs w:val="21"/>
                      <w:lang w:eastAsia="zh-CN"/>
                    </w:rPr>
                    <w:t>切割粉尘和打磨粉尘：通过在切割工位和打磨工位安装移动式焊烟净化器收集粉尘，粉尘经过收集处理后以无组织形式排放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djustRightInd w:val="0"/>
                    <w:jc w:val="center"/>
                    <w:rPr>
                      <w:sz w:val="21"/>
                      <w:szCs w:val="21"/>
                    </w:rPr>
                  </w:pPr>
                </w:p>
              </w:tc>
              <w:tc>
                <w:tcPr>
                  <w:tcW w:w="1062" w:type="dxa"/>
                  <w:vMerge w:val="continue"/>
                  <w:vAlign w:val="center"/>
                </w:tcPr>
                <w:p>
                  <w:pPr>
                    <w:adjustRightInd w:val="0"/>
                    <w:jc w:val="center"/>
                    <w:rPr>
                      <w:sz w:val="21"/>
                      <w:szCs w:val="21"/>
                    </w:rPr>
                  </w:pPr>
                </w:p>
              </w:tc>
              <w:tc>
                <w:tcPr>
                  <w:tcW w:w="1488" w:type="dxa"/>
                  <w:vAlign w:val="center"/>
                </w:tcPr>
                <w:p>
                  <w:pPr>
                    <w:jc w:val="center"/>
                    <w:rPr>
                      <w:sz w:val="21"/>
                      <w:szCs w:val="21"/>
                    </w:rPr>
                  </w:pPr>
                  <w:r>
                    <w:rPr>
                      <w:rFonts w:hint="eastAsia"/>
                      <w:sz w:val="21"/>
                      <w:szCs w:val="21"/>
                    </w:rPr>
                    <w:t>噪声治理工程</w:t>
                  </w:r>
                </w:p>
              </w:tc>
              <w:tc>
                <w:tcPr>
                  <w:tcW w:w="5853" w:type="dxa"/>
                  <w:gridSpan w:val="2"/>
                  <w:vAlign w:val="center"/>
                </w:tcPr>
                <w:p>
                  <w:pPr>
                    <w:jc w:val="center"/>
                    <w:rPr>
                      <w:sz w:val="21"/>
                      <w:szCs w:val="21"/>
                    </w:rPr>
                  </w:pPr>
                  <w:r>
                    <w:rPr>
                      <w:rFonts w:hint="eastAsia"/>
                      <w:sz w:val="21"/>
                      <w:szCs w:val="21"/>
                    </w:rPr>
                    <w:t>厂房隔声、安装减震垫、降噪减震设施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djustRightInd w:val="0"/>
                    <w:jc w:val="center"/>
                    <w:rPr>
                      <w:sz w:val="21"/>
                      <w:szCs w:val="21"/>
                    </w:rPr>
                  </w:pPr>
                </w:p>
              </w:tc>
              <w:tc>
                <w:tcPr>
                  <w:tcW w:w="1062" w:type="dxa"/>
                  <w:vMerge w:val="continue"/>
                  <w:vAlign w:val="center"/>
                </w:tcPr>
                <w:p>
                  <w:pPr>
                    <w:adjustRightInd w:val="0"/>
                    <w:jc w:val="center"/>
                    <w:rPr>
                      <w:sz w:val="21"/>
                      <w:szCs w:val="21"/>
                    </w:rPr>
                  </w:pPr>
                </w:p>
              </w:tc>
              <w:tc>
                <w:tcPr>
                  <w:tcW w:w="1488" w:type="dxa"/>
                  <w:vAlign w:val="center"/>
                </w:tcPr>
                <w:p>
                  <w:pPr>
                    <w:jc w:val="center"/>
                    <w:rPr>
                      <w:sz w:val="21"/>
                      <w:szCs w:val="21"/>
                    </w:rPr>
                  </w:pPr>
                  <w:r>
                    <w:rPr>
                      <w:rFonts w:hint="eastAsia"/>
                      <w:sz w:val="21"/>
                      <w:szCs w:val="21"/>
                    </w:rPr>
                    <w:t>固废收集</w:t>
                  </w:r>
                </w:p>
              </w:tc>
              <w:tc>
                <w:tcPr>
                  <w:tcW w:w="3375" w:type="dxa"/>
                  <w:vAlign w:val="center"/>
                </w:tcPr>
                <w:p>
                  <w:pPr>
                    <w:jc w:val="center"/>
                    <w:rPr>
                      <w:sz w:val="21"/>
                      <w:szCs w:val="21"/>
                    </w:rPr>
                  </w:pPr>
                  <w:r>
                    <w:rPr>
                      <w:rFonts w:hint="eastAsia"/>
                      <w:szCs w:val="21"/>
                    </w:rPr>
                    <w:t>生活垃圾分类收集后，定期由环卫部门处理；</w:t>
                  </w:r>
                  <w:r>
                    <w:rPr>
                      <w:szCs w:val="21"/>
                    </w:rPr>
                    <w:t>一般工业固废放置于</w:t>
                  </w:r>
                  <w:r>
                    <w:rPr>
                      <w:rFonts w:hint="eastAsia"/>
                      <w:szCs w:val="21"/>
                    </w:rPr>
                    <w:t>车间西南角</w:t>
                  </w:r>
                  <w:r>
                    <w:rPr>
                      <w:szCs w:val="21"/>
                    </w:rPr>
                    <w:t>，</w:t>
                  </w:r>
                  <w:r>
                    <w:rPr>
                      <w:rFonts w:hint="eastAsia"/>
                      <w:szCs w:val="21"/>
                    </w:rPr>
                    <w:t>危废暂存库位于车间西南角，地面采用环氧树脂，做好防雨防渗。</w:t>
                  </w:r>
                </w:p>
              </w:tc>
              <w:tc>
                <w:tcPr>
                  <w:tcW w:w="2478" w:type="dxa"/>
                  <w:vAlign w:val="center"/>
                </w:tcPr>
                <w:p>
                  <w:pPr>
                    <w:jc w:val="center"/>
                    <w:rPr>
                      <w:rFonts w:hint="eastAsia" w:eastAsia="宋体"/>
                      <w:sz w:val="21"/>
                      <w:szCs w:val="21"/>
                      <w:vertAlign w:val="baseline"/>
                      <w:lang w:eastAsia="zh-CN"/>
                    </w:rPr>
                  </w:pPr>
                  <w:r>
                    <w:rPr>
                      <w:szCs w:val="21"/>
                    </w:rPr>
                    <w:t>一般工业固废</w:t>
                  </w:r>
                  <w:r>
                    <w:rPr>
                      <w:rFonts w:hint="eastAsia"/>
                      <w:szCs w:val="21"/>
                      <w:lang w:eastAsia="zh-CN"/>
                    </w:rPr>
                    <w:t>临时贮存点</w:t>
                  </w:r>
                  <w:r>
                    <w:rPr>
                      <w:szCs w:val="21"/>
                    </w:rPr>
                    <w:t>占地面积</w:t>
                  </w:r>
                  <w:r>
                    <w:rPr>
                      <w:rFonts w:hint="eastAsia"/>
                      <w:szCs w:val="21"/>
                    </w:rPr>
                    <w:t>2</w:t>
                  </w:r>
                  <w:r>
                    <w:rPr>
                      <w:szCs w:val="21"/>
                    </w:rPr>
                    <w:t>0m</w:t>
                  </w:r>
                  <w:r>
                    <w:rPr>
                      <w:szCs w:val="21"/>
                      <w:vertAlign w:val="superscript"/>
                    </w:rPr>
                    <w:t>2</w:t>
                  </w:r>
                  <w:r>
                    <w:rPr>
                      <w:rFonts w:hint="eastAsia"/>
                      <w:szCs w:val="21"/>
                      <w:vertAlign w:val="baseline"/>
                      <w:lang w:eastAsia="zh-CN"/>
                    </w:rPr>
                    <w:t>，</w:t>
                  </w:r>
                  <w:r>
                    <w:rPr>
                      <w:rFonts w:hint="eastAsia"/>
                      <w:szCs w:val="21"/>
                    </w:rPr>
                    <w:t>危废暂存占地面积约10</w:t>
                  </w:r>
                  <w:r>
                    <w:rPr>
                      <w:szCs w:val="21"/>
                    </w:rPr>
                    <w:t xml:space="preserve"> m</w:t>
                  </w:r>
                  <w:r>
                    <w:rPr>
                      <w:szCs w:val="21"/>
                      <w:vertAlign w:val="superscript"/>
                    </w:rPr>
                    <w:t>2</w:t>
                  </w:r>
                </w:p>
              </w:tc>
            </w:tr>
          </w:tbl>
          <w:p>
            <w:pPr>
              <w:adjustRightInd w:val="0"/>
              <w:snapToGrid w:val="0"/>
              <w:rPr>
                <w:b/>
                <w:sz w:val="24"/>
                <w:szCs w:val="24"/>
              </w:rPr>
            </w:pPr>
            <w:r>
              <w:rPr>
                <w:rFonts w:hint="eastAsia"/>
                <w:b/>
                <w:sz w:val="24"/>
                <w:szCs w:val="24"/>
              </w:rPr>
              <w:t>3、</w:t>
            </w:r>
            <w:r>
              <w:rPr>
                <w:b/>
                <w:sz w:val="24"/>
                <w:szCs w:val="24"/>
              </w:rPr>
              <w:t>主要设备</w:t>
            </w:r>
          </w:p>
          <w:p>
            <w:pPr>
              <w:spacing w:line="500" w:lineRule="exact"/>
              <w:ind w:firstLine="480" w:firstLineChars="200"/>
              <w:rPr>
                <w:sz w:val="24"/>
                <w:szCs w:val="24"/>
              </w:rPr>
            </w:pPr>
            <w:r>
              <w:rPr>
                <w:sz w:val="24"/>
                <w:szCs w:val="24"/>
              </w:rPr>
              <w:t>项目使用的主要设备情况见下表</w:t>
            </w:r>
            <w:r>
              <w:rPr>
                <w:rFonts w:hint="eastAsia"/>
                <w:sz w:val="24"/>
                <w:szCs w:val="24"/>
              </w:rPr>
              <w:t>：</w:t>
            </w:r>
          </w:p>
          <w:p>
            <w:pPr>
              <w:jc w:val="center"/>
              <w:rPr>
                <w:rFonts w:eastAsia="宋体"/>
                <w:b/>
                <w:sz w:val="21"/>
                <w:szCs w:val="21"/>
              </w:rPr>
            </w:pPr>
            <w:r>
              <w:rPr>
                <w:rFonts w:eastAsia="宋体"/>
                <w:b/>
                <w:sz w:val="21"/>
                <w:szCs w:val="21"/>
              </w:rPr>
              <w:t>表</w:t>
            </w:r>
            <w:r>
              <w:rPr>
                <w:rFonts w:hint="eastAsia" w:eastAsia="宋体"/>
                <w:b/>
                <w:sz w:val="21"/>
                <w:szCs w:val="21"/>
              </w:rPr>
              <w:t>2</w:t>
            </w:r>
            <w:r>
              <w:rPr>
                <w:rFonts w:eastAsia="宋体"/>
                <w:b/>
                <w:sz w:val="21"/>
                <w:szCs w:val="21"/>
              </w:rPr>
              <w:t>主要设备一览表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663"/>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noWrap w:val="0"/>
                  <w:vAlign w:val="center"/>
                </w:tcPr>
                <w:p>
                  <w:pPr>
                    <w:adjustRightInd w:val="0"/>
                    <w:jc w:val="center"/>
                    <w:rPr>
                      <w:szCs w:val="21"/>
                    </w:rPr>
                  </w:pPr>
                  <w:r>
                    <w:rPr>
                      <w:szCs w:val="21"/>
                    </w:rPr>
                    <w:t>设备名称</w:t>
                  </w:r>
                </w:p>
              </w:tc>
              <w:tc>
                <w:tcPr>
                  <w:tcW w:w="3759" w:type="dxa"/>
                  <w:noWrap w:val="0"/>
                  <w:vAlign w:val="center"/>
                </w:tcPr>
                <w:p>
                  <w:pPr>
                    <w:adjustRightInd w:val="0"/>
                    <w:jc w:val="center"/>
                    <w:rPr>
                      <w:rFonts w:hint="eastAsia"/>
                      <w:szCs w:val="21"/>
                    </w:rPr>
                  </w:pPr>
                  <w:r>
                    <w:rPr>
                      <w:rFonts w:hint="eastAsia"/>
                      <w:szCs w:val="21"/>
                    </w:rPr>
                    <w:t>单位</w:t>
                  </w:r>
                </w:p>
              </w:tc>
              <w:tc>
                <w:tcPr>
                  <w:tcW w:w="2844" w:type="dxa"/>
                  <w:noWrap w:val="0"/>
                  <w:vAlign w:val="center"/>
                </w:tcPr>
                <w:p>
                  <w:pPr>
                    <w:adjustRightInd w:val="0"/>
                    <w:jc w:val="center"/>
                    <w:rPr>
                      <w:szCs w:val="21"/>
                    </w:rPr>
                  </w:pPr>
                  <w:r>
                    <w:rPr>
                      <w:szCs w:val="21"/>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noWrap w:val="0"/>
                  <w:vAlign w:val="center"/>
                </w:tcPr>
                <w:p>
                  <w:pPr>
                    <w:jc w:val="center"/>
                    <w:rPr>
                      <w:rFonts w:hint="eastAsia"/>
                      <w:szCs w:val="21"/>
                    </w:rPr>
                  </w:pPr>
                  <w:r>
                    <w:rPr>
                      <w:rFonts w:hint="eastAsia"/>
                      <w:szCs w:val="21"/>
                    </w:rPr>
                    <w:t>车床</w:t>
                  </w:r>
                </w:p>
              </w:tc>
              <w:tc>
                <w:tcPr>
                  <w:tcW w:w="3759" w:type="dxa"/>
                  <w:noWrap w:val="0"/>
                  <w:vAlign w:val="center"/>
                </w:tcPr>
                <w:p>
                  <w:pPr>
                    <w:jc w:val="center"/>
                    <w:rPr>
                      <w:szCs w:val="21"/>
                    </w:rPr>
                  </w:pPr>
                  <w:r>
                    <w:rPr>
                      <w:rFonts w:hint="eastAsia"/>
                      <w:szCs w:val="21"/>
                    </w:rPr>
                    <w:t>台</w:t>
                  </w:r>
                </w:p>
              </w:tc>
              <w:tc>
                <w:tcPr>
                  <w:tcW w:w="2844" w:type="dxa"/>
                  <w:noWrap w:val="0"/>
                  <w:vAlign w:val="center"/>
                </w:tcPr>
                <w:p>
                  <w:pPr>
                    <w:jc w:val="center"/>
                    <w:rPr>
                      <w:rFonts w:hint="default" w:eastAsia="宋体"/>
                      <w:szCs w:val="21"/>
                      <w:lang w:val="en-US" w:eastAsia="zh-CN"/>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noWrap w:val="0"/>
                  <w:vAlign w:val="center"/>
                </w:tcPr>
                <w:p>
                  <w:pPr>
                    <w:jc w:val="center"/>
                    <w:rPr>
                      <w:rFonts w:hint="eastAsia"/>
                      <w:szCs w:val="21"/>
                    </w:rPr>
                  </w:pPr>
                  <w:r>
                    <w:rPr>
                      <w:rFonts w:hint="eastAsia"/>
                      <w:szCs w:val="21"/>
                    </w:rPr>
                    <w:t>铣床</w:t>
                  </w:r>
                </w:p>
              </w:tc>
              <w:tc>
                <w:tcPr>
                  <w:tcW w:w="3759" w:type="dxa"/>
                  <w:noWrap w:val="0"/>
                  <w:vAlign w:val="center"/>
                </w:tcPr>
                <w:p>
                  <w:pPr>
                    <w:jc w:val="center"/>
                    <w:rPr>
                      <w:szCs w:val="21"/>
                    </w:rPr>
                  </w:pPr>
                  <w:r>
                    <w:rPr>
                      <w:rFonts w:hint="eastAsia"/>
                      <w:szCs w:val="21"/>
                    </w:rPr>
                    <w:t>台</w:t>
                  </w:r>
                </w:p>
              </w:tc>
              <w:tc>
                <w:tcPr>
                  <w:tcW w:w="2844" w:type="dxa"/>
                  <w:noWrap w:val="0"/>
                  <w:vAlign w:val="center"/>
                </w:tcPr>
                <w:p>
                  <w:pPr>
                    <w:jc w:val="center"/>
                    <w:rPr>
                      <w:rFonts w:hint="default" w:eastAsia="宋体"/>
                      <w:szCs w:val="21"/>
                      <w:lang w:val="en-US" w:eastAsia="zh-CN"/>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noWrap w:val="0"/>
                  <w:vAlign w:val="center"/>
                </w:tcPr>
                <w:p>
                  <w:pPr>
                    <w:jc w:val="center"/>
                    <w:rPr>
                      <w:rFonts w:hint="eastAsia"/>
                      <w:szCs w:val="21"/>
                    </w:rPr>
                  </w:pPr>
                  <w:r>
                    <w:rPr>
                      <w:rFonts w:hint="eastAsia"/>
                      <w:szCs w:val="21"/>
                    </w:rPr>
                    <w:t>钻床</w:t>
                  </w:r>
                </w:p>
              </w:tc>
              <w:tc>
                <w:tcPr>
                  <w:tcW w:w="3759" w:type="dxa"/>
                  <w:noWrap w:val="0"/>
                  <w:vAlign w:val="center"/>
                </w:tcPr>
                <w:p>
                  <w:pPr>
                    <w:jc w:val="center"/>
                    <w:rPr>
                      <w:rFonts w:hint="eastAsia"/>
                      <w:szCs w:val="21"/>
                    </w:rPr>
                  </w:pPr>
                  <w:r>
                    <w:rPr>
                      <w:rFonts w:hint="eastAsia"/>
                      <w:szCs w:val="21"/>
                    </w:rPr>
                    <w:t>台</w:t>
                  </w:r>
                </w:p>
              </w:tc>
              <w:tc>
                <w:tcPr>
                  <w:tcW w:w="2844" w:type="dxa"/>
                  <w:noWrap w:val="0"/>
                  <w:vAlign w:val="center"/>
                </w:tcPr>
                <w:p>
                  <w:pPr>
                    <w:jc w:val="center"/>
                    <w:rPr>
                      <w:rFonts w:hint="eastAsia" w:eastAsia="宋体"/>
                      <w:szCs w:val="21"/>
                      <w:lang w:eastAsia="zh-CN"/>
                    </w:rPr>
                  </w:pP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noWrap w:val="0"/>
                  <w:vAlign w:val="center"/>
                </w:tcPr>
                <w:p>
                  <w:pPr>
                    <w:jc w:val="center"/>
                    <w:rPr>
                      <w:rFonts w:hint="eastAsia"/>
                      <w:szCs w:val="21"/>
                    </w:rPr>
                  </w:pPr>
                  <w:r>
                    <w:rPr>
                      <w:rFonts w:hint="eastAsia"/>
                      <w:szCs w:val="21"/>
                    </w:rPr>
                    <w:t>CNC数控加工机床</w:t>
                  </w:r>
                </w:p>
              </w:tc>
              <w:tc>
                <w:tcPr>
                  <w:tcW w:w="3759" w:type="dxa"/>
                  <w:noWrap w:val="0"/>
                  <w:vAlign w:val="center"/>
                </w:tcPr>
                <w:p>
                  <w:pPr>
                    <w:jc w:val="center"/>
                    <w:rPr>
                      <w:rFonts w:hint="eastAsia"/>
                      <w:szCs w:val="21"/>
                    </w:rPr>
                  </w:pPr>
                  <w:r>
                    <w:rPr>
                      <w:rFonts w:hint="eastAsia"/>
                      <w:szCs w:val="21"/>
                    </w:rPr>
                    <w:t>台</w:t>
                  </w:r>
                </w:p>
              </w:tc>
              <w:tc>
                <w:tcPr>
                  <w:tcW w:w="2844" w:type="dxa"/>
                  <w:noWrap w:val="0"/>
                  <w:vAlign w:val="center"/>
                </w:tcPr>
                <w:p>
                  <w:pPr>
                    <w:jc w:val="center"/>
                    <w:rPr>
                      <w:rFonts w:hint="eastAsia"/>
                      <w:szCs w:val="21"/>
                    </w:rPr>
                  </w:pPr>
                  <w:r>
                    <w:rPr>
                      <w:rFonts w:hint="eastAsia"/>
                      <w:szCs w:val="21"/>
                      <w:lang w:val="en-US" w:eastAsia="zh-CN"/>
                    </w:rPr>
                    <w:t>1</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noWrap w:val="0"/>
                  <w:vAlign w:val="center"/>
                </w:tcPr>
                <w:p>
                  <w:pPr>
                    <w:jc w:val="center"/>
                    <w:rPr>
                      <w:rFonts w:hint="eastAsia"/>
                      <w:szCs w:val="21"/>
                    </w:rPr>
                  </w:pPr>
                  <w:r>
                    <w:rPr>
                      <w:rFonts w:hint="eastAsia"/>
                      <w:szCs w:val="21"/>
                    </w:rPr>
                    <w:t>空压机</w:t>
                  </w:r>
                </w:p>
              </w:tc>
              <w:tc>
                <w:tcPr>
                  <w:tcW w:w="3759" w:type="dxa"/>
                  <w:noWrap w:val="0"/>
                  <w:vAlign w:val="center"/>
                </w:tcPr>
                <w:p>
                  <w:pPr>
                    <w:jc w:val="center"/>
                    <w:rPr>
                      <w:rFonts w:hint="eastAsia"/>
                      <w:szCs w:val="21"/>
                    </w:rPr>
                  </w:pPr>
                  <w:r>
                    <w:rPr>
                      <w:rFonts w:hint="eastAsia"/>
                      <w:szCs w:val="21"/>
                    </w:rPr>
                    <w:t>台</w:t>
                  </w:r>
                </w:p>
              </w:tc>
              <w:tc>
                <w:tcPr>
                  <w:tcW w:w="2844" w:type="dxa"/>
                  <w:noWrap w:val="0"/>
                  <w:vAlign w:val="center"/>
                </w:tcPr>
                <w:p>
                  <w:pPr>
                    <w:jc w:val="center"/>
                    <w:rPr>
                      <w:rFonts w:hint="eastAsia" w:eastAsia="宋体"/>
                      <w:szCs w:val="21"/>
                      <w:lang w:eastAsia="zh-CN"/>
                    </w:rPr>
                  </w:pPr>
                  <w:r>
                    <w:rPr>
                      <w:rFonts w:hint="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noWrap w:val="0"/>
                  <w:vAlign w:val="center"/>
                </w:tcPr>
                <w:p>
                  <w:pPr>
                    <w:jc w:val="center"/>
                    <w:rPr>
                      <w:rFonts w:hint="eastAsia"/>
                      <w:szCs w:val="21"/>
                    </w:rPr>
                  </w:pPr>
                  <w:r>
                    <w:rPr>
                      <w:rFonts w:hint="eastAsia"/>
                      <w:sz w:val="21"/>
                      <w:szCs w:val="21"/>
                      <w:lang w:val="en-US" w:eastAsia="zh-CN"/>
                    </w:rPr>
                    <w:t>雕刻机</w:t>
                  </w:r>
                </w:p>
              </w:tc>
              <w:tc>
                <w:tcPr>
                  <w:tcW w:w="3759" w:type="dxa"/>
                  <w:noWrap w:val="0"/>
                  <w:vAlign w:val="center"/>
                </w:tcPr>
                <w:p>
                  <w:pPr>
                    <w:jc w:val="center"/>
                    <w:rPr>
                      <w:rFonts w:hint="eastAsia"/>
                      <w:szCs w:val="21"/>
                    </w:rPr>
                  </w:pPr>
                  <w:r>
                    <w:rPr>
                      <w:rFonts w:hint="eastAsia"/>
                      <w:szCs w:val="21"/>
                    </w:rPr>
                    <w:t>台</w:t>
                  </w:r>
                </w:p>
              </w:tc>
              <w:tc>
                <w:tcPr>
                  <w:tcW w:w="2844" w:type="dxa"/>
                  <w:noWrap w:val="0"/>
                  <w:vAlign w:val="center"/>
                </w:tcPr>
                <w:p>
                  <w:pPr>
                    <w:jc w:val="center"/>
                    <w:rPr>
                      <w:rFonts w:hint="default"/>
                      <w:szCs w:val="21"/>
                      <w:lang w:val="en-US" w:eastAsia="zh-CN"/>
                    </w:rPr>
                  </w:pP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noWrap w:val="0"/>
                  <w:vAlign w:val="center"/>
                </w:tcPr>
                <w:p>
                  <w:pPr>
                    <w:jc w:val="center"/>
                    <w:rPr>
                      <w:rFonts w:hint="eastAsia"/>
                      <w:szCs w:val="21"/>
                    </w:rPr>
                  </w:pPr>
                  <w:r>
                    <w:rPr>
                      <w:rFonts w:hint="eastAsia"/>
                      <w:sz w:val="21"/>
                      <w:szCs w:val="21"/>
                      <w:lang w:eastAsia="zh-CN"/>
                    </w:rPr>
                    <w:t>手磨机</w:t>
                  </w:r>
                </w:p>
              </w:tc>
              <w:tc>
                <w:tcPr>
                  <w:tcW w:w="3759" w:type="dxa"/>
                  <w:noWrap w:val="0"/>
                  <w:vAlign w:val="center"/>
                </w:tcPr>
                <w:p>
                  <w:pPr>
                    <w:jc w:val="center"/>
                    <w:rPr>
                      <w:rFonts w:hint="eastAsia" w:eastAsia="宋体"/>
                      <w:szCs w:val="21"/>
                    </w:rPr>
                  </w:pPr>
                  <w:r>
                    <w:rPr>
                      <w:rFonts w:hint="eastAsia"/>
                      <w:szCs w:val="21"/>
                    </w:rPr>
                    <w:t>台</w:t>
                  </w:r>
                </w:p>
              </w:tc>
              <w:tc>
                <w:tcPr>
                  <w:tcW w:w="2844" w:type="dxa"/>
                  <w:noWrap w:val="0"/>
                  <w:vAlign w:val="center"/>
                </w:tcPr>
                <w:p>
                  <w:pPr>
                    <w:jc w:val="center"/>
                    <w:rPr>
                      <w:rFonts w:hint="default"/>
                      <w:szCs w:val="21"/>
                      <w:lang w:val="en-US" w:eastAsia="zh-CN"/>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noWrap w:val="0"/>
                  <w:vAlign w:val="center"/>
                </w:tcPr>
                <w:p>
                  <w:pPr>
                    <w:jc w:val="center"/>
                    <w:rPr>
                      <w:rFonts w:hint="eastAsia"/>
                      <w:sz w:val="21"/>
                      <w:szCs w:val="21"/>
                      <w:lang w:eastAsia="zh-CN"/>
                    </w:rPr>
                  </w:pPr>
                  <w:r>
                    <w:rPr>
                      <w:rFonts w:hint="eastAsia"/>
                      <w:sz w:val="21"/>
                      <w:szCs w:val="21"/>
                      <w:lang w:val="en-US" w:eastAsia="zh-CN"/>
                    </w:rPr>
                    <w:t>切割机</w:t>
                  </w:r>
                </w:p>
              </w:tc>
              <w:tc>
                <w:tcPr>
                  <w:tcW w:w="3759" w:type="dxa"/>
                  <w:noWrap w:val="0"/>
                  <w:vAlign w:val="center"/>
                </w:tcPr>
                <w:p>
                  <w:pPr>
                    <w:jc w:val="center"/>
                    <w:rPr>
                      <w:rFonts w:hint="eastAsia" w:eastAsia="宋体"/>
                      <w:szCs w:val="21"/>
                    </w:rPr>
                  </w:pPr>
                  <w:r>
                    <w:rPr>
                      <w:rFonts w:hint="eastAsia"/>
                      <w:szCs w:val="21"/>
                    </w:rPr>
                    <w:t>台</w:t>
                  </w:r>
                </w:p>
              </w:tc>
              <w:tc>
                <w:tcPr>
                  <w:tcW w:w="2844" w:type="dxa"/>
                  <w:noWrap w:val="0"/>
                  <w:vAlign w:val="center"/>
                </w:tcPr>
                <w:p>
                  <w:pPr>
                    <w:jc w:val="center"/>
                    <w:rPr>
                      <w:rFonts w:hint="default"/>
                      <w:szCs w:val="21"/>
                      <w:lang w:val="en-US" w:eastAsia="zh-CN"/>
                    </w:rPr>
                  </w:pPr>
                  <w:r>
                    <w:rPr>
                      <w:rFonts w:hint="eastAsia"/>
                      <w:szCs w:val="21"/>
                      <w:lang w:val="en-US" w:eastAsia="zh-CN"/>
                    </w:rPr>
                    <w:t>2</w:t>
                  </w:r>
                </w:p>
              </w:tc>
            </w:tr>
          </w:tbl>
          <w:p>
            <w:pPr>
              <w:adjustRightInd w:val="0"/>
              <w:snapToGrid w:val="0"/>
              <w:rPr>
                <w:b/>
                <w:bCs/>
                <w:sz w:val="21"/>
                <w:szCs w:val="21"/>
              </w:rPr>
            </w:pPr>
            <w:r>
              <w:rPr>
                <w:rFonts w:hint="eastAsia"/>
                <w:b/>
                <w:bCs/>
                <w:sz w:val="21"/>
                <w:szCs w:val="21"/>
              </w:rPr>
              <w:t>注：根据《高耗能落后机电设备（产品）淘汰目录》，本项目生产用的生产设备不属于落后淘汰设备。</w:t>
            </w:r>
          </w:p>
          <w:p>
            <w:pPr>
              <w:adjustRightInd w:val="0"/>
              <w:snapToGrid w:val="0"/>
              <w:rPr>
                <w:b/>
                <w:sz w:val="24"/>
                <w:szCs w:val="24"/>
              </w:rPr>
            </w:pPr>
            <w:r>
              <w:rPr>
                <w:rFonts w:hint="eastAsia"/>
                <w:b/>
                <w:sz w:val="24"/>
                <w:szCs w:val="24"/>
              </w:rPr>
              <w:t>4</w:t>
            </w:r>
            <w:r>
              <w:rPr>
                <w:b/>
                <w:sz w:val="24"/>
                <w:szCs w:val="24"/>
              </w:rPr>
              <w:t>、</w:t>
            </w:r>
            <w:r>
              <w:rPr>
                <w:rFonts w:hint="eastAsia"/>
                <w:b/>
                <w:sz w:val="24"/>
                <w:szCs w:val="24"/>
              </w:rPr>
              <w:t>拟建项目</w:t>
            </w:r>
            <w:r>
              <w:rPr>
                <w:b/>
                <w:sz w:val="24"/>
                <w:szCs w:val="24"/>
              </w:rPr>
              <w:t>主要原辅材料</w:t>
            </w:r>
          </w:p>
          <w:p>
            <w:pPr>
              <w:snapToGrid w:val="0"/>
              <w:spacing w:line="360" w:lineRule="auto"/>
              <w:ind w:firstLine="480" w:firstLineChars="200"/>
              <w:rPr>
                <w:rFonts w:hAnsi="宋体"/>
                <w:sz w:val="24"/>
                <w:szCs w:val="24"/>
              </w:rPr>
            </w:pPr>
            <w:r>
              <w:rPr>
                <w:rFonts w:hint="eastAsia" w:hAnsi="宋体"/>
                <w:sz w:val="24"/>
                <w:szCs w:val="24"/>
              </w:rPr>
              <w:t>本项目</w:t>
            </w:r>
            <w:r>
              <w:rPr>
                <w:rFonts w:hint="eastAsia" w:hAnsi="宋体"/>
                <w:sz w:val="24"/>
                <w:szCs w:val="24"/>
                <w:lang w:eastAsia="zh-CN"/>
              </w:rPr>
              <w:t>主要原辅材料为铝材、切削液等</w:t>
            </w:r>
            <w:r>
              <w:rPr>
                <w:rFonts w:hint="eastAsia" w:hAnsi="宋体"/>
                <w:sz w:val="24"/>
                <w:szCs w:val="24"/>
              </w:rPr>
              <w:t>。</w:t>
            </w:r>
            <w:r>
              <w:rPr>
                <w:rFonts w:hAnsi="宋体"/>
                <w:sz w:val="24"/>
                <w:szCs w:val="24"/>
              </w:rPr>
              <w:t>详见下表</w:t>
            </w:r>
            <w:r>
              <w:rPr>
                <w:rFonts w:hint="eastAsia" w:hAnsi="宋体"/>
                <w:sz w:val="24"/>
                <w:szCs w:val="24"/>
              </w:rPr>
              <w:t>3：</w:t>
            </w:r>
          </w:p>
          <w:p>
            <w:pPr>
              <w:jc w:val="center"/>
              <w:rPr>
                <w:rFonts w:eastAsia="宋体"/>
                <w:b/>
                <w:sz w:val="21"/>
                <w:szCs w:val="21"/>
              </w:rPr>
            </w:pPr>
            <w:r>
              <w:rPr>
                <w:rFonts w:eastAsia="宋体"/>
                <w:b/>
                <w:sz w:val="21"/>
                <w:szCs w:val="21"/>
              </w:rPr>
              <w:t>表</w:t>
            </w:r>
            <w:r>
              <w:rPr>
                <w:rFonts w:hint="eastAsia" w:eastAsia="宋体"/>
                <w:b/>
                <w:sz w:val="21"/>
                <w:szCs w:val="21"/>
              </w:rPr>
              <w:t>3项目生产需要</w:t>
            </w:r>
            <w:r>
              <w:rPr>
                <w:rFonts w:eastAsia="宋体"/>
                <w:b/>
                <w:sz w:val="21"/>
                <w:szCs w:val="21"/>
              </w:rPr>
              <w:t>原辅材料</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78"/>
              <w:gridCol w:w="1208"/>
              <w:gridCol w:w="471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napToGrid w:val="0"/>
                    <w:jc w:val="center"/>
                    <w:rPr>
                      <w:sz w:val="21"/>
                      <w:szCs w:val="21"/>
                    </w:rPr>
                  </w:pPr>
                  <w:r>
                    <w:rPr>
                      <w:sz w:val="21"/>
                      <w:szCs w:val="21"/>
                    </w:rPr>
                    <w:t>序号</w:t>
                  </w:r>
                </w:p>
              </w:tc>
              <w:tc>
                <w:tcPr>
                  <w:tcW w:w="878" w:type="dxa"/>
                  <w:tcBorders>
                    <w:right w:val="single" w:color="auto" w:sz="4" w:space="0"/>
                  </w:tcBorders>
                  <w:shd w:val="clear" w:color="CCFFCC" w:fill="auto"/>
                  <w:vAlign w:val="center"/>
                </w:tcPr>
                <w:p>
                  <w:pPr>
                    <w:snapToGrid w:val="0"/>
                    <w:jc w:val="center"/>
                    <w:rPr>
                      <w:sz w:val="21"/>
                      <w:szCs w:val="21"/>
                    </w:rPr>
                  </w:pPr>
                  <w:r>
                    <w:rPr>
                      <w:sz w:val="21"/>
                      <w:szCs w:val="21"/>
                    </w:rPr>
                    <w:t>名称</w:t>
                  </w:r>
                </w:p>
              </w:tc>
              <w:tc>
                <w:tcPr>
                  <w:tcW w:w="1208" w:type="dxa"/>
                  <w:tcBorders>
                    <w:left w:val="single" w:color="auto" w:sz="4" w:space="0"/>
                    <w:right w:val="single" w:color="auto" w:sz="4" w:space="0"/>
                  </w:tcBorders>
                  <w:shd w:val="clear" w:color="CCFFCC" w:fill="auto"/>
                  <w:vAlign w:val="center"/>
                </w:tcPr>
                <w:p>
                  <w:pPr>
                    <w:snapToGrid w:val="0"/>
                    <w:jc w:val="center"/>
                    <w:rPr>
                      <w:sz w:val="21"/>
                      <w:szCs w:val="21"/>
                    </w:rPr>
                  </w:pPr>
                  <w:r>
                    <w:rPr>
                      <w:sz w:val="21"/>
                      <w:szCs w:val="21"/>
                    </w:rPr>
                    <w:t>年消耗量</w:t>
                  </w:r>
                </w:p>
              </w:tc>
              <w:tc>
                <w:tcPr>
                  <w:tcW w:w="4718" w:type="dxa"/>
                  <w:tcBorders>
                    <w:left w:val="single" w:color="auto" w:sz="4" w:space="0"/>
                    <w:right w:val="single" w:color="auto" w:sz="4" w:space="0"/>
                  </w:tcBorders>
                  <w:shd w:val="clear" w:color="CCFFCC" w:fill="auto"/>
                  <w:vAlign w:val="center"/>
                </w:tcPr>
                <w:p>
                  <w:pPr>
                    <w:snapToGrid w:val="0"/>
                    <w:jc w:val="center"/>
                    <w:rPr>
                      <w:sz w:val="21"/>
                      <w:szCs w:val="21"/>
                    </w:rPr>
                  </w:pPr>
                  <w:r>
                    <w:rPr>
                      <w:sz w:val="21"/>
                      <w:szCs w:val="21"/>
                    </w:rPr>
                    <w:t>状态</w:t>
                  </w:r>
                </w:p>
              </w:tc>
              <w:tc>
                <w:tcPr>
                  <w:tcW w:w="1628" w:type="dxa"/>
                  <w:tcBorders>
                    <w:left w:val="single" w:color="auto" w:sz="4" w:space="0"/>
                    <w:right w:val="single" w:color="auto" w:sz="4" w:space="0"/>
                  </w:tcBorders>
                  <w:shd w:val="clear" w:color="CCFFCC" w:fill="auto"/>
                </w:tcPr>
                <w:p>
                  <w:pPr>
                    <w:snapToGrid w:val="0"/>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jc w:val="center"/>
                    <w:rPr>
                      <w:sz w:val="21"/>
                      <w:szCs w:val="21"/>
                    </w:rPr>
                  </w:pPr>
                  <w:r>
                    <w:rPr>
                      <w:sz w:val="21"/>
                      <w:szCs w:val="21"/>
                    </w:rPr>
                    <w:t>1</w:t>
                  </w:r>
                </w:p>
              </w:tc>
              <w:tc>
                <w:tcPr>
                  <w:tcW w:w="878" w:type="dxa"/>
                  <w:vAlign w:val="center"/>
                </w:tcPr>
                <w:p>
                  <w:pPr>
                    <w:jc w:val="center"/>
                    <w:rPr>
                      <w:rFonts w:hint="eastAsia" w:eastAsia="宋体"/>
                      <w:bCs/>
                      <w:kern w:val="0"/>
                      <w:sz w:val="21"/>
                      <w:szCs w:val="21"/>
                      <w:lang w:eastAsia="zh-CN"/>
                    </w:rPr>
                  </w:pPr>
                  <w:r>
                    <w:rPr>
                      <w:rFonts w:hint="eastAsia"/>
                      <w:bCs/>
                      <w:kern w:val="0"/>
                      <w:sz w:val="21"/>
                      <w:szCs w:val="21"/>
                      <w:lang w:eastAsia="zh-CN"/>
                    </w:rPr>
                    <w:t>铝材</w:t>
                  </w:r>
                </w:p>
              </w:tc>
              <w:tc>
                <w:tcPr>
                  <w:tcW w:w="1208" w:type="dxa"/>
                  <w:vAlign w:val="center"/>
                </w:tcPr>
                <w:p>
                  <w:pPr>
                    <w:jc w:val="center"/>
                    <w:rPr>
                      <w:bCs/>
                      <w:kern w:val="0"/>
                      <w:sz w:val="21"/>
                      <w:szCs w:val="21"/>
                    </w:rPr>
                  </w:pPr>
                  <w:r>
                    <w:rPr>
                      <w:rFonts w:hint="eastAsia"/>
                      <w:bCs/>
                      <w:kern w:val="0"/>
                      <w:sz w:val="21"/>
                      <w:szCs w:val="21"/>
                      <w:lang w:val="en-US" w:eastAsia="zh-CN"/>
                    </w:rPr>
                    <w:t>8</w:t>
                  </w:r>
                  <w:r>
                    <w:rPr>
                      <w:bCs/>
                      <w:kern w:val="0"/>
                      <w:sz w:val="21"/>
                      <w:szCs w:val="21"/>
                    </w:rPr>
                    <w:t>00吨</w:t>
                  </w:r>
                </w:p>
              </w:tc>
              <w:tc>
                <w:tcPr>
                  <w:tcW w:w="4718" w:type="dxa"/>
                  <w:vAlign w:val="center"/>
                </w:tcPr>
                <w:p>
                  <w:pPr>
                    <w:snapToGrid w:val="0"/>
                    <w:jc w:val="center"/>
                    <w:rPr>
                      <w:sz w:val="21"/>
                      <w:szCs w:val="21"/>
                    </w:rPr>
                  </w:pPr>
                  <w:r>
                    <w:rPr>
                      <w:sz w:val="21"/>
                      <w:szCs w:val="21"/>
                    </w:rPr>
                    <w:t>厂区内库存量约</w:t>
                  </w:r>
                  <w:r>
                    <w:rPr>
                      <w:rFonts w:hint="eastAsia"/>
                      <w:sz w:val="21"/>
                      <w:szCs w:val="21"/>
                      <w:lang w:val="en-US" w:eastAsia="zh-CN"/>
                    </w:rPr>
                    <w:t>60</w:t>
                  </w:r>
                  <w:r>
                    <w:rPr>
                      <w:sz w:val="21"/>
                      <w:szCs w:val="21"/>
                    </w:rPr>
                    <w:t>吨，库存周期约1个月</w:t>
                  </w:r>
                </w:p>
              </w:tc>
              <w:tc>
                <w:tcPr>
                  <w:tcW w:w="1628" w:type="dxa"/>
                </w:tcPr>
                <w:p>
                  <w:pPr>
                    <w:snapToGrid w:val="0"/>
                    <w:jc w:val="center"/>
                    <w:rPr>
                      <w:rFonts w:hint="eastAsia" w:eastAsia="宋体"/>
                      <w:sz w:val="21"/>
                      <w:szCs w:val="21"/>
                      <w:lang w:val="en-US"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jc w:val="center"/>
                    <w:rPr>
                      <w:rFonts w:hint="eastAsia" w:eastAsia="宋体"/>
                      <w:sz w:val="21"/>
                      <w:szCs w:val="21"/>
                      <w:lang w:val="en-US" w:eastAsia="zh-CN"/>
                    </w:rPr>
                  </w:pPr>
                  <w:r>
                    <w:rPr>
                      <w:rFonts w:hint="eastAsia"/>
                      <w:sz w:val="21"/>
                      <w:szCs w:val="21"/>
                      <w:lang w:val="en-US" w:eastAsia="zh-CN"/>
                    </w:rPr>
                    <w:t>2</w:t>
                  </w:r>
                </w:p>
              </w:tc>
              <w:tc>
                <w:tcPr>
                  <w:tcW w:w="878" w:type="dxa"/>
                  <w:vAlign w:val="center"/>
                </w:tcPr>
                <w:p>
                  <w:pPr>
                    <w:jc w:val="center"/>
                    <w:rPr>
                      <w:rFonts w:hint="eastAsia" w:eastAsia="宋体"/>
                      <w:bCs/>
                      <w:kern w:val="0"/>
                      <w:sz w:val="21"/>
                      <w:szCs w:val="21"/>
                      <w:lang w:eastAsia="zh-CN"/>
                    </w:rPr>
                  </w:pPr>
                  <w:r>
                    <w:rPr>
                      <w:rFonts w:hint="eastAsia"/>
                      <w:bCs/>
                      <w:kern w:val="0"/>
                      <w:sz w:val="21"/>
                      <w:szCs w:val="21"/>
                      <w:lang w:eastAsia="zh-CN"/>
                    </w:rPr>
                    <w:t>切削液</w:t>
                  </w:r>
                </w:p>
              </w:tc>
              <w:tc>
                <w:tcPr>
                  <w:tcW w:w="1208" w:type="dxa"/>
                  <w:vAlign w:val="center"/>
                </w:tcPr>
                <w:p>
                  <w:pPr>
                    <w:jc w:val="center"/>
                    <w:rPr>
                      <w:rFonts w:hint="default" w:eastAsia="宋体"/>
                      <w:bCs/>
                      <w:kern w:val="0"/>
                      <w:sz w:val="21"/>
                      <w:szCs w:val="21"/>
                      <w:lang w:val="en-US" w:eastAsia="zh-CN"/>
                    </w:rPr>
                  </w:pPr>
                  <w:r>
                    <w:rPr>
                      <w:rFonts w:hint="eastAsia"/>
                      <w:bCs/>
                      <w:kern w:val="0"/>
                      <w:sz w:val="21"/>
                      <w:szCs w:val="21"/>
                      <w:lang w:val="en-US" w:eastAsia="zh-CN"/>
                    </w:rPr>
                    <w:t>1.0吨</w:t>
                  </w:r>
                </w:p>
              </w:tc>
              <w:tc>
                <w:tcPr>
                  <w:tcW w:w="4718" w:type="dxa"/>
                  <w:vAlign w:val="center"/>
                </w:tcPr>
                <w:p>
                  <w:pPr>
                    <w:snapToGrid w:val="0"/>
                    <w:jc w:val="center"/>
                    <w:rPr>
                      <w:rFonts w:hint="eastAsia" w:eastAsia="宋体"/>
                      <w:sz w:val="21"/>
                      <w:szCs w:val="21"/>
                      <w:lang w:eastAsia="zh-CN"/>
                    </w:rPr>
                  </w:pPr>
                  <w:r>
                    <w:rPr>
                      <w:sz w:val="21"/>
                      <w:szCs w:val="21"/>
                    </w:rPr>
                    <w:t>厂区内库存量约</w:t>
                  </w:r>
                  <w:r>
                    <w:rPr>
                      <w:rFonts w:hint="eastAsia"/>
                      <w:sz w:val="21"/>
                      <w:szCs w:val="21"/>
                      <w:lang w:val="en-US" w:eastAsia="zh-CN"/>
                    </w:rPr>
                    <w:t>500kg</w:t>
                  </w:r>
                  <w:r>
                    <w:rPr>
                      <w:sz w:val="21"/>
                      <w:szCs w:val="21"/>
                    </w:rPr>
                    <w:t>，库存周期约</w:t>
                  </w:r>
                  <w:r>
                    <w:rPr>
                      <w:rFonts w:hint="eastAsia"/>
                      <w:sz w:val="21"/>
                      <w:szCs w:val="21"/>
                      <w:lang w:val="en-US" w:eastAsia="zh-CN"/>
                    </w:rPr>
                    <w:t>6</w:t>
                  </w:r>
                  <w:r>
                    <w:rPr>
                      <w:sz w:val="21"/>
                      <w:szCs w:val="21"/>
                    </w:rPr>
                    <w:t>个</w:t>
                  </w:r>
                  <w:r>
                    <w:rPr>
                      <w:rFonts w:hint="eastAsia"/>
                      <w:sz w:val="21"/>
                      <w:szCs w:val="21"/>
                      <w:lang w:eastAsia="zh-CN"/>
                    </w:rPr>
                    <w:t>月</w:t>
                  </w:r>
                </w:p>
              </w:tc>
              <w:tc>
                <w:tcPr>
                  <w:tcW w:w="1628" w:type="dxa"/>
                </w:tcPr>
                <w:p>
                  <w:pPr>
                    <w:snapToGrid w:val="0"/>
                    <w:jc w:val="center"/>
                    <w:rPr>
                      <w:rFonts w:hint="default" w:eastAsia="宋体"/>
                      <w:sz w:val="21"/>
                      <w:szCs w:val="21"/>
                      <w:lang w:val="en-US" w:eastAsia="zh-CN"/>
                    </w:rPr>
                  </w:pPr>
                  <w:r>
                    <w:rPr>
                      <w:rFonts w:hint="eastAsia"/>
                      <w:sz w:val="21"/>
                      <w:szCs w:val="21"/>
                      <w:lang w:val="en-US" w:eastAsia="zh-CN"/>
                    </w:rPr>
                    <w:t>25kg/桶</w:t>
                  </w:r>
                </w:p>
              </w:tc>
            </w:tr>
          </w:tbl>
          <w:p>
            <w:pPr>
              <w:adjustRightInd w:val="0"/>
              <w:snapToGrid w:val="0"/>
              <w:rPr>
                <w:rFonts w:hint="eastAsia" w:eastAsia="宋体"/>
                <w:b/>
                <w:sz w:val="24"/>
                <w:szCs w:val="24"/>
                <w:lang w:eastAsia="zh-CN"/>
              </w:rPr>
            </w:pPr>
            <w:r>
              <w:rPr>
                <w:rFonts w:hint="eastAsia" w:eastAsia="宋体"/>
                <w:b/>
                <w:sz w:val="24"/>
                <w:szCs w:val="24"/>
                <w:lang w:eastAsia="zh-CN"/>
              </w:rPr>
              <w:t>部分原辅材料理化性质</w:t>
            </w:r>
          </w:p>
          <w:p>
            <w:pPr>
              <w:snapToGrid w:val="0"/>
              <w:spacing w:line="360" w:lineRule="auto"/>
              <w:ind w:firstLine="480" w:firstLineChars="200"/>
              <w:rPr>
                <w:rFonts w:hint="eastAsia" w:hAnsi="宋体" w:eastAsia="宋体"/>
                <w:sz w:val="24"/>
                <w:szCs w:val="24"/>
              </w:rPr>
            </w:pPr>
            <w:r>
              <w:rPr>
                <w:rFonts w:hint="eastAsia" w:hAnsi="宋体" w:eastAsia="宋体"/>
                <w:sz w:val="24"/>
                <w:szCs w:val="24"/>
              </w:rPr>
              <w:t>水性切削液：SC6630全合成型切削液，主要成分为三乙醇胺（占25%）、三元羧酸（占15%）、二元羧酸（占10%）、聚二醇（5%）、聚压合成脂（占10%）、添加剂（占4%）、去离子水（31%）；无直接危险性，无毒，无刺激性，属于一般化学品。本项目中使用时与水的配比比例为1:6。</w:t>
            </w:r>
          </w:p>
          <w:p>
            <w:pPr>
              <w:adjustRightInd w:val="0"/>
              <w:spacing w:line="360" w:lineRule="auto"/>
              <w:rPr>
                <w:rFonts w:hAnsi="宋体"/>
                <w:b/>
                <w:sz w:val="24"/>
                <w:szCs w:val="24"/>
              </w:rPr>
            </w:pPr>
            <w:r>
              <w:rPr>
                <w:rFonts w:hint="eastAsia"/>
                <w:b/>
                <w:sz w:val="24"/>
                <w:szCs w:val="24"/>
              </w:rPr>
              <w:t>5</w:t>
            </w:r>
            <w:r>
              <w:rPr>
                <w:b/>
                <w:sz w:val="24"/>
                <w:szCs w:val="24"/>
              </w:rPr>
              <w:t>、</w:t>
            </w:r>
            <w:r>
              <w:rPr>
                <w:rFonts w:hint="eastAsia"/>
                <w:b/>
                <w:sz w:val="24"/>
                <w:szCs w:val="24"/>
              </w:rPr>
              <w:t>拟建项目</w:t>
            </w:r>
            <w:r>
              <w:rPr>
                <w:b/>
                <w:sz w:val="24"/>
                <w:szCs w:val="24"/>
              </w:rPr>
              <w:t>产品方案</w:t>
            </w:r>
          </w:p>
          <w:p>
            <w:pPr>
              <w:pStyle w:val="28"/>
              <w:adjustRightInd w:val="0"/>
              <w:snapToGrid w:val="0"/>
              <w:spacing w:before="0" w:beforeAutospacing="0" w:after="0" w:afterAutospacing="0" w:line="360" w:lineRule="auto"/>
              <w:ind w:firstLine="600" w:firstLineChars="250"/>
              <w:jc w:val="both"/>
              <w:rPr>
                <w:rFonts w:hint="default"/>
                <w:sz w:val="24"/>
                <w:szCs w:val="24"/>
              </w:rPr>
            </w:pPr>
            <w:r>
              <w:rPr>
                <w:sz w:val="24"/>
                <w:szCs w:val="24"/>
              </w:rPr>
              <w:t>本项目产品主要为</w:t>
            </w:r>
            <w:r>
              <w:rPr>
                <w:rFonts w:hint="eastAsia" w:ascii="宋体" w:hAnsi="宋体"/>
                <w:sz w:val="24"/>
                <w:szCs w:val="24"/>
              </w:rPr>
              <w:t>手机外壳</w:t>
            </w:r>
            <w:r>
              <w:rPr>
                <w:rFonts w:hint="eastAsia" w:ascii="宋体" w:hAnsi="宋体"/>
                <w:sz w:val="24"/>
                <w:szCs w:val="24"/>
                <w:lang w:eastAsia="zh-CN"/>
              </w:rPr>
              <w:t>、</w:t>
            </w:r>
            <w:r>
              <w:rPr>
                <w:rFonts w:hint="eastAsia" w:ascii="宋体" w:hAnsi="宋体"/>
                <w:sz w:val="24"/>
                <w:szCs w:val="24"/>
              </w:rPr>
              <w:t>手机卡托</w:t>
            </w:r>
            <w:r>
              <w:rPr>
                <w:rFonts w:hint="eastAsia" w:ascii="宋体" w:hAnsi="宋体"/>
                <w:sz w:val="24"/>
                <w:szCs w:val="24"/>
                <w:lang w:eastAsia="zh-CN"/>
              </w:rPr>
              <w:t>、</w:t>
            </w:r>
            <w:r>
              <w:rPr>
                <w:rFonts w:hint="eastAsia" w:ascii="宋体" w:hAnsi="宋体"/>
                <w:sz w:val="24"/>
                <w:szCs w:val="24"/>
              </w:rPr>
              <w:t>手机音量键</w:t>
            </w:r>
            <w:r>
              <w:rPr>
                <w:rFonts w:hint="eastAsia" w:ascii="宋体" w:hAnsi="宋体"/>
                <w:sz w:val="24"/>
                <w:szCs w:val="24"/>
                <w:lang w:eastAsia="zh-CN"/>
              </w:rPr>
              <w:t>、</w:t>
            </w:r>
            <w:r>
              <w:rPr>
                <w:rFonts w:hint="eastAsia" w:ascii="宋体" w:hAnsi="宋体"/>
                <w:sz w:val="24"/>
                <w:szCs w:val="24"/>
              </w:rPr>
              <w:t>手机开关键</w:t>
            </w:r>
            <w:r>
              <w:rPr>
                <w:rFonts w:hint="eastAsia" w:ascii="宋体" w:hAnsi="宋体"/>
                <w:sz w:val="24"/>
                <w:szCs w:val="24"/>
                <w:lang w:eastAsia="zh-CN"/>
              </w:rPr>
              <w:t>、</w:t>
            </w:r>
            <w:r>
              <w:rPr>
                <w:rFonts w:hint="eastAsia" w:ascii="宋体" w:hAnsi="宋体"/>
                <w:sz w:val="24"/>
                <w:szCs w:val="24"/>
              </w:rPr>
              <w:t>手环扣</w:t>
            </w:r>
            <w:r>
              <w:rPr>
                <w:rFonts w:hint="eastAsia" w:ascii="宋体" w:hAnsi="宋体"/>
                <w:sz w:val="24"/>
                <w:szCs w:val="24"/>
                <w:lang w:eastAsia="zh-CN"/>
              </w:rPr>
              <w:t>、</w:t>
            </w:r>
            <w:r>
              <w:rPr>
                <w:rFonts w:hint="eastAsia" w:ascii="宋体" w:hAnsi="宋体"/>
                <w:sz w:val="24"/>
                <w:szCs w:val="24"/>
              </w:rPr>
              <w:t>相机键</w:t>
            </w:r>
            <w:r>
              <w:rPr>
                <w:sz w:val="24"/>
                <w:szCs w:val="24"/>
              </w:rPr>
              <w:t>，产品方案如下：</w:t>
            </w:r>
          </w:p>
          <w:p>
            <w:pPr>
              <w:jc w:val="center"/>
              <w:rPr>
                <w:rFonts w:eastAsia="宋体"/>
                <w:b/>
                <w:sz w:val="21"/>
                <w:szCs w:val="21"/>
              </w:rPr>
            </w:pPr>
            <w:r>
              <w:rPr>
                <w:rFonts w:hint="eastAsia" w:eastAsia="宋体"/>
                <w:b/>
                <w:sz w:val="21"/>
                <w:szCs w:val="21"/>
              </w:rPr>
              <w:t>表4产品方案</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2898"/>
              <w:gridCol w:w="2510"/>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7" w:type="dxa"/>
                  <w:vAlign w:val="center"/>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sz w:val="21"/>
                      <w:szCs w:val="21"/>
                    </w:rPr>
                  </w:pPr>
                  <w:r>
                    <w:rPr>
                      <w:sz w:val="21"/>
                      <w:szCs w:val="21"/>
                    </w:rPr>
                    <w:t>序号</w:t>
                  </w:r>
                </w:p>
              </w:tc>
              <w:tc>
                <w:tcPr>
                  <w:tcW w:w="2898" w:type="dxa"/>
                  <w:vAlign w:val="center"/>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sz w:val="21"/>
                      <w:szCs w:val="21"/>
                    </w:rPr>
                  </w:pPr>
                  <w:r>
                    <w:rPr>
                      <w:sz w:val="21"/>
                      <w:szCs w:val="21"/>
                    </w:rPr>
                    <w:t>产品名称</w:t>
                  </w:r>
                </w:p>
              </w:tc>
              <w:tc>
                <w:tcPr>
                  <w:tcW w:w="2510" w:type="dxa"/>
                  <w:vAlign w:val="center"/>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sz w:val="21"/>
                      <w:szCs w:val="21"/>
                    </w:rPr>
                  </w:pPr>
                  <w:r>
                    <w:rPr>
                      <w:sz w:val="21"/>
                      <w:szCs w:val="21"/>
                    </w:rPr>
                    <w:t>单位</w:t>
                  </w:r>
                </w:p>
              </w:tc>
              <w:tc>
                <w:tcPr>
                  <w:tcW w:w="2151" w:type="dxa"/>
                  <w:vAlign w:val="center"/>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bCs/>
                      <w:sz w:val="21"/>
                      <w:szCs w:val="21"/>
                    </w:rPr>
                  </w:pPr>
                  <w:r>
                    <w:rPr>
                      <w:bCs/>
                      <w:sz w:val="21"/>
                      <w:szCs w:val="21"/>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7" w:type="dxa"/>
                  <w:vAlign w:val="center"/>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sz w:val="21"/>
                      <w:szCs w:val="21"/>
                    </w:rPr>
                  </w:pPr>
                  <w:r>
                    <w:rPr>
                      <w:sz w:val="21"/>
                      <w:szCs w:val="21"/>
                    </w:rPr>
                    <w:t>1</w:t>
                  </w:r>
                </w:p>
              </w:tc>
              <w:tc>
                <w:tcPr>
                  <w:tcW w:w="2898" w:type="dxa"/>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ascii="Times New Roman" w:hAnsi="Times New Roman" w:eastAsia="宋体" w:cs="Times New Roman"/>
                      <w:kern w:val="2"/>
                      <w:sz w:val="21"/>
                      <w:szCs w:val="21"/>
                      <w:lang w:val="en-US" w:eastAsia="zh-CN" w:bidi="ar-SA"/>
                    </w:rPr>
                  </w:pPr>
                  <w:r>
                    <w:rPr>
                      <w:rFonts w:hint="eastAsia" w:ascii="宋体" w:hAnsi="宋体"/>
                    </w:rPr>
                    <w:t>手机外壳</w:t>
                  </w:r>
                </w:p>
              </w:tc>
              <w:tc>
                <w:tcPr>
                  <w:tcW w:w="2510" w:type="dxa"/>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万件/a</w:t>
                  </w:r>
                </w:p>
              </w:tc>
              <w:tc>
                <w:tcPr>
                  <w:tcW w:w="2151" w:type="dxa"/>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hint="default"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rFonts w:hint="eastAsia" w:eastAsia="宋体"/>
                      <w:sz w:val="21"/>
                      <w:szCs w:val="21"/>
                      <w:lang w:val="en-US" w:eastAsia="zh-CN"/>
                    </w:rPr>
                  </w:pPr>
                  <w:r>
                    <w:rPr>
                      <w:rFonts w:hint="eastAsia"/>
                      <w:sz w:val="21"/>
                      <w:szCs w:val="21"/>
                      <w:lang w:val="en-US" w:eastAsia="zh-CN"/>
                    </w:rPr>
                    <w:t>2</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ascii="宋体" w:hAnsi="宋体" w:eastAsia="宋体" w:cs="Times New Roman"/>
                      <w:kern w:val="2"/>
                      <w:sz w:val="21"/>
                      <w:lang w:val="en-US" w:eastAsia="zh-CN" w:bidi="ar-SA"/>
                    </w:rPr>
                  </w:pPr>
                  <w:r>
                    <w:rPr>
                      <w:rFonts w:hint="eastAsia" w:ascii="宋体" w:hAnsi="宋体"/>
                    </w:rPr>
                    <w:t>手机卡托</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万件/a</w:t>
                  </w:r>
                </w:p>
              </w:tc>
              <w:tc>
                <w:tcPr>
                  <w:tcW w:w="2151" w:type="dxa"/>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hint="default"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rFonts w:hint="eastAsia" w:eastAsia="宋体"/>
                      <w:sz w:val="21"/>
                      <w:szCs w:val="21"/>
                      <w:lang w:val="en-US" w:eastAsia="zh-CN"/>
                    </w:rPr>
                  </w:pPr>
                  <w:r>
                    <w:rPr>
                      <w:rFonts w:hint="eastAsia"/>
                      <w:sz w:val="21"/>
                      <w:szCs w:val="21"/>
                      <w:lang w:val="en-US" w:eastAsia="zh-CN"/>
                    </w:rPr>
                    <w:t>3</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ascii="宋体" w:hAnsi="宋体" w:eastAsia="宋体" w:cs="Times New Roman"/>
                      <w:kern w:val="2"/>
                      <w:sz w:val="21"/>
                      <w:lang w:val="en-US" w:eastAsia="zh-CN" w:bidi="ar-SA"/>
                    </w:rPr>
                  </w:pPr>
                  <w:r>
                    <w:rPr>
                      <w:rFonts w:hint="eastAsia" w:ascii="宋体" w:hAnsi="宋体"/>
                    </w:rPr>
                    <w:t>手机音量键</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万件/a</w:t>
                  </w:r>
                </w:p>
              </w:tc>
              <w:tc>
                <w:tcPr>
                  <w:tcW w:w="2151" w:type="dxa"/>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hint="default"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rFonts w:hint="eastAsia" w:eastAsia="宋体"/>
                      <w:sz w:val="21"/>
                      <w:szCs w:val="21"/>
                      <w:lang w:val="en-US" w:eastAsia="zh-CN"/>
                    </w:rPr>
                  </w:pPr>
                  <w:r>
                    <w:rPr>
                      <w:rFonts w:hint="eastAsia"/>
                      <w:sz w:val="21"/>
                      <w:szCs w:val="21"/>
                      <w:lang w:val="en-US" w:eastAsia="zh-CN"/>
                    </w:rPr>
                    <w:t>4</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ascii="宋体" w:hAnsi="宋体" w:eastAsia="宋体" w:cs="Times New Roman"/>
                      <w:kern w:val="2"/>
                      <w:sz w:val="21"/>
                      <w:lang w:val="en-US" w:eastAsia="zh-CN" w:bidi="ar-SA"/>
                    </w:rPr>
                  </w:pPr>
                  <w:r>
                    <w:rPr>
                      <w:rFonts w:hint="eastAsia" w:ascii="宋体" w:hAnsi="宋体"/>
                    </w:rPr>
                    <w:t>手机开关键</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万件/a</w:t>
                  </w:r>
                </w:p>
              </w:tc>
              <w:tc>
                <w:tcPr>
                  <w:tcW w:w="2151" w:type="dxa"/>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hint="default"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rFonts w:hint="eastAsia" w:eastAsia="宋体"/>
                      <w:sz w:val="21"/>
                      <w:szCs w:val="21"/>
                      <w:lang w:val="en-US" w:eastAsia="zh-CN"/>
                    </w:rPr>
                  </w:pPr>
                  <w:r>
                    <w:rPr>
                      <w:rFonts w:hint="eastAsia"/>
                      <w:sz w:val="21"/>
                      <w:szCs w:val="21"/>
                      <w:lang w:val="en-US" w:eastAsia="zh-CN"/>
                    </w:rPr>
                    <w:t>5</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hint="eastAsia" w:ascii="宋体" w:hAnsi="宋体" w:eastAsia="宋体" w:cs="Times New Roman"/>
                      <w:kern w:val="2"/>
                      <w:sz w:val="21"/>
                      <w:lang w:val="en-US" w:eastAsia="zh-CN" w:bidi="ar-SA"/>
                    </w:rPr>
                  </w:pPr>
                  <w:r>
                    <w:rPr>
                      <w:rFonts w:hint="eastAsia" w:ascii="宋体" w:hAnsi="宋体"/>
                    </w:rPr>
                    <w:t>手环扣</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万件/a</w:t>
                  </w:r>
                </w:p>
              </w:tc>
              <w:tc>
                <w:tcPr>
                  <w:tcW w:w="2151" w:type="dxa"/>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hint="default"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123"/>
                    <w:keepNext w:val="0"/>
                    <w:keepLines w:val="0"/>
                    <w:pageBreakBefore w:val="0"/>
                    <w:widowControl w:val="0"/>
                    <w:kinsoku/>
                    <w:wordWrap/>
                    <w:overflowPunct/>
                    <w:topLinePunct w:val="0"/>
                    <w:autoSpaceDE/>
                    <w:autoSpaceDN w:val="0"/>
                    <w:bidi w:val="0"/>
                    <w:adjustRightInd/>
                    <w:snapToGrid w:val="0"/>
                    <w:spacing w:line="240" w:lineRule="auto"/>
                    <w:jc w:val="center"/>
                    <w:textAlignment w:val="center"/>
                    <w:rPr>
                      <w:rFonts w:hint="eastAsia" w:eastAsia="宋体"/>
                      <w:sz w:val="21"/>
                      <w:szCs w:val="21"/>
                      <w:lang w:val="en-US" w:eastAsia="zh-CN"/>
                    </w:rPr>
                  </w:pPr>
                  <w:r>
                    <w:rPr>
                      <w:rFonts w:hint="eastAsia"/>
                      <w:sz w:val="21"/>
                      <w:szCs w:val="21"/>
                      <w:lang w:val="en-US" w:eastAsia="zh-CN"/>
                    </w:rPr>
                    <w:t>6</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hint="eastAsia" w:ascii="宋体" w:hAnsi="宋体" w:eastAsia="宋体" w:cs="Times New Roman"/>
                      <w:kern w:val="2"/>
                      <w:sz w:val="21"/>
                      <w:lang w:val="en-US" w:eastAsia="zh-CN" w:bidi="ar-SA"/>
                    </w:rPr>
                  </w:pPr>
                  <w:r>
                    <w:rPr>
                      <w:rFonts w:hint="eastAsia" w:ascii="宋体" w:hAnsi="宋体"/>
                    </w:rPr>
                    <w:t>相机键</w:t>
                  </w:r>
                </w:p>
              </w:tc>
              <w:tc>
                <w:tcPr>
                  <w:tcW w:w="0" w:type="auto"/>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万件/a</w:t>
                  </w:r>
                </w:p>
              </w:tc>
              <w:tc>
                <w:tcPr>
                  <w:tcW w:w="2151" w:type="dxa"/>
                  <w:vAlign w:val="center"/>
                </w:tcPr>
                <w:p>
                  <w:pPr>
                    <w:keepNext w:val="0"/>
                    <w:keepLines w:val="0"/>
                    <w:pageBreakBefore w:val="0"/>
                    <w:widowControl w:val="0"/>
                    <w:kinsoku/>
                    <w:wordWrap/>
                    <w:overflowPunct/>
                    <w:topLinePunct w:val="0"/>
                    <w:autoSpaceDE/>
                    <w:bidi w:val="0"/>
                    <w:adjustRightInd/>
                    <w:snapToGrid w:val="0"/>
                    <w:spacing w:line="240" w:lineRule="auto"/>
                    <w:jc w:val="center"/>
                    <w:rPr>
                      <w:rFonts w:hint="default"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50</w:t>
                  </w:r>
                </w:p>
              </w:tc>
            </w:tr>
          </w:tbl>
          <w:p>
            <w:pPr>
              <w:adjustRightInd w:val="0"/>
              <w:spacing w:line="440" w:lineRule="exact"/>
              <w:rPr>
                <w:b/>
                <w:sz w:val="24"/>
                <w:szCs w:val="24"/>
              </w:rPr>
            </w:pPr>
            <w:r>
              <w:rPr>
                <w:rFonts w:hint="eastAsia"/>
                <w:b/>
                <w:sz w:val="24"/>
                <w:szCs w:val="24"/>
              </w:rPr>
              <w:t>6</w:t>
            </w:r>
            <w:r>
              <w:rPr>
                <w:rFonts w:hAnsi="宋体"/>
                <w:b/>
                <w:sz w:val="24"/>
                <w:szCs w:val="24"/>
              </w:rPr>
              <w:t>、公用工程</w:t>
            </w:r>
          </w:p>
          <w:p>
            <w:pPr>
              <w:adjustRightInd w:val="0"/>
              <w:snapToGrid w:val="0"/>
              <w:spacing w:line="360" w:lineRule="auto"/>
              <w:ind w:firstLine="240" w:firstLineChars="100"/>
              <w:rPr>
                <w:sz w:val="24"/>
                <w:szCs w:val="24"/>
              </w:rPr>
            </w:pPr>
            <w:r>
              <w:rPr>
                <w:rFonts w:hAnsi="宋体"/>
                <w:sz w:val="24"/>
                <w:szCs w:val="24"/>
              </w:rPr>
              <w:t>（</w:t>
            </w:r>
            <w:r>
              <w:rPr>
                <w:sz w:val="24"/>
                <w:szCs w:val="24"/>
              </w:rPr>
              <w:t>1</w:t>
            </w:r>
            <w:r>
              <w:rPr>
                <w:rFonts w:hAnsi="宋体"/>
                <w:sz w:val="24"/>
                <w:szCs w:val="24"/>
              </w:rPr>
              <w:t>）供水</w:t>
            </w:r>
          </w:p>
          <w:p>
            <w:pPr>
              <w:adjustRightInd w:val="0"/>
              <w:snapToGrid w:val="0"/>
              <w:spacing w:line="360" w:lineRule="auto"/>
              <w:ind w:firstLine="480" w:firstLineChars="200"/>
              <w:rPr>
                <w:rFonts w:hAnsi="宋体"/>
                <w:sz w:val="24"/>
                <w:szCs w:val="24"/>
              </w:rPr>
            </w:pPr>
            <w:r>
              <w:rPr>
                <w:rFonts w:hint="eastAsia"/>
                <w:sz w:val="24"/>
                <w:szCs w:val="24"/>
              </w:rPr>
              <w:t>拟建项目</w:t>
            </w:r>
            <w:r>
              <w:rPr>
                <w:sz w:val="24"/>
                <w:szCs w:val="24"/>
              </w:rPr>
              <w:t>用水量为</w:t>
            </w:r>
            <w:r>
              <w:rPr>
                <w:rFonts w:hint="eastAsia"/>
                <w:sz w:val="24"/>
                <w:szCs w:val="24"/>
              </w:rPr>
              <w:t>450m</w:t>
            </w:r>
            <w:r>
              <w:rPr>
                <w:rFonts w:hint="eastAsia"/>
                <w:sz w:val="24"/>
                <w:szCs w:val="24"/>
                <w:vertAlign w:val="superscript"/>
              </w:rPr>
              <w:t>3</w:t>
            </w:r>
            <w:r>
              <w:rPr>
                <w:sz w:val="24"/>
                <w:szCs w:val="24"/>
              </w:rPr>
              <w:t>/</w:t>
            </w:r>
            <w:r>
              <w:rPr>
                <w:rFonts w:hint="eastAsia"/>
                <w:sz w:val="24"/>
                <w:szCs w:val="24"/>
              </w:rPr>
              <w:t>a</w:t>
            </w:r>
            <w:r>
              <w:rPr>
                <w:rFonts w:hint="eastAsia" w:hAnsi="宋体"/>
                <w:sz w:val="24"/>
                <w:szCs w:val="24"/>
              </w:rPr>
              <w:t>。</w:t>
            </w:r>
            <w:r>
              <w:rPr>
                <w:rFonts w:hint="eastAsia"/>
                <w:sz w:val="24"/>
                <w:szCs w:val="24"/>
              </w:rPr>
              <w:t>本</w:t>
            </w:r>
            <w:r>
              <w:rPr>
                <w:rFonts w:hint="eastAsia" w:hAnsi="宋体"/>
                <w:sz w:val="24"/>
                <w:szCs w:val="24"/>
              </w:rPr>
              <w:t>项目</w:t>
            </w:r>
            <w:r>
              <w:rPr>
                <w:rFonts w:hAnsi="宋体"/>
                <w:sz w:val="24"/>
                <w:szCs w:val="24"/>
              </w:rPr>
              <w:t>水源来自</w:t>
            </w:r>
            <w:r>
              <w:rPr>
                <w:rFonts w:hint="eastAsia"/>
                <w:sz w:val="24"/>
                <w:szCs w:val="24"/>
                <w:lang w:eastAsia="zh-CN"/>
              </w:rPr>
              <w:t>大通区工业新区</w:t>
            </w:r>
            <w:r>
              <w:rPr>
                <w:rFonts w:hint="eastAsia"/>
                <w:sz w:val="24"/>
                <w:szCs w:val="24"/>
              </w:rPr>
              <w:t>市政供水管网</w:t>
            </w:r>
            <w:r>
              <w:rPr>
                <w:rFonts w:hAnsi="宋体"/>
                <w:sz w:val="24"/>
                <w:szCs w:val="24"/>
              </w:rPr>
              <w:t>，主要作为生产、生活及消防应急水源</w:t>
            </w:r>
            <w:r>
              <w:rPr>
                <w:rFonts w:hint="eastAsia" w:hAnsi="宋体"/>
                <w:sz w:val="24"/>
                <w:szCs w:val="24"/>
              </w:rPr>
              <w:t>，</w:t>
            </w:r>
            <w:r>
              <w:rPr>
                <w:rFonts w:hAnsi="宋体"/>
                <w:sz w:val="24"/>
                <w:szCs w:val="24"/>
              </w:rPr>
              <w:t>可完全满足本项目要求</w:t>
            </w:r>
            <w:r>
              <w:rPr>
                <w:rFonts w:hint="eastAsia" w:hAnsi="宋体"/>
                <w:sz w:val="24"/>
                <w:szCs w:val="24"/>
              </w:rPr>
              <w:t>。</w:t>
            </w:r>
          </w:p>
          <w:p>
            <w:pPr>
              <w:adjustRightInd w:val="0"/>
              <w:snapToGrid w:val="0"/>
              <w:spacing w:line="360" w:lineRule="auto"/>
              <w:ind w:firstLine="360" w:firstLineChars="150"/>
              <w:rPr>
                <w:rFonts w:hAnsi="宋体"/>
                <w:sz w:val="24"/>
                <w:szCs w:val="24"/>
              </w:rPr>
            </w:pPr>
            <w:r>
              <w:rPr>
                <w:rFonts w:hAnsi="宋体"/>
                <w:sz w:val="24"/>
                <w:szCs w:val="24"/>
              </w:rPr>
              <w:t>（</w:t>
            </w:r>
            <w:r>
              <w:rPr>
                <w:sz w:val="24"/>
                <w:szCs w:val="24"/>
              </w:rPr>
              <w:t>2</w:t>
            </w:r>
            <w:r>
              <w:rPr>
                <w:rFonts w:hAnsi="宋体"/>
                <w:sz w:val="24"/>
                <w:szCs w:val="24"/>
              </w:rPr>
              <w:t>）</w:t>
            </w:r>
            <w:r>
              <w:rPr>
                <w:rFonts w:hint="eastAsia" w:hAnsi="宋体"/>
                <w:sz w:val="24"/>
                <w:szCs w:val="24"/>
              </w:rPr>
              <w:t>排水</w:t>
            </w:r>
          </w:p>
          <w:p>
            <w:pPr>
              <w:adjustRightInd w:val="0"/>
              <w:snapToGrid w:val="0"/>
              <w:spacing w:line="360" w:lineRule="auto"/>
              <w:ind w:firstLine="360" w:firstLineChars="150"/>
              <w:rPr>
                <w:rFonts w:hAnsi="宋体"/>
                <w:sz w:val="24"/>
                <w:szCs w:val="24"/>
              </w:rPr>
            </w:pPr>
            <w:r>
              <w:rPr>
                <w:rFonts w:hint="eastAsia" w:hAnsi="宋体"/>
                <w:sz w:val="24"/>
                <w:szCs w:val="24"/>
              </w:rPr>
              <w:t>厂</w:t>
            </w:r>
            <w:r>
              <w:rPr>
                <w:rFonts w:hAnsi="宋体"/>
                <w:sz w:val="24"/>
                <w:szCs w:val="24"/>
              </w:rPr>
              <w:t>区排水采用雨、污水</w:t>
            </w:r>
            <w:r>
              <w:rPr>
                <w:rFonts w:hint="eastAsia" w:hAnsi="宋体"/>
                <w:sz w:val="24"/>
                <w:szCs w:val="24"/>
              </w:rPr>
              <w:t>分</w:t>
            </w:r>
            <w:r>
              <w:rPr>
                <w:rFonts w:hAnsi="宋体"/>
                <w:sz w:val="24"/>
                <w:szCs w:val="24"/>
              </w:rPr>
              <w:t>流制排水系统。雨水就近排入雨水管网。生活污水依托现有</w:t>
            </w:r>
            <w:r>
              <w:rPr>
                <w:rFonts w:hint="eastAsia" w:hAnsi="宋体"/>
                <w:sz w:val="24"/>
                <w:szCs w:val="24"/>
              </w:rPr>
              <w:t>化粪池处理后，</w:t>
            </w:r>
            <w:r>
              <w:rPr>
                <w:rFonts w:hint="eastAsia"/>
                <w:sz w:val="24"/>
                <w:szCs w:val="24"/>
              </w:rPr>
              <w:t>排入</w:t>
            </w:r>
            <w:r>
              <w:rPr>
                <w:rFonts w:hint="eastAsia"/>
                <w:sz w:val="24"/>
                <w:szCs w:val="24"/>
                <w:lang w:eastAsia="zh-CN"/>
              </w:rPr>
              <w:t>园区</w:t>
            </w:r>
            <w:r>
              <w:rPr>
                <w:rFonts w:hint="eastAsia"/>
                <w:sz w:val="24"/>
                <w:szCs w:val="24"/>
              </w:rPr>
              <w:t>污水</w:t>
            </w:r>
            <w:r>
              <w:rPr>
                <w:rFonts w:hint="eastAsia"/>
                <w:sz w:val="24"/>
                <w:szCs w:val="24"/>
                <w:lang w:eastAsia="zh-CN"/>
              </w:rPr>
              <w:t>处理站</w:t>
            </w:r>
            <w:r>
              <w:rPr>
                <w:rFonts w:hint="eastAsia"/>
                <w:sz w:val="24"/>
                <w:szCs w:val="24"/>
              </w:rPr>
              <w:t>，最后进入淮南首创第一污水处理厂处理</w:t>
            </w:r>
            <w:r>
              <w:rPr>
                <w:rFonts w:hint="eastAsia" w:hAnsi="宋体"/>
                <w:sz w:val="24"/>
                <w:szCs w:val="24"/>
              </w:rPr>
              <w:t>，尾水排入淮河。</w:t>
            </w:r>
            <w:r>
              <w:rPr>
                <w:rFonts w:hint="eastAsia"/>
                <w:sz w:val="24"/>
                <w:szCs w:val="24"/>
              </w:rPr>
              <w:t>拟建项目排水量为360m</w:t>
            </w:r>
            <w:r>
              <w:rPr>
                <w:rFonts w:hint="eastAsia"/>
                <w:sz w:val="24"/>
                <w:szCs w:val="24"/>
                <w:vertAlign w:val="superscript"/>
              </w:rPr>
              <w:t>3</w:t>
            </w:r>
            <w:r>
              <w:rPr>
                <w:rFonts w:hint="eastAsia" w:hAnsi="宋体"/>
                <w:sz w:val="24"/>
                <w:szCs w:val="24"/>
              </w:rPr>
              <w:t>/a。</w:t>
            </w:r>
          </w:p>
          <w:p>
            <w:pPr>
              <w:adjustRightInd w:val="0"/>
              <w:snapToGrid w:val="0"/>
              <w:spacing w:line="360" w:lineRule="auto"/>
              <w:ind w:firstLine="240" w:firstLineChars="100"/>
              <w:rPr>
                <w:sz w:val="24"/>
                <w:szCs w:val="24"/>
              </w:rPr>
            </w:pPr>
            <w:r>
              <w:rPr>
                <w:rFonts w:hAnsi="宋体"/>
                <w:sz w:val="24"/>
                <w:szCs w:val="24"/>
              </w:rPr>
              <w:t>（</w:t>
            </w:r>
            <w:r>
              <w:rPr>
                <w:sz w:val="24"/>
                <w:szCs w:val="24"/>
              </w:rPr>
              <w:t>3</w:t>
            </w:r>
            <w:r>
              <w:rPr>
                <w:rFonts w:hAnsi="宋体"/>
                <w:sz w:val="24"/>
                <w:szCs w:val="24"/>
              </w:rPr>
              <w:t>）供电</w:t>
            </w:r>
          </w:p>
          <w:p>
            <w:pPr>
              <w:snapToGrid w:val="0"/>
              <w:spacing w:line="360" w:lineRule="auto"/>
              <w:ind w:firstLine="480" w:firstLineChars="200"/>
              <w:rPr>
                <w:sz w:val="24"/>
                <w:szCs w:val="24"/>
              </w:rPr>
            </w:pPr>
            <w:r>
              <w:rPr>
                <w:rFonts w:hAnsi="宋体"/>
                <w:sz w:val="24"/>
                <w:szCs w:val="24"/>
              </w:rPr>
              <w:t>本项目的用电由</w:t>
            </w:r>
            <w:r>
              <w:rPr>
                <w:rFonts w:hint="eastAsia"/>
                <w:sz w:val="24"/>
                <w:szCs w:val="24"/>
                <w:lang w:eastAsia="zh-CN"/>
              </w:rPr>
              <w:t>大通区工业新区</w:t>
            </w:r>
            <w:r>
              <w:rPr>
                <w:rFonts w:hAnsi="宋体"/>
                <w:sz w:val="24"/>
                <w:szCs w:val="24"/>
              </w:rPr>
              <w:t>变电所进线，输出</w:t>
            </w:r>
            <w:r>
              <w:rPr>
                <w:sz w:val="24"/>
                <w:szCs w:val="24"/>
              </w:rPr>
              <w:t>380V</w:t>
            </w:r>
            <w:r>
              <w:rPr>
                <w:rFonts w:hAnsi="宋体"/>
                <w:sz w:val="24"/>
                <w:szCs w:val="24"/>
              </w:rPr>
              <w:t>的生产动力用电和</w:t>
            </w:r>
            <w:r>
              <w:rPr>
                <w:sz w:val="24"/>
                <w:szCs w:val="24"/>
              </w:rPr>
              <w:t>220V</w:t>
            </w:r>
            <w:r>
              <w:rPr>
                <w:rFonts w:hAnsi="宋体"/>
                <w:sz w:val="24"/>
                <w:szCs w:val="24"/>
              </w:rPr>
              <w:t>的办公生活用电。</w:t>
            </w:r>
          </w:p>
          <w:p>
            <w:pPr>
              <w:adjustRightInd w:val="0"/>
              <w:snapToGrid w:val="0"/>
              <w:spacing w:line="360" w:lineRule="auto"/>
              <w:ind w:firstLine="240" w:firstLineChars="100"/>
              <w:rPr>
                <w:sz w:val="24"/>
                <w:szCs w:val="24"/>
              </w:rPr>
            </w:pPr>
            <w:r>
              <w:rPr>
                <w:rFonts w:hAnsi="宋体"/>
                <w:sz w:val="24"/>
                <w:szCs w:val="24"/>
              </w:rPr>
              <w:t>（</w:t>
            </w:r>
            <w:r>
              <w:rPr>
                <w:sz w:val="24"/>
                <w:szCs w:val="24"/>
              </w:rPr>
              <w:t>4</w:t>
            </w:r>
            <w:r>
              <w:rPr>
                <w:rFonts w:hAnsi="宋体"/>
                <w:sz w:val="24"/>
                <w:szCs w:val="24"/>
              </w:rPr>
              <w:t>）消防</w:t>
            </w:r>
          </w:p>
          <w:p>
            <w:pPr>
              <w:snapToGrid w:val="0"/>
              <w:spacing w:line="360" w:lineRule="auto"/>
              <w:ind w:firstLine="480" w:firstLineChars="200"/>
              <w:rPr>
                <w:sz w:val="24"/>
                <w:szCs w:val="24"/>
              </w:rPr>
            </w:pPr>
            <w:r>
              <w:rPr>
                <w:rFonts w:hAnsi="宋体"/>
                <w:sz w:val="24"/>
                <w:szCs w:val="24"/>
              </w:rPr>
              <w:t>本项目建筑防火设计依据《建筑设计防火规范》</w:t>
            </w:r>
            <w:r>
              <w:rPr>
                <w:sz w:val="24"/>
                <w:szCs w:val="24"/>
              </w:rPr>
              <w:t>(</w:t>
            </w:r>
            <w:r>
              <w:rPr>
                <w:rFonts w:hint="eastAsia"/>
                <w:sz w:val="24"/>
                <w:szCs w:val="24"/>
              </w:rPr>
              <w:t>GB50016-2014</w:t>
            </w:r>
            <w:r>
              <w:rPr>
                <w:sz w:val="24"/>
                <w:szCs w:val="24"/>
              </w:rPr>
              <w:t>)</w:t>
            </w:r>
            <w:r>
              <w:rPr>
                <w:rFonts w:hint="eastAsia"/>
                <w:sz w:val="24"/>
                <w:szCs w:val="24"/>
              </w:rPr>
              <w:t>，厂房防火设计按丁类厂房设计，耐火等级设计为二级。满足本项目防火要求。</w:t>
            </w:r>
          </w:p>
          <w:p>
            <w:pPr>
              <w:adjustRightInd w:val="0"/>
              <w:snapToGrid w:val="0"/>
              <w:spacing w:line="360" w:lineRule="auto"/>
              <w:rPr>
                <w:b/>
                <w:sz w:val="24"/>
                <w:szCs w:val="24"/>
              </w:rPr>
            </w:pPr>
            <w:r>
              <w:rPr>
                <w:rFonts w:hint="eastAsia"/>
                <w:b/>
                <w:sz w:val="24"/>
                <w:szCs w:val="24"/>
              </w:rPr>
              <w:t>7</w:t>
            </w:r>
            <w:r>
              <w:rPr>
                <w:b/>
                <w:sz w:val="24"/>
                <w:szCs w:val="24"/>
              </w:rPr>
              <w:t>、工作制度及定员</w:t>
            </w:r>
          </w:p>
          <w:p>
            <w:pPr>
              <w:adjustRightInd w:val="0"/>
              <w:spacing w:line="360" w:lineRule="auto"/>
              <w:ind w:firstLine="240" w:firstLineChars="100"/>
              <w:rPr>
                <w:sz w:val="24"/>
                <w:szCs w:val="24"/>
              </w:rPr>
            </w:pPr>
            <w:r>
              <w:rPr>
                <w:rFonts w:hint="eastAsia" w:ascii="宋体" w:hAnsi="宋体"/>
                <w:sz w:val="24"/>
                <w:szCs w:val="24"/>
              </w:rPr>
              <w:t>本项目劳动定员</w:t>
            </w:r>
            <w:r>
              <w:rPr>
                <w:rFonts w:hAnsi="宋体"/>
                <w:sz w:val="24"/>
                <w:szCs w:val="24"/>
              </w:rPr>
              <w:t>为</w:t>
            </w:r>
            <w:r>
              <w:rPr>
                <w:rFonts w:hint="eastAsia"/>
                <w:sz w:val="24"/>
                <w:szCs w:val="24"/>
              </w:rPr>
              <w:t>30人</w:t>
            </w:r>
            <w:r>
              <w:rPr>
                <w:rFonts w:hint="eastAsia" w:hAnsi="宋体"/>
                <w:sz w:val="24"/>
                <w:szCs w:val="24"/>
              </w:rPr>
              <w:t>，均不在厂区食宿</w:t>
            </w:r>
            <w:r>
              <w:rPr>
                <w:rFonts w:hAnsi="宋体"/>
                <w:sz w:val="24"/>
                <w:szCs w:val="24"/>
              </w:rPr>
              <w:t>。</w:t>
            </w:r>
          </w:p>
          <w:p>
            <w:pPr>
              <w:adjustRightInd w:val="0"/>
              <w:spacing w:line="360" w:lineRule="auto"/>
              <w:ind w:firstLine="240" w:firstLineChars="100"/>
              <w:rPr>
                <w:rFonts w:hAnsi="宋体"/>
                <w:sz w:val="24"/>
                <w:szCs w:val="24"/>
              </w:rPr>
            </w:pPr>
            <w:r>
              <w:rPr>
                <w:rFonts w:hAnsi="宋体"/>
                <w:sz w:val="24"/>
                <w:szCs w:val="24"/>
              </w:rPr>
              <w:t>工作制度</w:t>
            </w:r>
            <w:r>
              <w:rPr>
                <w:rFonts w:hint="eastAsia" w:hAnsi="宋体"/>
                <w:sz w:val="24"/>
                <w:szCs w:val="24"/>
              </w:rPr>
              <w:t>：</w:t>
            </w:r>
            <w:r>
              <w:rPr>
                <w:rFonts w:hAnsi="宋体"/>
                <w:sz w:val="24"/>
                <w:szCs w:val="24"/>
              </w:rPr>
              <w:t>工作制度为单班制，每班工作</w:t>
            </w:r>
            <w:r>
              <w:rPr>
                <w:sz w:val="24"/>
                <w:szCs w:val="24"/>
              </w:rPr>
              <w:t>8</w:t>
            </w:r>
            <w:r>
              <w:rPr>
                <w:rFonts w:hAnsi="宋体"/>
                <w:sz w:val="24"/>
                <w:szCs w:val="24"/>
              </w:rPr>
              <w:t>小时，年工作时日为</w:t>
            </w:r>
            <w:r>
              <w:rPr>
                <w:rFonts w:hint="eastAsia"/>
                <w:sz w:val="24"/>
                <w:szCs w:val="24"/>
              </w:rPr>
              <w:t>300</w:t>
            </w:r>
            <w:r>
              <w:rPr>
                <w:rFonts w:hAnsi="宋体"/>
                <w:sz w:val="24"/>
                <w:szCs w:val="24"/>
              </w:rPr>
              <w:t>天</w:t>
            </w:r>
            <w:r>
              <w:rPr>
                <w:rFonts w:hint="eastAsia" w:hAnsi="宋体"/>
                <w:sz w:val="24"/>
                <w:szCs w:val="24"/>
              </w:rPr>
              <w:t>。</w:t>
            </w:r>
          </w:p>
          <w:p>
            <w:pPr>
              <w:adjustRightInd w:val="0"/>
              <w:spacing w:line="360" w:lineRule="auto"/>
              <w:rPr>
                <w:b/>
                <w:sz w:val="24"/>
                <w:szCs w:val="24"/>
              </w:rPr>
            </w:pPr>
            <w:r>
              <w:rPr>
                <w:rFonts w:hint="eastAsia"/>
                <w:b/>
                <w:sz w:val="24"/>
                <w:szCs w:val="24"/>
              </w:rPr>
              <w:t>8</w:t>
            </w:r>
            <w:r>
              <w:rPr>
                <w:b/>
                <w:sz w:val="24"/>
                <w:szCs w:val="24"/>
              </w:rPr>
              <w:t>、厂区平面布置</w:t>
            </w:r>
          </w:p>
          <w:p>
            <w:pPr>
              <w:adjustRightInd w:val="0"/>
              <w:spacing w:line="360" w:lineRule="auto"/>
              <w:ind w:firstLine="240" w:firstLineChars="100"/>
              <w:rPr>
                <w:sz w:val="24"/>
                <w:szCs w:val="24"/>
              </w:rPr>
            </w:pPr>
            <w:r>
              <w:rPr>
                <w:sz w:val="24"/>
                <w:szCs w:val="24"/>
              </w:rPr>
              <w:t>项目</w:t>
            </w:r>
            <w:r>
              <w:rPr>
                <w:rFonts w:hint="eastAsia"/>
                <w:sz w:val="24"/>
                <w:szCs w:val="24"/>
              </w:rPr>
              <w:t>淮南市大通区</w:t>
            </w:r>
            <w:r>
              <w:rPr>
                <w:rFonts w:hint="eastAsia"/>
                <w:sz w:val="24"/>
                <w:szCs w:val="24"/>
                <w:lang w:eastAsia="zh-CN"/>
              </w:rPr>
              <w:t>大通区工业新区标准化厂房</w:t>
            </w:r>
            <w:r>
              <w:rPr>
                <w:sz w:val="24"/>
                <w:szCs w:val="24"/>
              </w:rPr>
              <w:t>。</w:t>
            </w:r>
            <w:r>
              <w:rPr>
                <w:rFonts w:hint="eastAsia"/>
                <w:sz w:val="24"/>
                <w:szCs w:val="24"/>
              </w:rPr>
              <w:t>租赁厂房</w:t>
            </w:r>
            <w:r>
              <w:rPr>
                <w:rFonts w:hint="eastAsia"/>
                <w:sz w:val="24"/>
                <w:szCs w:val="24"/>
                <w:lang w:eastAsia="zh-CN"/>
              </w:rPr>
              <w:t>西侧为成品库，厂房中部为加工区，厂房东北部为原材料库，厂房东南侧为办公室。</w:t>
            </w:r>
            <w:r>
              <w:rPr>
                <w:rFonts w:hint="eastAsia"/>
                <w:sz w:val="24"/>
                <w:szCs w:val="24"/>
              </w:rPr>
              <w:t>厂房内设计既作明确区划，同时为有利于提高管理工作效率，对功能上相关的部门，又采取密切结合，相互渗透的处理方式，厂房布局较为合理。</w:t>
            </w:r>
            <w:r>
              <w:rPr>
                <w:sz w:val="24"/>
                <w:szCs w:val="24"/>
              </w:rPr>
              <w:t>平面布置详见附图《项目总平面布置图》。</w:t>
            </w:r>
          </w:p>
          <w:p>
            <w:pPr>
              <w:adjustRightInd w:val="0"/>
              <w:snapToGrid w:val="0"/>
              <w:spacing w:line="360" w:lineRule="auto"/>
              <w:rPr>
                <w:b/>
                <w:sz w:val="24"/>
                <w:szCs w:val="24"/>
              </w:rPr>
            </w:pPr>
            <w:r>
              <w:rPr>
                <w:rFonts w:hint="eastAsia"/>
                <w:b/>
                <w:sz w:val="24"/>
                <w:szCs w:val="24"/>
              </w:rPr>
              <w:t>9、产业政策分析</w:t>
            </w:r>
          </w:p>
          <w:p>
            <w:pPr>
              <w:pStyle w:val="81"/>
              <w:ind w:firstLine="480"/>
              <w:rPr>
                <w:bCs/>
                <w:kern w:val="0"/>
                <w:sz w:val="24"/>
                <w:szCs w:val="24"/>
              </w:rPr>
            </w:pPr>
            <w:r>
              <w:rPr>
                <w:rFonts w:hint="eastAsia" w:ascii="Times New Roman" w:cs="Times New Roman"/>
                <w:kern w:val="0"/>
                <w:sz w:val="24"/>
                <w:szCs w:val="24"/>
              </w:rPr>
              <w:t>根据《产业结构调整指导目录（2019年本）》</w:t>
            </w:r>
            <w:r>
              <w:rPr>
                <w:rFonts w:ascii="Times New Roman" w:hAnsi="Times New Roman" w:cs="Times New Roman"/>
                <w:kern w:val="0"/>
                <w:sz w:val="24"/>
                <w:szCs w:val="24"/>
              </w:rPr>
              <w:t>，拟建项目不属于其中鼓励类、限制类和淘汰类，视为允许类</w:t>
            </w:r>
            <w:r>
              <w:rPr>
                <w:rFonts w:hint="eastAsia" w:ascii="Times New Roman" w:hAnsi="Times New Roman" w:cs="Times New Roman"/>
                <w:kern w:val="0"/>
                <w:sz w:val="24"/>
                <w:szCs w:val="24"/>
              </w:rPr>
              <w:t>；</w:t>
            </w:r>
            <w:r>
              <w:rPr>
                <w:rFonts w:ascii="Times New Roman" w:hAnsi="Times New Roman" w:cs="Times New Roman"/>
                <w:kern w:val="0"/>
                <w:sz w:val="24"/>
                <w:szCs w:val="24"/>
              </w:rPr>
              <w:t>同时，本项目不属于《安徽省工业产业结构调整指导目录》中的限制及淘汰类项目。因此</w:t>
            </w:r>
            <w:r>
              <w:rPr>
                <w:rFonts w:hint="eastAsia" w:ascii="Times New Roman" w:hAnsi="Times New Roman" w:cs="Times New Roman"/>
                <w:kern w:val="0"/>
                <w:sz w:val="24"/>
                <w:szCs w:val="24"/>
              </w:rPr>
              <w:t>，</w:t>
            </w:r>
            <w:r>
              <w:rPr>
                <w:rFonts w:ascii="Times New Roman" w:hAnsi="Times New Roman" w:cs="Times New Roman"/>
                <w:kern w:val="0"/>
                <w:sz w:val="24"/>
                <w:szCs w:val="24"/>
              </w:rPr>
              <w:t>本项目的建设符合国家和地方的产业政策要求。</w:t>
            </w:r>
            <w:r>
              <w:rPr>
                <w:rFonts w:ascii="Times New Roman" w:cs="Times New Roman"/>
                <w:bCs/>
                <w:kern w:val="0"/>
                <w:sz w:val="24"/>
                <w:szCs w:val="24"/>
              </w:rPr>
              <w:t>本项目经淮南市大通区发展和改革委员会同意备案，项目编号为</w:t>
            </w:r>
            <w:r>
              <w:rPr>
                <w:rFonts w:hint="eastAsia" w:ascii="Times New Roman" w:hAnsi="Times New Roman" w:cs="Times New Roman"/>
                <w:bCs/>
                <w:kern w:val="0"/>
                <w:sz w:val="24"/>
                <w:szCs w:val="24"/>
                <w:lang w:eastAsia="zh-CN"/>
              </w:rPr>
              <w:t>2018-340402-33-03-0011897</w:t>
            </w:r>
            <w:r>
              <w:rPr>
                <w:rFonts w:hint="eastAsia"/>
                <w:bCs/>
                <w:kern w:val="0"/>
                <w:sz w:val="24"/>
                <w:szCs w:val="24"/>
              </w:rPr>
              <w:t>，本项目的建设符合国家和地方的产业政策要求。</w:t>
            </w:r>
          </w:p>
          <w:p>
            <w:pPr>
              <w:adjustRightInd w:val="0"/>
              <w:snapToGrid w:val="0"/>
              <w:spacing w:line="360" w:lineRule="auto"/>
              <w:rPr>
                <w:b/>
                <w:sz w:val="24"/>
                <w:szCs w:val="24"/>
              </w:rPr>
            </w:pPr>
            <w:r>
              <w:rPr>
                <w:rFonts w:hint="eastAsia"/>
                <w:b/>
                <w:sz w:val="24"/>
                <w:szCs w:val="24"/>
              </w:rPr>
              <w:t>10、</w:t>
            </w:r>
            <w:r>
              <w:rPr>
                <w:b/>
                <w:sz w:val="24"/>
                <w:szCs w:val="24"/>
              </w:rPr>
              <w:t>选址规划相符性分析</w:t>
            </w:r>
          </w:p>
          <w:p>
            <w:pPr>
              <w:pStyle w:val="81"/>
              <w:keepNext w:val="0"/>
              <w:keepLines w:val="0"/>
              <w:pageBreakBefore w:val="0"/>
              <w:widowControl w:val="0"/>
              <w:kinsoku/>
              <w:wordWrap/>
              <w:overflowPunct/>
              <w:topLinePunct w:val="0"/>
              <w:autoSpaceDE/>
              <w:autoSpaceDN/>
              <w:bidi w:val="0"/>
              <w:adjustRightInd/>
              <w:snapToGrid w:val="0"/>
              <w:ind w:firstLine="480"/>
              <w:textAlignment w:val="auto"/>
              <w:rPr>
                <w:rFonts w:ascii="Times New Roman" w:cs="Times New Roman"/>
                <w:color w:val="FF0000"/>
                <w:kern w:val="0"/>
                <w:sz w:val="24"/>
                <w:szCs w:val="24"/>
              </w:rPr>
            </w:pPr>
            <w:r>
              <w:rPr>
                <w:rFonts w:hint="eastAsia" w:ascii="Times New Roman" w:hAnsi="宋体" w:eastAsia="宋体" w:cs="Times New Roman"/>
                <w:color w:val="FF0000"/>
                <w:kern w:val="0"/>
                <w:sz w:val="24"/>
                <w:szCs w:val="24"/>
              </w:rPr>
              <w:t>该项目位于淮南市大通区</w:t>
            </w:r>
            <w:r>
              <w:rPr>
                <w:rFonts w:hint="eastAsia" w:ascii="Times New Roman" w:hAnsi="宋体" w:eastAsia="宋体" w:cs="Times New Roman"/>
                <w:color w:val="FF0000"/>
                <w:kern w:val="0"/>
                <w:sz w:val="24"/>
                <w:szCs w:val="24"/>
                <w:lang w:eastAsia="zh-CN"/>
              </w:rPr>
              <w:t>大通区工业新区标准化厂房</w:t>
            </w:r>
            <w:r>
              <w:rPr>
                <w:rFonts w:hint="eastAsia" w:ascii="Times New Roman" w:hAnsi="宋体" w:eastAsia="宋体" w:cs="Times New Roman"/>
                <w:color w:val="FF0000"/>
                <w:kern w:val="0"/>
                <w:sz w:val="24"/>
                <w:szCs w:val="24"/>
              </w:rPr>
              <w:t>。项目</w:t>
            </w:r>
            <w:r>
              <w:rPr>
                <w:rFonts w:hint="eastAsia" w:ascii="Times New Roman" w:hAnsi="宋体" w:eastAsia="宋体" w:cs="Times New Roman"/>
                <w:color w:val="FF0000"/>
                <w:kern w:val="0"/>
                <w:sz w:val="24"/>
                <w:szCs w:val="24"/>
                <w:lang w:eastAsia="zh-CN"/>
              </w:rPr>
              <w:t>北侧</w:t>
            </w:r>
            <w:r>
              <w:rPr>
                <w:rFonts w:hint="eastAsia" w:ascii="Times New Roman" w:cs="Times New Roman"/>
                <w:color w:val="FF0000"/>
                <w:kern w:val="0"/>
                <w:sz w:val="24"/>
                <w:szCs w:val="24"/>
                <w:lang w:eastAsia="zh-CN"/>
              </w:rPr>
              <w:t>，西侧和</w:t>
            </w:r>
            <w:r>
              <w:rPr>
                <w:rFonts w:hint="eastAsia" w:ascii="Times New Roman" w:hAnsi="宋体" w:eastAsia="宋体" w:cs="Times New Roman"/>
                <w:color w:val="FF0000"/>
                <w:kern w:val="0"/>
                <w:sz w:val="24"/>
                <w:szCs w:val="24"/>
                <w:lang w:eastAsia="zh-CN"/>
              </w:rPr>
              <w:t>南侧</w:t>
            </w:r>
            <w:r>
              <w:rPr>
                <w:rFonts w:hint="eastAsia" w:ascii="Times New Roman" w:hAnsi="宋体" w:eastAsia="宋体" w:cs="Times New Roman"/>
                <w:color w:val="FF0000"/>
                <w:kern w:val="0"/>
                <w:sz w:val="24"/>
                <w:szCs w:val="24"/>
              </w:rPr>
              <w:t>为</w:t>
            </w:r>
            <w:r>
              <w:rPr>
                <w:rFonts w:hint="eastAsia" w:ascii="Times New Roman" w:cs="Times New Roman"/>
                <w:color w:val="FF0000"/>
                <w:kern w:val="0"/>
                <w:sz w:val="24"/>
                <w:szCs w:val="24"/>
                <w:lang w:eastAsia="zh-CN"/>
              </w:rPr>
              <w:t>企业</w:t>
            </w:r>
            <w:r>
              <w:rPr>
                <w:rFonts w:hint="default" w:ascii="Times New Roman" w:hAnsi="宋体" w:eastAsia="宋体" w:cs="Times New Roman"/>
                <w:color w:val="FF0000"/>
                <w:kern w:val="0"/>
                <w:sz w:val="24"/>
                <w:szCs w:val="24"/>
                <w:lang w:eastAsia="zh-CN"/>
              </w:rPr>
              <w:t>标准化厂房</w:t>
            </w:r>
            <w:r>
              <w:rPr>
                <w:rFonts w:hint="eastAsia" w:ascii="Times New Roman" w:hAnsi="宋体" w:eastAsia="宋体" w:cs="Times New Roman"/>
                <w:color w:val="FF0000"/>
                <w:kern w:val="0"/>
                <w:sz w:val="24"/>
                <w:szCs w:val="24"/>
                <w:lang w:eastAsia="zh-CN"/>
              </w:rPr>
              <w:t>，东</w:t>
            </w:r>
            <w:r>
              <w:rPr>
                <w:rFonts w:hint="eastAsia" w:ascii="Times New Roman" w:hAnsi="宋体" w:eastAsia="宋体" w:cs="Times New Roman"/>
                <w:color w:val="FF0000"/>
                <w:kern w:val="0"/>
                <w:sz w:val="24"/>
                <w:szCs w:val="24"/>
              </w:rPr>
              <w:t>侧为安徽</w:t>
            </w:r>
            <w:r>
              <w:rPr>
                <w:rFonts w:hint="eastAsia" w:ascii="Times New Roman" w:cs="Times New Roman"/>
                <w:color w:val="FF0000"/>
                <w:kern w:val="0"/>
                <w:sz w:val="24"/>
                <w:szCs w:val="24"/>
                <w:lang w:eastAsia="zh-CN"/>
              </w:rPr>
              <w:t>百木智能家具</w:t>
            </w:r>
            <w:r>
              <w:rPr>
                <w:rFonts w:hint="eastAsia" w:ascii="Times New Roman" w:hAnsi="宋体" w:eastAsia="宋体" w:cs="Times New Roman"/>
                <w:color w:val="FF0000"/>
                <w:kern w:val="0"/>
                <w:sz w:val="24"/>
                <w:szCs w:val="24"/>
              </w:rPr>
              <w:t>有限公司</w:t>
            </w:r>
            <w:r>
              <w:rPr>
                <w:rFonts w:hint="eastAsia" w:ascii="Times New Roman" w:cs="Times New Roman"/>
                <w:color w:val="FF0000"/>
                <w:kern w:val="0"/>
                <w:sz w:val="24"/>
                <w:szCs w:val="24"/>
              </w:rPr>
              <w:t>。</w:t>
            </w:r>
            <w:bookmarkStart w:id="2" w:name="_GoBack"/>
            <w:bookmarkEnd w:id="2"/>
          </w:p>
          <w:p>
            <w:pPr>
              <w:pStyle w:val="81"/>
              <w:keepNext w:val="0"/>
              <w:keepLines w:val="0"/>
              <w:pageBreakBefore w:val="0"/>
              <w:widowControl w:val="0"/>
              <w:kinsoku/>
              <w:wordWrap/>
              <w:overflowPunct/>
              <w:topLinePunct w:val="0"/>
              <w:autoSpaceDE/>
              <w:autoSpaceDN/>
              <w:bidi w:val="0"/>
              <w:adjustRightInd/>
              <w:snapToGrid w:val="0"/>
              <w:ind w:firstLine="480"/>
              <w:textAlignment w:val="auto"/>
              <w:rPr>
                <w:rFonts w:ascii="Times New Roman" w:cs="Times New Roman"/>
                <w:kern w:val="0"/>
                <w:sz w:val="24"/>
                <w:szCs w:val="24"/>
              </w:rPr>
            </w:pPr>
            <w:r>
              <w:rPr>
                <w:rFonts w:hint="eastAsia" w:ascii="Times New Roman" w:cs="Times New Roman"/>
                <w:kern w:val="0"/>
                <w:sz w:val="24"/>
                <w:szCs w:val="24"/>
              </w:rPr>
              <w:t>（1）土地规划符合性分析</w:t>
            </w:r>
          </w:p>
          <w:p>
            <w:pPr>
              <w:pStyle w:val="81"/>
              <w:keepNext w:val="0"/>
              <w:keepLines w:val="0"/>
              <w:pageBreakBefore w:val="0"/>
              <w:widowControl w:val="0"/>
              <w:kinsoku/>
              <w:wordWrap/>
              <w:overflowPunct/>
              <w:topLinePunct w:val="0"/>
              <w:autoSpaceDE/>
              <w:autoSpaceDN/>
              <w:bidi w:val="0"/>
              <w:adjustRightInd/>
              <w:snapToGrid w:val="0"/>
              <w:ind w:firstLine="480"/>
              <w:textAlignment w:val="auto"/>
              <w:rPr>
                <w:rFonts w:ascii="Times New Roman" w:cs="Times New Roman"/>
                <w:kern w:val="0"/>
                <w:sz w:val="24"/>
                <w:szCs w:val="24"/>
              </w:rPr>
            </w:pPr>
            <w:r>
              <w:rPr>
                <w:rFonts w:ascii="Times New Roman" w:cs="Times New Roman"/>
                <w:kern w:val="0"/>
                <w:sz w:val="24"/>
                <w:szCs w:val="24"/>
              </w:rPr>
              <w:t>本项目选址于淮南市大通区</w:t>
            </w:r>
            <w:r>
              <w:rPr>
                <w:rFonts w:hint="eastAsia" w:ascii="Times New Roman" w:cs="Times New Roman"/>
                <w:kern w:val="0"/>
                <w:sz w:val="24"/>
                <w:szCs w:val="24"/>
                <w:lang w:eastAsia="zh-CN"/>
              </w:rPr>
              <w:t>大通区工业新区标准化厂房</w:t>
            </w:r>
            <w:r>
              <w:rPr>
                <w:rFonts w:ascii="Times New Roman" w:cs="Times New Roman"/>
                <w:kern w:val="0"/>
                <w:sz w:val="24"/>
                <w:szCs w:val="24"/>
              </w:rPr>
              <w:t>。</w:t>
            </w:r>
            <w:r>
              <w:rPr>
                <w:rFonts w:hint="eastAsia" w:ascii="Times New Roman" w:cs="Times New Roman"/>
                <w:kern w:val="0"/>
                <w:sz w:val="24"/>
                <w:szCs w:val="24"/>
              </w:rPr>
              <w:t>根据建设单位提供的</w:t>
            </w:r>
            <w:r>
              <w:rPr>
                <w:rFonts w:hint="eastAsia" w:ascii="Times New Roman" w:cs="Times New Roman"/>
                <w:kern w:val="0"/>
                <w:sz w:val="24"/>
                <w:szCs w:val="24"/>
                <w:lang w:eastAsia="zh-CN"/>
              </w:rPr>
              <w:t>租赁合同</w:t>
            </w:r>
            <w:r>
              <w:rPr>
                <w:rFonts w:hint="eastAsia" w:ascii="Times New Roman" w:cs="Times New Roman"/>
                <w:kern w:val="0"/>
                <w:sz w:val="24"/>
                <w:szCs w:val="24"/>
              </w:rPr>
              <w:t>及房产证、土地证（详见附件），可知项目拟建地土地性质为工业性质用地。项目用地符合</w:t>
            </w:r>
            <w:r>
              <w:rPr>
                <w:rFonts w:hint="eastAsia" w:ascii="Times New Roman" w:cs="Times New Roman"/>
                <w:kern w:val="0"/>
                <w:sz w:val="24"/>
                <w:szCs w:val="24"/>
                <w:lang w:eastAsia="zh-CN"/>
              </w:rPr>
              <w:t>大通区工业新区</w:t>
            </w:r>
            <w:r>
              <w:rPr>
                <w:rFonts w:hint="eastAsia" w:ascii="Times New Roman" w:cs="Times New Roman"/>
                <w:kern w:val="0"/>
                <w:sz w:val="24"/>
                <w:szCs w:val="24"/>
              </w:rPr>
              <w:t>土地利用总体规划。项目通过现场调查可知，环境现状良好，项目所在地具有一定的区域环境容量，因此拟建项目选址合理。</w:t>
            </w:r>
          </w:p>
          <w:p>
            <w:pPr>
              <w:pStyle w:val="81"/>
              <w:ind w:firstLine="480"/>
              <w:rPr>
                <w:rFonts w:ascii="Times New Roman" w:cs="Times New Roman"/>
                <w:color w:val="000000"/>
                <w:kern w:val="0"/>
                <w:sz w:val="24"/>
                <w:szCs w:val="24"/>
              </w:rPr>
            </w:pPr>
            <w:r>
              <w:rPr>
                <w:rFonts w:hint="eastAsia" w:ascii="Times New Roman" w:cs="Times New Roman"/>
                <w:color w:val="000000"/>
                <w:kern w:val="0"/>
                <w:sz w:val="24"/>
                <w:szCs w:val="24"/>
              </w:rPr>
              <w:t>（2）与淮南市大通工业园区相关规划的符合性</w:t>
            </w:r>
          </w:p>
          <w:p>
            <w:pPr>
              <w:pStyle w:val="81"/>
              <w:ind w:firstLine="480"/>
              <w:rPr>
                <w:rFonts w:ascii="Times New Roman" w:cs="Times New Roman"/>
                <w:color w:val="000000"/>
                <w:kern w:val="0"/>
                <w:sz w:val="24"/>
                <w:szCs w:val="24"/>
              </w:rPr>
            </w:pPr>
            <w:r>
              <w:rPr>
                <w:rFonts w:hint="eastAsia" w:ascii="Times New Roman" w:cs="Times New Roman"/>
                <w:color w:val="000000"/>
                <w:kern w:val="0"/>
                <w:sz w:val="24"/>
                <w:szCs w:val="24"/>
              </w:rPr>
              <w:t>根据《关于淮南市大通工业园区规划环境影响报告书的审查意见》（淮环函[2013]215号），淮南市大通工业园区功能定位是：淮南市电子机械制造加工业基地之一；淮南市医药物流示范园区；淮南市服装加工示范园区。</w:t>
            </w:r>
          </w:p>
          <w:p>
            <w:pPr>
              <w:spacing w:line="360" w:lineRule="auto"/>
              <w:ind w:firstLine="480" w:firstLineChars="200"/>
              <w:rPr>
                <w:color w:val="000000"/>
                <w:sz w:val="24"/>
                <w:szCs w:val="24"/>
              </w:rPr>
            </w:pPr>
            <w:bookmarkStart w:id="0" w:name="_Hlk7957962"/>
            <w:r>
              <w:rPr>
                <w:rFonts w:hint="eastAsia"/>
                <w:color w:val="000000"/>
                <w:sz w:val="24"/>
                <w:szCs w:val="24"/>
              </w:rPr>
              <w:t>本项目与审查意见要求相符性分析</w:t>
            </w:r>
            <w:bookmarkEnd w:id="0"/>
            <w:r>
              <w:rPr>
                <w:rFonts w:hint="eastAsia"/>
                <w:color w:val="000000"/>
                <w:sz w:val="24"/>
                <w:szCs w:val="24"/>
              </w:rPr>
              <w:t>如下：</w:t>
            </w:r>
          </w:p>
          <w:p>
            <w:pPr>
              <w:jc w:val="center"/>
              <w:rPr>
                <w:rFonts w:eastAsia="宋体"/>
                <w:b/>
                <w:sz w:val="21"/>
                <w:szCs w:val="21"/>
              </w:rPr>
            </w:pPr>
            <w:r>
              <w:rPr>
                <w:rFonts w:eastAsia="宋体"/>
                <w:b/>
                <w:sz w:val="21"/>
                <w:szCs w:val="21"/>
              </w:rPr>
              <w:t>表</w:t>
            </w:r>
            <w:r>
              <w:rPr>
                <w:rFonts w:hint="eastAsia" w:eastAsia="宋体"/>
                <w:b/>
                <w:sz w:val="21"/>
                <w:szCs w:val="21"/>
              </w:rPr>
              <w:t>5本项目与淮南市大通工业园区规划环评审查意见要求相符性分析</w:t>
            </w:r>
            <w:r>
              <w:rPr>
                <w:rFonts w:eastAsia="宋体"/>
                <w:b/>
                <w:sz w:val="21"/>
                <w:szCs w:val="21"/>
              </w:rPr>
              <w:t>一览表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776"/>
              <w:gridCol w:w="396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vAlign w:val="center"/>
                </w:tcPr>
                <w:p>
                  <w:pPr>
                    <w:jc w:val="center"/>
                    <w:rPr>
                      <w:color w:val="000000"/>
                      <w:sz w:val="21"/>
                      <w:szCs w:val="21"/>
                    </w:rPr>
                  </w:pPr>
                  <w:r>
                    <w:rPr>
                      <w:color w:val="000000"/>
                      <w:sz w:val="21"/>
                      <w:szCs w:val="21"/>
                    </w:rPr>
                    <w:t>序号</w:t>
                  </w:r>
                </w:p>
              </w:tc>
              <w:tc>
                <w:tcPr>
                  <w:tcW w:w="3776" w:type="dxa"/>
                  <w:vAlign w:val="center"/>
                </w:tcPr>
                <w:p>
                  <w:pPr>
                    <w:jc w:val="center"/>
                    <w:rPr>
                      <w:color w:val="000000"/>
                      <w:sz w:val="21"/>
                      <w:szCs w:val="21"/>
                    </w:rPr>
                  </w:pPr>
                  <w:r>
                    <w:rPr>
                      <w:rFonts w:hint="eastAsia"/>
                      <w:color w:val="000000"/>
                      <w:sz w:val="21"/>
                      <w:szCs w:val="21"/>
                    </w:rPr>
                    <w:t>淮南市大通工业园区</w:t>
                  </w:r>
                  <w:r>
                    <w:rPr>
                      <w:color w:val="000000"/>
                      <w:sz w:val="21"/>
                      <w:szCs w:val="21"/>
                    </w:rPr>
                    <w:t>规划环评审查意见要求</w:t>
                  </w:r>
                </w:p>
              </w:tc>
              <w:tc>
                <w:tcPr>
                  <w:tcW w:w="3969" w:type="dxa"/>
                  <w:vAlign w:val="center"/>
                </w:tcPr>
                <w:p>
                  <w:pPr>
                    <w:jc w:val="center"/>
                    <w:rPr>
                      <w:color w:val="000000"/>
                      <w:sz w:val="21"/>
                      <w:szCs w:val="21"/>
                    </w:rPr>
                  </w:pPr>
                  <w:r>
                    <w:rPr>
                      <w:color w:val="000000"/>
                      <w:sz w:val="21"/>
                      <w:szCs w:val="21"/>
                    </w:rPr>
                    <w:t>本项目情况</w:t>
                  </w:r>
                </w:p>
              </w:tc>
              <w:tc>
                <w:tcPr>
                  <w:tcW w:w="777" w:type="dxa"/>
                  <w:vAlign w:val="center"/>
                </w:tcPr>
                <w:p>
                  <w:pPr>
                    <w:jc w:val="center"/>
                    <w:rPr>
                      <w:color w:val="000000"/>
                      <w:sz w:val="21"/>
                      <w:szCs w:val="21"/>
                    </w:rPr>
                  </w:pPr>
                  <w:r>
                    <w:rPr>
                      <w:color w:val="00000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vAlign w:val="center"/>
                </w:tcPr>
                <w:p>
                  <w:pPr>
                    <w:jc w:val="center"/>
                    <w:rPr>
                      <w:color w:val="000000"/>
                      <w:sz w:val="21"/>
                      <w:szCs w:val="21"/>
                    </w:rPr>
                  </w:pPr>
                  <w:r>
                    <w:rPr>
                      <w:color w:val="000000"/>
                      <w:sz w:val="21"/>
                      <w:szCs w:val="21"/>
                    </w:rPr>
                    <w:t>1</w:t>
                  </w:r>
                </w:p>
              </w:tc>
              <w:tc>
                <w:tcPr>
                  <w:tcW w:w="3776" w:type="dxa"/>
                  <w:vAlign w:val="center"/>
                </w:tcPr>
                <w:p>
                  <w:pPr>
                    <w:ind w:firstLine="200"/>
                    <w:rPr>
                      <w:color w:val="000000"/>
                      <w:sz w:val="21"/>
                      <w:szCs w:val="21"/>
                    </w:rPr>
                  </w:pPr>
                  <w:r>
                    <w:rPr>
                      <w:rFonts w:hint="eastAsia"/>
                      <w:color w:val="000000"/>
                      <w:sz w:val="21"/>
                      <w:szCs w:val="21"/>
                    </w:rPr>
                    <w:t>淮南市大通工业园区功能定位是：淮南市电子机械制造加工业基地之一；淮南市医药物流示范园区；淮南市服装加工示范园区。</w:t>
                  </w:r>
                </w:p>
              </w:tc>
              <w:tc>
                <w:tcPr>
                  <w:tcW w:w="3969" w:type="dxa"/>
                  <w:vAlign w:val="center"/>
                </w:tcPr>
                <w:p>
                  <w:pPr>
                    <w:ind w:firstLine="200"/>
                    <w:rPr>
                      <w:color w:val="000000"/>
                      <w:sz w:val="21"/>
                      <w:szCs w:val="21"/>
                    </w:rPr>
                  </w:pPr>
                  <w:r>
                    <w:rPr>
                      <w:rFonts w:hint="eastAsia" w:eastAsia="宋体"/>
                      <w:color w:val="000000"/>
                      <w:sz w:val="21"/>
                      <w:szCs w:val="21"/>
                    </w:rPr>
                    <w:t>本项目从事手机外壳</w:t>
                  </w:r>
                  <w:r>
                    <w:rPr>
                      <w:rFonts w:hint="eastAsia" w:eastAsia="宋体"/>
                      <w:color w:val="000000"/>
                      <w:sz w:val="21"/>
                      <w:szCs w:val="21"/>
                      <w:lang w:eastAsia="zh-CN"/>
                    </w:rPr>
                    <w:t>、</w:t>
                  </w:r>
                  <w:r>
                    <w:rPr>
                      <w:rFonts w:hint="eastAsia" w:eastAsia="宋体"/>
                      <w:color w:val="000000"/>
                      <w:sz w:val="21"/>
                      <w:szCs w:val="21"/>
                    </w:rPr>
                    <w:t>手机卡托</w:t>
                  </w:r>
                  <w:r>
                    <w:rPr>
                      <w:rFonts w:hint="eastAsia" w:eastAsia="宋体"/>
                      <w:color w:val="000000"/>
                      <w:sz w:val="21"/>
                      <w:szCs w:val="21"/>
                      <w:lang w:eastAsia="zh-CN"/>
                    </w:rPr>
                    <w:t>、</w:t>
                  </w:r>
                  <w:r>
                    <w:rPr>
                      <w:rFonts w:hint="eastAsia" w:eastAsia="宋体"/>
                      <w:color w:val="000000"/>
                      <w:sz w:val="21"/>
                      <w:szCs w:val="21"/>
                    </w:rPr>
                    <w:t>手机音量键</w:t>
                  </w:r>
                  <w:r>
                    <w:rPr>
                      <w:rFonts w:hint="eastAsia" w:eastAsia="宋体"/>
                      <w:color w:val="000000"/>
                      <w:sz w:val="21"/>
                      <w:szCs w:val="21"/>
                      <w:lang w:eastAsia="zh-CN"/>
                    </w:rPr>
                    <w:t>、</w:t>
                  </w:r>
                  <w:r>
                    <w:rPr>
                      <w:rFonts w:hint="eastAsia" w:eastAsia="宋体"/>
                      <w:color w:val="000000"/>
                      <w:sz w:val="21"/>
                      <w:szCs w:val="21"/>
                    </w:rPr>
                    <w:t>手机开关键</w:t>
                  </w:r>
                  <w:r>
                    <w:rPr>
                      <w:rFonts w:hint="eastAsia" w:eastAsia="宋体"/>
                      <w:color w:val="000000"/>
                      <w:sz w:val="21"/>
                      <w:szCs w:val="21"/>
                      <w:lang w:eastAsia="zh-CN"/>
                    </w:rPr>
                    <w:t>、</w:t>
                  </w:r>
                  <w:r>
                    <w:rPr>
                      <w:rFonts w:hint="eastAsia" w:eastAsia="宋体"/>
                      <w:color w:val="000000"/>
                      <w:sz w:val="21"/>
                      <w:szCs w:val="21"/>
                    </w:rPr>
                    <w:t>手环扣</w:t>
                  </w:r>
                  <w:r>
                    <w:rPr>
                      <w:rFonts w:hint="eastAsia" w:eastAsia="宋体"/>
                      <w:color w:val="000000"/>
                      <w:sz w:val="21"/>
                      <w:szCs w:val="21"/>
                      <w:lang w:eastAsia="zh-CN"/>
                    </w:rPr>
                    <w:t>、</w:t>
                  </w:r>
                  <w:r>
                    <w:rPr>
                      <w:rFonts w:hint="eastAsia" w:eastAsia="宋体"/>
                      <w:color w:val="000000"/>
                      <w:sz w:val="21"/>
                      <w:szCs w:val="21"/>
                    </w:rPr>
                    <w:t>相机键生产，属于C33</w:t>
                  </w:r>
                  <w:r>
                    <w:rPr>
                      <w:rFonts w:hint="eastAsia" w:eastAsia="宋体"/>
                      <w:color w:val="000000"/>
                      <w:sz w:val="21"/>
                      <w:szCs w:val="21"/>
                      <w:lang w:val="en-US" w:eastAsia="zh-CN"/>
                    </w:rPr>
                    <w:t>11</w:t>
                  </w:r>
                  <w:r>
                    <w:rPr>
                      <w:rFonts w:hint="eastAsia" w:eastAsia="宋体"/>
                      <w:color w:val="000000"/>
                      <w:sz w:val="21"/>
                      <w:szCs w:val="21"/>
                    </w:rPr>
                    <w:t>金属</w:t>
                  </w:r>
                  <w:r>
                    <w:rPr>
                      <w:rFonts w:hint="eastAsia" w:eastAsia="宋体"/>
                      <w:color w:val="000000"/>
                      <w:sz w:val="21"/>
                      <w:szCs w:val="21"/>
                      <w:lang w:eastAsia="zh-CN"/>
                    </w:rPr>
                    <w:t>结构</w:t>
                  </w:r>
                  <w:r>
                    <w:rPr>
                      <w:rFonts w:hint="eastAsia" w:eastAsia="宋体"/>
                      <w:color w:val="000000"/>
                      <w:sz w:val="21"/>
                      <w:szCs w:val="21"/>
                    </w:rPr>
                    <w:t>制造，符合淮南市大通工业园区功能定位，符合规划环评</w:t>
                  </w:r>
                  <w:r>
                    <w:rPr>
                      <w:color w:val="000000"/>
                      <w:sz w:val="21"/>
                      <w:szCs w:val="21"/>
                    </w:rPr>
                    <w:t>要求</w:t>
                  </w:r>
                </w:p>
              </w:tc>
              <w:tc>
                <w:tcPr>
                  <w:tcW w:w="777" w:type="dxa"/>
                  <w:vAlign w:val="center"/>
                </w:tcPr>
                <w:p>
                  <w:pPr>
                    <w:jc w:val="center"/>
                    <w:rPr>
                      <w:color w:val="000000"/>
                      <w:sz w:val="21"/>
                      <w:szCs w:val="21"/>
                    </w:rPr>
                  </w:pPr>
                  <w:r>
                    <w:rPr>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vAlign w:val="center"/>
                </w:tcPr>
                <w:p>
                  <w:pPr>
                    <w:jc w:val="center"/>
                    <w:rPr>
                      <w:color w:val="000000"/>
                      <w:sz w:val="21"/>
                      <w:szCs w:val="21"/>
                    </w:rPr>
                  </w:pPr>
                  <w:r>
                    <w:rPr>
                      <w:color w:val="000000"/>
                      <w:sz w:val="21"/>
                      <w:szCs w:val="21"/>
                    </w:rPr>
                    <w:t>2</w:t>
                  </w:r>
                </w:p>
              </w:tc>
              <w:tc>
                <w:tcPr>
                  <w:tcW w:w="3776" w:type="dxa"/>
                  <w:vAlign w:val="center"/>
                </w:tcPr>
                <w:p>
                  <w:pPr>
                    <w:jc w:val="center"/>
                    <w:rPr>
                      <w:color w:val="000000"/>
                      <w:sz w:val="21"/>
                      <w:szCs w:val="21"/>
                    </w:rPr>
                  </w:pPr>
                  <w:r>
                    <w:rPr>
                      <w:color w:val="000000"/>
                      <w:sz w:val="21"/>
                      <w:szCs w:val="21"/>
                    </w:rPr>
                    <w:t>严格控制污染严重和有重大环境风险隐患的企业入园区</w:t>
                  </w:r>
                  <w:r>
                    <w:rPr>
                      <w:rFonts w:hint="eastAsia"/>
                      <w:color w:val="000000"/>
                      <w:sz w:val="21"/>
                      <w:szCs w:val="21"/>
                    </w:rPr>
                    <w:t>，</w:t>
                  </w:r>
                  <w:r>
                    <w:rPr>
                      <w:color w:val="000000"/>
                      <w:sz w:val="21"/>
                      <w:szCs w:val="21"/>
                    </w:rPr>
                    <w:t>高污染</w:t>
                  </w:r>
                  <w:r>
                    <w:rPr>
                      <w:rFonts w:hint="eastAsia"/>
                      <w:color w:val="000000"/>
                      <w:sz w:val="21"/>
                      <w:szCs w:val="21"/>
                    </w:rPr>
                    <w:t>、</w:t>
                  </w:r>
                  <w:r>
                    <w:rPr>
                      <w:color w:val="000000"/>
                      <w:sz w:val="21"/>
                      <w:szCs w:val="21"/>
                    </w:rPr>
                    <w:t>高能耗</w:t>
                  </w:r>
                  <w:r>
                    <w:rPr>
                      <w:rFonts w:hint="eastAsia"/>
                      <w:color w:val="000000"/>
                      <w:sz w:val="21"/>
                      <w:szCs w:val="21"/>
                    </w:rPr>
                    <w:t>、</w:t>
                  </w:r>
                  <w:r>
                    <w:rPr>
                      <w:color w:val="000000"/>
                      <w:sz w:val="21"/>
                      <w:szCs w:val="21"/>
                    </w:rPr>
                    <w:t>高水耗项目不得入园区</w:t>
                  </w:r>
                  <w:r>
                    <w:rPr>
                      <w:rFonts w:hint="eastAsia"/>
                      <w:color w:val="000000"/>
                      <w:sz w:val="21"/>
                      <w:szCs w:val="21"/>
                    </w:rPr>
                    <w:t>；</w:t>
                  </w:r>
                  <w:r>
                    <w:rPr>
                      <w:color w:val="000000"/>
                      <w:sz w:val="21"/>
                      <w:szCs w:val="21"/>
                    </w:rPr>
                    <w:t>不符合国家产业政策</w:t>
                  </w:r>
                  <w:r>
                    <w:rPr>
                      <w:rFonts w:hint="eastAsia"/>
                      <w:color w:val="000000"/>
                      <w:sz w:val="21"/>
                      <w:szCs w:val="21"/>
                    </w:rPr>
                    <w:t>、</w:t>
                  </w:r>
                  <w:r>
                    <w:rPr>
                      <w:color w:val="000000"/>
                      <w:sz w:val="21"/>
                      <w:szCs w:val="21"/>
                    </w:rPr>
                    <w:t>环保政策及产业园要求的项目不得入园区</w:t>
                  </w:r>
                  <w:r>
                    <w:rPr>
                      <w:rFonts w:hint="eastAsia"/>
                      <w:color w:val="000000"/>
                      <w:sz w:val="21"/>
                      <w:szCs w:val="21"/>
                    </w:rPr>
                    <w:t>。</w:t>
                  </w:r>
                </w:p>
              </w:tc>
              <w:tc>
                <w:tcPr>
                  <w:tcW w:w="3969" w:type="dxa"/>
                  <w:vAlign w:val="center"/>
                </w:tcPr>
                <w:p>
                  <w:pPr>
                    <w:jc w:val="center"/>
                    <w:rPr>
                      <w:color w:val="000000"/>
                      <w:sz w:val="21"/>
                      <w:szCs w:val="21"/>
                    </w:rPr>
                  </w:pPr>
                  <w:r>
                    <w:rPr>
                      <w:color w:val="000000"/>
                      <w:sz w:val="21"/>
                      <w:szCs w:val="21"/>
                    </w:rPr>
                    <w:t>本项目不属于高污染</w:t>
                  </w:r>
                  <w:r>
                    <w:rPr>
                      <w:rFonts w:hint="eastAsia"/>
                      <w:color w:val="000000"/>
                      <w:sz w:val="21"/>
                      <w:szCs w:val="21"/>
                    </w:rPr>
                    <w:t>、</w:t>
                  </w:r>
                  <w:r>
                    <w:rPr>
                      <w:color w:val="000000"/>
                      <w:sz w:val="21"/>
                      <w:szCs w:val="21"/>
                    </w:rPr>
                    <w:t>高能耗</w:t>
                  </w:r>
                  <w:r>
                    <w:rPr>
                      <w:rFonts w:hint="eastAsia"/>
                      <w:color w:val="000000"/>
                      <w:sz w:val="21"/>
                      <w:szCs w:val="21"/>
                    </w:rPr>
                    <w:t>、</w:t>
                  </w:r>
                  <w:r>
                    <w:rPr>
                      <w:color w:val="000000"/>
                      <w:sz w:val="21"/>
                      <w:szCs w:val="21"/>
                    </w:rPr>
                    <w:t>高水耗项目</w:t>
                  </w:r>
                  <w:r>
                    <w:rPr>
                      <w:rFonts w:hint="eastAsia"/>
                      <w:color w:val="000000"/>
                      <w:sz w:val="21"/>
                      <w:szCs w:val="21"/>
                    </w:rPr>
                    <w:t>，</w:t>
                  </w:r>
                  <w:r>
                    <w:rPr>
                      <w:color w:val="000000"/>
                      <w:sz w:val="21"/>
                      <w:szCs w:val="21"/>
                    </w:rPr>
                    <w:t>并且本项目经淮南市大通区发展和改革委员会同意备案</w:t>
                  </w:r>
                </w:p>
              </w:tc>
              <w:tc>
                <w:tcPr>
                  <w:tcW w:w="777" w:type="dxa"/>
                  <w:vAlign w:val="center"/>
                </w:tcPr>
                <w:p>
                  <w:pPr>
                    <w:jc w:val="center"/>
                    <w:rPr>
                      <w:color w:val="000000"/>
                      <w:sz w:val="21"/>
                      <w:szCs w:val="21"/>
                    </w:rPr>
                  </w:pPr>
                  <w:r>
                    <w:rPr>
                      <w:color w:val="000000"/>
                      <w:sz w:val="21"/>
                      <w:szCs w:val="21"/>
                    </w:rPr>
                    <w:t>相符</w:t>
                  </w:r>
                </w:p>
              </w:tc>
            </w:tr>
          </w:tbl>
          <w:p>
            <w:pPr>
              <w:pStyle w:val="81"/>
              <w:ind w:firstLine="480"/>
              <w:rPr>
                <w:rFonts w:ascii="Times New Roman" w:cs="Times New Roman"/>
                <w:color w:val="000000"/>
                <w:kern w:val="0"/>
                <w:sz w:val="24"/>
                <w:szCs w:val="24"/>
              </w:rPr>
            </w:pPr>
            <w:r>
              <w:rPr>
                <w:rFonts w:hint="eastAsia" w:ascii="Times New Roman" w:cs="Times New Roman"/>
                <w:color w:val="000000"/>
                <w:kern w:val="0"/>
                <w:sz w:val="24"/>
                <w:szCs w:val="24"/>
              </w:rPr>
              <w:t>由上表可知，本项目符合国家产业政策和淮南市大通工业园区产业政策</w:t>
            </w:r>
            <w:r>
              <w:rPr>
                <w:rFonts w:ascii="Times New Roman" w:cs="Times New Roman"/>
                <w:color w:val="000000"/>
                <w:kern w:val="0"/>
                <w:sz w:val="24"/>
                <w:szCs w:val="24"/>
              </w:rPr>
              <w:t>要求</w:t>
            </w:r>
            <w:r>
              <w:rPr>
                <w:rFonts w:hint="eastAsia" w:ascii="Times New Roman" w:cs="Times New Roman"/>
                <w:color w:val="000000"/>
                <w:kern w:val="0"/>
                <w:sz w:val="24"/>
                <w:szCs w:val="24"/>
              </w:rPr>
              <w:t>，且不属于水耗、能耗高、废水排放量大的项目。因此，本项目符合淮南市大通工业园区规划环评审查意见的相关要求。</w:t>
            </w:r>
          </w:p>
          <w:p>
            <w:pPr>
              <w:pStyle w:val="81"/>
              <w:ind w:firstLine="480"/>
              <w:rPr>
                <w:rFonts w:ascii="Times New Roman" w:cs="Times New Roman"/>
                <w:kern w:val="0"/>
                <w:sz w:val="24"/>
                <w:szCs w:val="24"/>
              </w:rPr>
            </w:pPr>
            <w:r>
              <w:rPr>
                <w:rFonts w:ascii="Times New Roman" w:cs="Times New Roman"/>
                <w:kern w:val="0"/>
                <w:sz w:val="24"/>
                <w:szCs w:val="24"/>
              </w:rPr>
              <w:t>（</w:t>
            </w:r>
            <w:r>
              <w:rPr>
                <w:rFonts w:hint="eastAsia" w:ascii="Times New Roman" w:cs="Times New Roman"/>
                <w:kern w:val="0"/>
                <w:sz w:val="24"/>
                <w:szCs w:val="24"/>
              </w:rPr>
              <w:t>3</w:t>
            </w:r>
            <w:r>
              <w:rPr>
                <w:rFonts w:ascii="Times New Roman" w:cs="Times New Roman"/>
                <w:kern w:val="0"/>
                <w:sz w:val="24"/>
                <w:szCs w:val="24"/>
              </w:rPr>
              <w:t>）</w:t>
            </w:r>
            <w:r>
              <w:rPr>
                <w:rFonts w:hint="eastAsia" w:ascii="Times New Roman" w:cs="Times New Roman"/>
                <w:kern w:val="0"/>
                <w:sz w:val="24"/>
                <w:szCs w:val="24"/>
              </w:rPr>
              <w:t>项目与《印发打赢蓝天保卫战三年行动计划》、《安徽省打赢蓝天保卫战三年行动计划实施方案》符合性分析</w:t>
            </w:r>
          </w:p>
          <w:p>
            <w:pPr>
              <w:spacing w:line="360" w:lineRule="auto"/>
              <w:ind w:firstLine="480" w:firstLineChars="200"/>
              <w:rPr>
                <w:bCs/>
                <w:color w:val="000000"/>
                <w:sz w:val="24"/>
                <w:szCs w:val="24"/>
              </w:rPr>
            </w:pPr>
            <w:r>
              <w:rPr>
                <w:rFonts w:hint="eastAsia"/>
                <w:bCs/>
                <w:color w:val="000000"/>
                <w:sz w:val="24"/>
                <w:szCs w:val="24"/>
              </w:rPr>
              <w:t>根据《打赢蓝天保卫战三年行动计划》（国发〔</w:t>
            </w:r>
            <w:r>
              <w:rPr>
                <w:bCs/>
                <w:color w:val="000000"/>
                <w:sz w:val="24"/>
                <w:szCs w:val="24"/>
              </w:rPr>
              <w:t>2018〕22号），安徽省属于重点区域范围，持续开展大气污染防治行动。</w:t>
            </w:r>
          </w:p>
          <w:p>
            <w:pPr>
              <w:spacing w:line="360" w:lineRule="auto"/>
              <w:ind w:firstLine="480" w:firstLineChars="200"/>
              <w:rPr>
                <w:bCs/>
                <w:color w:val="000000"/>
                <w:sz w:val="24"/>
                <w:szCs w:val="24"/>
              </w:rPr>
            </w:pPr>
            <w:r>
              <w:rPr>
                <w:rFonts w:hint="eastAsia"/>
                <w:bCs/>
                <w:color w:val="000000"/>
                <w:sz w:val="24"/>
                <w:szCs w:val="24"/>
              </w:rPr>
              <w:t>本项目与《打赢蓝天保卫战三年行动计划》、《安徽省打赢蓝天保卫战三年行动计划实施方案》相符性分析如下：</w:t>
            </w:r>
          </w:p>
          <w:p>
            <w:pPr>
              <w:jc w:val="center"/>
              <w:rPr>
                <w:rFonts w:eastAsia="宋体"/>
                <w:b/>
                <w:sz w:val="21"/>
                <w:szCs w:val="21"/>
              </w:rPr>
            </w:pPr>
            <w:r>
              <w:rPr>
                <w:rFonts w:eastAsia="宋体"/>
                <w:b/>
                <w:sz w:val="21"/>
                <w:szCs w:val="21"/>
              </w:rPr>
              <w:t>表</w:t>
            </w:r>
            <w:r>
              <w:rPr>
                <w:rFonts w:hint="eastAsia" w:eastAsia="宋体"/>
                <w:b/>
                <w:sz w:val="21"/>
                <w:szCs w:val="21"/>
              </w:rPr>
              <w:t>6</w:t>
            </w:r>
            <w:r>
              <w:rPr>
                <w:rFonts w:eastAsia="宋体"/>
                <w:b/>
                <w:sz w:val="21"/>
                <w:szCs w:val="21"/>
              </w:rPr>
              <w:t>本项目与《打赢蓝天保卫战三年行动计划》</w:t>
            </w:r>
            <w:r>
              <w:rPr>
                <w:rFonts w:hint="eastAsia" w:eastAsia="宋体"/>
                <w:b/>
                <w:sz w:val="21"/>
                <w:szCs w:val="21"/>
              </w:rPr>
              <w:t>、《安徽省打赢蓝天保卫战三年行动计划实施方案》</w:t>
            </w:r>
            <w:r>
              <w:rPr>
                <w:rFonts w:eastAsia="宋体"/>
                <w:b/>
                <w:sz w:val="21"/>
                <w:szCs w:val="21"/>
              </w:rPr>
              <w:t>相符性分析一览表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4636"/>
              <w:gridCol w:w="2679"/>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85" w:type="dxa"/>
                  <w:gridSpan w:val="2"/>
                  <w:vAlign w:val="center"/>
                </w:tcPr>
                <w:p>
                  <w:pPr>
                    <w:snapToGrid w:val="0"/>
                    <w:jc w:val="center"/>
                    <w:rPr>
                      <w:color w:val="000000"/>
                      <w:sz w:val="21"/>
                      <w:szCs w:val="21"/>
                    </w:rPr>
                  </w:pPr>
                  <w:r>
                    <w:rPr>
                      <w:rFonts w:hint="eastAsia"/>
                      <w:color w:val="000000"/>
                      <w:sz w:val="21"/>
                      <w:szCs w:val="21"/>
                    </w:rPr>
                    <w:t>《打赢蓝天保卫战三年行动计划》、</w:t>
                  </w:r>
                  <w:r>
                    <w:rPr>
                      <w:rFonts w:hint="eastAsia"/>
                      <w:bCs/>
                      <w:color w:val="000000"/>
                      <w:sz w:val="21"/>
                      <w:szCs w:val="21"/>
                    </w:rPr>
                    <w:t>《安徽省打赢蓝天保卫战三年行动计划实施方案》</w:t>
                  </w:r>
                  <w:r>
                    <w:rPr>
                      <w:rFonts w:hint="eastAsia"/>
                      <w:color w:val="000000"/>
                      <w:sz w:val="21"/>
                      <w:szCs w:val="21"/>
                    </w:rPr>
                    <w:t>相关</w:t>
                  </w:r>
                  <w:r>
                    <w:rPr>
                      <w:color w:val="000000"/>
                      <w:sz w:val="21"/>
                      <w:szCs w:val="21"/>
                    </w:rPr>
                    <w:t>要求</w:t>
                  </w:r>
                </w:p>
              </w:tc>
              <w:tc>
                <w:tcPr>
                  <w:tcW w:w="2679" w:type="dxa"/>
                  <w:vAlign w:val="center"/>
                </w:tcPr>
                <w:p>
                  <w:pPr>
                    <w:snapToGrid w:val="0"/>
                    <w:jc w:val="center"/>
                    <w:rPr>
                      <w:color w:val="000000"/>
                      <w:sz w:val="21"/>
                      <w:szCs w:val="21"/>
                    </w:rPr>
                  </w:pPr>
                  <w:r>
                    <w:rPr>
                      <w:color w:val="000000"/>
                      <w:sz w:val="21"/>
                      <w:szCs w:val="21"/>
                    </w:rPr>
                    <w:t>本项目相符性分析</w:t>
                  </w:r>
                </w:p>
              </w:tc>
              <w:tc>
                <w:tcPr>
                  <w:tcW w:w="772" w:type="dxa"/>
                  <w:vAlign w:val="center"/>
                </w:tcPr>
                <w:p>
                  <w:pPr>
                    <w:snapToGrid w:val="0"/>
                    <w:jc w:val="center"/>
                    <w:rPr>
                      <w:color w:val="000000"/>
                      <w:sz w:val="21"/>
                      <w:szCs w:val="21"/>
                    </w:rPr>
                  </w:pPr>
                  <w:r>
                    <w:rPr>
                      <w:rFonts w:hint="eastAsia"/>
                      <w:color w:val="000000"/>
                      <w:sz w:val="21"/>
                      <w:szCs w:val="21"/>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9" w:type="dxa"/>
                  <w:vAlign w:val="center"/>
                </w:tcPr>
                <w:p>
                  <w:pPr>
                    <w:snapToGrid w:val="0"/>
                    <w:jc w:val="center"/>
                    <w:rPr>
                      <w:color w:val="000000"/>
                      <w:sz w:val="21"/>
                      <w:szCs w:val="21"/>
                    </w:rPr>
                  </w:pPr>
                  <w:r>
                    <w:rPr>
                      <w:rFonts w:hint="eastAsia"/>
                      <w:color w:val="000000"/>
                      <w:sz w:val="21"/>
                      <w:szCs w:val="21"/>
                    </w:rPr>
                    <w:t>调整优化产业结构，推进产业绿色发展</w:t>
                  </w:r>
                </w:p>
              </w:tc>
              <w:tc>
                <w:tcPr>
                  <w:tcW w:w="4636" w:type="dxa"/>
                  <w:vAlign w:val="center"/>
                </w:tcPr>
                <w:p>
                  <w:pPr>
                    <w:snapToGrid w:val="0"/>
                    <w:ind w:firstLine="420" w:firstLineChars="200"/>
                    <w:rPr>
                      <w:color w:val="000000"/>
                      <w:sz w:val="21"/>
                      <w:szCs w:val="21"/>
                      <w:lang w:bidi="en-US"/>
                    </w:rPr>
                  </w:pPr>
                  <w:r>
                    <w:rPr>
                      <w:color w:val="000000"/>
                      <w:sz w:val="21"/>
                      <w:szCs w:val="21"/>
                      <w:lang w:bidi="en-US"/>
                    </w:rPr>
                    <w:t>（五）严控“两高”行业产能</w:t>
                  </w:r>
                </w:p>
                <w:p>
                  <w:pPr>
                    <w:snapToGrid w:val="0"/>
                    <w:ind w:firstLine="420" w:firstLineChars="200"/>
                    <w:rPr>
                      <w:color w:val="000000"/>
                      <w:sz w:val="21"/>
                      <w:szCs w:val="21"/>
                      <w:lang w:bidi="en-US"/>
                    </w:rPr>
                  </w:pPr>
                  <w:r>
                    <w:rPr>
                      <w:rFonts w:hint="eastAsia"/>
                      <w:color w:val="000000"/>
                      <w:sz w:val="21"/>
                      <w:szCs w:val="21"/>
                      <w:lang w:bidi="en-US"/>
                    </w:rPr>
                    <w:t>重点区域严禁新增钢铁、焦化、电解铝、铸造、水泥和平板玻璃等产能；严格执行钢铁、水泥、平板玻璃等行业产能置换实施办法；新、改、扩建涉及大宗物料运输的建设项目，原则上不得采用公路运输。</w:t>
                  </w:r>
                </w:p>
              </w:tc>
              <w:tc>
                <w:tcPr>
                  <w:tcW w:w="2679" w:type="dxa"/>
                  <w:vAlign w:val="center"/>
                </w:tcPr>
                <w:p>
                  <w:pPr>
                    <w:snapToGrid w:val="0"/>
                    <w:ind w:firstLine="420" w:firstLineChars="200"/>
                    <w:rPr>
                      <w:color w:val="000000"/>
                      <w:sz w:val="21"/>
                      <w:szCs w:val="21"/>
                      <w:lang w:bidi="en-US"/>
                    </w:rPr>
                  </w:pPr>
                  <w:r>
                    <w:rPr>
                      <w:rFonts w:hint="eastAsia"/>
                      <w:color w:val="000000"/>
                      <w:sz w:val="21"/>
                      <w:szCs w:val="21"/>
                      <w:lang w:bidi="en-US"/>
                    </w:rPr>
                    <w:t>本项目不属于钢铁、焦化、电解铝、铸造、水泥和平板玻璃等行业，不涉及大宗物料运输。因此，本项目满足行业产能控制要求。</w:t>
                  </w:r>
                </w:p>
              </w:tc>
              <w:tc>
                <w:tcPr>
                  <w:tcW w:w="772" w:type="dxa"/>
                  <w:vAlign w:val="center"/>
                </w:tcPr>
                <w:p>
                  <w:pPr>
                    <w:jc w:val="center"/>
                    <w:rPr>
                      <w:color w:val="000000"/>
                      <w:sz w:val="21"/>
                      <w:szCs w:val="21"/>
                    </w:rPr>
                  </w:pPr>
                  <w:r>
                    <w:rPr>
                      <w:rFonts w:hint="eastAsia"/>
                      <w:color w:val="000000"/>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9" w:type="dxa"/>
                  <w:vAlign w:val="center"/>
                </w:tcPr>
                <w:p>
                  <w:pPr>
                    <w:snapToGrid w:val="0"/>
                    <w:jc w:val="center"/>
                    <w:rPr>
                      <w:color w:val="000000"/>
                      <w:sz w:val="21"/>
                      <w:szCs w:val="21"/>
                    </w:rPr>
                  </w:pPr>
                  <w:r>
                    <w:rPr>
                      <w:rFonts w:hint="eastAsia"/>
                      <w:color w:val="000000"/>
                      <w:sz w:val="21"/>
                      <w:szCs w:val="21"/>
                    </w:rPr>
                    <w:t>实施重大专项行动，大幅降低污染物排放</w:t>
                  </w:r>
                </w:p>
              </w:tc>
              <w:tc>
                <w:tcPr>
                  <w:tcW w:w="4636" w:type="dxa"/>
                  <w:vAlign w:val="center"/>
                </w:tcPr>
                <w:p>
                  <w:pPr>
                    <w:snapToGrid w:val="0"/>
                    <w:ind w:firstLine="420" w:firstLineChars="200"/>
                    <w:rPr>
                      <w:color w:val="000000"/>
                      <w:sz w:val="21"/>
                      <w:szCs w:val="21"/>
                    </w:rPr>
                  </w:pPr>
                  <w:r>
                    <w:rPr>
                      <w:color w:val="000000"/>
                      <w:sz w:val="21"/>
                      <w:szCs w:val="21"/>
                    </w:rPr>
                    <w:t>（二十五）实施VOCs专项整治方案</w:t>
                  </w:r>
                  <w:r>
                    <w:rPr>
                      <w:rFonts w:hint="eastAsia"/>
                      <w:color w:val="000000"/>
                      <w:sz w:val="21"/>
                      <w:szCs w:val="21"/>
                    </w:rPr>
                    <w:t>制定石化、化工、工业涂装、包装印刷等VOCs排放重点行业和油品储运销综合整治方案，出台泄漏检测与修复标准，编制VOCs治理技术指南。重点区域禁止建设生产和使用高VOCs含量的溶剂型涂料、油墨、胶粘剂等项目，加大餐饮油烟治理力度。开展VOCs整治专项执法行动，严厉打击违法排污行为，对治理效果差、技术服务能力弱、运营管理水平低的治理单位，公布名单，实行联合惩戒，扶持培育VOCs治理和服务专业化规模化龙头企业。2020年，VOCs排放总量较2015年下降10%以上</w:t>
                  </w:r>
                </w:p>
              </w:tc>
              <w:tc>
                <w:tcPr>
                  <w:tcW w:w="2679" w:type="dxa"/>
                  <w:vAlign w:val="center"/>
                </w:tcPr>
                <w:p>
                  <w:pPr>
                    <w:snapToGrid w:val="0"/>
                    <w:ind w:firstLine="420" w:firstLineChars="200"/>
                    <w:jc w:val="left"/>
                    <w:rPr>
                      <w:color w:val="000000"/>
                      <w:sz w:val="21"/>
                      <w:szCs w:val="21"/>
                      <w:lang w:bidi="en-US"/>
                    </w:rPr>
                  </w:pPr>
                  <w:r>
                    <w:rPr>
                      <w:rFonts w:hint="eastAsia"/>
                      <w:color w:val="000000"/>
                      <w:sz w:val="21"/>
                      <w:szCs w:val="21"/>
                      <w:lang w:bidi="en-US"/>
                    </w:rPr>
                    <w:t>本项目不涉及VOCs、粉尘排放。项目</w:t>
                  </w:r>
                  <w:r>
                    <w:rPr>
                      <w:rFonts w:hint="eastAsia"/>
                      <w:color w:val="000000"/>
                      <w:sz w:val="21"/>
                      <w:szCs w:val="21"/>
                      <w:lang w:eastAsia="zh-CN" w:bidi="en-US"/>
                    </w:rPr>
                    <w:t>切割粉尘和打磨粉尘</w:t>
                  </w:r>
                  <w:r>
                    <w:rPr>
                      <w:rFonts w:hint="eastAsia"/>
                      <w:color w:val="000000"/>
                      <w:sz w:val="21"/>
                      <w:szCs w:val="21"/>
                      <w:lang w:bidi="en-US"/>
                    </w:rPr>
                    <w:t>经过处理后达标排放。</w:t>
                  </w:r>
                </w:p>
              </w:tc>
              <w:tc>
                <w:tcPr>
                  <w:tcW w:w="772" w:type="dxa"/>
                  <w:vAlign w:val="center"/>
                </w:tcPr>
                <w:p>
                  <w:pPr>
                    <w:jc w:val="center"/>
                    <w:rPr>
                      <w:color w:val="000000"/>
                      <w:sz w:val="21"/>
                      <w:szCs w:val="21"/>
                    </w:rPr>
                  </w:pPr>
                  <w:r>
                    <w:rPr>
                      <w:rFonts w:hint="eastAsia"/>
                      <w:color w:val="000000"/>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9" w:type="dxa"/>
                  <w:vAlign w:val="center"/>
                </w:tcPr>
                <w:p>
                  <w:pPr>
                    <w:snapToGrid w:val="0"/>
                    <w:jc w:val="center"/>
                    <w:rPr>
                      <w:color w:val="000000"/>
                      <w:sz w:val="21"/>
                      <w:szCs w:val="21"/>
                    </w:rPr>
                  </w:pPr>
                  <w:r>
                    <w:rPr>
                      <w:rFonts w:hint="eastAsia"/>
                      <w:color w:val="000000"/>
                      <w:sz w:val="21"/>
                      <w:szCs w:val="21"/>
                    </w:rPr>
                    <w:t>明确落实各方责任，动员全社会广泛参与</w:t>
                  </w:r>
                </w:p>
              </w:tc>
              <w:tc>
                <w:tcPr>
                  <w:tcW w:w="4636" w:type="dxa"/>
                  <w:vAlign w:val="center"/>
                </w:tcPr>
                <w:p>
                  <w:pPr>
                    <w:snapToGrid w:val="0"/>
                    <w:ind w:firstLine="420" w:firstLineChars="200"/>
                    <w:rPr>
                      <w:color w:val="000000"/>
                      <w:sz w:val="21"/>
                      <w:szCs w:val="21"/>
                    </w:rPr>
                  </w:pPr>
                  <w:r>
                    <w:rPr>
                      <w:rFonts w:hint="eastAsia"/>
                      <w:color w:val="000000"/>
                      <w:sz w:val="21"/>
                      <w:szCs w:val="21"/>
                    </w:rPr>
                    <w:t>（三十八）加强环境信息公开</w:t>
                  </w:r>
                </w:p>
                <w:p>
                  <w:pPr>
                    <w:snapToGrid w:val="0"/>
                    <w:ind w:firstLine="420" w:firstLineChars="200"/>
                    <w:rPr>
                      <w:color w:val="000000"/>
                      <w:sz w:val="21"/>
                      <w:szCs w:val="21"/>
                    </w:rPr>
                  </w:pPr>
                  <w:r>
                    <w:rPr>
                      <w:rFonts w:hint="eastAsia"/>
                      <w:color w:val="000000"/>
                      <w:sz w:val="21"/>
                      <w:szCs w:val="21"/>
                    </w:rPr>
                    <w:t>建立健全环保信息强制性公开制度。重点排污单位应及时公布自行监测和污染排放数据、污染治理措施、重污染天气应对、环保违法处罚及整改等信息。已核发排污许可证的企业应按要求及时公布执行报告。机动车和非道路移动机械生产、进口企业应依法向社会公开排放检验、污染控制技术等环保信息</w:t>
                  </w:r>
                </w:p>
              </w:tc>
              <w:tc>
                <w:tcPr>
                  <w:tcW w:w="2679" w:type="dxa"/>
                  <w:vAlign w:val="center"/>
                </w:tcPr>
                <w:p>
                  <w:pPr>
                    <w:snapToGrid w:val="0"/>
                    <w:ind w:firstLine="420" w:firstLineChars="200"/>
                    <w:rPr>
                      <w:color w:val="000000"/>
                      <w:sz w:val="21"/>
                      <w:szCs w:val="21"/>
                    </w:rPr>
                  </w:pPr>
                  <w:r>
                    <w:rPr>
                      <w:rFonts w:hint="eastAsia"/>
                      <w:color w:val="000000"/>
                      <w:sz w:val="21"/>
                      <w:szCs w:val="21"/>
                    </w:rPr>
                    <w:t>本项目不属于重点排污单位。本项目营运期将按照相关要求公布污染排放数据、污染治理措施等环境信息。因此，本项目满足环境信息公开的相关要求。</w:t>
                  </w:r>
                </w:p>
              </w:tc>
              <w:tc>
                <w:tcPr>
                  <w:tcW w:w="772" w:type="dxa"/>
                  <w:vAlign w:val="center"/>
                </w:tcPr>
                <w:p>
                  <w:pPr>
                    <w:jc w:val="center"/>
                    <w:rPr>
                      <w:color w:val="000000"/>
                      <w:sz w:val="21"/>
                      <w:szCs w:val="21"/>
                    </w:rPr>
                  </w:pPr>
                  <w:r>
                    <w:rPr>
                      <w:rFonts w:hint="eastAsia"/>
                      <w:color w:val="000000"/>
                      <w:sz w:val="21"/>
                      <w:szCs w:val="21"/>
                    </w:rPr>
                    <w:t>满足</w:t>
                  </w:r>
                </w:p>
              </w:tc>
            </w:tr>
          </w:tbl>
          <w:p>
            <w:pPr>
              <w:snapToGrid w:val="0"/>
              <w:spacing w:line="360" w:lineRule="auto"/>
              <w:ind w:firstLine="480" w:firstLineChars="200"/>
              <w:jc w:val="left"/>
              <w:rPr>
                <w:b/>
                <w:bCs/>
                <w:color w:val="000000"/>
                <w:sz w:val="24"/>
                <w:szCs w:val="24"/>
              </w:rPr>
            </w:pPr>
            <w:r>
              <w:rPr>
                <w:rFonts w:hint="eastAsia"/>
                <w:bCs/>
                <w:color w:val="000000"/>
                <w:sz w:val="24"/>
                <w:szCs w:val="24"/>
              </w:rPr>
              <w:t>综上所述，本项目建设满足《打赢蓝天保卫战三年行动计划》、《安徽省打赢蓝天保卫战三年行动计划实施方案》的相关要求，与该行动计划相符。</w:t>
            </w:r>
          </w:p>
          <w:p>
            <w:pPr>
              <w:pStyle w:val="81"/>
              <w:ind w:firstLine="0" w:firstLineChars="0"/>
              <w:rPr>
                <w:b/>
                <w:kern w:val="0"/>
                <w:sz w:val="24"/>
                <w:szCs w:val="24"/>
              </w:rPr>
            </w:pPr>
            <w:r>
              <w:rPr>
                <w:rFonts w:hint="eastAsia"/>
                <w:b/>
                <w:kern w:val="0"/>
                <w:sz w:val="24"/>
                <w:szCs w:val="24"/>
              </w:rPr>
              <w:t>11、项目与环保“三线一单”控制要求相符性分析</w:t>
            </w:r>
          </w:p>
          <w:p>
            <w:pPr>
              <w:pStyle w:val="81"/>
              <w:ind w:firstLine="480"/>
              <w:rPr>
                <w:rFonts w:ascii="Times New Roman" w:cs="Times New Roman"/>
                <w:kern w:val="0"/>
                <w:sz w:val="24"/>
                <w:szCs w:val="24"/>
              </w:rPr>
            </w:pPr>
            <w:r>
              <w:rPr>
                <w:rFonts w:hint="eastAsia" w:ascii="Times New Roman" w:cs="Times New Roman"/>
                <w:kern w:val="0"/>
                <w:sz w:val="24"/>
                <w:szCs w:val="24"/>
              </w:rPr>
              <w:t>①生态保护红线</w:t>
            </w:r>
          </w:p>
          <w:p>
            <w:pPr>
              <w:pStyle w:val="81"/>
              <w:ind w:firstLine="480"/>
              <w:rPr>
                <w:rFonts w:ascii="Times New Roman" w:cs="Times New Roman"/>
                <w:kern w:val="0"/>
                <w:sz w:val="24"/>
                <w:szCs w:val="24"/>
              </w:rPr>
            </w:pPr>
            <w:r>
              <w:rPr>
                <w:rFonts w:hint="eastAsia" w:ascii="Times New Roman" w:cs="Times New Roman"/>
                <w:kern w:val="0"/>
                <w:sz w:val="24"/>
                <w:szCs w:val="24"/>
              </w:rPr>
              <w:t>项目建设地点位于淮南市大通区</w:t>
            </w:r>
            <w:r>
              <w:rPr>
                <w:rFonts w:hint="eastAsia" w:ascii="Times New Roman" w:cs="Times New Roman"/>
                <w:kern w:val="0"/>
                <w:sz w:val="24"/>
                <w:szCs w:val="24"/>
                <w:lang w:eastAsia="zh-CN"/>
              </w:rPr>
              <w:t>大通区工业新区标准化厂房</w:t>
            </w:r>
            <w:r>
              <w:rPr>
                <w:rFonts w:hint="eastAsia" w:ascii="Times New Roman" w:cs="Times New Roman"/>
                <w:kern w:val="0"/>
                <w:sz w:val="24"/>
                <w:szCs w:val="24"/>
              </w:rPr>
              <w:t>，</w:t>
            </w:r>
            <w:r>
              <w:rPr>
                <w:rFonts w:hint="eastAsia" w:ascii="Times New Roman" w:cs="Times New Roman"/>
                <w:bCs/>
                <w:kern w:val="0"/>
                <w:sz w:val="24"/>
                <w:szCs w:val="24"/>
              </w:rPr>
              <w:t>根据安徽省人民政府2018年6月发布的《安徽省生态保护红线》，项目</w:t>
            </w:r>
            <w:r>
              <w:rPr>
                <w:rFonts w:hint="eastAsia" w:ascii="Times New Roman" w:cs="Times New Roman"/>
                <w:kern w:val="0"/>
                <w:sz w:val="24"/>
                <w:szCs w:val="24"/>
              </w:rPr>
              <w:t>不属于划定的生态红线区域的一级或二级管控区域范围。本项目不涉及生态保护红线。</w:t>
            </w:r>
          </w:p>
          <w:p>
            <w:pPr>
              <w:pStyle w:val="81"/>
              <w:tabs>
                <w:tab w:val="left" w:pos="5678"/>
              </w:tabs>
              <w:ind w:firstLine="480"/>
              <w:rPr>
                <w:rFonts w:ascii="Times New Roman" w:cs="Times New Roman"/>
                <w:kern w:val="0"/>
                <w:sz w:val="24"/>
                <w:szCs w:val="24"/>
              </w:rPr>
            </w:pPr>
            <w:r>
              <w:rPr>
                <w:rFonts w:hint="eastAsia" w:ascii="Times New Roman" w:cs="Times New Roman"/>
                <w:kern w:val="0"/>
                <w:sz w:val="24"/>
                <w:szCs w:val="24"/>
              </w:rPr>
              <w:t>②环境质量底线</w:t>
            </w:r>
          </w:p>
          <w:p>
            <w:pPr>
              <w:pStyle w:val="81"/>
              <w:ind w:firstLine="480"/>
              <w:rPr>
                <w:rFonts w:ascii="Times New Roman" w:cs="Times New Roman"/>
                <w:kern w:val="0"/>
                <w:sz w:val="24"/>
                <w:szCs w:val="24"/>
              </w:rPr>
            </w:pPr>
            <w:r>
              <w:rPr>
                <w:rFonts w:hint="eastAsia" w:ascii="Times New Roman" w:cs="Times New Roman"/>
                <w:kern w:val="0"/>
                <w:sz w:val="24"/>
                <w:szCs w:val="24"/>
              </w:rPr>
              <w:t>项目所在地区域大气环境为二类区，不能满足《环境空气质量标准》（GB3095-2012）；二级标准要求；淮河执行《地表水环境质量标准》（GB3838-2002）中Ⅲ类标准；区域声环境为《声环境质量标准》（GB3096-2008）中的3类区。</w:t>
            </w:r>
          </w:p>
          <w:p>
            <w:pPr>
              <w:pStyle w:val="81"/>
              <w:ind w:firstLine="480"/>
              <w:rPr>
                <w:rFonts w:ascii="Times New Roman" w:cs="Times New Roman"/>
                <w:kern w:val="0"/>
                <w:sz w:val="24"/>
                <w:szCs w:val="24"/>
              </w:rPr>
            </w:pPr>
            <w:r>
              <w:rPr>
                <w:rFonts w:hint="eastAsia" w:ascii="Times New Roman" w:cs="Times New Roman"/>
                <w:kern w:val="0"/>
                <w:sz w:val="24"/>
                <w:szCs w:val="24"/>
              </w:rPr>
              <w:t>根据本次评价对拟建项目的工程分析内容和环境影响预测结果可知，项目在生产过程中排放的各类污染物对评价区域地表水环境、空气环境、声环境质量产生的影响均在环境承载力范围内，不会降低现有环境功能。</w:t>
            </w:r>
          </w:p>
          <w:p>
            <w:pPr>
              <w:pStyle w:val="81"/>
              <w:ind w:firstLine="480"/>
              <w:rPr>
                <w:rFonts w:ascii="Times New Roman" w:cs="Times New Roman"/>
                <w:kern w:val="0"/>
                <w:sz w:val="24"/>
                <w:szCs w:val="24"/>
              </w:rPr>
            </w:pPr>
            <w:r>
              <w:rPr>
                <w:rFonts w:hint="eastAsia" w:ascii="Times New Roman" w:cs="Times New Roman"/>
                <w:kern w:val="0"/>
                <w:sz w:val="24"/>
                <w:szCs w:val="24"/>
              </w:rPr>
              <w:t>③资源利用上线</w:t>
            </w:r>
          </w:p>
          <w:p>
            <w:pPr>
              <w:pStyle w:val="81"/>
              <w:ind w:firstLine="480"/>
              <w:rPr>
                <w:rFonts w:ascii="Times New Roman" w:cs="Times New Roman"/>
                <w:kern w:val="0"/>
                <w:sz w:val="24"/>
                <w:szCs w:val="24"/>
              </w:rPr>
            </w:pPr>
            <w:r>
              <w:rPr>
                <w:rFonts w:hint="eastAsia" w:ascii="Times New Roman" w:cs="Times New Roman"/>
                <w:kern w:val="0"/>
                <w:sz w:val="24"/>
                <w:szCs w:val="24"/>
              </w:rPr>
              <w:t>本项目属于工业用地，租赁厂房面积</w:t>
            </w:r>
            <w:r>
              <w:rPr>
                <w:rFonts w:hint="eastAsia" w:ascii="Times New Roman" w:cs="Times New Roman"/>
                <w:kern w:val="0"/>
                <w:sz w:val="24"/>
                <w:szCs w:val="24"/>
                <w:lang w:val="en-US" w:eastAsia="zh-CN"/>
              </w:rPr>
              <w:t>48</w:t>
            </w:r>
            <w:r>
              <w:rPr>
                <w:rFonts w:hint="eastAsia" w:ascii="Times New Roman" w:cs="Times New Roman"/>
                <w:kern w:val="0"/>
                <w:sz w:val="24"/>
                <w:szCs w:val="24"/>
              </w:rPr>
              <w:t>00m</w:t>
            </w:r>
            <w:r>
              <w:rPr>
                <w:rFonts w:hint="eastAsia" w:ascii="Times New Roman" w:cs="Times New Roman"/>
                <w:kern w:val="0"/>
                <w:sz w:val="24"/>
                <w:szCs w:val="24"/>
                <w:vertAlign w:val="superscript"/>
              </w:rPr>
              <w:t>2</w:t>
            </w:r>
            <w:r>
              <w:rPr>
                <w:rFonts w:hint="eastAsia" w:ascii="Times New Roman" w:cs="Times New Roman"/>
                <w:kern w:val="0"/>
                <w:sz w:val="24"/>
                <w:szCs w:val="24"/>
              </w:rPr>
              <w:t>，用水量</w:t>
            </w:r>
            <w:r>
              <w:rPr>
                <w:rFonts w:hint="eastAsia" w:ascii="Times New Roman" w:cs="Times New Roman"/>
                <w:color w:val="auto"/>
                <w:kern w:val="0"/>
                <w:sz w:val="24"/>
                <w:szCs w:val="24"/>
              </w:rPr>
              <w:t>为450m</w:t>
            </w:r>
            <w:r>
              <w:rPr>
                <w:rFonts w:hint="eastAsia" w:ascii="Times New Roman" w:cs="Times New Roman"/>
                <w:color w:val="auto"/>
                <w:kern w:val="0"/>
                <w:sz w:val="24"/>
                <w:szCs w:val="24"/>
                <w:vertAlign w:val="superscript"/>
              </w:rPr>
              <w:t>3</w:t>
            </w:r>
            <w:r>
              <w:rPr>
                <w:rFonts w:hint="eastAsia" w:ascii="Times New Roman" w:cs="Times New Roman"/>
                <w:color w:val="auto"/>
                <w:kern w:val="0"/>
                <w:sz w:val="24"/>
                <w:szCs w:val="24"/>
              </w:rPr>
              <w:t>/a</w:t>
            </w:r>
            <w:r>
              <w:rPr>
                <w:rFonts w:hint="eastAsia" w:ascii="Times New Roman" w:cs="Times New Roman"/>
                <w:kern w:val="0"/>
                <w:sz w:val="24"/>
                <w:szCs w:val="24"/>
              </w:rPr>
              <w:t>，耗电量为</w:t>
            </w:r>
            <w:r>
              <w:rPr>
                <w:rFonts w:hint="eastAsia" w:ascii="Times New Roman" w:cs="Times New Roman"/>
                <w:kern w:val="0"/>
                <w:sz w:val="24"/>
                <w:szCs w:val="24"/>
                <w:lang w:val="en-US" w:eastAsia="zh-CN"/>
              </w:rPr>
              <w:t>3</w:t>
            </w:r>
            <w:r>
              <w:rPr>
                <w:rFonts w:hint="eastAsia" w:ascii="Times New Roman" w:cs="Times New Roman"/>
                <w:kern w:val="0"/>
                <w:sz w:val="24"/>
                <w:szCs w:val="24"/>
              </w:rPr>
              <w:t>.6万kwh/a，资源利用均在</w:t>
            </w:r>
            <w:r>
              <w:rPr>
                <w:rFonts w:hint="eastAsia" w:ascii="Times New Roman" w:cs="Times New Roman"/>
                <w:kern w:val="0"/>
                <w:sz w:val="24"/>
                <w:szCs w:val="24"/>
                <w:lang w:eastAsia="zh-CN"/>
              </w:rPr>
              <w:t>大通区工业新区</w:t>
            </w:r>
            <w:r>
              <w:rPr>
                <w:rFonts w:hint="eastAsia" w:ascii="Times New Roman" w:cs="Times New Roman"/>
                <w:kern w:val="0"/>
                <w:sz w:val="24"/>
                <w:szCs w:val="24"/>
              </w:rPr>
              <w:t>可承受范围内。</w:t>
            </w:r>
          </w:p>
          <w:p>
            <w:pPr>
              <w:pStyle w:val="81"/>
              <w:ind w:firstLine="480"/>
              <w:rPr>
                <w:rFonts w:ascii="Times New Roman" w:cs="Times New Roman"/>
                <w:kern w:val="0"/>
                <w:sz w:val="24"/>
                <w:szCs w:val="24"/>
              </w:rPr>
            </w:pPr>
            <w:r>
              <w:rPr>
                <w:rFonts w:hint="eastAsia" w:ascii="Times New Roman" w:cs="Times New Roman"/>
                <w:kern w:val="0"/>
                <w:sz w:val="24"/>
                <w:szCs w:val="24"/>
              </w:rPr>
              <w:t>④环境准入负面清单对照</w:t>
            </w:r>
          </w:p>
          <w:p>
            <w:pPr>
              <w:pStyle w:val="81"/>
              <w:ind w:firstLine="480"/>
              <w:rPr>
                <w:rFonts w:ascii="Times New Roman" w:cs="Times New Roman"/>
                <w:kern w:val="0"/>
                <w:sz w:val="24"/>
                <w:szCs w:val="24"/>
              </w:rPr>
            </w:pPr>
            <w:r>
              <w:rPr>
                <w:rFonts w:hint="eastAsia" w:ascii="Times New Roman" w:cs="Times New Roman"/>
                <w:kern w:val="0"/>
                <w:sz w:val="24"/>
                <w:szCs w:val="24"/>
              </w:rPr>
              <w:t>项目为不属于国家“淘汰类”和“限制类”项目，并已取得淮南市大通区发展和改革委员会的备案，符合国家和当地的产业政策。</w:t>
            </w:r>
            <w:r>
              <w:rPr>
                <w:rFonts w:ascii="Times New Roman" w:cs="Times New Roman"/>
                <w:kern w:val="0"/>
                <w:sz w:val="24"/>
                <w:szCs w:val="24"/>
              </w:rPr>
              <w:t>不属于中华人民共和国国家发展和改革委员会颁布的《产业结构调整指导目录(201</w:t>
            </w:r>
            <w:r>
              <w:rPr>
                <w:rFonts w:hint="eastAsia" w:ascii="Times New Roman" w:cs="Times New Roman"/>
                <w:kern w:val="0"/>
                <w:sz w:val="24"/>
                <w:szCs w:val="24"/>
              </w:rPr>
              <w:t>9</w:t>
            </w:r>
            <w:r>
              <w:rPr>
                <w:rFonts w:ascii="Times New Roman" w:cs="Times New Roman"/>
                <w:kern w:val="0"/>
                <w:sz w:val="24"/>
                <w:szCs w:val="24"/>
              </w:rPr>
              <w:t>年本)》中限制类和淘汰类项目；不属于环境保护部发布《环境保护综合目录（2017年版）》中高污染、高环境风险产品。</w:t>
            </w:r>
          </w:p>
          <w:p>
            <w:pPr>
              <w:pStyle w:val="81"/>
              <w:ind w:firstLine="480"/>
              <w:rPr>
                <w:rFonts w:ascii="Times New Roman" w:cs="Times New Roman"/>
                <w:kern w:val="0"/>
                <w:sz w:val="24"/>
                <w:szCs w:val="24"/>
              </w:rPr>
            </w:pPr>
          </w:p>
          <w:p>
            <w:pPr>
              <w:pStyle w:val="81"/>
              <w:ind w:firstLine="480"/>
              <w:rPr>
                <w:rFonts w:ascii="Times New Roman" w:cs="Times New Roman"/>
                <w:kern w:val="0"/>
                <w:sz w:val="24"/>
                <w:szCs w:val="24"/>
              </w:rPr>
            </w:pPr>
          </w:p>
          <w:p>
            <w:pPr>
              <w:pStyle w:val="81"/>
              <w:ind w:firstLine="480"/>
              <w:rPr>
                <w:rFonts w:ascii="Times New Roman" w:cs="Times New Roman"/>
                <w:kern w:val="0"/>
                <w:sz w:val="24"/>
                <w:szCs w:val="24"/>
              </w:rPr>
            </w:pPr>
          </w:p>
          <w:p>
            <w:pPr>
              <w:pStyle w:val="81"/>
              <w:ind w:firstLine="480"/>
              <w:rPr>
                <w:rFonts w:ascii="Times New Roman" w:cs="Times New Roman"/>
                <w:kern w:val="0"/>
                <w:sz w:val="24"/>
                <w:szCs w:val="24"/>
              </w:rPr>
            </w:pPr>
          </w:p>
          <w:p>
            <w:pPr>
              <w:pStyle w:val="81"/>
              <w:ind w:firstLine="480"/>
              <w:rPr>
                <w:rFonts w:ascii="Times New Roman" w:cs="Times New Roman"/>
                <w:kern w:val="0"/>
                <w:sz w:val="24"/>
                <w:szCs w:val="24"/>
              </w:rPr>
            </w:pPr>
          </w:p>
          <w:p>
            <w:pPr>
              <w:pStyle w:val="81"/>
              <w:ind w:firstLine="480"/>
              <w:rPr>
                <w:rFonts w:ascii="Times New Roman" w:cs="Times New Roman"/>
                <w:kern w:val="0"/>
                <w:sz w:val="24"/>
                <w:szCs w:val="24"/>
              </w:rPr>
            </w:pPr>
          </w:p>
          <w:p>
            <w:pPr>
              <w:pStyle w:val="81"/>
              <w:ind w:firstLine="480"/>
              <w:rPr>
                <w:rFonts w:ascii="Times New Roman" w:cs="Times New Roman"/>
                <w:kern w:val="0"/>
                <w:sz w:val="24"/>
                <w:szCs w:val="24"/>
              </w:rPr>
            </w:pPr>
          </w:p>
          <w:p>
            <w:pPr>
              <w:pStyle w:val="81"/>
              <w:ind w:firstLine="480"/>
              <w:rPr>
                <w:rFonts w:ascii="Times New Roman" w:cs="Times New Roman"/>
                <w:kern w:val="0"/>
                <w:sz w:val="24"/>
                <w:szCs w:val="24"/>
              </w:rPr>
            </w:pPr>
          </w:p>
          <w:p>
            <w:pPr>
              <w:pStyle w:val="81"/>
              <w:ind w:firstLine="480"/>
              <w:rPr>
                <w:rFonts w:ascii="Times New Roman" w:cs="Times New Roman"/>
                <w:kern w:val="0"/>
                <w:sz w:val="24"/>
                <w:szCs w:val="24"/>
              </w:rPr>
            </w:pPr>
          </w:p>
          <w:p>
            <w:pPr>
              <w:pStyle w:val="81"/>
              <w:ind w:firstLine="480"/>
              <w:rPr>
                <w:rFonts w:ascii="Times New Roman" w:cs="Times New Roman"/>
                <w:kern w:val="0"/>
                <w:sz w:val="24"/>
                <w:szCs w:val="24"/>
              </w:rPr>
            </w:pPr>
          </w:p>
          <w:p>
            <w:pPr>
              <w:pStyle w:val="81"/>
              <w:ind w:firstLine="48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9362" w:type="dxa"/>
            <w:gridSpan w:val="12"/>
          </w:tcPr>
          <w:p>
            <w:pPr>
              <w:autoSpaceDE w:val="0"/>
              <w:autoSpaceDN w:val="0"/>
              <w:adjustRightInd w:val="0"/>
              <w:spacing w:before="67" w:line="360" w:lineRule="auto"/>
              <w:ind w:left="55" w:right="326"/>
              <w:rPr>
                <w:rFonts w:hAnsi="宋体"/>
                <w:b/>
                <w:sz w:val="24"/>
                <w:szCs w:val="24"/>
              </w:rPr>
            </w:pPr>
            <w:r>
              <w:rPr>
                <w:rFonts w:hAnsi="宋体"/>
                <w:b/>
                <w:sz w:val="24"/>
                <w:szCs w:val="24"/>
              </w:rPr>
              <w:t>与本项目有关的原有污染情况及主要环境问题：</w:t>
            </w:r>
          </w:p>
          <w:p>
            <w:pPr>
              <w:spacing w:line="360" w:lineRule="auto"/>
              <w:ind w:firstLine="480" w:firstLineChars="200"/>
              <w:rPr>
                <w:sz w:val="24"/>
                <w:szCs w:val="24"/>
              </w:rPr>
            </w:pPr>
            <w:r>
              <w:rPr>
                <w:rFonts w:hint="eastAsia"/>
                <w:sz w:val="24"/>
                <w:szCs w:val="24"/>
              </w:rPr>
              <w:t>本项目为新建项目，</w:t>
            </w:r>
            <w:r>
              <w:rPr>
                <w:rFonts w:hint="eastAsia"/>
                <w:sz w:val="24"/>
                <w:szCs w:val="24"/>
                <w:lang w:eastAsia="zh-CN"/>
              </w:rPr>
              <w:t>租赁</w:t>
            </w:r>
            <w:r>
              <w:rPr>
                <w:rFonts w:hint="eastAsia"/>
                <w:sz w:val="24"/>
                <w:szCs w:val="24"/>
              </w:rPr>
              <w:t>现有闲置空厂房进行生产，本项目不涉及原有环境问题。</w:t>
            </w:r>
          </w:p>
          <w:p>
            <w:pPr>
              <w:spacing w:line="360" w:lineRule="auto"/>
              <w:ind w:firstLine="480" w:firstLineChars="200"/>
              <w:rPr>
                <w:color w:val="FF0000"/>
                <w:sz w:val="24"/>
                <w:szCs w:val="24"/>
              </w:rPr>
            </w:pPr>
          </w:p>
          <w:p>
            <w:pPr>
              <w:spacing w:line="360" w:lineRule="auto"/>
              <w:ind w:firstLine="480" w:firstLineChars="200"/>
              <w:rPr>
                <w:color w:val="FF0000"/>
                <w:sz w:val="24"/>
                <w:szCs w:val="24"/>
              </w:rPr>
            </w:pPr>
          </w:p>
          <w:p>
            <w:pPr>
              <w:spacing w:line="360" w:lineRule="auto"/>
              <w:ind w:firstLine="480" w:firstLineChars="200"/>
              <w:rPr>
                <w:rFonts w:hAnsi="宋体"/>
                <w:bCs/>
                <w:sz w:val="24"/>
                <w:szCs w:val="24"/>
              </w:rPr>
            </w:pPr>
          </w:p>
          <w:p>
            <w:pPr>
              <w:spacing w:line="360" w:lineRule="auto"/>
              <w:ind w:firstLine="480" w:firstLineChars="200"/>
              <w:rPr>
                <w:rFonts w:hAnsi="宋体"/>
                <w:bCs/>
                <w:sz w:val="24"/>
                <w:szCs w:val="24"/>
              </w:rPr>
            </w:pPr>
          </w:p>
          <w:p>
            <w:pPr>
              <w:spacing w:line="360" w:lineRule="auto"/>
              <w:ind w:firstLine="480" w:firstLineChars="200"/>
              <w:rPr>
                <w:rFonts w:hAnsi="宋体"/>
                <w:bCs/>
                <w:sz w:val="24"/>
                <w:szCs w:val="24"/>
              </w:rPr>
            </w:pPr>
          </w:p>
          <w:p>
            <w:pPr>
              <w:spacing w:line="360" w:lineRule="auto"/>
              <w:ind w:firstLine="480" w:firstLineChars="200"/>
              <w:rPr>
                <w:rFonts w:hAnsi="宋体"/>
                <w:bCs/>
                <w:sz w:val="24"/>
                <w:szCs w:val="24"/>
              </w:rPr>
            </w:pPr>
          </w:p>
          <w:p>
            <w:pPr>
              <w:spacing w:line="360" w:lineRule="auto"/>
              <w:ind w:firstLine="480" w:firstLineChars="200"/>
              <w:rPr>
                <w:rFonts w:hAnsi="宋体"/>
                <w:bCs/>
                <w:sz w:val="24"/>
                <w:szCs w:val="24"/>
              </w:rPr>
            </w:pPr>
          </w:p>
          <w:p>
            <w:pPr>
              <w:spacing w:line="360" w:lineRule="auto"/>
              <w:ind w:firstLine="480" w:firstLineChars="200"/>
              <w:rPr>
                <w:rFonts w:hAnsi="宋体"/>
                <w:bCs/>
                <w:sz w:val="24"/>
                <w:szCs w:val="24"/>
              </w:rPr>
            </w:pPr>
          </w:p>
          <w:p>
            <w:pPr>
              <w:spacing w:line="360" w:lineRule="auto"/>
              <w:ind w:firstLine="480" w:firstLineChars="200"/>
              <w:rPr>
                <w:rFonts w:hAnsi="宋体"/>
                <w:bCs/>
                <w:sz w:val="24"/>
                <w:szCs w:val="24"/>
              </w:rPr>
            </w:pPr>
          </w:p>
          <w:p>
            <w:pPr>
              <w:spacing w:line="360" w:lineRule="auto"/>
              <w:ind w:firstLine="480" w:firstLineChars="200"/>
              <w:rPr>
                <w:rFonts w:hAnsi="宋体"/>
                <w:bCs/>
                <w:sz w:val="24"/>
                <w:szCs w:val="24"/>
              </w:rPr>
            </w:pPr>
          </w:p>
          <w:p>
            <w:pPr>
              <w:spacing w:line="360" w:lineRule="auto"/>
              <w:rPr>
                <w:rFonts w:hAnsi="宋体"/>
                <w:bCs/>
                <w:sz w:val="24"/>
                <w:szCs w:val="24"/>
              </w:rPr>
            </w:pPr>
          </w:p>
        </w:tc>
      </w:tr>
    </w:tbl>
    <w:p>
      <w:pPr>
        <w:autoSpaceDE w:val="0"/>
        <w:autoSpaceDN w:val="0"/>
        <w:adjustRightInd w:val="0"/>
        <w:spacing w:before="67" w:line="360" w:lineRule="auto"/>
        <w:ind w:right="326"/>
        <w:rPr>
          <w:b/>
          <w:iCs/>
          <w:sz w:val="30"/>
          <w:szCs w:val="30"/>
        </w:rPr>
        <w:sectPr>
          <w:footerReference r:id="rId6" w:type="default"/>
          <w:pgSz w:w="11906" w:h="16838"/>
          <w:pgMar w:top="1440" w:right="1286" w:bottom="1440" w:left="1474" w:header="851" w:footer="992" w:gutter="0"/>
          <w:pgNumType w:start="1"/>
          <w:cols w:space="720" w:num="1"/>
          <w:docGrid w:type="lines" w:linePitch="312" w:charSpace="0"/>
        </w:sectPr>
      </w:pPr>
    </w:p>
    <w:p>
      <w:pPr>
        <w:snapToGrid w:val="0"/>
        <w:spacing w:line="360" w:lineRule="auto"/>
        <w:rPr>
          <w:b/>
          <w:sz w:val="30"/>
          <w:szCs w:val="30"/>
        </w:rPr>
      </w:pPr>
      <w:r>
        <w:rPr>
          <w:b/>
          <w:sz w:val="30"/>
          <w:szCs w:val="30"/>
        </w:rPr>
        <w:t>建设项目所在地自然环境简况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spacing w:line="520" w:lineRule="exact"/>
              <w:rPr>
                <w:spacing w:val="6"/>
                <w:sz w:val="28"/>
              </w:rPr>
            </w:pPr>
            <w:r>
              <w:rPr>
                <w:b/>
                <w:bCs/>
                <w:spacing w:val="6"/>
                <w:sz w:val="28"/>
              </w:rPr>
              <w:t>自然环境简况</w:t>
            </w:r>
            <w:r>
              <w:rPr>
                <w:spacing w:val="6"/>
                <w:sz w:val="28"/>
              </w:rPr>
              <w:t>（地形、地貌、地质、气象、水文、植被、生物多样性等）：</w:t>
            </w:r>
          </w:p>
          <w:p>
            <w:pPr>
              <w:spacing w:line="520" w:lineRule="exact"/>
              <w:ind w:firstLine="506" w:firstLineChars="200"/>
              <w:jc w:val="left"/>
              <w:rPr>
                <w:b/>
                <w:spacing w:val="6"/>
                <w:sz w:val="24"/>
              </w:rPr>
            </w:pPr>
            <w:r>
              <w:rPr>
                <w:b/>
                <w:spacing w:val="6"/>
                <w:sz w:val="24"/>
              </w:rPr>
              <w:t>1、地理位置</w:t>
            </w:r>
          </w:p>
          <w:p>
            <w:pPr>
              <w:snapToGrid w:val="0"/>
              <w:spacing w:line="360" w:lineRule="auto"/>
              <w:ind w:firstLine="482"/>
              <w:rPr>
                <w:sz w:val="24"/>
              </w:rPr>
            </w:pPr>
            <w:r>
              <w:rPr>
                <w:rFonts w:hint="eastAsia" w:hAnsi="宋体"/>
                <w:kern w:val="0"/>
                <w:sz w:val="24"/>
              </w:rPr>
              <w:t>淮</w:t>
            </w:r>
            <w:r>
              <w:rPr>
                <w:rFonts w:hAnsi="宋体"/>
                <w:kern w:val="0"/>
                <w:sz w:val="24"/>
              </w:rPr>
              <w:t>南市位于安徽省中北部，淮河中游，跨淮河两岸，东经</w:t>
            </w:r>
            <w:r>
              <w:rPr>
                <w:kern w:val="0"/>
                <w:sz w:val="24"/>
              </w:rPr>
              <w:t xml:space="preserve"> 116°21′21″</w:t>
            </w:r>
            <w:r>
              <w:rPr>
                <w:rFonts w:hAnsi="宋体"/>
                <w:kern w:val="0"/>
                <w:sz w:val="24"/>
              </w:rPr>
              <w:t>～</w:t>
            </w:r>
            <w:r>
              <w:rPr>
                <w:kern w:val="0"/>
                <w:sz w:val="24"/>
              </w:rPr>
              <w:t>117°11′59″</w:t>
            </w:r>
            <w:r>
              <w:rPr>
                <w:rFonts w:hAnsi="宋体"/>
                <w:kern w:val="0"/>
                <w:sz w:val="24"/>
              </w:rPr>
              <w:t>，北纬</w:t>
            </w:r>
            <w:r>
              <w:rPr>
                <w:kern w:val="0"/>
                <w:sz w:val="24"/>
              </w:rPr>
              <w:t xml:space="preserve"> 32°22′30″</w:t>
            </w:r>
            <w:r>
              <w:rPr>
                <w:rFonts w:hAnsi="宋体"/>
                <w:kern w:val="0"/>
                <w:sz w:val="24"/>
              </w:rPr>
              <w:t>～</w:t>
            </w:r>
            <w:r>
              <w:rPr>
                <w:kern w:val="0"/>
                <w:sz w:val="24"/>
              </w:rPr>
              <w:t>33°00′24″</w:t>
            </w:r>
            <w:r>
              <w:rPr>
                <w:rFonts w:hAnsi="宋体"/>
                <w:kern w:val="0"/>
                <w:sz w:val="24"/>
              </w:rPr>
              <w:t>；海拔</w:t>
            </w:r>
            <w:r>
              <w:rPr>
                <w:kern w:val="0"/>
                <w:sz w:val="24"/>
              </w:rPr>
              <w:t xml:space="preserve"> 16.5</w:t>
            </w:r>
            <w:r>
              <w:rPr>
                <w:rFonts w:hAnsi="宋体"/>
                <w:kern w:val="0"/>
                <w:sz w:val="24"/>
              </w:rPr>
              <w:t>～</w:t>
            </w:r>
            <w:r>
              <w:rPr>
                <w:kern w:val="0"/>
                <w:sz w:val="24"/>
              </w:rPr>
              <w:t>241m</w:t>
            </w:r>
            <w:r>
              <w:rPr>
                <w:rFonts w:hAnsi="宋体"/>
                <w:kern w:val="0"/>
                <w:sz w:val="24"/>
              </w:rPr>
              <w:t>，自西北向东南，坡降</w:t>
            </w:r>
            <w:r>
              <w:rPr>
                <w:kern w:val="0"/>
                <w:sz w:val="24"/>
              </w:rPr>
              <w:t xml:space="preserve"> 1/10000</w:t>
            </w:r>
            <w:r>
              <w:rPr>
                <w:rFonts w:hAnsi="宋体"/>
                <w:kern w:val="0"/>
                <w:sz w:val="24"/>
              </w:rPr>
              <w:t>；</w:t>
            </w:r>
            <w:r>
              <w:rPr>
                <w:rFonts w:hint="eastAsia"/>
                <w:sz w:val="24"/>
              </w:rPr>
              <w:t>地处安徽省中北部，东与滁州市毗邻，南与合肥市接壤，西南与六安市隔水相望，西与阜阳市相接，北与亳州市交界，东北与蚌埠市交界。最东端位于孔店乡东河村以东的大通、定远、长丰三县区交汇点，处于老外河河面中心线上，最西端位于凤台县尚塘乡侯海孜以西与利辛县接壤处，最南端位于孙庙乡庙塘村以南瓦埠湖水面，最北端位于的凤台县与蒙城县、利辛县交会的茨淮新河主航道中心线上。 辖区东西最长距离103千米，南北最长距离87千米，总面积2585平方千米。</w:t>
            </w:r>
          </w:p>
          <w:p>
            <w:pPr>
              <w:tabs>
                <w:tab w:val="left" w:pos="360"/>
              </w:tabs>
              <w:snapToGrid w:val="0"/>
              <w:spacing w:line="360" w:lineRule="auto"/>
              <w:ind w:left="360"/>
              <w:rPr>
                <w:rFonts w:hAnsi="宋体"/>
                <w:b/>
                <w:sz w:val="24"/>
                <w:szCs w:val="24"/>
              </w:rPr>
            </w:pPr>
            <w:r>
              <w:rPr>
                <w:rFonts w:hint="eastAsia" w:hAnsi="宋体"/>
                <w:b/>
                <w:sz w:val="24"/>
                <w:szCs w:val="24"/>
              </w:rPr>
              <w:t>2、</w:t>
            </w:r>
            <w:r>
              <w:rPr>
                <w:rFonts w:hAnsi="宋体"/>
                <w:b/>
                <w:sz w:val="24"/>
                <w:szCs w:val="24"/>
              </w:rPr>
              <w:t>地形、地貌、地质</w:t>
            </w:r>
          </w:p>
          <w:p>
            <w:pPr>
              <w:snapToGrid w:val="0"/>
              <w:spacing w:line="360" w:lineRule="auto"/>
              <w:ind w:firstLine="480" w:firstLineChars="200"/>
              <w:rPr>
                <w:sz w:val="24"/>
              </w:rPr>
            </w:pPr>
            <w:r>
              <w:rPr>
                <w:rFonts w:hint="eastAsia"/>
                <w:sz w:val="24"/>
              </w:rPr>
              <w:t>淮南市境在构造单元上属于中朝准地台淮河台坳淮南陷褶断带（即华北地台豫淮褶皱带）东部的淮南复向斜。东界为郯庐断裂，西临周口坳陷，北接蚌埠隆起，南邻合肥坳陷，</w:t>
            </w:r>
            <w:r>
              <w:rPr>
                <w:sz w:val="24"/>
              </w:rPr>
              <w:t>南北为洞山断裂和刘府断裂夹持。区内构造以北西西向构造占主导地位，受后期强烈改造，但总体形态变化不大，复式向斜内次一级褶皱及断裂发育。地质演化历史可分为前震旦纪、震旦纪—三叠纪、侏罗纪—第四纪3个阶段，前震旦纪，淮南地壳处于活动阶段；震旦纪—三叠纪属于剧烈运动时期，先后经历了蚌埠、凤阳、皖南、加里东、华西力、印支等运动。其间地壳几度隆起沉降，形成了海陆交互相地层。特别是晚石炭纪和二叠纪时期海陆交互相的沉积环境，为煤炭资源的生成提供了良好条件，从而形成了境内大量的煤炭资源。侏罗纪—第四纪，经过燕山运动和喜马拉雅运动，逐渐塑造出了今天的地貌特征。</w:t>
            </w:r>
          </w:p>
          <w:p>
            <w:pPr>
              <w:snapToGrid w:val="0"/>
              <w:spacing w:line="360" w:lineRule="auto"/>
              <w:ind w:firstLine="480" w:firstLineChars="200"/>
              <w:rPr>
                <w:sz w:val="24"/>
              </w:rPr>
            </w:pPr>
            <w:r>
              <w:rPr>
                <w:sz w:val="24"/>
              </w:rPr>
              <w:t>淮南市境以淮河为界形成两种不同的地貌类型，淮河以南为丘陵，属于江淮丘陵的一部分；淮河以北为地势平坦的淮北平原，淮河南岸由东至西隆起不连续的低山丘陵，环山为一斜坡地带，宽约500米～1500米，坡度10°左右，海拔40米～75米；斜坡地带以下交错衔接洪冲积二级阶地，宽500米～2500米，海拔30米～40米，坡度2°左右；舜耕山以北二级阶地以下是淮河冲积一级阶地，宽2500米～3000米，海拔25米以下，坡度平缓；一级阶地以下是淮河高位漫滩，宽2000米～3000米，海拔17米～20米，漫滩以下是淮河滨河浅滩。舜耕山以南斜坡以下,东为高塘湖一、二级洪冲积阶地,西为瓦埠湖一、二级洪冲积阶地；中为丘陵岗地。淮河以北平原地区为河间浅洼平原，地势呈西北东南向倾斜，海拔20米～24米，对高差4米～5米。</w:t>
            </w:r>
          </w:p>
          <w:p>
            <w:pPr>
              <w:tabs>
                <w:tab w:val="left" w:pos="360"/>
              </w:tabs>
              <w:snapToGrid w:val="0"/>
              <w:spacing w:line="360" w:lineRule="auto"/>
              <w:ind w:left="360"/>
              <w:rPr>
                <w:b/>
                <w:sz w:val="24"/>
                <w:szCs w:val="24"/>
              </w:rPr>
            </w:pPr>
            <w:r>
              <w:rPr>
                <w:b/>
                <w:sz w:val="24"/>
                <w:szCs w:val="24"/>
              </w:rPr>
              <w:t>3、气候与气象</w:t>
            </w:r>
          </w:p>
          <w:p>
            <w:pPr>
              <w:autoSpaceDE w:val="0"/>
              <w:autoSpaceDN w:val="0"/>
              <w:adjustRightInd w:val="0"/>
              <w:snapToGrid w:val="0"/>
              <w:spacing w:line="360" w:lineRule="auto"/>
              <w:ind w:right="156" w:firstLine="432" w:firstLineChars="180"/>
              <w:jc w:val="left"/>
              <w:rPr>
                <w:kern w:val="0"/>
                <w:sz w:val="24"/>
              </w:rPr>
            </w:pPr>
            <w:r>
              <w:rPr>
                <w:kern w:val="0"/>
                <w:sz w:val="24"/>
              </w:rPr>
              <w:t>评价区域属暖温带半湿润大陆性季风气候区。基本特征：春暖、夏热、秋凉、冬冷，四季分明，阳光充足，气候温和，雨量适中，季风显著，无霜期长。多年平均气温16.6℃，最低月均气温（1月）1.2℃，最高月均气温（7月）28.4℃，历年极端最高气温41.2℃，历年极端最低气温-22.2℃；年平均降水量871.3mm，最大年降水量（1954年）1428mm，最小年降水量（1956年）471.9mm，最大日降水量145mm；2002～2006近五年最多风向东风，夏季主导风向东南偏东风，冬季次主导风向东北偏东风，年平均风速2.7m/s，最大风速20m/s；全年日照时数2092.4h，其中：植物生长期日照1513.19h；全年霜期32日，初霜出现在11月26日；全年雾日11日。</w:t>
            </w:r>
          </w:p>
          <w:p>
            <w:pPr>
              <w:tabs>
                <w:tab w:val="left" w:pos="360"/>
              </w:tabs>
              <w:snapToGrid w:val="0"/>
              <w:spacing w:line="360" w:lineRule="auto"/>
              <w:ind w:left="360"/>
              <w:rPr>
                <w:b/>
                <w:sz w:val="24"/>
                <w:szCs w:val="24"/>
              </w:rPr>
            </w:pPr>
            <w:r>
              <w:rPr>
                <w:b/>
                <w:sz w:val="24"/>
                <w:szCs w:val="24"/>
              </w:rPr>
              <w:t>4、地表水系</w:t>
            </w:r>
          </w:p>
          <w:p>
            <w:pPr>
              <w:tabs>
                <w:tab w:val="left" w:pos="1260"/>
              </w:tabs>
              <w:autoSpaceDE w:val="0"/>
              <w:autoSpaceDN w:val="0"/>
              <w:adjustRightInd w:val="0"/>
              <w:snapToGrid w:val="0"/>
              <w:spacing w:line="360" w:lineRule="auto"/>
              <w:ind w:right="159" w:firstLine="480" w:firstLineChars="200"/>
              <w:jc w:val="left"/>
              <w:rPr>
                <w:kern w:val="0"/>
                <w:sz w:val="24"/>
              </w:rPr>
            </w:pPr>
            <w:r>
              <w:rPr>
                <w:kern w:val="0"/>
                <w:sz w:val="24"/>
              </w:rPr>
              <w:t>地表水淮南市主要地表水系是淮河。淮河发源于河南省桐柏山，流经河南、安徽、江苏、山东四省，是我国五大水系之一，也是全市工农业生产与人民生活的主要水源。淮河在淮南境内长76.13km，河道宽一般400m左右，枯水期河道宽250~300m，丰水期河道宽400~800m，净水域面积21.5km</w:t>
            </w:r>
            <w:r>
              <w:rPr>
                <w:kern w:val="0"/>
                <w:sz w:val="24"/>
                <w:vertAlign w:val="superscript"/>
              </w:rPr>
              <w:t>2</w:t>
            </w:r>
            <w:r>
              <w:rPr>
                <w:kern w:val="0"/>
                <w:sz w:val="24"/>
              </w:rPr>
              <w:t>；年平均流量813m</w:t>
            </w:r>
            <w:r>
              <w:rPr>
                <w:kern w:val="0"/>
                <w:sz w:val="24"/>
                <w:vertAlign w:val="superscript"/>
              </w:rPr>
              <w:t>3</w:t>
            </w:r>
            <w:r>
              <w:rPr>
                <w:kern w:val="0"/>
                <w:sz w:val="24"/>
              </w:rPr>
              <w:t>/s，最大流量12700m</w:t>
            </w:r>
            <w:r>
              <w:rPr>
                <w:kern w:val="0"/>
                <w:sz w:val="24"/>
                <w:vertAlign w:val="superscript"/>
              </w:rPr>
              <w:t>3</w:t>
            </w:r>
            <w:r>
              <w:rPr>
                <w:kern w:val="0"/>
                <w:sz w:val="24"/>
              </w:rPr>
              <w:t>/s（1954年7月25日），最小流量0.5m</w:t>
            </w:r>
            <w:r>
              <w:rPr>
                <w:kern w:val="0"/>
                <w:sz w:val="24"/>
                <w:vertAlign w:val="superscript"/>
              </w:rPr>
              <w:t>3</w:t>
            </w:r>
            <w:r>
              <w:rPr>
                <w:kern w:val="0"/>
                <w:sz w:val="24"/>
              </w:rPr>
              <w:t>/s（1978年）；90%保证率，多年最枯月平均流量20m</w:t>
            </w:r>
            <w:r>
              <w:rPr>
                <w:kern w:val="0"/>
                <w:sz w:val="24"/>
                <w:vertAlign w:val="superscript"/>
              </w:rPr>
              <w:t>3</w:t>
            </w:r>
            <w:r>
              <w:rPr>
                <w:kern w:val="0"/>
                <w:sz w:val="24"/>
              </w:rPr>
              <w:t>/s；年平均含砂量0.581kg/m</w:t>
            </w:r>
            <w:r>
              <w:rPr>
                <w:kern w:val="0"/>
                <w:sz w:val="24"/>
                <w:vertAlign w:val="superscript"/>
              </w:rPr>
              <w:t>3</w:t>
            </w:r>
            <w:r>
              <w:rPr>
                <w:kern w:val="0"/>
                <w:sz w:val="24"/>
              </w:rPr>
              <w:t>，最大含砂量17.2kg/m</w:t>
            </w:r>
            <w:r>
              <w:rPr>
                <w:kern w:val="0"/>
                <w:sz w:val="24"/>
                <w:vertAlign w:val="superscript"/>
              </w:rPr>
              <w:t>3</w:t>
            </w:r>
            <w:r>
              <w:rPr>
                <w:kern w:val="0"/>
                <w:sz w:val="24"/>
              </w:rPr>
              <w:t>，最小含砂量0.002kg/m</w:t>
            </w:r>
            <w:r>
              <w:rPr>
                <w:kern w:val="0"/>
                <w:sz w:val="24"/>
                <w:vertAlign w:val="superscript"/>
              </w:rPr>
              <w:t>3</w:t>
            </w:r>
            <w:r>
              <w:rPr>
                <w:kern w:val="0"/>
                <w:sz w:val="24"/>
              </w:rPr>
              <w:t>。</w:t>
            </w:r>
          </w:p>
          <w:p>
            <w:pPr>
              <w:tabs>
                <w:tab w:val="left" w:pos="360"/>
              </w:tabs>
              <w:snapToGrid w:val="0"/>
              <w:spacing w:line="360" w:lineRule="auto"/>
              <w:ind w:left="360"/>
              <w:rPr>
                <w:b/>
                <w:sz w:val="24"/>
                <w:szCs w:val="24"/>
              </w:rPr>
            </w:pPr>
            <w:r>
              <w:rPr>
                <w:b/>
                <w:sz w:val="24"/>
                <w:szCs w:val="24"/>
              </w:rPr>
              <w:t>5、植被、生物多样性</w:t>
            </w:r>
          </w:p>
          <w:p>
            <w:pPr>
              <w:tabs>
                <w:tab w:val="left" w:pos="1260"/>
              </w:tabs>
              <w:autoSpaceDE w:val="0"/>
              <w:autoSpaceDN w:val="0"/>
              <w:adjustRightInd w:val="0"/>
              <w:snapToGrid w:val="0"/>
              <w:spacing w:line="360" w:lineRule="auto"/>
              <w:ind w:right="157" w:firstLine="480" w:firstLineChars="200"/>
              <w:jc w:val="left"/>
              <w:rPr>
                <w:kern w:val="0"/>
                <w:sz w:val="24"/>
              </w:rPr>
            </w:pPr>
            <w:r>
              <w:rPr>
                <w:kern w:val="0"/>
                <w:sz w:val="24"/>
              </w:rPr>
              <w:t>评价区域土壤类型，主要为黄棕壤。黄棕壤为晚更新代黄土状沉积物上发育的马肝土层，是主要旱作土壤。区域周围植被，主要是城市园林人工树种，林木植被10余种，主要以蜀桧、广玉兰、龙柏、黄杨球为主，兼有阔叶树种——杨柳、槐、榆、桑、桐等，针叶树种有松、柏等。</w:t>
            </w:r>
          </w:p>
          <w:p>
            <w:pPr>
              <w:tabs>
                <w:tab w:val="left" w:pos="360"/>
              </w:tabs>
              <w:snapToGrid w:val="0"/>
              <w:spacing w:line="360" w:lineRule="auto"/>
              <w:ind w:left="360"/>
              <w:rPr>
                <w:b/>
                <w:sz w:val="24"/>
                <w:szCs w:val="24"/>
              </w:rPr>
            </w:pPr>
            <w:r>
              <w:rPr>
                <w:b/>
                <w:sz w:val="24"/>
                <w:szCs w:val="24"/>
              </w:rPr>
              <w:t>6、生物多样性</w:t>
            </w:r>
          </w:p>
          <w:p>
            <w:pPr>
              <w:pStyle w:val="13"/>
              <w:snapToGrid w:val="0"/>
              <w:rPr>
                <w:rFonts w:ascii="Times New Roman" w:hAnsi="Times New Roman"/>
                <w:szCs w:val="24"/>
              </w:rPr>
            </w:pPr>
            <w:r>
              <w:rPr>
                <w:rFonts w:ascii="Times New Roman" w:hAnsi="Times New Roman"/>
              </w:rPr>
              <w:t>淮河淮南段浮游生物114种，底栖动物23种，鱼类70余种。野生植物139种，其中：国家重点保护植物5种；主要农作物123种，林果335种；野生动物23种，其中：国家重点保护动物1种，省级重点保护动物10余种。</w:t>
            </w:r>
          </w:p>
          <w:p>
            <w:pPr>
              <w:pStyle w:val="13"/>
              <w:spacing w:line="500" w:lineRule="exact"/>
              <w:rPr>
                <w:szCs w:val="24"/>
              </w:rPr>
            </w:pPr>
          </w:p>
          <w:p>
            <w:pPr>
              <w:spacing w:line="360" w:lineRule="auto"/>
              <w:rPr>
                <w:sz w:val="24"/>
                <w:szCs w:val="24"/>
              </w:rPr>
            </w:pPr>
          </w:p>
        </w:tc>
      </w:tr>
    </w:tbl>
    <w:p>
      <w:pPr>
        <w:rPr>
          <w:b/>
          <w:sz w:val="32"/>
          <w:szCs w:val="32"/>
        </w:rPr>
      </w:pPr>
      <w:r>
        <w:rPr>
          <w:b/>
          <w:sz w:val="32"/>
          <w:szCs w:val="32"/>
        </w:rPr>
        <w:t>环境质量状况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307" w:type="dxa"/>
          </w:tcPr>
          <w:p>
            <w:pPr>
              <w:pStyle w:val="12"/>
              <w:spacing w:line="360" w:lineRule="auto"/>
              <w:rPr>
                <w:b/>
                <w:sz w:val="24"/>
                <w:szCs w:val="24"/>
              </w:rPr>
            </w:pPr>
            <w:r>
              <w:rPr>
                <w:b/>
                <w:sz w:val="24"/>
                <w:szCs w:val="24"/>
              </w:rPr>
              <w:t>建设项目所在地区域环境质量现状及主要环境问题（环境空气、地表水、地下水、声环境、辐射环境、生态环境等）</w:t>
            </w:r>
          </w:p>
          <w:p>
            <w:pPr>
              <w:spacing w:line="360" w:lineRule="auto"/>
              <w:rPr>
                <w:rFonts w:hAnsi="宋体"/>
                <w:b/>
                <w:sz w:val="24"/>
                <w:szCs w:val="28"/>
              </w:rPr>
            </w:pPr>
            <w:r>
              <w:rPr>
                <w:rFonts w:hint="eastAsia" w:hAnsi="宋体"/>
                <w:b/>
                <w:sz w:val="24"/>
                <w:szCs w:val="28"/>
              </w:rPr>
              <w:t>一、区域环境质量</w:t>
            </w:r>
          </w:p>
          <w:p>
            <w:pPr>
              <w:spacing w:line="360" w:lineRule="auto"/>
              <w:ind w:left="29" w:leftChars="14" w:firstLine="480" w:firstLineChars="200"/>
              <w:rPr>
                <w:sz w:val="24"/>
              </w:rPr>
            </w:pPr>
            <w:r>
              <w:rPr>
                <w:rFonts w:hint="eastAsia"/>
                <w:sz w:val="24"/>
              </w:rPr>
              <w:t>该</w:t>
            </w:r>
            <w:r>
              <w:rPr>
                <w:sz w:val="24"/>
              </w:rPr>
              <w:t>项目位于</w:t>
            </w:r>
            <w:r>
              <w:rPr>
                <w:rFonts w:hint="eastAsia"/>
                <w:sz w:val="24"/>
              </w:rPr>
              <w:t>淮南市大通区</w:t>
            </w:r>
            <w:r>
              <w:rPr>
                <w:rFonts w:hint="eastAsia"/>
                <w:sz w:val="24"/>
                <w:lang w:eastAsia="zh-CN"/>
              </w:rPr>
              <w:t>大通区工业新区标准化厂房</w:t>
            </w:r>
            <w:r>
              <w:rPr>
                <w:rFonts w:hint="eastAsia"/>
                <w:sz w:val="24"/>
              </w:rPr>
              <w:t>。</w:t>
            </w:r>
          </w:p>
          <w:p>
            <w:pPr>
              <w:spacing w:line="360" w:lineRule="auto"/>
              <w:ind w:left="29" w:leftChars="14" w:firstLine="482" w:firstLineChars="200"/>
              <w:rPr>
                <w:rFonts w:hAnsi="宋体"/>
                <w:b/>
                <w:sz w:val="24"/>
                <w:szCs w:val="28"/>
              </w:rPr>
            </w:pPr>
            <w:r>
              <w:rPr>
                <w:rFonts w:hint="eastAsia" w:hAnsi="宋体"/>
                <w:b/>
                <w:sz w:val="24"/>
                <w:szCs w:val="28"/>
              </w:rPr>
              <w:t>1、环境空气质量现状</w:t>
            </w:r>
          </w:p>
          <w:p>
            <w:pPr>
              <w:adjustRightInd w:val="0"/>
              <w:snapToGrid w:val="0"/>
              <w:spacing w:line="360" w:lineRule="auto"/>
              <w:ind w:firstLine="420"/>
              <w:jc w:val="left"/>
              <w:textAlignment w:val="baseline"/>
              <w:rPr>
                <w:sz w:val="24"/>
                <w:szCs w:val="24"/>
              </w:rPr>
            </w:pPr>
            <w:r>
              <w:rPr>
                <w:sz w:val="24"/>
                <w:szCs w:val="24"/>
              </w:rPr>
              <w:t>2018</w:t>
            </w:r>
            <w:r>
              <w:rPr>
                <w:rFonts w:hint="eastAsia"/>
                <w:sz w:val="24"/>
                <w:szCs w:val="24"/>
              </w:rPr>
              <w:t>年，淮南市市区环境空气中的主要污染物二氧化硫（</w:t>
            </w:r>
            <w:r>
              <w:rPr>
                <w:sz w:val="24"/>
                <w:szCs w:val="24"/>
              </w:rPr>
              <w:t>SO</w:t>
            </w:r>
            <w:r>
              <w:rPr>
                <w:sz w:val="24"/>
                <w:szCs w:val="24"/>
                <w:vertAlign w:val="subscript"/>
              </w:rPr>
              <w:t>2</w:t>
            </w:r>
            <w:r>
              <w:rPr>
                <w:rFonts w:hint="eastAsia"/>
                <w:sz w:val="24"/>
                <w:szCs w:val="24"/>
              </w:rPr>
              <w:t>）、二氧化氮（</w:t>
            </w:r>
            <w:r>
              <w:rPr>
                <w:sz w:val="24"/>
                <w:szCs w:val="24"/>
              </w:rPr>
              <w:t>NO</w:t>
            </w:r>
            <w:r>
              <w:rPr>
                <w:sz w:val="24"/>
                <w:szCs w:val="24"/>
                <w:vertAlign w:val="subscript"/>
              </w:rPr>
              <w:t>2</w:t>
            </w:r>
            <w:r>
              <w:rPr>
                <w:rFonts w:hint="eastAsia"/>
                <w:sz w:val="24"/>
                <w:szCs w:val="24"/>
              </w:rPr>
              <w:t>）、可吸入颗粒物（</w:t>
            </w:r>
            <w:r>
              <w:rPr>
                <w:sz w:val="24"/>
                <w:szCs w:val="24"/>
              </w:rPr>
              <w:t>PM</w:t>
            </w:r>
            <w:r>
              <w:rPr>
                <w:sz w:val="24"/>
                <w:szCs w:val="24"/>
                <w:vertAlign w:val="subscript"/>
              </w:rPr>
              <w:t>10</w:t>
            </w:r>
            <w:r>
              <w:rPr>
                <w:rFonts w:hint="eastAsia"/>
                <w:sz w:val="24"/>
                <w:szCs w:val="24"/>
              </w:rPr>
              <w:t>）、细颗粒物（</w:t>
            </w:r>
            <w:r>
              <w:rPr>
                <w:sz w:val="24"/>
                <w:szCs w:val="24"/>
              </w:rPr>
              <w:t>PM</w:t>
            </w:r>
            <w:r>
              <w:rPr>
                <w:sz w:val="24"/>
                <w:szCs w:val="24"/>
                <w:vertAlign w:val="subscript"/>
              </w:rPr>
              <w:t>2.5</w:t>
            </w:r>
            <w:r>
              <w:rPr>
                <w:rFonts w:hint="eastAsia"/>
                <w:sz w:val="24"/>
                <w:szCs w:val="24"/>
              </w:rPr>
              <w:t>）、一氧化碳（</w:t>
            </w:r>
            <w:r>
              <w:rPr>
                <w:sz w:val="24"/>
                <w:szCs w:val="24"/>
              </w:rPr>
              <w:t>CO</w:t>
            </w:r>
            <w:r>
              <w:rPr>
                <w:rFonts w:hint="eastAsia"/>
                <w:sz w:val="24"/>
                <w:szCs w:val="24"/>
              </w:rPr>
              <w:t>）、臭氧（</w:t>
            </w:r>
            <w:r>
              <w:rPr>
                <w:sz w:val="24"/>
                <w:szCs w:val="24"/>
              </w:rPr>
              <w:t>O</w:t>
            </w:r>
            <w:r>
              <w:rPr>
                <w:sz w:val="24"/>
                <w:szCs w:val="24"/>
                <w:vertAlign w:val="subscript"/>
              </w:rPr>
              <w:t>3</w:t>
            </w:r>
            <w:r>
              <w:rPr>
                <w:rFonts w:hint="eastAsia"/>
                <w:sz w:val="24"/>
                <w:szCs w:val="24"/>
              </w:rPr>
              <w:t>）年平均值分别为</w:t>
            </w:r>
            <w:r>
              <w:rPr>
                <w:sz w:val="24"/>
                <w:szCs w:val="24"/>
              </w:rPr>
              <w:t>15</w:t>
            </w:r>
            <w:r>
              <w:rPr>
                <w:rFonts w:hint="eastAsia"/>
                <w:sz w:val="24"/>
                <w:szCs w:val="24"/>
              </w:rPr>
              <w:t>微克</w:t>
            </w:r>
            <w:r>
              <w:rPr>
                <w:sz w:val="24"/>
                <w:szCs w:val="24"/>
              </w:rPr>
              <w:t>/</w:t>
            </w:r>
            <w:r>
              <w:rPr>
                <w:rFonts w:hint="eastAsia"/>
                <w:sz w:val="24"/>
                <w:szCs w:val="24"/>
              </w:rPr>
              <w:t>立方米、</w:t>
            </w:r>
            <w:r>
              <w:rPr>
                <w:sz w:val="24"/>
                <w:szCs w:val="24"/>
              </w:rPr>
              <w:t>28</w:t>
            </w:r>
            <w:r>
              <w:rPr>
                <w:rFonts w:hint="eastAsia"/>
                <w:sz w:val="24"/>
                <w:szCs w:val="24"/>
              </w:rPr>
              <w:t>微克</w:t>
            </w:r>
            <w:r>
              <w:rPr>
                <w:sz w:val="24"/>
                <w:szCs w:val="24"/>
              </w:rPr>
              <w:t>/</w:t>
            </w:r>
            <w:r>
              <w:rPr>
                <w:rFonts w:hint="eastAsia"/>
                <w:sz w:val="24"/>
                <w:szCs w:val="24"/>
              </w:rPr>
              <w:t>立方米、</w:t>
            </w:r>
            <w:r>
              <w:rPr>
                <w:sz w:val="24"/>
                <w:szCs w:val="24"/>
              </w:rPr>
              <w:t>84.7</w:t>
            </w:r>
            <w:r>
              <w:rPr>
                <w:rFonts w:hint="eastAsia"/>
                <w:sz w:val="24"/>
                <w:szCs w:val="24"/>
              </w:rPr>
              <w:t>微克</w:t>
            </w:r>
            <w:r>
              <w:rPr>
                <w:sz w:val="24"/>
                <w:szCs w:val="24"/>
              </w:rPr>
              <w:t>/</w:t>
            </w:r>
            <w:r>
              <w:rPr>
                <w:rFonts w:hint="eastAsia"/>
                <w:sz w:val="24"/>
                <w:szCs w:val="24"/>
              </w:rPr>
              <w:t>立方米、</w:t>
            </w:r>
            <w:r>
              <w:rPr>
                <w:sz w:val="24"/>
                <w:szCs w:val="24"/>
              </w:rPr>
              <w:t>54.8</w:t>
            </w:r>
            <w:r>
              <w:rPr>
                <w:rFonts w:hint="eastAsia"/>
                <w:sz w:val="24"/>
                <w:szCs w:val="24"/>
              </w:rPr>
              <w:t>微克</w:t>
            </w:r>
            <w:r>
              <w:rPr>
                <w:sz w:val="24"/>
                <w:szCs w:val="24"/>
              </w:rPr>
              <w:t>/</w:t>
            </w:r>
            <w:r>
              <w:rPr>
                <w:rFonts w:hint="eastAsia"/>
                <w:sz w:val="24"/>
                <w:szCs w:val="24"/>
              </w:rPr>
              <w:t>立方米、</w:t>
            </w:r>
            <w:r>
              <w:rPr>
                <w:sz w:val="24"/>
                <w:szCs w:val="24"/>
              </w:rPr>
              <w:t>0.7</w:t>
            </w:r>
            <w:r>
              <w:rPr>
                <w:rFonts w:hint="eastAsia"/>
                <w:sz w:val="24"/>
                <w:szCs w:val="24"/>
              </w:rPr>
              <w:t>毫克</w:t>
            </w:r>
            <w:r>
              <w:rPr>
                <w:sz w:val="24"/>
                <w:szCs w:val="24"/>
              </w:rPr>
              <w:t>/</w:t>
            </w:r>
            <w:r>
              <w:rPr>
                <w:rFonts w:hint="eastAsia"/>
                <w:sz w:val="24"/>
                <w:szCs w:val="24"/>
              </w:rPr>
              <w:t>立方米和</w:t>
            </w:r>
            <w:r>
              <w:rPr>
                <w:sz w:val="24"/>
                <w:szCs w:val="24"/>
              </w:rPr>
              <w:t>109</w:t>
            </w:r>
            <w:r>
              <w:rPr>
                <w:rFonts w:hint="eastAsia"/>
                <w:sz w:val="24"/>
                <w:szCs w:val="24"/>
              </w:rPr>
              <w:t>微克</w:t>
            </w:r>
            <w:r>
              <w:rPr>
                <w:sz w:val="24"/>
                <w:szCs w:val="24"/>
              </w:rPr>
              <w:t>/</w:t>
            </w:r>
            <w:r>
              <w:rPr>
                <w:rFonts w:hint="eastAsia"/>
                <w:sz w:val="24"/>
                <w:szCs w:val="24"/>
              </w:rPr>
              <w:t>立方米，二氧化硫、二氧化氮、一氧化碳、臭氧均符合《环境空气质量标准》（</w:t>
            </w:r>
            <w:r>
              <w:rPr>
                <w:sz w:val="24"/>
                <w:szCs w:val="24"/>
              </w:rPr>
              <w:t>GB3095-2012</w:t>
            </w:r>
            <w:r>
              <w:rPr>
                <w:rFonts w:hint="eastAsia"/>
                <w:sz w:val="24"/>
                <w:szCs w:val="24"/>
              </w:rPr>
              <w:t>）二级标准，可吸入颗粒物（</w:t>
            </w:r>
            <w:r>
              <w:rPr>
                <w:sz w:val="24"/>
                <w:szCs w:val="24"/>
              </w:rPr>
              <w:t>PM</w:t>
            </w:r>
            <w:r>
              <w:rPr>
                <w:sz w:val="24"/>
                <w:szCs w:val="24"/>
                <w:vertAlign w:val="subscript"/>
              </w:rPr>
              <w:t>10</w:t>
            </w:r>
            <w:r>
              <w:rPr>
                <w:rFonts w:hint="eastAsia"/>
                <w:sz w:val="24"/>
                <w:szCs w:val="24"/>
              </w:rPr>
              <w:t>）和细颗粒物（</w:t>
            </w:r>
            <w:r>
              <w:rPr>
                <w:sz w:val="24"/>
                <w:szCs w:val="24"/>
              </w:rPr>
              <w:t>PM</w:t>
            </w:r>
            <w:r>
              <w:rPr>
                <w:sz w:val="24"/>
                <w:szCs w:val="24"/>
                <w:vertAlign w:val="subscript"/>
              </w:rPr>
              <w:t>2.5</w:t>
            </w:r>
            <w:r>
              <w:rPr>
                <w:rFonts w:hint="eastAsia"/>
                <w:sz w:val="24"/>
                <w:szCs w:val="24"/>
              </w:rPr>
              <w:t>）分别超过《环境空气质量标准》（</w:t>
            </w:r>
            <w:r>
              <w:rPr>
                <w:sz w:val="24"/>
                <w:szCs w:val="24"/>
              </w:rPr>
              <w:t>GB3095-2012</w:t>
            </w:r>
            <w:r>
              <w:rPr>
                <w:rFonts w:hint="eastAsia"/>
                <w:sz w:val="24"/>
                <w:szCs w:val="24"/>
              </w:rPr>
              <w:t>）标准</w:t>
            </w:r>
            <w:r>
              <w:rPr>
                <w:sz w:val="24"/>
                <w:szCs w:val="24"/>
              </w:rPr>
              <w:t>0.21</w:t>
            </w:r>
            <w:r>
              <w:rPr>
                <w:rFonts w:hint="eastAsia"/>
                <w:sz w:val="24"/>
                <w:szCs w:val="24"/>
              </w:rPr>
              <w:t>倍和</w:t>
            </w:r>
            <w:r>
              <w:rPr>
                <w:sz w:val="24"/>
                <w:szCs w:val="24"/>
              </w:rPr>
              <w:t>0.57</w:t>
            </w:r>
            <w:r>
              <w:rPr>
                <w:rFonts w:hint="eastAsia"/>
                <w:sz w:val="24"/>
                <w:szCs w:val="24"/>
              </w:rPr>
              <w:t>倍。因此，淮南市为非达标区。</w:t>
            </w:r>
          </w:p>
          <w:p>
            <w:pPr>
              <w:adjustRightInd w:val="0"/>
              <w:snapToGrid w:val="0"/>
              <w:spacing w:line="360" w:lineRule="auto"/>
              <w:ind w:firstLine="480" w:firstLineChars="200"/>
              <w:textAlignment w:val="baseline"/>
              <w:rPr>
                <w:sz w:val="24"/>
                <w:szCs w:val="24"/>
              </w:rPr>
            </w:pPr>
            <w:r>
              <w:rPr>
                <w:rFonts w:hint="eastAsia"/>
                <w:sz w:val="24"/>
                <w:szCs w:val="24"/>
              </w:rPr>
              <w:t>（</w:t>
            </w:r>
            <w:r>
              <w:rPr>
                <w:sz w:val="24"/>
                <w:szCs w:val="24"/>
              </w:rPr>
              <w:t>2</w:t>
            </w:r>
            <w:r>
              <w:rPr>
                <w:rFonts w:hint="eastAsia"/>
                <w:sz w:val="24"/>
                <w:szCs w:val="24"/>
              </w:rPr>
              <w:t>）基本污染物环境质量现状评价</w:t>
            </w:r>
          </w:p>
          <w:p>
            <w:pPr>
              <w:snapToGrid w:val="0"/>
              <w:spacing w:line="360" w:lineRule="auto"/>
              <w:ind w:firstLine="480" w:firstLineChars="200"/>
              <w:rPr>
                <w:szCs w:val="24"/>
                <w:shd w:val="clear" w:color="auto" w:fill="FFFFFF"/>
              </w:rPr>
            </w:pPr>
            <w:r>
              <w:rPr>
                <w:rFonts w:hint="eastAsia"/>
                <w:sz w:val="24"/>
                <w:szCs w:val="24"/>
              </w:rPr>
              <w:t>本项目引用《</w:t>
            </w:r>
            <w:r>
              <w:rPr>
                <w:sz w:val="24"/>
                <w:szCs w:val="24"/>
              </w:rPr>
              <w:t>2018</w:t>
            </w:r>
            <w:r>
              <w:rPr>
                <w:rFonts w:hint="eastAsia"/>
                <w:sz w:val="24"/>
                <w:szCs w:val="24"/>
              </w:rPr>
              <w:t>年淮南市环境质量状况公报》中淮南市环境监测站</w:t>
            </w:r>
            <w:r>
              <w:rPr>
                <w:sz w:val="24"/>
                <w:szCs w:val="24"/>
              </w:rPr>
              <w:t>2018</w:t>
            </w:r>
            <w:r>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w:t>
            </w:r>
            <w:r>
              <w:rPr>
                <w:sz w:val="24"/>
                <w:szCs w:val="24"/>
              </w:rPr>
              <w:t>~2018</w:t>
            </w:r>
            <w:r>
              <w:rPr>
                <w:rFonts w:hint="eastAsia"/>
                <w:sz w:val="24"/>
                <w:szCs w:val="24"/>
              </w:rPr>
              <w:t>年</w:t>
            </w:r>
            <w:r>
              <w:rPr>
                <w:sz w:val="24"/>
                <w:szCs w:val="24"/>
              </w:rPr>
              <w:t>12</w:t>
            </w:r>
            <w:r>
              <w:rPr>
                <w:rFonts w:hint="eastAsia"/>
                <w:sz w:val="24"/>
                <w:szCs w:val="24"/>
              </w:rPr>
              <w:t>月</w:t>
            </w:r>
            <w:r>
              <w:rPr>
                <w:sz w:val="24"/>
                <w:szCs w:val="24"/>
              </w:rPr>
              <w:t>31</w:t>
            </w:r>
            <w:r>
              <w:rPr>
                <w:rFonts w:hint="eastAsia"/>
                <w:sz w:val="24"/>
                <w:szCs w:val="24"/>
              </w:rPr>
              <w:t>日的监测数据进行评价，基本污染物环境质量现状评价见表7。</w:t>
            </w:r>
          </w:p>
          <w:p>
            <w:pPr>
              <w:snapToGrid w:val="0"/>
              <w:ind w:firstLine="422" w:firstLineChars="200"/>
              <w:jc w:val="center"/>
              <w:rPr>
                <w:b/>
                <w:szCs w:val="21"/>
              </w:rPr>
            </w:pPr>
            <w:r>
              <w:rPr>
                <w:rFonts w:hint="eastAsia"/>
                <w:b/>
                <w:szCs w:val="21"/>
              </w:rPr>
              <w:t>表7基本污染物环境质量现状</w:t>
            </w:r>
          </w:p>
          <w:tbl>
            <w:tblPr>
              <w:tblStyle w:val="3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51"/>
              <w:gridCol w:w="1484"/>
              <w:gridCol w:w="1807"/>
              <w:gridCol w:w="1780"/>
              <w:gridCol w:w="130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jc w:val="center"/>
                    <w:rPr>
                      <w:b/>
                      <w:szCs w:val="21"/>
                    </w:rPr>
                  </w:pPr>
                  <w:r>
                    <w:rPr>
                      <w:rFonts w:hint="eastAsia"/>
                      <w:b/>
                      <w:szCs w:val="21"/>
                    </w:rPr>
                    <w:t>序号</w:t>
                  </w:r>
                </w:p>
              </w:tc>
              <w:tc>
                <w:tcPr>
                  <w:tcW w:w="851" w:type="dxa"/>
                  <w:vAlign w:val="center"/>
                </w:tcPr>
                <w:p>
                  <w:pPr>
                    <w:snapToGrid w:val="0"/>
                    <w:jc w:val="center"/>
                    <w:rPr>
                      <w:b/>
                      <w:szCs w:val="21"/>
                    </w:rPr>
                  </w:pPr>
                  <w:r>
                    <w:rPr>
                      <w:rFonts w:hint="eastAsia"/>
                      <w:b/>
                      <w:szCs w:val="21"/>
                    </w:rPr>
                    <w:t>污染物</w:t>
                  </w:r>
                </w:p>
              </w:tc>
              <w:tc>
                <w:tcPr>
                  <w:tcW w:w="1484" w:type="dxa"/>
                  <w:vAlign w:val="center"/>
                </w:tcPr>
                <w:p>
                  <w:pPr>
                    <w:snapToGrid w:val="0"/>
                    <w:jc w:val="center"/>
                    <w:rPr>
                      <w:rFonts w:ascii="宋体" w:cs="宋体"/>
                      <w:b/>
                      <w:kern w:val="0"/>
                      <w:szCs w:val="21"/>
                    </w:rPr>
                  </w:pPr>
                  <w:r>
                    <w:rPr>
                      <w:rFonts w:hint="eastAsia" w:ascii="宋体" w:cs="宋体"/>
                      <w:b/>
                      <w:kern w:val="0"/>
                      <w:szCs w:val="21"/>
                    </w:rPr>
                    <w:t>年评价指标</w:t>
                  </w:r>
                </w:p>
              </w:tc>
              <w:tc>
                <w:tcPr>
                  <w:tcW w:w="1807" w:type="dxa"/>
                  <w:vAlign w:val="center"/>
                </w:tcPr>
                <w:p>
                  <w:pPr>
                    <w:snapToGrid w:val="0"/>
                    <w:jc w:val="center"/>
                    <w:rPr>
                      <w:rFonts w:ascii="宋体" w:cs="宋体"/>
                      <w:b/>
                      <w:kern w:val="0"/>
                      <w:szCs w:val="21"/>
                    </w:rPr>
                  </w:pPr>
                  <w:r>
                    <w:rPr>
                      <w:rFonts w:hint="eastAsia" w:ascii="宋体" w:cs="宋体"/>
                      <w:b/>
                      <w:kern w:val="0"/>
                      <w:szCs w:val="21"/>
                    </w:rPr>
                    <w:t>现状浓度</w:t>
                  </w:r>
                </w:p>
                <w:p>
                  <w:pPr>
                    <w:snapToGrid w:val="0"/>
                    <w:jc w:val="center"/>
                    <w:rPr>
                      <w:b/>
                      <w:szCs w:val="21"/>
                    </w:rPr>
                  </w:pPr>
                  <w:r>
                    <w:rPr>
                      <w:rFonts w:hint="eastAsia"/>
                      <w:b/>
                      <w:szCs w:val="21"/>
                    </w:rPr>
                    <w:t>（</w:t>
                  </w:r>
                  <w:r>
                    <w:rPr>
                      <w:b/>
                      <w:szCs w:val="21"/>
                    </w:rPr>
                    <w:t>μg/m</w:t>
                  </w:r>
                  <w:r>
                    <w:rPr>
                      <w:b/>
                      <w:szCs w:val="21"/>
                      <w:vertAlign w:val="superscript"/>
                    </w:rPr>
                    <w:t>3</w:t>
                  </w:r>
                  <w:r>
                    <w:rPr>
                      <w:rFonts w:hint="eastAsia"/>
                      <w:b/>
                      <w:szCs w:val="21"/>
                    </w:rPr>
                    <w:t>）</w:t>
                  </w:r>
                </w:p>
              </w:tc>
              <w:tc>
                <w:tcPr>
                  <w:tcW w:w="1780" w:type="dxa"/>
                  <w:vAlign w:val="center"/>
                </w:tcPr>
                <w:p>
                  <w:pPr>
                    <w:snapToGrid w:val="0"/>
                    <w:jc w:val="center"/>
                    <w:rPr>
                      <w:b/>
                      <w:szCs w:val="21"/>
                    </w:rPr>
                  </w:pPr>
                  <w:r>
                    <w:rPr>
                      <w:rFonts w:hint="eastAsia"/>
                      <w:b/>
                      <w:szCs w:val="21"/>
                    </w:rPr>
                    <w:t>评价标准值（</w:t>
                  </w:r>
                  <w:r>
                    <w:rPr>
                      <w:b/>
                      <w:szCs w:val="21"/>
                    </w:rPr>
                    <w:t>μg/m</w:t>
                  </w:r>
                  <w:r>
                    <w:rPr>
                      <w:b/>
                      <w:szCs w:val="21"/>
                      <w:vertAlign w:val="superscript"/>
                    </w:rPr>
                    <w:t>3</w:t>
                  </w:r>
                  <w:r>
                    <w:rPr>
                      <w:rFonts w:hint="eastAsia"/>
                      <w:b/>
                      <w:szCs w:val="21"/>
                    </w:rPr>
                    <w:t>）</w:t>
                  </w:r>
                </w:p>
              </w:tc>
              <w:tc>
                <w:tcPr>
                  <w:tcW w:w="1300" w:type="dxa"/>
                  <w:vAlign w:val="center"/>
                </w:tcPr>
                <w:p>
                  <w:pPr>
                    <w:snapToGrid w:val="0"/>
                    <w:jc w:val="center"/>
                    <w:rPr>
                      <w:b/>
                      <w:szCs w:val="21"/>
                    </w:rPr>
                  </w:pPr>
                  <w:r>
                    <w:rPr>
                      <w:rFonts w:hint="eastAsia"/>
                      <w:b/>
                      <w:szCs w:val="21"/>
                    </w:rPr>
                    <w:t>浓度占标率（</w:t>
                  </w:r>
                  <w:r>
                    <w:rPr>
                      <w:b/>
                      <w:szCs w:val="21"/>
                    </w:rPr>
                    <w:t>%</w:t>
                  </w:r>
                  <w:r>
                    <w:rPr>
                      <w:rFonts w:hint="eastAsia"/>
                      <w:b/>
                      <w:szCs w:val="21"/>
                    </w:rPr>
                    <w:t>）</w:t>
                  </w:r>
                </w:p>
              </w:tc>
              <w:tc>
                <w:tcPr>
                  <w:tcW w:w="1132" w:type="dxa"/>
                  <w:vAlign w:val="center"/>
                </w:tcPr>
                <w:p>
                  <w:pPr>
                    <w:snapToGrid w:val="0"/>
                    <w:jc w:val="center"/>
                    <w:rPr>
                      <w:b/>
                      <w:szCs w:val="21"/>
                    </w:rPr>
                  </w:pPr>
                  <w:r>
                    <w:rPr>
                      <w:rFonts w:hint="eastAsia"/>
                      <w:b/>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jc w:val="center"/>
                    <w:rPr>
                      <w:szCs w:val="21"/>
                    </w:rPr>
                  </w:pPr>
                  <w:r>
                    <w:rPr>
                      <w:szCs w:val="21"/>
                    </w:rPr>
                    <w:t>1</w:t>
                  </w:r>
                </w:p>
              </w:tc>
              <w:tc>
                <w:tcPr>
                  <w:tcW w:w="851" w:type="dxa"/>
                  <w:vAlign w:val="center"/>
                </w:tcPr>
                <w:p>
                  <w:pPr>
                    <w:snapToGrid w:val="0"/>
                    <w:jc w:val="center"/>
                    <w:rPr>
                      <w:szCs w:val="21"/>
                    </w:rPr>
                  </w:pPr>
                  <w:r>
                    <w:rPr>
                      <w:szCs w:val="21"/>
                    </w:rPr>
                    <w:t>SO</w:t>
                  </w:r>
                  <w:r>
                    <w:rPr>
                      <w:szCs w:val="21"/>
                      <w:vertAlign w:val="subscript"/>
                    </w:rPr>
                    <w:t>2</w:t>
                  </w:r>
                </w:p>
              </w:tc>
              <w:tc>
                <w:tcPr>
                  <w:tcW w:w="1484" w:type="dxa"/>
                  <w:vMerge w:val="restart"/>
                  <w:vAlign w:val="center"/>
                </w:tcPr>
                <w:p>
                  <w:pPr>
                    <w:snapToGrid w:val="0"/>
                    <w:jc w:val="center"/>
                    <w:rPr>
                      <w:szCs w:val="21"/>
                    </w:rPr>
                  </w:pPr>
                  <w:r>
                    <w:rPr>
                      <w:rFonts w:hint="eastAsia"/>
                      <w:szCs w:val="21"/>
                    </w:rPr>
                    <w:t>年平均质量浓度</w:t>
                  </w:r>
                </w:p>
              </w:tc>
              <w:tc>
                <w:tcPr>
                  <w:tcW w:w="1807" w:type="dxa"/>
                  <w:vAlign w:val="center"/>
                </w:tcPr>
                <w:p>
                  <w:pPr>
                    <w:snapToGrid w:val="0"/>
                    <w:jc w:val="center"/>
                    <w:rPr>
                      <w:szCs w:val="21"/>
                    </w:rPr>
                  </w:pPr>
                  <w:r>
                    <w:rPr>
                      <w:szCs w:val="21"/>
                    </w:rPr>
                    <w:t>15</w:t>
                  </w:r>
                </w:p>
              </w:tc>
              <w:tc>
                <w:tcPr>
                  <w:tcW w:w="1780" w:type="dxa"/>
                  <w:vAlign w:val="center"/>
                </w:tcPr>
                <w:p>
                  <w:pPr>
                    <w:snapToGrid w:val="0"/>
                    <w:jc w:val="center"/>
                    <w:rPr>
                      <w:szCs w:val="21"/>
                    </w:rPr>
                  </w:pPr>
                  <w:r>
                    <w:rPr>
                      <w:szCs w:val="21"/>
                    </w:rPr>
                    <w:t>60</w:t>
                  </w:r>
                </w:p>
              </w:tc>
              <w:tc>
                <w:tcPr>
                  <w:tcW w:w="1300" w:type="dxa"/>
                  <w:vAlign w:val="center"/>
                </w:tcPr>
                <w:p>
                  <w:pPr>
                    <w:snapToGrid w:val="0"/>
                    <w:jc w:val="center"/>
                    <w:rPr>
                      <w:szCs w:val="21"/>
                    </w:rPr>
                  </w:pPr>
                  <w:r>
                    <w:rPr>
                      <w:szCs w:val="21"/>
                    </w:rPr>
                    <w:t>25</w:t>
                  </w:r>
                </w:p>
              </w:tc>
              <w:tc>
                <w:tcPr>
                  <w:tcW w:w="1132" w:type="dxa"/>
                  <w:vAlign w:val="center"/>
                </w:tcPr>
                <w:p>
                  <w:pPr>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jc w:val="center"/>
                    <w:rPr>
                      <w:szCs w:val="21"/>
                    </w:rPr>
                  </w:pPr>
                  <w:r>
                    <w:rPr>
                      <w:szCs w:val="21"/>
                    </w:rPr>
                    <w:t>2</w:t>
                  </w:r>
                </w:p>
              </w:tc>
              <w:tc>
                <w:tcPr>
                  <w:tcW w:w="851" w:type="dxa"/>
                  <w:vAlign w:val="center"/>
                </w:tcPr>
                <w:p>
                  <w:pPr>
                    <w:snapToGrid w:val="0"/>
                    <w:jc w:val="center"/>
                    <w:rPr>
                      <w:szCs w:val="21"/>
                    </w:rPr>
                  </w:pPr>
                  <w:r>
                    <w:rPr>
                      <w:szCs w:val="21"/>
                    </w:rPr>
                    <w:t>PM</w:t>
                  </w:r>
                  <w:r>
                    <w:rPr>
                      <w:szCs w:val="21"/>
                      <w:vertAlign w:val="subscript"/>
                    </w:rPr>
                    <w:t>10</w:t>
                  </w:r>
                </w:p>
              </w:tc>
              <w:tc>
                <w:tcPr>
                  <w:tcW w:w="1484" w:type="dxa"/>
                  <w:vMerge w:val="continue"/>
                  <w:vAlign w:val="center"/>
                </w:tcPr>
                <w:p>
                  <w:pPr>
                    <w:snapToGrid w:val="0"/>
                    <w:jc w:val="center"/>
                    <w:rPr>
                      <w:szCs w:val="21"/>
                    </w:rPr>
                  </w:pPr>
                </w:p>
              </w:tc>
              <w:tc>
                <w:tcPr>
                  <w:tcW w:w="1807" w:type="dxa"/>
                  <w:vAlign w:val="center"/>
                </w:tcPr>
                <w:p>
                  <w:pPr>
                    <w:snapToGrid w:val="0"/>
                    <w:jc w:val="center"/>
                    <w:rPr>
                      <w:szCs w:val="21"/>
                    </w:rPr>
                  </w:pPr>
                  <w:r>
                    <w:rPr>
                      <w:szCs w:val="21"/>
                    </w:rPr>
                    <w:t>84.5</w:t>
                  </w:r>
                </w:p>
              </w:tc>
              <w:tc>
                <w:tcPr>
                  <w:tcW w:w="1780" w:type="dxa"/>
                  <w:vAlign w:val="center"/>
                </w:tcPr>
                <w:p>
                  <w:pPr>
                    <w:snapToGrid w:val="0"/>
                    <w:jc w:val="center"/>
                    <w:rPr>
                      <w:szCs w:val="21"/>
                    </w:rPr>
                  </w:pPr>
                  <w:r>
                    <w:rPr>
                      <w:szCs w:val="21"/>
                    </w:rPr>
                    <w:t>70</w:t>
                  </w:r>
                </w:p>
              </w:tc>
              <w:tc>
                <w:tcPr>
                  <w:tcW w:w="1300" w:type="dxa"/>
                  <w:vAlign w:val="center"/>
                </w:tcPr>
                <w:p>
                  <w:pPr>
                    <w:snapToGrid w:val="0"/>
                    <w:jc w:val="center"/>
                    <w:rPr>
                      <w:szCs w:val="21"/>
                    </w:rPr>
                  </w:pPr>
                  <w:r>
                    <w:rPr>
                      <w:szCs w:val="21"/>
                    </w:rPr>
                    <w:t>120.7</w:t>
                  </w:r>
                </w:p>
              </w:tc>
              <w:tc>
                <w:tcPr>
                  <w:tcW w:w="1132" w:type="dxa"/>
                  <w:vAlign w:val="center"/>
                </w:tcPr>
                <w:p>
                  <w:pPr>
                    <w:snapToGrid w:val="0"/>
                    <w:jc w:val="center"/>
                    <w:rPr>
                      <w:szCs w:val="21"/>
                    </w:rPr>
                  </w:pPr>
                  <w:r>
                    <w:rPr>
                      <w:rFonts w:hint="eastAsia"/>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jc w:val="center"/>
                    <w:rPr>
                      <w:szCs w:val="21"/>
                    </w:rPr>
                  </w:pPr>
                  <w:r>
                    <w:rPr>
                      <w:szCs w:val="21"/>
                    </w:rPr>
                    <w:t>3</w:t>
                  </w:r>
                </w:p>
              </w:tc>
              <w:tc>
                <w:tcPr>
                  <w:tcW w:w="851" w:type="dxa"/>
                  <w:vAlign w:val="center"/>
                </w:tcPr>
                <w:p>
                  <w:pPr>
                    <w:snapToGrid w:val="0"/>
                    <w:jc w:val="center"/>
                    <w:rPr>
                      <w:szCs w:val="21"/>
                    </w:rPr>
                  </w:pPr>
                  <w:r>
                    <w:rPr>
                      <w:szCs w:val="21"/>
                    </w:rPr>
                    <w:t>PM</w:t>
                  </w:r>
                  <w:r>
                    <w:rPr>
                      <w:szCs w:val="21"/>
                      <w:vertAlign w:val="subscript"/>
                    </w:rPr>
                    <w:t>2.5</w:t>
                  </w:r>
                </w:p>
              </w:tc>
              <w:tc>
                <w:tcPr>
                  <w:tcW w:w="1484" w:type="dxa"/>
                  <w:vMerge w:val="continue"/>
                  <w:vAlign w:val="center"/>
                </w:tcPr>
                <w:p>
                  <w:pPr>
                    <w:snapToGrid w:val="0"/>
                    <w:jc w:val="center"/>
                    <w:rPr>
                      <w:szCs w:val="21"/>
                    </w:rPr>
                  </w:pPr>
                </w:p>
              </w:tc>
              <w:tc>
                <w:tcPr>
                  <w:tcW w:w="1807" w:type="dxa"/>
                  <w:vAlign w:val="center"/>
                </w:tcPr>
                <w:p>
                  <w:pPr>
                    <w:snapToGrid w:val="0"/>
                    <w:jc w:val="center"/>
                    <w:rPr>
                      <w:szCs w:val="21"/>
                    </w:rPr>
                  </w:pPr>
                  <w:r>
                    <w:rPr>
                      <w:szCs w:val="21"/>
                    </w:rPr>
                    <w:t>54.8</w:t>
                  </w:r>
                </w:p>
              </w:tc>
              <w:tc>
                <w:tcPr>
                  <w:tcW w:w="1780" w:type="dxa"/>
                  <w:vAlign w:val="center"/>
                </w:tcPr>
                <w:p>
                  <w:pPr>
                    <w:snapToGrid w:val="0"/>
                    <w:jc w:val="center"/>
                    <w:rPr>
                      <w:szCs w:val="21"/>
                    </w:rPr>
                  </w:pPr>
                  <w:r>
                    <w:rPr>
                      <w:szCs w:val="21"/>
                    </w:rPr>
                    <w:t>35</w:t>
                  </w:r>
                </w:p>
              </w:tc>
              <w:tc>
                <w:tcPr>
                  <w:tcW w:w="1300" w:type="dxa"/>
                  <w:vAlign w:val="center"/>
                </w:tcPr>
                <w:p>
                  <w:pPr>
                    <w:snapToGrid w:val="0"/>
                    <w:jc w:val="center"/>
                    <w:rPr>
                      <w:szCs w:val="21"/>
                    </w:rPr>
                  </w:pPr>
                  <w:r>
                    <w:rPr>
                      <w:szCs w:val="21"/>
                    </w:rPr>
                    <w:cr/>
                  </w:r>
                  <w:r>
                    <w:rPr>
                      <w:szCs w:val="21"/>
                    </w:rPr>
                    <w:t>56.6</w:t>
                  </w:r>
                </w:p>
              </w:tc>
              <w:tc>
                <w:tcPr>
                  <w:tcW w:w="1132" w:type="dxa"/>
                  <w:vAlign w:val="center"/>
                </w:tcPr>
                <w:p>
                  <w:pPr>
                    <w:snapToGrid w:val="0"/>
                    <w:jc w:val="center"/>
                    <w:rPr>
                      <w:szCs w:val="21"/>
                    </w:rPr>
                  </w:pPr>
                  <w:r>
                    <w:rPr>
                      <w:rFonts w:hint="eastAsia"/>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jc w:val="center"/>
                    <w:rPr>
                      <w:szCs w:val="21"/>
                    </w:rPr>
                  </w:pPr>
                  <w:r>
                    <w:rPr>
                      <w:szCs w:val="21"/>
                    </w:rPr>
                    <w:t>4</w:t>
                  </w:r>
                </w:p>
              </w:tc>
              <w:tc>
                <w:tcPr>
                  <w:tcW w:w="851" w:type="dxa"/>
                  <w:vAlign w:val="center"/>
                </w:tcPr>
                <w:p>
                  <w:pPr>
                    <w:snapToGrid w:val="0"/>
                    <w:jc w:val="center"/>
                    <w:rPr>
                      <w:szCs w:val="21"/>
                    </w:rPr>
                  </w:pPr>
                  <w:r>
                    <w:rPr>
                      <w:szCs w:val="21"/>
                    </w:rPr>
                    <w:t>NO</w:t>
                  </w:r>
                  <w:r>
                    <w:rPr>
                      <w:szCs w:val="21"/>
                      <w:vertAlign w:val="subscript"/>
                    </w:rPr>
                    <w:t>2</w:t>
                  </w:r>
                </w:p>
              </w:tc>
              <w:tc>
                <w:tcPr>
                  <w:tcW w:w="1484" w:type="dxa"/>
                  <w:vMerge w:val="continue"/>
                  <w:vAlign w:val="center"/>
                </w:tcPr>
                <w:p>
                  <w:pPr>
                    <w:snapToGrid w:val="0"/>
                    <w:jc w:val="center"/>
                    <w:rPr>
                      <w:szCs w:val="21"/>
                    </w:rPr>
                  </w:pPr>
                </w:p>
              </w:tc>
              <w:tc>
                <w:tcPr>
                  <w:tcW w:w="1807" w:type="dxa"/>
                  <w:vAlign w:val="center"/>
                </w:tcPr>
                <w:p>
                  <w:pPr>
                    <w:snapToGrid w:val="0"/>
                    <w:jc w:val="center"/>
                    <w:rPr>
                      <w:szCs w:val="21"/>
                    </w:rPr>
                  </w:pPr>
                  <w:r>
                    <w:rPr>
                      <w:szCs w:val="21"/>
                    </w:rPr>
                    <w:t>28</w:t>
                  </w:r>
                </w:p>
              </w:tc>
              <w:tc>
                <w:tcPr>
                  <w:tcW w:w="1780" w:type="dxa"/>
                  <w:vAlign w:val="center"/>
                </w:tcPr>
                <w:p>
                  <w:pPr>
                    <w:snapToGrid w:val="0"/>
                    <w:jc w:val="center"/>
                    <w:rPr>
                      <w:szCs w:val="21"/>
                    </w:rPr>
                  </w:pPr>
                  <w:r>
                    <w:rPr>
                      <w:szCs w:val="21"/>
                    </w:rPr>
                    <w:t>40</w:t>
                  </w:r>
                </w:p>
              </w:tc>
              <w:tc>
                <w:tcPr>
                  <w:tcW w:w="1300" w:type="dxa"/>
                  <w:vAlign w:val="center"/>
                </w:tcPr>
                <w:p>
                  <w:pPr>
                    <w:snapToGrid w:val="0"/>
                    <w:jc w:val="center"/>
                    <w:rPr>
                      <w:szCs w:val="21"/>
                    </w:rPr>
                  </w:pPr>
                  <w:r>
                    <w:rPr>
                      <w:szCs w:val="21"/>
                    </w:rPr>
                    <w:t>70</w:t>
                  </w:r>
                </w:p>
              </w:tc>
              <w:tc>
                <w:tcPr>
                  <w:tcW w:w="1132" w:type="dxa"/>
                  <w:vAlign w:val="center"/>
                </w:tcPr>
                <w:p>
                  <w:pPr>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jc w:val="center"/>
                    <w:rPr>
                      <w:szCs w:val="21"/>
                    </w:rPr>
                  </w:pPr>
                  <w:r>
                    <w:rPr>
                      <w:szCs w:val="21"/>
                    </w:rPr>
                    <w:t>5</w:t>
                  </w:r>
                </w:p>
              </w:tc>
              <w:tc>
                <w:tcPr>
                  <w:tcW w:w="851" w:type="dxa"/>
                  <w:vAlign w:val="center"/>
                </w:tcPr>
                <w:p>
                  <w:pPr>
                    <w:snapToGrid w:val="0"/>
                    <w:jc w:val="center"/>
                    <w:rPr>
                      <w:szCs w:val="21"/>
                    </w:rPr>
                  </w:pPr>
                  <w:r>
                    <w:rPr>
                      <w:szCs w:val="21"/>
                    </w:rPr>
                    <w:t>CO</w:t>
                  </w:r>
                </w:p>
              </w:tc>
              <w:tc>
                <w:tcPr>
                  <w:tcW w:w="1484" w:type="dxa"/>
                  <w:vMerge w:val="continue"/>
                  <w:vAlign w:val="center"/>
                </w:tcPr>
                <w:p>
                  <w:pPr>
                    <w:snapToGrid w:val="0"/>
                    <w:jc w:val="center"/>
                    <w:rPr>
                      <w:szCs w:val="21"/>
                    </w:rPr>
                  </w:pPr>
                </w:p>
              </w:tc>
              <w:tc>
                <w:tcPr>
                  <w:tcW w:w="1807" w:type="dxa"/>
                  <w:vAlign w:val="center"/>
                </w:tcPr>
                <w:p>
                  <w:pPr>
                    <w:snapToGrid w:val="0"/>
                    <w:jc w:val="center"/>
                    <w:rPr>
                      <w:szCs w:val="21"/>
                    </w:rPr>
                  </w:pPr>
                  <w:r>
                    <w:rPr>
                      <w:szCs w:val="21"/>
                    </w:rPr>
                    <w:t>0.9</w:t>
                  </w:r>
                </w:p>
              </w:tc>
              <w:tc>
                <w:tcPr>
                  <w:tcW w:w="1780" w:type="dxa"/>
                  <w:vAlign w:val="center"/>
                </w:tcPr>
                <w:p>
                  <w:pPr>
                    <w:snapToGrid w:val="0"/>
                    <w:jc w:val="center"/>
                    <w:rPr>
                      <w:szCs w:val="21"/>
                    </w:rPr>
                  </w:pPr>
                  <w:r>
                    <w:rPr>
                      <w:szCs w:val="21"/>
                    </w:rPr>
                    <w:t>/</w:t>
                  </w:r>
                </w:p>
              </w:tc>
              <w:tc>
                <w:tcPr>
                  <w:tcW w:w="1300" w:type="dxa"/>
                  <w:vAlign w:val="center"/>
                </w:tcPr>
                <w:p>
                  <w:pPr>
                    <w:snapToGrid w:val="0"/>
                    <w:jc w:val="center"/>
                    <w:rPr>
                      <w:szCs w:val="21"/>
                    </w:rPr>
                  </w:pPr>
                  <w:r>
                    <w:rPr>
                      <w:szCs w:val="21"/>
                    </w:rPr>
                    <w:t>/</w:t>
                  </w:r>
                </w:p>
              </w:tc>
              <w:tc>
                <w:tcPr>
                  <w:tcW w:w="1132" w:type="dxa"/>
                  <w:vAlign w:val="center"/>
                </w:tcPr>
                <w:p>
                  <w:pPr>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jc w:val="center"/>
                    <w:rPr>
                      <w:szCs w:val="21"/>
                    </w:rPr>
                  </w:pPr>
                  <w:r>
                    <w:rPr>
                      <w:szCs w:val="21"/>
                    </w:rPr>
                    <w:t>6</w:t>
                  </w:r>
                </w:p>
              </w:tc>
              <w:tc>
                <w:tcPr>
                  <w:tcW w:w="851" w:type="dxa"/>
                  <w:vAlign w:val="center"/>
                </w:tcPr>
                <w:p>
                  <w:pPr>
                    <w:snapToGrid w:val="0"/>
                    <w:jc w:val="center"/>
                    <w:rPr>
                      <w:szCs w:val="21"/>
                    </w:rPr>
                  </w:pPr>
                  <w:r>
                    <w:rPr>
                      <w:szCs w:val="21"/>
                    </w:rPr>
                    <w:t>O</w:t>
                  </w:r>
                  <w:r>
                    <w:rPr>
                      <w:szCs w:val="21"/>
                      <w:vertAlign w:val="subscript"/>
                    </w:rPr>
                    <w:t>3</w:t>
                  </w:r>
                </w:p>
              </w:tc>
              <w:tc>
                <w:tcPr>
                  <w:tcW w:w="1484" w:type="dxa"/>
                  <w:vMerge w:val="continue"/>
                  <w:vAlign w:val="center"/>
                </w:tcPr>
                <w:p>
                  <w:pPr>
                    <w:snapToGrid w:val="0"/>
                    <w:jc w:val="center"/>
                    <w:rPr>
                      <w:szCs w:val="21"/>
                    </w:rPr>
                  </w:pPr>
                </w:p>
              </w:tc>
              <w:tc>
                <w:tcPr>
                  <w:tcW w:w="1807" w:type="dxa"/>
                  <w:vAlign w:val="center"/>
                </w:tcPr>
                <w:p>
                  <w:pPr>
                    <w:snapToGrid w:val="0"/>
                    <w:jc w:val="center"/>
                    <w:rPr>
                      <w:szCs w:val="21"/>
                    </w:rPr>
                  </w:pPr>
                  <w:r>
                    <w:rPr>
                      <w:szCs w:val="21"/>
                    </w:rPr>
                    <w:t>109</w:t>
                  </w:r>
                </w:p>
              </w:tc>
              <w:tc>
                <w:tcPr>
                  <w:tcW w:w="1780" w:type="dxa"/>
                  <w:vAlign w:val="center"/>
                </w:tcPr>
                <w:p>
                  <w:pPr>
                    <w:snapToGrid w:val="0"/>
                    <w:jc w:val="center"/>
                    <w:rPr>
                      <w:szCs w:val="21"/>
                    </w:rPr>
                  </w:pPr>
                  <w:r>
                    <w:rPr>
                      <w:szCs w:val="21"/>
                    </w:rPr>
                    <w:t>/</w:t>
                  </w:r>
                </w:p>
              </w:tc>
              <w:tc>
                <w:tcPr>
                  <w:tcW w:w="1300" w:type="dxa"/>
                  <w:vAlign w:val="center"/>
                </w:tcPr>
                <w:p>
                  <w:pPr>
                    <w:snapToGrid w:val="0"/>
                    <w:jc w:val="center"/>
                    <w:rPr>
                      <w:szCs w:val="21"/>
                    </w:rPr>
                  </w:pPr>
                  <w:r>
                    <w:rPr>
                      <w:szCs w:val="21"/>
                    </w:rPr>
                    <w:t>/</w:t>
                  </w:r>
                </w:p>
              </w:tc>
              <w:tc>
                <w:tcPr>
                  <w:tcW w:w="1132" w:type="dxa"/>
                  <w:vAlign w:val="center"/>
                </w:tcPr>
                <w:p>
                  <w:pPr>
                    <w:snapToGrid w:val="0"/>
                    <w:jc w:val="center"/>
                    <w:rPr>
                      <w:szCs w:val="21"/>
                    </w:rPr>
                  </w:pPr>
                  <w:r>
                    <w:rPr>
                      <w:szCs w:val="21"/>
                    </w:rPr>
                    <w:t>/</w:t>
                  </w:r>
                </w:p>
              </w:tc>
            </w:tr>
          </w:tbl>
          <w:p>
            <w:pPr>
              <w:adjustRightInd w:val="0"/>
              <w:snapToGrid w:val="0"/>
              <w:spacing w:line="360" w:lineRule="auto"/>
              <w:ind w:firstLine="420"/>
              <w:textAlignment w:val="baseline"/>
              <w:rPr>
                <w:sz w:val="24"/>
                <w:szCs w:val="24"/>
              </w:rPr>
            </w:pPr>
            <w:r>
              <w:rPr>
                <w:rFonts w:hint="eastAsia"/>
                <w:sz w:val="24"/>
                <w:szCs w:val="24"/>
              </w:rPr>
              <w:t>益益乳业工业园子站点位环境空气质量自动监测子站二氧化硫、二氧化氮、一氧化碳、臭氧年平均值均符合《环境空气质量标准》（</w:t>
            </w:r>
            <w:r>
              <w:rPr>
                <w:sz w:val="24"/>
                <w:szCs w:val="24"/>
              </w:rPr>
              <w:t>GB3095-2012</w:t>
            </w:r>
            <w:r>
              <w:rPr>
                <w:rFonts w:hint="eastAsia"/>
                <w:sz w:val="24"/>
                <w:szCs w:val="24"/>
              </w:rPr>
              <w:t>）及其修改单二级标准。环境空气质量自动监测子站可吸入颗粒物（</w:t>
            </w:r>
            <w:r>
              <w:rPr>
                <w:sz w:val="24"/>
                <w:szCs w:val="24"/>
              </w:rPr>
              <w:t>PM</w:t>
            </w:r>
            <w:r>
              <w:rPr>
                <w:sz w:val="24"/>
                <w:szCs w:val="24"/>
                <w:vertAlign w:val="subscript"/>
              </w:rPr>
              <w:t>10</w:t>
            </w:r>
            <w:r>
              <w:rPr>
                <w:rFonts w:hint="eastAsia"/>
                <w:sz w:val="24"/>
                <w:szCs w:val="24"/>
              </w:rPr>
              <w:t>）和细颗粒物（</w:t>
            </w:r>
            <w:r>
              <w:rPr>
                <w:sz w:val="24"/>
                <w:szCs w:val="24"/>
              </w:rPr>
              <w:t>PM</w:t>
            </w:r>
            <w:r>
              <w:rPr>
                <w:sz w:val="24"/>
                <w:szCs w:val="24"/>
                <w:vertAlign w:val="subscript"/>
              </w:rPr>
              <w:t>2.5</w:t>
            </w:r>
            <w:r>
              <w:rPr>
                <w:rFonts w:hint="eastAsia"/>
                <w:sz w:val="24"/>
                <w:szCs w:val="24"/>
              </w:rPr>
              <w:t>）年平均值均超过《环境空气质量标准》（</w:t>
            </w:r>
            <w:r>
              <w:rPr>
                <w:sz w:val="24"/>
                <w:szCs w:val="24"/>
              </w:rPr>
              <w:t>GB3095-2012</w:t>
            </w:r>
            <w:r>
              <w:rPr>
                <w:rFonts w:hint="eastAsia"/>
                <w:sz w:val="24"/>
                <w:szCs w:val="24"/>
              </w:rPr>
              <w:t>）二级标准。可吸入颗粒物（</w:t>
            </w:r>
            <w:r>
              <w:rPr>
                <w:sz w:val="24"/>
                <w:szCs w:val="24"/>
              </w:rPr>
              <w:t>PM</w:t>
            </w:r>
            <w:r>
              <w:rPr>
                <w:sz w:val="24"/>
                <w:szCs w:val="24"/>
                <w:vertAlign w:val="subscript"/>
              </w:rPr>
              <w:t>10</w:t>
            </w:r>
            <w:r>
              <w:rPr>
                <w:rFonts w:hint="eastAsia"/>
                <w:sz w:val="24"/>
                <w:szCs w:val="24"/>
              </w:rPr>
              <w:t>）年平均值超标</w:t>
            </w:r>
            <w:r>
              <w:rPr>
                <w:sz w:val="24"/>
                <w:szCs w:val="24"/>
              </w:rPr>
              <w:t>0.1</w:t>
            </w:r>
            <w:r>
              <w:rPr>
                <w:rFonts w:hint="eastAsia"/>
                <w:sz w:val="24"/>
                <w:szCs w:val="24"/>
              </w:rPr>
              <w:t>5倍；细颗粒物（</w:t>
            </w:r>
            <w:r>
              <w:rPr>
                <w:sz w:val="24"/>
                <w:szCs w:val="24"/>
              </w:rPr>
              <w:t>PM</w:t>
            </w:r>
            <w:r>
              <w:rPr>
                <w:sz w:val="24"/>
                <w:szCs w:val="24"/>
                <w:vertAlign w:val="subscript"/>
              </w:rPr>
              <w:t>2.5</w:t>
            </w:r>
            <w:r>
              <w:rPr>
                <w:rFonts w:hint="eastAsia"/>
                <w:sz w:val="24"/>
                <w:szCs w:val="24"/>
              </w:rPr>
              <w:t>）年平均值超标</w:t>
            </w:r>
            <w:r>
              <w:rPr>
                <w:sz w:val="24"/>
                <w:szCs w:val="24"/>
              </w:rPr>
              <w:t>0.</w:t>
            </w:r>
            <w:r>
              <w:rPr>
                <w:rFonts w:hint="eastAsia"/>
                <w:sz w:val="24"/>
                <w:szCs w:val="24"/>
              </w:rPr>
              <w:t>62倍。</w:t>
            </w:r>
          </w:p>
          <w:p>
            <w:pPr>
              <w:adjustRightInd w:val="0"/>
              <w:snapToGrid w:val="0"/>
              <w:spacing w:line="360" w:lineRule="auto"/>
              <w:ind w:firstLine="420"/>
              <w:jc w:val="left"/>
              <w:textAlignment w:val="baseline"/>
              <w:rPr>
                <w:sz w:val="24"/>
                <w:szCs w:val="24"/>
              </w:rPr>
            </w:pPr>
            <w:r>
              <w:rPr>
                <w:rFonts w:hint="eastAsia"/>
                <w:sz w:val="24"/>
                <w:szCs w:val="24"/>
              </w:rPr>
              <w:t>由上表可知，</w:t>
            </w:r>
            <w:r>
              <w:rPr>
                <w:sz w:val="24"/>
                <w:szCs w:val="24"/>
              </w:rPr>
              <w:t>PM</w:t>
            </w:r>
            <w:r>
              <w:rPr>
                <w:sz w:val="24"/>
                <w:szCs w:val="24"/>
                <w:vertAlign w:val="subscript"/>
              </w:rPr>
              <w:t>2.5</w:t>
            </w:r>
            <w:r>
              <w:rPr>
                <w:rFonts w:hint="eastAsia"/>
                <w:sz w:val="24"/>
                <w:szCs w:val="24"/>
              </w:rPr>
              <w:t>、</w:t>
            </w:r>
            <w:r>
              <w:rPr>
                <w:sz w:val="24"/>
                <w:szCs w:val="24"/>
              </w:rPr>
              <w:t>PM</w:t>
            </w:r>
            <w:r>
              <w:rPr>
                <w:sz w:val="24"/>
                <w:szCs w:val="24"/>
                <w:vertAlign w:val="subscript"/>
              </w:rPr>
              <w:t>10</w:t>
            </w:r>
            <w:r>
              <w:rPr>
                <w:rFonts w:hint="eastAsia"/>
                <w:sz w:val="24"/>
                <w:szCs w:val="24"/>
              </w:rPr>
              <w:t>年均值指数均超标，不能够满足《环境空气质量标准》</w:t>
            </w:r>
            <w:r>
              <w:rPr>
                <w:sz w:val="24"/>
                <w:szCs w:val="24"/>
              </w:rPr>
              <w:t>(GB3095-2012)</w:t>
            </w:r>
            <w:r>
              <w:rPr>
                <w:rFonts w:hint="eastAsia"/>
                <w:sz w:val="24"/>
                <w:szCs w:val="24"/>
              </w:rPr>
              <w:t>中二级标准要求。因此项目所在区域的基本污染物环境质量现状不达标。</w:t>
            </w:r>
          </w:p>
          <w:p>
            <w:pPr>
              <w:spacing w:line="360" w:lineRule="auto"/>
              <w:ind w:firstLine="482" w:firstLineChars="200"/>
              <w:rPr>
                <w:b/>
                <w:sz w:val="24"/>
              </w:rPr>
            </w:pPr>
            <w:r>
              <w:rPr>
                <w:b/>
                <w:sz w:val="24"/>
              </w:rPr>
              <w:t>2、水环境：</w:t>
            </w:r>
          </w:p>
          <w:p>
            <w:pPr>
              <w:spacing w:line="360" w:lineRule="auto"/>
              <w:ind w:firstLine="480" w:firstLineChars="200"/>
              <w:rPr>
                <w:sz w:val="24"/>
              </w:rPr>
            </w:pPr>
            <w:r>
              <w:rPr>
                <w:sz w:val="24"/>
              </w:rPr>
              <w:t>项目拟建区域地表水体为</w:t>
            </w:r>
            <w:r>
              <w:rPr>
                <w:rFonts w:hint="eastAsia"/>
                <w:sz w:val="24"/>
              </w:rPr>
              <w:t>淮河</w:t>
            </w:r>
            <w:r>
              <w:rPr>
                <w:sz w:val="24"/>
              </w:rPr>
              <w:t>，</w:t>
            </w:r>
            <w:r>
              <w:rPr>
                <w:rFonts w:ascii="宋体" w:hAnsi="宋体"/>
                <w:sz w:val="24"/>
              </w:rPr>
              <w:t>为</w:t>
            </w:r>
            <w:r>
              <w:rPr>
                <w:rFonts w:hint="eastAsia" w:ascii="宋体" w:hAnsi="宋体"/>
                <w:sz w:val="24"/>
              </w:rPr>
              <w:t>Ⅲ</w:t>
            </w:r>
            <w:r>
              <w:rPr>
                <w:sz w:val="24"/>
              </w:rPr>
              <w:t>类水体，执行《地表水环境质量标准》（GB3838-2002）</w:t>
            </w:r>
            <w:r>
              <w:rPr>
                <w:rFonts w:hint="eastAsia" w:ascii="宋体" w:hAnsi="宋体"/>
                <w:sz w:val="24"/>
              </w:rPr>
              <w:t>Ⅲ</w:t>
            </w:r>
            <w:r>
              <w:rPr>
                <w:sz w:val="24"/>
              </w:rPr>
              <w:t>类标准。</w:t>
            </w:r>
            <w:r>
              <w:rPr>
                <w:rFonts w:hint="eastAsia"/>
                <w:sz w:val="24"/>
              </w:rPr>
              <w:t>本评价引用淮南市环保局网站公布的《</w:t>
            </w:r>
            <w:r>
              <w:rPr>
                <w:sz w:val="24"/>
              </w:rPr>
              <w:t>2018</w:t>
            </w:r>
            <w:r>
              <w:rPr>
                <w:rFonts w:hint="eastAsia"/>
                <w:sz w:val="24"/>
              </w:rPr>
              <w:t>年淮南市环境质量状况公报》对淮河河水质得描述，具体如下：</w:t>
            </w:r>
          </w:p>
          <w:p>
            <w:pPr>
              <w:spacing w:line="336" w:lineRule="auto"/>
              <w:ind w:firstLine="482"/>
              <w:rPr>
                <w:kern w:val="0"/>
                <w:sz w:val="24"/>
                <w:szCs w:val="24"/>
              </w:rPr>
            </w:pPr>
            <w:r>
              <w:rPr>
                <w:rFonts w:hint="eastAsia"/>
                <w:kern w:val="0"/>
                <w:sz w:val="24"/>
                <w:szCs w:val="24"/>
              </w:rPr>
              <w:t>2018年，市辖淮河干流及其一、二级支流16个监测断面年平均浓度值Ⅰ~Ⅲ类水质比例75%，总体水质良好，与2017年相比总体由优降低为良好，Ⅰ~Ⅲ类水质比例减少25个百分点。主要超标断面为白洋淀（超标因子氨氮，超标倍数0.03）、枣林涵、中心沟、木台沟断面（超标因子化学需氧量，超标倍数分别为0.15、0.1和0.25倍），该4个断面评价指标年均浓度值均符合《地表水环境质量标准》（GB3838-2002）中Ⅳ类标准。</w:t>
            </w:r>
          </w:p>
          <w:p>
            <w:pPr>
              <w:spacing w:line="360" w:lineRule="auto"/>
              <w:ind w:firstLine="570"/>
              <w:rPr>
                <w:b/>
                <w:sz w:val="24"/>
              </w:rPr>
            </w:pPr>
            <w:r>
              <w:rPr>
                <w:b/>
                <w:sz w:val="24"/>
              </w:rPr>
              <w:t>3、声环境：</w:t>
            </w:r>
          </w:p>
          <w:p>
            <w:pPr>
              <w:spacing w:line="336" w:lineRule="auto"/>
              <w:ind w:firstLine="482"/>
              <w:rPr>
                <w:sz w:val="24"/>
              </w:rPr>
            </w:pPr>
            <w:r>
              <w:rPr>
                <w:kern w:val="0"/>
                <w:sz w:val="24"/>
                <w:szCs w:val="24"/>
              </w:rPr>
              <w:t>项</w:t>
            </w:r>
            <w:r>
              <w:rPr>
                <w:rFonts w:hint="eastAsia" w:ascii="宋体" w:hAnsi="宋体"/>
                <w:kern w:val="0"/>
                <w:sz w:val="24"/>
                <w:szCs w:val="24"/>
              </w:rPr>
              <w:t>目位于</w:t>
            </w:r>
            <w:r>
              <w:rPr>
                <w:rFonts w:hint="eastAsia"/>
                <w:kern w:val="0"/>
                <w:sz w:val="24"/>
                <w:szCs w:val="24"/>
              </w:rPr>
              <w:t>淮南市大通区</w:t>
            </w:r>
            <w:r>
              <w:rPr>
                <w:rFonts w:hint="eastAsia"/>
                <w:kern w:val="0"/>
                <w:sz w:val="24"/>
                <w:szCs w:val="24"/>
                <w:lang w:eastAsia="zh-CN"/>
              </w:rPr>
              <w:t>大通区工业新区标准化厂房</w:t>
            </w:r>
            <w:r>
              <w:rPr>
                <w:sz w:val="24"/>
              </w:rPr>
              <w:t>，为了解该项目所在区域环境</w:t>
            </w:r>
            <w:r>
              <w:rPr>
                <w:rFonts w:hint="eastAsia"/>
                <w:sz w:val="24"/>
              </w:rPr>
              <w:t>声</w:t>
            </w:r>
            <w:r>
              <w:rPr>
                <w:sz w:val="24"/>
              </w:rPr>
              <w:t>质量状况，评价单位委托</w:t>
            </w:r>
            <w:r>
              <w:rPr>
                <w:rFonts w:hint="eastAsia"/>
                <w:sz w:val="24"/>
              </w:rPr>
              <w:t>安徽威正测试技术限公司</w:t>
            </w:r>
            <w:r>
              <w:rPr>
                <w:sz w:val="24"/>
              </w:rPr>
              <w:t>20</w:t>
            </w:r>
            <w:r>
              <w:rPr>
                <w:rFonts w:hint="eastAsia"/>
                <w:sz w:val="24"/>
              </w:rPr>
              <w:t>20</w:t>
            </w:r>
            <w:r>
              <w:rPr>
                <w:sz w:val="24"/>
              </w:rPr>
              <w:t>年</w:t>
            </w:r>
            <w:r>
              <w:rPr>
                <w:rFonts w:hint="eastAsia"/>
                <w:sz w:val="24"/>
              </w:rPr>
              <w:t>04</w:t>
            </w:r>
            <w:r>
              <w:rPr>
                <w:sz w:val="24"/>
              </w:rPr>
              <w:t>月</w:t>
            </w:r>
            <w:r>
              <w:rPr>
                <w:rFonts w:hint="eastAsia"/>
                <w:sz w:val="24"/>
              </w:rPr>
              <w:t>04</w:t>
            </w:r>
            <w:r>
              <w:rPr>
                <w:sz w:val="24"/>
              </w:rPr>
              <w:t>日至</w:t>
            </w:r>
            <w:r>
              <w:rPr>
                <w:rFonts w:hint="eastAsia"/>
                <w:sz w:val="24"/>
              </w:rPr>
              <w:t>05</w:t>
            </w:r>
            <w:r>
              <w:rPr>
                <w:sz w:val="24"/>
              </w:rPr>
              <w:t>日在项目地块四周进行监测。</w:t>
            </w:r>
          </w:p>
          <w:p>
            <w:pPr>
              <w:snapToGrid w:val="0"/>
              <w:ind w:firstLine="422" w:firstLineChars="200"/>
              <w:jc w:val="center"/>
              <w:rPr>
                <w:b/>
                <w:szCs w:val="21"/>
              </w:rPr>
            </w:pPr>
            <w:r>
              <w:rPr>
                <w:b/>
                <w:szCs w:val="21"/>
              </w:rPr>
              <w:t>表</w:t>
            </w:r>
            <w:r>
              <w:rPr>
                <w:rFonts w:hint="eastAsia"/>
                <w:b/>
                <w:szCs w:val="21"/>
              </w:rPr>
              <w:t>8</w:t>
            </w:r>
            <w:r>
              <w:rPr>
                <w:b/>
                <w:szCs w:val="21"/>
              </w:rPr>
              <w:t>场界噪声现状监测结果    单位：LeqdB(A)</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816"/>
              <w:gridCol w:w="1816"/>
              <w:gridCol w:w="1817"/>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napToGrid w:val="0"/>
                    <w:jc w:val="center"/>
                    <w:rPr>
                      <w:szCs w:val="21"/>
                    </w:rPr>
                  </w:pPr>
                  <w:r>
                    <w:rPr>
                      <w:szCs w:val="21"/>
                    </w:rPr>
                    <w:t>点数</w:t>
                  </w:r>
                </w:p>
              </w:tc>
              <w:tc>
                <w:tcPr>
                  <w:tcW w:w="3408" w:type="dxa"/>
                  <w:gridSpan w:val="2"/>
                  <w:vMerge w:val="restart"/>
                  <w:vAlign w:val="center"/>
                </w:tcPr>
                <w:p>
                  <w:pPr>
                    <w:snapToGrid w:val="0"/>
                    <w:jc w:val="center"/>
                    <w:rPr>
                      <w:szCs w:val="21"/>
                    </w:rPr>
                  </w:pPr>
                  <w:r>
                    <w:rPr>
                      <w:szCs w:val="21"/>
                    </w:rPr>
                    <w:t>测点名称</w:t>
                  </w:r>
                </w:p>
              </w:tc>
              <w:tc>
                <w:tcPr>
                  <w:tcW w:w="1705" w:type="dxa"/>
                  <w:vAlign w:val="center"/>
                </w:tcPr>
                <w:p>
                  <w:pPr>
                    <w:snapToGrid w:val="0"/>
                    <w:jc w:val="center"/>
                    <w:rPr>
                      <w:szCs w:val="21"/>
                    </w:rPr>
                  </w:pPr>
                  <w:r>
                    <w:rPr>
                      <w:szCs w:val="21"/>
                    </w:rPr>
                    <w:t>201</w:t>
                  </w:r>
                  <w:r>
                    <w:rPr>
                      <w:rFonts w:hint="eastAsia"/>
                      <w:szCs w:val="21"/>
                    </w:rPr>
                    <w:t>9</w:t>
                  </w:r>
                  <w:r>
                    <w:rPr>
                      <w:szCs w:val="21"/>
                    </w:rPr>
                    <w:t>-</w:t>
                  </w:r>
                  <w:r>
                    <w:rPr>
                      <w:rFonts w:hint="eastAsia"/>
                      <w:szCs w:val="21"/>
                    </w:rPr>
                    <w:t>04</w:t>
                  </w:r>
                  <w:r>
                    <w:rPr>
                      <w:szCs w:val="21"/>
                    </w:rPr>
                    <w:t>-</w:t>
                  </w:r>
                  <w:r>
                    <w:rPr>
                      <w:rFonts w:hint="eastAsia"/>
                      <w:szCs w:val="21"/>
                    </w:rPr>
                    <w:t>04</w:t>
                  </w:r>
                </w:p>
              </w:tc>
              <w:tc>
                <w:tcPr>
                  <w:tcW w:w="1705" w:type="dxa"/>
                  <w:vAlign w:val="center"/>
                </w:tcPr>
                <w:p>
                  <w:pPr>
                    <w:snapToGrid w:val="0"/>
                    <w:jc w:val="center"/>
                    <w:rPr>
                      <w:szCs w:val="21"/>
                    </w:rPr>
                  </w:pPr>
                  <w:r>
                    <w:rPr>
                      <w:szCs w:val="21"/>
                    </w:rPr>
                    <w:t>2018-</w:t>
                  </w:r>
                  <w:r>
                    <w:rPr>
                      <w:rFonts w:hint="eastAsia"/>
                      <w:szCs w:val="21"/>
                    </w:rPr>
                    <w:t>04</w:t>
                  </w:r>
                  <w:r>
                    <w:rPr>
                      <w:szCs w:val="21"/>
                    </w:rPr>
                    <w:t>-</w:t>
                  </w: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napToGrid w:val="0"/>
                    <w:jc w:val="center"/>
                    <w:rPr>
                      <w:szCs w:val="21"/>
                    </w:rPr>
                  </w:pPr>
                </w:p>
              </w:tc>
              <w:tc>
                <w:tcPr>
                  <w:tcW w:w="3408" w:type="dxa"/>
                  <w:gridSpan w:val="2"/>
                  <w:vMerge w:val="continue"/>
                  <w:vAlign w:val="center"/>
                </w:tcPr>
                <w:p>
                  <w:pPr>
                    <w:snapToGrid w:val="0"/>
                    <w:jc w:val="center"/>
                    <w:rPr>
                      <w:szCs w:val="21"/>
                    </w:rPr>
                  </w:pPr>
                </w:p>
              </w:tc>
              <w:tc>
                <w:tcPr>
                  <w:tcW w:w="1705" w:type="dxa"/>
                  <w:vAlign w:val="center"/>
                </w:tcPr>
                <w:p>
                  <w:pPr>
                    <w:snapToGrid w:val="0"/>
                    <w:jc w:val="center"/>
                    <w:rPr>
                      <w:szCs w:val="21"/>
                    </w:rPr>
                  </w:pPr>
                  <w:r>
                    <w:rPr>
                      <w:szCs w:val="21"/>
                    </w:rPr>
                    <w:t>实测值</w:t>
                  </w:r>
                </w:p>
              </w:tc>
              <w:tc>
                <w:tcPr>
                  <w:tcW w:w="1705" w:type="dxa"/>
                  <w:vAlign w:val="center"/>
                </w:tcPr>
                <w:p>
                  <w:pPr>
                    <w:snapToGrid w:val="0"/>
                    <w:jc w:val="center"/>
                    <w:rPr>
                      <w:szCs w:val="21"/>
                    </w:rPr>
                  </w:pPr>
                  <w:r>
                    <w:rPr>
                      <w:szCs w:val="21"/>
                    </w:rPr>
                    <w:t>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napToGrid w:val="0"/>
                    <w:jc w:val="center"/>
                    <w:rPr>
                      <w:szCs w:val="21"/>
                    </w:rPr>
                  </w:pPr>
                  <w:r>
                    <w:rPr>
                      <w:szCs w:val="21"/>
                    </w:rPr>
                    <w:t>1#</w:t>
                  </w:r>
                </w:p>
              </w:tc>
              <w:tc>
                <w:tcPr>
                  <w:tcW w:w="1704" w:type="dxa"/>
                  <w:vMerge w:val="restart"/>
                  <w:vAlign w:val="center"/>
                </w:tcPr>
                <w:p>
                  <w:pPr>
                    <w:snapToGrid w:val="0"/>
                    <w:jc w:val="center"/>
                    <w:rPr>
                      <w:szCs w:val="21"/>
                    </w:rPr>
                  </w:pPr>
                  <w:r>
                    <w:rPr>
                      <w:szCs w:val="21"/>
                    </w:rPr>
                    <w:t>东厂界外1米</w:t>
                  </w:r>
                </w:p>
              </w:tc>
              <w:tc>
                <w:tcPr>
                  <w:tcW w:w="1704" w:type="dxa"/>
                  <w:vAlign w:val="center"/>
                </w:tcPr>
                <w:p>
                  <w:pPr>
                    <w:snapToGrid w:val="0"/>
                    <w:jc w:val="center"/>
                    <w:rPr>
                      <w:szCs w:val="21"/>
                    </w:rPr>
                  </w:pPr>
                  <w:r>
                    <w:rPr>
                      <w:szCs w:val="21"/>
                    </w:rPr>
                    <w:t>昼间dB（A）</w:t>
                  </w:r>
                </w:p>
              </w:tc>
              <w:tc>
                <w:tcPr>
                  <w:tcW w:w="1705" w:type="dxa"/>
                  <w:vAlign w:val="center"/>
                </w:tcPr>
                <w:p>
                  <w:pPr>
                    <w:snapToGrid w:val="0"/>
                    <w:jc w:val="center"/>
                    <w:rPr>
                      <w:szCs w:val="21"/>
                    </w:rPr>
                  </w:pPr>
                  <w:r>
                    <w:rPr>
                      <w:rFonts w:hint="eastAsia"/>
                      <w:szCs w:val="21"/>
                    </w:rPr>
                    <w:t>53.5</w:t>
                  </w:r>
                </w:p>
              </w:tc>
              <w:tc>
                <w:tcPr>
                  <w:tcW w:w="1705" w:type="dxa"/>
                  <w:vAlign w:val="center"/>
                </w:tcPr>
                <w:p>
                  <w:pPr>
                    <w:snapToGrid w:val="0"/>
                    <w:jc w:val="center"/>
                    <w:rPr>
                      <w:szCs w:val="21"/>
                    </w:rPr>
                  </w:pPr>
                  <w:r>
                    <w:rPr>
                      <w:rFonts w:hint="eastAsia"/>
                      <w:szCs w:val="21"/>
                    </w:rPr>
                    <w:t>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napToGrid w:val="0"/>
                    <w:jc w:val="center"/>
                    <w:rPr>
                      <w:szCs w:val="21"/>
                    </w:rPr>
                  </w:pPr>
                </w:p>
              </w:tc>
              <w:tc>
                <w:tcPr>
                  <w:tcW w:w="1704" w:type="dxa"/>
                  <w:vMerge w:val="continue"/>
                  <w:vAlign w:val="center"/>
                </w:tcPr>
                <w:p>
                  <w:pPr>
                    <w:snapToGrid w:val="0"/>
                    <w:jc w:val="center"/>
                    <w:rPr>
                      <w:szCs w:val="21"/>
                    </w:rPr>
                  </w:pPr>
                </w:p>
              </w:tc>
              <w:tc>
                <w:tcPr>
                  <w:tcW w:w="1704" w:type="dxa"/>
                  <w:vAlign w:val="center"/>
                </w:tcPr>
                <w:p>
                  <w:pPr>
                    <w:snapToGrid w:val="0"/>
                    <w:jc w:val="center"/>
                    <w:rPr>
                      <w:szCs w:val="21"/>
                    </w:rPr>
                  </w:pPr>
                  <w:r>
                    <w:rPr>
                      <w:szCs w:val="21"/>
                    </w:rPr>
                    <w:t>夜间dB（A）</w:t>
                  </w:r>
                </w:p>
              </w:tc>
              <w:tc>
                <w:tcPr>
                  <w:tcW w:w="1705" w:type="dxa"/>
                  <w:vAlign w:val="center"/>
                </w:tcPr>
                <w:p>
                  <w:pPr>
                    <w:snapToGrid w:val="0"/>
                    <w:jc w:val="center"/>
                    <w:rPr>
                      <w:szCs w:val="21"/>
                    </w:rPr>
                  </w:pPr>
                  <w:r>
                    <w:rPr>
                      <w:rFonts w:hint="eastAsia"/>
                      <w:szCs w:val="21"/>
                    </w:rPr>
                    <w:t>43.2</w:t>
                  </w:r>
                </w:p>
              </w:tc>
              <w:tc>
                <w:tcPr>
                  <w:tcW w:w="1705" w:type="dxa"/>
                  <w:vAlign w:val="center"/>
                </w:tcPr>
                <w:p>
                  <w:pPr>
                    <w:snapToGrid w:val="0"/>
                    <w:jc w:val="center"/>
                    <w:rPr>
                      <w:szCs w:val="21"/>
                    </w:rPr>
                  </w:pPr>
                  <w:r>
                    <w:rPr>
                      <w:rFonts w:hint="eastAsia"/>
                      <w:szCs w:val="2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napToGrid w:val="0"/>
                    <w:jc w:val="center"/>
                    <w:rPr>
                      <w:szCs w:val="21"/>
                    </w:rPr>
                  </w:pPr>
                  <w:r>
                    <w:rPr>
                      <w:szCs w:val="21"/>
                    </w:rPr>
                    <w:t>2#</w:t>
                  </w:r>
                </w:p>
              </w:tc>
              <w:tc>
                <w:tcPr>
                  <w:tcW w:w="1704" w:type="dxa"/>
                  <w:vMerge w:val="restart"/>
                  <w:vAlign w:val="center"/>
                </w:tcPr>
                <w:p>
                  <w:pPr>
                    <w:snapToGrid w:val="0"/>
                    <w:jc w:val="center"/>
                    <w:rPr>
                      <w:szCs w:val="21"/>
                    </w:rPr>
                  </w:pPr>
                  <w:r>
                    <w:rPr>
                      <w:szCs w:val="21"/>
                    </w:rPr>
                    <w:t>南厂界外1米</w:t>
                  </w:r>
                </w:p>
              </w:tc>
              <w:tc>
                <w:tcPr>
                  <w:tcW w:w="1704" w:type="dxa"/>
                  <w:vAlign w:val="center"/>
                </w:tcPr>
                <w:p>
                  <w:pPr>
                    <w:snapToGrid w:val="0"/>
                    <w:jc w:val="center"/>
                    <w:rPr>
                      <w:szCs w:val="21"/>
                    </w:rPr>
                  </w:pPr>
                  <w:r>
                    <w:rPr>
                      <w:szCs w:val="21"/>
                    </w:rPr>
                    <w:t>昼间dB（A）</w:t>
                  </w:r>
                </w:p>
              </w:tc>
              <w:tc>
                <w:tcPr>
                  <w:tcW w:w="1705" w:type="dxa"/>
                  <w:vAlign w:val="center"/>
                </w:tcPr>
                <w:p>
                  <w:pPr>
                    <w:snapToGrid w:val="0"/>
                    <w:jc w:val="center"/>
                    <w:rPr>
                      <w:szCs w:val="21"/>
                    </w:rPr>
                  </w:pPr>
                  <w:r>
                    <w:rPr>
                      <w:rFonts w:hint="eastAsia"/>
                      <w:szCs w:val="21"/>
                    </w:rPr>
                    <w:t>54.3</w:t>
                  </w:r>
                </w:p>
              </w:tc>
              <w:tc>
                <w:tcPr>
                  <w:tcW w:w="1705" w:type="dxa"/>
                  <w:vAlign w:val="center"/>
                </w:tcPr>
                <w:p>
                  <w:pPr>
                    <w:snapToGrid w:val="0"/>
                    <w:jc w:val="center"/>
                    <w:rPr>
                      <w:szCs w:val="21"/>
                    </w:rPr>
                  </w:pPr>
                  <w:r>
                    <w:rPr>
                      <w:rFonts w:hint="eastAsia"/>
                      <w:szCs w:val="21"/>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napToGrid w:val="0"/>
                    <w:jc w:val="center"/>
                    <w:rPr>
                      <w:szCs w:val="21"/>
                    </w:rPr>
                  </w:pPr>
                </w:p>
              </w:tc>
              <w:tc>
                <w:tcPr>
                  <w:tcW w:w="1704" w:type="dxa"/>
                  <w:vMerge w:val="continue"/>
                  <w:vAlign w:val="center"/>
                </w:tcPr>
                <w:p>
                  <w:pPr>
                    <w:snapToGrid w:val="0"/>
                    <w:jc w:val="center"/>
                    <w:rPr>
                      <w:szCs w:val="21"/>
                    </w:rPr>
                  </w:pPr>
                </w:p>
              </w:tc>
              <w:tc>
                <w:tcPr>
                  <w:tcW w:w="1704" w:type="dxa"/>
                  <w:vAlign w:val="center"/>
                </w:tcPr>
                <w:p>
                  <w:pPr>
                    <w:snapToGrid w:val="0"/>
                    <w:jc w:val="center"/>
                    <w:rPr>
                      <w:szCs w:val="21"/>
                    </w:rPr>
                  </w:pPr>
                  <w:r>
                    <w:rPr>
                      <w:szCs w:val="21"/>
                    </w:rPr>
                    <w:t>夜间dB（A）</w:t>
                  </w:r>
                </w:p>
              </w:tc>
              <w:tc>
                <w:tcPr>
                  <w:tcW w:w="1705" w:type="dxa"/>
                  <w:vAlign w:val="center"/>
                </w:tcPr>
                <w:p>
                  <w:pPr>
                    <w:snapToGrid w:val="0"/>
                    <w:jc w:val="center"/>
                    <w:rPr>
                      <w:szCs w:val="21"/>
                    </w:rPr>
                  </w:pPr>
                  <w:r>
                    <w:rPr>
                      <w:rFonts w:hint="eastAsia"/>
                      <w:szCs w:val="21"/>
                    </w:rPr>
                    <w:t>43.9</w:t>
                  </w:r>
                </w:p>
              </w:tc>
              <w:tc>
                <w:tcPr>
                  <w:tcW w:w="1705" w:type="dxa"/>
                  <w:vAlign w:val="center"/>
                </w:tcPr>
                <w:p>
                  <w:pPr>
                    <w:snapToGrid w:val="0"/>
                    <w:jc w:val="center"/>
                    <w:rPr>
                      <w:szCs w:val="21"/>
                    </w:rPr>
                  </w:pPr>
                  <w:r>
                    <w:rPr>
                      <w:rFonts w:hint="eastAsia"/>
                      <w:szCs w:val="21"/>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napToGrid w:val="0"/>
                    <w:jc w:val="center"/>
                    <w:rPr>
                      <w:szCs w:val="21"/>
                    </w:rPr>
                  </w:pPr>
                  <w:r>
                    <w:rPr>
                      <w:szCs w:val="21"/>
                    </w:rPr>
                    <w:t>3#</w:t>
                  </w:r>
                </w:p>
              </w:tc>
              <w:tc>
                <w:tcPr>
                  <w:tcW w:w="1704" w:type="dxa"/>
                  <w:vMerge w:val="restart"/>
                  <w:vAlign w:val="center"/>
                </w:tcPr>
                <w:p>
                  <w:pPr>
                    <w:snapToGrid w:val="0"/>
                    <w:jc w:val="center"/>
                    <w:rPr>
                      <w:szCs w:val="21"/>
                    </w:rPr>
                  </w:pPr>
                  <w:r>
                    <w:rPr>
                      <w:szCs w:val="21"/>
                    </w:rPr>
                    <w:t>西厂界外1米</w:t>
                  </w:r>
                </w:p>
              </w:tc>
              <w:tc>
                <w:tcPr>
                  <w:tcW w:w="1704" w:type="dxa"/>
                  <w:vAlign w:val="center"/>
                </w:tcPr>
                <w:p>
                  <w:pPr>
                    <w:snapToGrid w:val="0"/>
                    <w:jc w:val="center"/>
                    <w:rPr>
                      <w:szCs w:val="21"/>
                    </w:rPr>
                  </w:pPr>
                  <w:r>
                    <w:rPr>
                      <w:szCs w:val="21"/>
                    </w:rPr>
                    <w:t>昼间dB（A）</w:t>
                  </w:r>
                </w:p>
              </w:tc>
              <w:tc>
                <w:tcPr>
                  <w:tcW w:w="1705" w:type="dxa"/>
                  <w:vAlign w:val="center"/>
                </w:tcPr>
                <w:p>
                  <w:pPr>
                    <w:snapToGrid w:val="0"/>
                    <w:jc w:val="center"/>
                    <w:rPr>
                      <w:szCs w:val="21"/>
                    </w:rPr>
                  </w:pPr>
                  <w:r>
                    <w:rPr>
                      <w:rFonts w:hint="eastAsia"/>
                      <w:szCs w:val="21"/>
                    </w:rPr>
                    <w:t>53.1</w:t>
                  </w:r>
                </w:p>
              </w:tc>
              <w:tc>
                <w:tcPr>
                  <w:tcW w:w="1705" w:type="dxa"/>
                  <w:vAlign w:val="center"/>
                </w:tcPr>
                <w:p>
                  <w:pPr>
                    <w:snapToGrid w:val="0"/>
                    <w:jc w:val="center"/>
                    <w:rPr>
                      <w:szCs w:val="21"/>
                    </w:rPr>
                  </w:pPr>
                  <w:r>
                    <w:rPr>
                      <w:rFonts w:hint="eastAsia"/>
                      <w:szCs w:val="21"/>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napToGrid w:val="0"/>
                    <w:jc w:val="center"/>
                    <w:rPr>
                      <w:szCs w:val="21"/>
                    </w:rPr>
                  </w:pPr>
                </w:p>
              </w:tc>
              <w:tc>
                <w:tcPr>
                  <w:tcW w:w="1704" w:type="dxa"/>
                  <w:vMerge w:val="continue"/>
                  <w:vAlign w:val="center"/>
                </w:tcPr>
                <w:p>
                  <w:pPr>
                    <w:snapToGrid w:val="0"/>
                    <w:jc w:val="center"/>
                    <w:rPr>
                      <w:szCs w:val="21"/>
                    </w:rPr>
                  </w:pPr>
                </w:p>
              </w:tc>
              <w:tc>
                <w:tcPr>
                  <w:tcW w:w="1704" w:type="dxa"/>
                  <w:vAlign w:val="center"/>
                </w:tcPr>
                <w:p>
                  <w:pPr>
                    <w:snapToGrid w:val="0"/>
                    <w:jc w:val="center"/>
                    <w:rPr>
                      <w:szCs w:val="21"/>
                    </w:rPr>
                  </w:pPr>
                  <w:r>
                    <w:rPr>
                      <w:szCs w:val="21"/>
                    </w:rPr>
                    <w:t>夜间dB（A）</w:t>
                  </w:r>
                </w:p>
              </w:tc>
              <w:tc>
                <w:tcPr>
                  <w:tcW w:w="1705" w:type="dxa"/>
                  <w:vAlign w:val="center"/>
                </w:tcPr>
                <w:p>
                  <w:pPr>
                    <w:snapToGrid w:val="0"/>
                    <w:jc w:val="center"/>
                    <w:rPr>
                      <w:szCs w:val="21"/>
                    </w:rPr>
                  </w:pPr>
                  <w:r>
                    <w:rPr>
                      <w:rFonts w:hint="eastAsia"/>
                      <w:szCs w:val="21"/>
                    </w:rPr>
                    <w:t>43.5</w:t>
                  </w:r>
                </w:p>
              </w:tc>
              <w:tc>
                <w:tcPr>
                  <w:tcW w:w="1705" w:type="dxa"/>
                  <w:vAlign w:val="center"/>
                </w:tcPr>
                <w:p>
                  <w:pPr>
                    <w:snapToGrid w:val="0"/>
                    <w:jc w:val="center"/>
                    <w:rPr>
                      <w:szCs w:val="21"/>
                    </w:rPr>
                  </w:pPr>
                  <w:r>
                    <w:rPr>
                      <w:rFonts w:hint="eastAsia"/>
                      <w:szCs w:val="21"/>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napToGrid w:val="0"/>
                    <w:jc w:val="center"/>
                    <w:rPr>
                      <w:szCs w:val="21"/>
                    </w:rPr>
                  </w:pPr>
                  <w:r>
                    <w:rPr>
                      <w:szCs w:val="21"/>
                    </w:rPr>
                    <w:t>4#</w:t>
                  </w:r>
                </w:p>
              </w:tc>
              <w:tc>
                <w:tcPr>
                  <w:tcW w:w="1704" w:type="dxa"/>
                  <w:vMerge w:val="restart"/>
                  <w:vAlign w:val="center"/>
                </w:tcPr>
                <w:p>
                  <w:pPr>
                    <w:snapToGrid w:val="0"/>
                    <w:jc w:val="center"/>
                    <w:rPr>
                      <w:szCs w:val="21"/>
                    </w:rPr>
                  </w:pPr>
                  <w:r>
                    <w:rPr>
                      <w:szCs w:val="21"/>
                    </w:rPr>
                    <w:t>北厂界外1米</w:t>
                  </w:r>
                </w:p>
              </w:tc>
              <w:tc>
                <w:tcPr>
                  <w:tcW w:w="1704" w:type="dxa"/>
                  <w:vAlign w:val="center"/>
                </w:tcPr>
                <w:p>
                  <w:pPr>
                    <w:snapToGrid w:val="0"/>
                    <w:jc w:val="center"/>
                    <w:rPr>
                      <w:szCs w:val="21"/>
                    </w:rPr>
                  </w:pPr>
                  <w:r>
                    <w:rPr>
                      <w:szCs w:val="21"/>
                    </w:rPr>
                    <w:t>昼间dB（A）</w:t>
                  </w:r>
                </w:p>
              </w:tc>
              <w:tc>
                <w:tcPr>
                  <w:tcW w:w="1705" w:type="dxa"/>
                  <w:vAlign w:val="center"/>
                </w:tcPr>
                <w:p>
                  <w:pPr>
                    <w:snapToGrid w:val="0"/>
                    <w:jc w:val="center"/>
                    <w:rPr>
                      <w:szCs w:val="21"/>
                    </w:rPr>
                  </w:pPr>
                  <w:r>
                    <w:rPr>
                      <w:rFonts w:hint="eastAsia"/>
                      <w:szCs w:val="21"/>
                    </w:rPr>
                    <w:t>54.8</w:t>
                  </w:r>
                </w:p>
              </w:tc>
              <w:tc>
                <w:tcPr>
                  <w:tcW w:w="1705" w:type="dxa"/>
                  <w:vAlign w:val="center"/>
                </w:tcPr>
                <w:p>
                  <w:pPr>
                    <w:snapToGrid w:val="0"/>
                    <w:jc w:val="center"/>
                    <w:rPr>
                      <w:szCs w:val="21"/>
                    </w:rPr>
                  </w:pPr>
                  <w:r>
                    <w:rPr>
                      <w:rFonts w:hint="eastAsia"/>
                      <w:szCs w:val="21"/>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snapToGrid w:val="0"/>
                    <w:jc w:val="center"/>
                    <w:rPr>
                      <w:szCs w:val="21"/>
                    </w:rPr>
                  </w:pPr>
                </w:p>
              </w:tc>
              <w:tc>
                <w:tcPr>
                  <w:tcW w:w="1704" w:type="dxa"/>
                  <w:vMerge w:val="continue"/>
                  <w:vAlign w:val="center"/>
                </w:tcPr>
                <w:p>
                  <w:pPr>
                    <w:snapToGrid w:val="0"/>
                    <w:jc w:val="center"/>
                    <w:rPr>
                      <w:szCs w:val="21"/>
                    </w:rPr>
                  </w:pPr>
                </w:p>
              </w:tc>
              <w:tc>
                <w:tcPr>
                  <w:tcW w:w="1704" w:type="dxa"/>
                  <w:vAlign w:val="center"/>
                </w:tcPr>
                <w:p>
                  <w:pPr>
                    <w:snapToGrid w:val="0"/>
                    <w:jc w:val="center"/>
                    <w:rPr>
                      <w:szCs w:val="21"/>
                    </w:rPr>
                  </w:pPr>
                  <w:r>
                    <w:rPr>
                      <w:szCs w:val="21"/>
                    </w:rPr>
                    <w:t>夜间dB（A）</w:t>
                  </w:r>
                </w:p>
              </w:tc>
              <w:tc>
                <w:tcPr>
                  <w:tcW w:w="1705" w:type="dxa"/>
                  <w:vAlign w:val="center"/>
                </w:tcPr>
                <w:p>
                  <w:pPr>
                    <w:snapToGrid w:val="0"/>
                    <w:jc w:val="center"/>
                    <w:rPr>
                      <w:szCs w:val="21"/>
                    </w:rPr>
                  </w:pPr>
                  <w:r>
                    <w:rPr>
                      <w:rFonts w:hint="eastAsia"/>
                      <w:szCs w:val="21"/>
                    </w:rPr>
                    <w:t>44.5</w:t>
                  </w:r>
                </w:p>
              </w:tc>
              <w:tc>
                <w:tcPr>
                  <w:tcW w:w="1705" w:type="dxa"/>
                  <w:vAlign w:val="center"/>
                </w:tcPr>
                <w:p>
                  <w:pPr>
                    <w:snapToGrid w:val="0"/>
                    <w:jc w:val="center"/>
                    <w:rPr>
                      <w:szCs w:val="21"/>
                    </w:rPr>
                  </w:pPr>
                  <w:r>
                    <w:rPr>
                      <w:rFonts w:hint="eastAsia"/>
                      <w:szCs w:val="21"/>
                    </w:rPr>
                    <w:t>45.1</w:t>
                  </w:r>
                </w:p>
              </w:tc>
            </w:tr>
          </w:tbl>
          <w:p>
            <w:pPr>
              <w:spacing w:line="480" w:lineRule="exact"/>
              <w:ind w:firstLine="480" w:firstLineChars="200"/>
              <w:rPr>
                <w:rFonts w:hAnsi="宋体"/>
                <w:sz w:val="24"/>
                <w:szCs w:val="24"/>
              </w:rPr>
            </w:pPr>
            <w:r>
              <w:rPr>
                <w:sz w:val="24"/>
              </w:rPr>
              <w:t>经现状监测，项目区</w:t>
            </w:r>
            <w:r>
              <w:rPr>
                <w:rFonts w:hint="eastAsia"/>
                <w:sz w:val="24"/>
              </w:rPr>
              <w:t>区域</w:t>
            </w:r>
            <w:r>
              <w:rPr>
                <w:sz w:val="24"/>
              </w:rPr>
              <w:t>声环境质量均满足《声环境质量标准》（GB3096－2008）中</w:t>
            </w:r>
            <w:r>
              <w:rPr>
                <w:rFonts w:hint="eastAsia"/>
                <w:sz w:val="24"/>
              </w:rPr>
              <w:t>3</w:t>
            </w:r>
            <w:r>
              <w:rPr>
                <w:sz w:val="24"/>
              </w:rPr>
              <w:t>类标准。</w:t>
            </w:r>
          </w:p>
          <w:p>
            <w:pPr>
              <w:spacing w:line="480" w:lineRule="exact"/>
              <w:ind w:firstLine="422" w:firstLineChars="200"/>
              <w:rPr>
                <w:b/>
                <w:szCs w:val="21"/>
              </w:rPr>
            </w:pPr>
          </w:p>
          <w:p>
            <w:pPr>
              <w:spacing w:line="480" w:lineRule="exact"/>
              <w:ind w:firstLine="422" w:firstLineChars="200"/>
              <w:rPr>
                <w:b/>
                <w:szCs w:val="21"/>
              </w:rPr>
            </w:pPr>
          </w:p>
          <w:p>
            <w:pPr>
              <w:spacing w:line="480" w:lineRule="exact"/>
              <w:ind w:firstLine="422" w:firstLineChars="200"/>
              <w:rPr>
                <w:b/>
                <w:szCs w:val="21"/>
              </w:rPr>
            </w:pPr>
          </w:p>
          <w:p>
            <w:pPr>
              <w:spacing w:line="480" w:lineRule="exact"/>
              <w:ind w:firstLine="422" w:firstLineChars="200"/>
              <w:rPr>
                <w:b/>
                <w:szCs w:val="21"/>
              </w:rPr>
            </w:pPr>
          </w:p>
          <w:p>
            <w:pPr>
              <w:spacing w:line="480" w:lineRule="exact"/>
              <w:ind w:firstLine="422" w:firstLineChars="200"/>
              <w:rPr>
                <w:b/>
                <w:szCs w:val="21"/>
              </w:rPr>
            </w:pPr>
          </w:p>
          <w:p>
            <w:pPr>
              <w:spacing w:line="480" w:lineRule="exact"/>
              <w:ind w:firstLine="422" w:firstLineChars="200"/>
              <w:rPr>
                <w:b/>
                <w:szCs w:val="21"/>
              </w:rPr>
            </w:pPr>
          </w:p>
          <w:p>
            <w:pPr>
              <w:spacing w:line="480" w:lineRule="exact"/>
              <w:ind w:firstLine="422" w:firstLineChars="20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2" w:hRule="atLeast"/>
        </w:trPr>
        <w:tc>
          <w:tcPr>
            <w:tcW w:w="9307" w:type="dxa"/>
          </w:tcPr>
          <w:p>
            <w:pPr>
              <w:spacing w:line="480" w:lineRule="exact"/>
              <w:rPr>
                <w:b/>
                <w:bCs/>
                <w:sz w:val="28"/>
              </w:rPr>
            </w:pPr>
            <w:r>
              <w:rPr>
                <w:b/>
                <w:sz w:val="28"/>
                <w:szCs w:val="28"/>
              </w:rPr>
              <w:t>主要环境保护目标</w:t>
            </w:r>
            <w:r>
              <w:rPr>
                <w:b/>
                <w:bCs/>
                <w:sz w:val="28"/>
                <w:szCs w:val="28"/>
              </w:rPr>
              <w:t>（列出名单及保护级别）</w:t>
            </w:r>
            <w:r>
              <w:rPr>
                <w:b/>
                <w:bCs/>
                <w:sz w:val="28"/>
              </w:rPr>
              <w:t>：</w:t>
            </w:r>
          </w:p>
          <w:p>
            <w:pPr>
              <w:pStyle w:val="13"/>
            </w:pPr>
            <w:r>
              <w:rPr>
                <w:rFonts w:hint="eastAsia"/>
                <w:bCs/>
              </w:rPr>
              <w:t>根据现场踏勘结果，项目评价范围内</w:t>
            </w:r>
            <w:r>
              <w:rPr>
                <w:rFonts w:hint="eastAsia"/>
              </w:rPr>
              <w:t>无自然保护区、风景名胜区、饮用水源保护区和文物古迹等需要特殊保护的环境敏感对象。保护目标为总体上不因本项目的实施而改变区域环境现有功能，具体环境保护目标如下:</w:t>
            </w:r>
          </w:p>
          <w:p>
            <w:pPr>
              <w:spacing w:line="360" w:lineRule="auto"/>
              <w:ind w:firstLine="495"/>
              <w:rPr>
                <w:sz w:val="24"/>
              </w:rPr>
            </w:pPr>
            <w:r>
              <w:rPr>
                <w:sz w:val="24"/>
              </w:rPr>
              <w:t>1</w:t>
            </w:r>
            <w:r>
              <w:rPr>
                <w:rFonts w:hint="eastAsia"/>
                <w:sz w:val="24"/>
              </w:rPr>
              <w:t>、</w:t>
            </w:r>
            <w:r>
              <w:rPr>
                <w:sz w:val="24"/>
              </w:rPr>
              <w:t>保护项目周围空气环境达到《环境空气质量标准》</w:t>
            </w:r>
            <w:r>
              <w:rPr>
                <w:rFonts w:hint="eastAsia"/>
                <w:sz w:val="24"/>
              </w:rPr>
              <w:t>（</w:t>
            </w:r>
            <w:r>
              <w:rPr>
                <w:sz w:val="24"/>
              </w:rPr>
              <w:t>GB3095-</w:t>
            </w:r>
            <w:r>
              <w:rPr>
                <w:rFonts w:hint="eastAsia"/>
                <w:sz w:val="24"/>
              </w:rPr>
              <w:t>2012）中</w:t>
            </w:r>
            <w:r>
              <w:rPr>
                <w:sz w:val="24"/>
              </w:rPr>
              <w:t>二级标准；</w:t>
            </w:r>
          </w:p>
          <w:p>
            <w:pPr>
              <w:spacing w:line="360" w:lineRule="auto"/>
              <w:ind w:firstLine="495"/>
              <w:rPr>
                <w:sz w:val="24"/>
              </w:rPr>
            </w:pPr>
            <w:r>
              <w:rPr>
                <w:sz w:val="24"/>
              </w:rPr>
              <w:t>2</w:t>
            </w:r>
            <w:r>
              <w:rPr>
                <w:rFonts w:hint="eastAsia"/>
                <w:sz w:val="24"/>
              </w:rPr>
              <w:t>、</w:t>
            </w:r>
            <w:r>
              <w:rPr>
                <w:sz w:val="24"/>
              </w:rPr>
              <w:t>保护地表水体</w:t>
            </w:r>
            <w:r>
              <w:rPr>
                <w:rFonts w:hint="eastAsia"/>
                <w:sz w:val="24"/>
              </w:rPr>
              <w:t>淮河</w:t>
            </w:r>
            <w:r>
              <w:rPr>
                <w:sz w:val="24"/>
              </w:rPr>
              <w:t>评价段水体现有功能不被降低；</w:t>
            </w:r>
          </w:p>
          <w:p>
            <w:pPr>
              <w:spacing w:line="360" w:lineRule="auto"/>
              <w:ind w:firstLine="495"/>
              <w:rPr>
                <w:sz w:val="24"/>
              </w:rPr>
            </w:pPr>
            <w:r>
              <w:rPr>
                <w:sz w:val="24"/>
              </w:rPr>
              <w:t>3</w:t>
            </w:r>
            <w:r>
              <w:rPr>
                <w:rFonts w:hint="eastAsia"/>
                <w:sz w:val="24"/>
              </w:rPr>
              <w:t>、</w:t>
            </w:r>
            <w:r>
              <w:rPr>
                <w:sz w:val="24"/>
              </w:rPr>
              <w:t>保护项目周围声环境质量不被降低</w:t>
            </w:r>
            <w:r>
              <w:rPr>
                <w:rFonts w:hint="eastAsia"/>
                <w:sz w:val="24"/>
              </w:rPr>
              <w:t>。</w:t>
            </w:r>
          </w:p>
          <w:p>
            <w:pPr>
              <w:jc w:val="center"/>
              <w:rPr>
                <w:rFonts w:hint="eastAsia"/>
                <w:b/>
                <w:szCs w:val="21"/>
              </w:rPr>
            </w:pPr>
            <w:r>
              <w:rPr>
                <w:rFonts w:hint="eastAsia"/>
                <w:b/>
                <w:szCs w:val="21"/>
              </w:rPr>
              <w:t>表9大气环境环境保护目标一览表</w:t>
            </w:r>
          </w:p>
          <w:tbl>
            <w:tblPr>
              <w:tblStyle w:val="30"/>
              <w:tblW w:w="505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28"/>
              <w:gridCol w:w="1578"/>
              <w:gridCol w:w="1436"/>
              <w:gridCol w:w="791"/>
              <w:gridCol w:w="1241"/>
              <w:gridCol w:w="1050"/>
              <w:gridCol w:w="927"/>
              <w:gridCol w:w="1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Header/>
                <w:jc w:val="center"/>
              </w:trPr>
              <w:tc>
                <w:tcPr>
                  <w:tcW w:w="559"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名称</w:t>
                  </w:r>
                </w:p>
              </w:tc>
              <w:tc>
                <w:tcPr>
                  <w:tcW w:w="1641" w:type="pct"/>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lang w:eastAsia="zh-CN"/>
                    </w:rPr>
                    <w:t>经纬度</w:t>
                  </w:r>
                  <w:r>
                    <w:rPr>
                      <w:rFonts w:hint="eastAsia"/>
                      <w:szCs w:val="21"/>
                    </w:rPr>
                    <w:t>/m</w:t>
                  </w:r>
                </w:p>
              </w:tc>
              <w:tc>
                <w:tcPr>
                  <w:tcW w:w="430"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保护</w:t>
                  </w:r>
                </w:p>
                <w:p>
                  <w:pPr>
                    <w:jc w:val="center"/>
                    <w:rPr>
                      <w:szCs w:val="21"/>
                    </w:rPr>
                  </w:pPr>
                  <w:r>
                    <w:rPr>
                      <w:rFonts w:hint="eastAsia"/>
                      <w:szCs w:val="21"/>
                    </w:rPr>
                    <w:t>对象</w:t>
                  </w:r>
                </w:p>
              </w:tc>
              <w:tc>
                <w:tcPr>
                  <w:tcW w:w="675"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保护</w:t>
                  </w:r>
                </w:p>
                <w:p>
                  <w:pPr>
                    <w:jc w:val="center"/>
                    <w:rPr>
                      <w:szCs w:val="21"/>
                    </w:rPr>
                  </w:pPr>
                  <w:r>
                    <w:rPr>
                      <w:rFonts w:hint="eastAsia"/>
                      <w:szCs w:val="21"/>
                    </w:rPr>
                    <w:t>内容</w:t>
                  </w:r>
                </w:p>
              </w:tc>
              <w:tc>
                <w:tcPr>
                  <w:tcW w:w="571"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环境功</w:t>
                  </w:r>
                </w:p>
                <w:p>
                  <w:pPr>
                    <w:jc w:val="center"/>
                    <w:rPr>
                      <w:szCs w:val="21"/>
                    </w:rPr>
                  </w:pPr>
                  <w:r>
                    <w:rPr>
                      <w:rFonts w:hint="eastAsia"/>
                      <w:szCs w:val="21"/>
                    </w:rPr>
                    <w:t>能区</w:t>
                  </w:r>
                </w:p>
              </w:tc>
              <w:tc>
                <w:tcPr>
                  <w:tcW w:w="504"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相对厂</w:t>
                  </w:r>
                </w:p>
                <w:p>
                  <w:pPr>
                    <w:jc w:val="center"/>
                    <w:rPr>
                      <w:szCs w:val="21"/>
                    </w:rPr>
                  </w:pPr>
                  <w:r>
                    <w:rPr>
                      <w:rFonts w:hint="eastAsia"/>
                      <w:szCs w:val="21"/>
                    </w:rPr>
                    <w:t>址方位</w:t>
                  </w:r>
                </w:p>
              </w:tc>
              <w:tc>
                <w:tcPr>
                  <w:tcW w:w="614"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相对厂界距离/m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59"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p>
              </w:tc>
              <w:tc>
                <w:tcPr>
                  <w:tcW w:w="85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eastAsia="宋体"/>
                      <w:szCs w:val="21"/>
                      <w:lang w:eastAsia="zh-CN"/>
                    </w:rPr>
                  </w:pPr>
                  <w:r>
                    <w:rPr>
                      <w:rFonts w:hint="eastAsia"/>
                      <w:szCs w:val="21"/>
                      <w:lang w:val="en-US" w:eastAsia="zh-CN"/>
                    </w:rPr>
                    <w:t>N</w:t>
                  </w:r>
                </w:p>
              </w:tc>
              <w:tc>
                <w:tcPr>
                  <w:tcW w:w="78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eastAsia="宋体"/>
                      <w:szCs w:val="21"/>
                      <w:lang w:eastAsia="zh-CN"/>
                    </w:rPr>
                  </w:pPr>
                  <w:r>
                    <w:rPr>
                      <w:rFonts w:hint="eastAsia"/>
                      <w:szCs w:val="21"/>
                      <w:lang w:val="en-US" w:eastAsia="zh-CN"/>
                    </w:rPr>
                    <w:t>E</w:t>
                  </w:r>
                </w:p>
              </w:tc>
              <w:tc>
                <w:tcPr>
                  <w:tcW w:w="430"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p>
              </w:tc>
              <w:tc>
                <w:tcPr>
                  <w:tcW w:w="675"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p>
              </w:tc>
              <w:tc>
                <w:tcPr>
                  <w:tcW w:w="571"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p>
              </w:tc>
              <w:tc>
                <w:tcPr>
                  <w:tcW w:w="504"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p>
              </w:tc>
              <w:tc>
                <w:tcPr>
                  <w:tcW w:w="614"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59"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九龙</w:t>
                  </w:r>
                  <w:r>
                    <w:rPr>
                      <w:rFonts w:hint="eastAsia"/>
                      <w:szCs w:val="21"/>
                      <w:lang w:eastAsia="zh-CN"/>
                    </w:rPr>
                    <w:t>农民</w:t>
                  </w:r>
                  <w:r>
                    <w:rPr>
                      <w:rFonts w:hint="eastAsia"/>
                      <w:szCs w:val="21"/>
                    </w:rPr>
                    <w:t>新村</w:t>
                  </w:r>
                </w:p>
              </w:tc>
              <w:tc>
                <w:tcPr>
                  <w:tcW w:w="859"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117.100592576</w:t>
                  </w:r>
                </w:p>
              </w:tc>
              <w:tc>
                <w:tcPr>
                  <w:tcW w:w="782"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32.617346715</w:t>
                  </w:r>
                </w:p>
              </w:tc>
              <w:tc>
                <w:tcPr>
                  <w:tcW w:w="430"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居民</w:t>
                  </w:r>
                </w:p>
              </w:tc>
              <w:tc>
                <w:tcPr>
                  <w:tcW w:w="675"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约16</w:t>
                  </w:r>
                  <w:r>
                    <w:rPr>
                      <w:szCs w:val="21"/>
                    </w:rPr>
                    <w:t>00</w:t>
                  </w:r>
                  <w:r>
                    <w:rPr>
                      <w:rFonts w:hint="eastAsia"/>
                      <w:szCs w:val="21"/>
                    </w:rPr>
                    <w:t>0人</w:t>
                  </w:r>
                </w:p>
              </w:tc>
              <w:tc>
                <w:tcPr>
                  <w:tcW w:w="571"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二类区</w:t>
                  </w:r>
                </w:p>
              </w:tc>
              <w:tc>
                <w:tcPr>
                  <w:tcW w:w="504"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S</w:t>
                  </w:r>
                  <w:r>
                    <w:rPr>
                      <w:szCs w:val="21"/>
                    </w:rPr>
                    <w:t>W</w:t>
                  </w:r>
                </w:p>
              </w:tc>
              <w:tc>
                <w:tcPr>
                  <w:tcW w:w="614"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eastAsia="宋体"/>
                      <w:szCs w:val="21"/>
                      <w:lang w:val="en-US" w:eastAsia="zh-CN"/>
                    </w:rPr>
                  </w:pPr>
                  <w:r>
                    <w:rPr>
                      <w:rFonts w:hint="eastAsia"/>
                      <w:szCs w:val="21"/>
                      <w:lang w:val="en-US" w:eastAsia="zh-CN"/>
                    </w:rPr>
                    <w:t>398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5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rPr>
                    <w:t>建设村</w:t>
                  </w:r>
                </w:p>
              </w:tc>
              <w:tc>
                <w:tcPr>
                  <w:tcW w:w="85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rPr>
                    <w:t>117.094262563</w:t>
                  </w:r>
                </w:p>
              </w:tc>
              <w:tc>
                <w:tcPr>
                  <w:tcW w:w="78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rPr>
                    <w:t>32.615630101</w:t>
                  </w:r>
                </w:p>
              </w:tc>
              <w:tc>
                <w:tcPr>
                  <w:tcW w:w="430"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居民</w:t>
                  </w:r>
                </w:p>
              </w:tc>
              <w:tc>
                <w:tcPr>
                  <w:tcW w:w="675"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约</w:t>
                  </w:r>
                  <w:r>
                    <w:rPr>
                      <w:rFonts w:hint="eastAsia"/>
                      <w:szCs w:val="21"/>
                      <w:lang w:val="en-US" w:eastAsia="zh-CN"/>
                    </w:rPr>
                    <w:t>2</w:t>
                  </w:r>
                  <w:r>
                    <w:rPr>
                      <w:szCs w:val="21"/>
                    </w:rPr>
                    <w:t>00</w:t>
                  </w:r>
                  <w:r>
                    <w:rPr>
                      <w:rFonts w:hint="eastAsia"/>
                      <w:szCs w:val="21"/>
                    </w:rPr>
                    <w:t>0人</w:t>
                  </w:r>
                </w:p>
              </w:tc>
              <w:tc>
                <w:tcPr>
                  <w:tcW w:w="571"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二类区</w:t>
                  </w:r>
                </w:p>
              </w:tc>
              <w:tc>
                <w:tcPr>
                  <w:tcW w:w="504"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S</w:t>
                  </w:r>
                  <w:r>
                    <w:rPr>
                      <w:szCs w:val="21"/>
                    </w:rPr>
                    <w:t>W</w:t>
                  </w:r>
                </w:p>
              </w:tc>
              <w:tc>
                <w:tcPr>
                  <w:tcW w:w="614"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eastAsia="宋体"/>
                      <w:szCs w:val="21"/>
                      <w:lang w:val="en-US" w:eastAsia="zh-CN"/>
                    </w:rPr>
                  </w:pPr>
                  <w:r>
                    <w:rPr>
                      <w:rFonts w:hint="eastAsia"/>
                      <w:szCs w:val="21"/>
                    </w:rPr>
                    <w:t>1</w:t>
                  </w:r>
                  <w:r>
                    <w:rPr>
                      <w:rFonts w:hint="eastAsia"/>
                      <w:szCs w:val="21"/>
                      <w:lang w:val="en-US" w:eastAsia="zh-CN"/>
                    </w:rPr>
                    <w:t>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5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eastAsia="宋体"/>
                      <w:szCs w:val="21"/>
                      <w:lang w:eastAsia="zh-CN"/>
                    </w:rPr>
                  </w:pPr>
                  <w:r>
                    <w:rPr>
                      <w:rFonts w:hint="eastAsia"/>
                      <w:szCs w:val="21"/>
                      <w:lang w:eastAsia="zh-CN"/>
                    </w:rPr>
                    <w:t>吴大郢</w:t>
                  </w:r>
                </w:p>
              </w:tc>
              <w:tc>
                <w:tcPr>
                  <w:tcW w:w="85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rPr>
                    <w:t>117.116192303</w:t>
                  </w:r>
                </w:p>
              </w:tc>
              <w:tc>
                <w:tcPr>
                  <w:tcW w:w="78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rPr>
                    <w:t>32.624256085</w:t>
                  </w:r>
                </w:p>
              </w:tc>
              <w:tc>
                <w:tcPr>
                  <w:tcW w:w="430"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居民</w:t>
                  </w:r>
                </w:p>
              </w:tc>
              <w:tc>
                <w:tcPr>
                  <w:tcW w:w="675"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约</w:t>
                  </w:r>
                  <w:r>
                    <w:rPr>
                      <w:rFonts w:hint="eastAsia"/>
                      <w:szCs w:val="21"/>
                      <w:lang w:val="en-US" w:eastAsia="zh-CN"/>
                    </w:rPr>
                    <w:t>2</w:t>
                  </w:r>
                  <w:r>
                    <w:rPr>
                      <w:szCs w:val="21"/>
                    </w:rPr>
                    <w:t>0</w:t>
                  </w:r>
                  <w:r>
                    <w:rPr>
                      <w:rFonts w:hint="eastAsia"/>
                      <w:szCs w:val="21"/>
                    </w:rPr>
                    <w:t>0人</w:t>
                  </w:r>
                </w:p>
              </w:tc>
              <w:tc>
                <w:tcPr>
                  <w:tcW w:w="571" w:type="pct"/>
                  <w:tcBorders>
                    <w:top w:val="single" w:color="000000" w:sz="2" w:space="0"/>
                    <w:left w:val="single" w:color="000000" w:sz="2" w:space="0"/>
                    <w:bottom w:val="single" w:color="000000" w:sz="2" w:space="0"/>
                    <w:right w:val="single" w:color="000000" w:sz="2" w:space="0"/>
                  </w:tcBorders>
                  <w:noWrap w:val="0"/>
                  <w:vAlign w:val="center"/>
                </w:tcPr>
                <w:p>
                  <w:pPr>
                    <w:jc w:val="center"/>
                    <w:rPr>
                      <w:szCs w:val="21"/>
                    </w:rPr>
                  </w:pPr>
                  <w:r>
                    <w:rPr>
                      <w:rFonts w:hint="eastAsia"/>
                      <w:szCs w:val="21"/>
                    </w:rPr>
                    <w:t>二类区</w:t>
                  </w:r>
                </w:p>
              </w:tc>
              <w:tc>
                <w:tcPr>
                  <w:tcW w:w="504"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lang w:val="en-US" w:eastAsia="zh-CN"/>
                    </w:rPr>
                    <w:t>N</w:t>
                  </w:r>
                  <w:r>
                    <w:rPr>
                      <w:rFonts w:hint="eastAsia"/>
                      <w:szCs w:val="21"/>
                    </w:rPr>
                    <w:t>E</w:t>
                  </w:r>
                </w:p>
              </w:tc>
              <w:tc>
                <w:tcPr>
                  <w:tcW w:w="614"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eastAsia="宋体"/>
                      <w:szCs w:val="21"/>
                      <w:lang w:val="en-US" w:eastAsia="zh-CN"/>
                    </w:rPr>
                  </w:pPr>
                  <w:r>
                    <w:rPr>
                      <w:rFonts w:hint="eastAsia"/>
                      <w:szCs w:val="21"/>
                      <w:lang w:val="en-US" w:eastAsia="zh-CN"/>
                    </w:rPr>
                    <w:t>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5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lang w:eastAsia="zh-CN"/>
                    </w:rPr>
                  </w:pPr>
                  <w:r>
                    <w:rPr>
                      <w:rFonts w:hint="eastAsia"/>
                      <w:szCs w:val="21"/>
                      <w:lang w:eastAsia="zh-CN"/>
                    </w:rPr>
                    <w:t>东菜园</w:t>
                  </w:r>
                </w:p>
              </w:tc>
              <w:tc>
                <w:tcPr>
                  <w:tcW w:w="85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rPr>
                    <w:t>117.110119782</w:t>
                  </w:r>
                </w:p>
              </w:tc>
              <w:tc>
                <w:tcPr>
                  <w:tcW w:w="78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rPr>
                    <w:t>32.615833949</w:t>
                  </w:r>
                </w:p>
              </w:tc>
              <w:tc>
                <w:tcPr>
                  <w:tcW w:w="43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居民</w:t>
                  </w:r>
                </w:p>
              </w:tc>
              <w:tc>
                <w:tcPr>
                  <w:tcW w:w="675"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约</w:t>
                  </w:r>
                  <w:r>
                    <w:rPr>
                      <w:rFonts w:hint="eastAsia"/>
                      <w:szCs w:val="21"/>
                      <w:lang w:val="en-US" w:eastAsia="zh-CN"/>
                    </w:rPr>
                    <w:t>16</w:t>
                  </w:r>
                  <w:r>
                    <w:rPr>
                      <w:rFonts w:hint="eastAsia"/>
                      <w:szCs w:val="21"/>
                    </w:rPr>
                    <w:t>0人</w:t>
                  </w:r>
                </w:p>
              </w:tc>
              <w:tc>
                <w:tcPr>
                  <w:tcW w:w="571"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二类区</w:t>
                  </w:r>
                </w:p>
              </w:tc>
              <w:tc>
                <w:tcPr>
                  <w:tcW w:w="504"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S</w:t>
                  </w:r>
                  <w:r>
                    <w:rPr>
                      <w:rFonts w:hint="eastAsia"/>
                      <w:szCs w:val="21"/>
                    </w:rPr>
                    <w:t>E</w:t>
                  </w:r>
                </w:p>
              </w:tc>
              <w:tc>
                <w:tcPr>
                  <w:tcW w:w="614"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422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5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lang w:eastAsia="zh-CN"/>
                    </w:rPr>
                  </w:pPr>
                  <w:r>
                    <w:rPr>
                      <w:rFonts w:hint="eastAsia"/>
                      <w:szCs w:val="21"/>
                      <w:lang w:eastAsia="zh-CN"/>
                    </w:rPr>
                    <w:t>沈家岗</w:t>
                  </w:r>
                </w:p>
              </w:tc>
              <w:tc>
                <w:tcPr>
                  <w:tcW w:w="85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rPr>
                    <w:t>117.120355092</w:t>
                  </w:r>
                </w:p>
              </w:tc>
              <w:tc>
                <w:tcPr>
                  <w:tcW w:w="78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szCs w:val="21"/>
                    </w:rPr>
                  </w:pPr>
                  <w:r>
                    <w:rPr>
                      <w:rFonts w:hint="eastAsia"/>
                      <w:szCs w:val="21"/>
                    </w:rPr>
                    <w:t>32.609021138</w:t>
                  </w:r>
                </w:p>
              </w:tc>
              <w:tc>
                <w:tcPr>
                  <w:tcW w:w="43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居民</w:t>
                  </w:r>
                </w:p>
              </w:tc>
              <w:tc>
                <w:tcPr>
                  <w:tcW w:w="675"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约</w:t>
                  </w:r>
                  <w:r>
                    <w:rPr>
                      <w:rFonts w:hint="eastAsia"/>
                      <w:szCs w:val="21"/>
                      <w:lang w:val="en-US" w:eastAsia="zh-CN"/>
                    </w:rPr>
                    <w:t>16</w:t>
                  </w:r>
                  <w:r>
                    <w:rPr>
                      <w:rFonts w:hint="eastAsia"/>
                      <w:szCs w:val="21"/>
                    </w:rPr>
                    <w:t>0人</w:t>
                  </w:r>
                </w:p>
              </w:tc>
              <w:tc>
                <w:tcPr>
                  <w:tcW w:w="571"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二类区</w:t>
                  </w:r>
                </w:p>
              </w:tc>
              <w:tc>
                <w:tcPr>
                  <w:tcW w:w="504"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S</w:t>
                  </w:r>
                  <w:r>
                    <w:rPr>
                      <w:rFonts w:hint="eastAsia"/>
                      <w:szCs w:val="21"/>
                    </w:rPr>
                    <w:t>E</w:t>
                  </w:r>
                </w:p>
              </w:tc>
              <w:tc>
                <w:tcPr>
                  <w:tcW w:w="614"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szCs w:val="21"/>
                      <w:lang w:val="en-US" w:eastAsia="zh-CN"/>
                    </w:rPr>
                  </w:pPr>
                  <w:r>
                    <w:rPr>
                      <w:rFonts w:hint="eastAsia"/>
                      <w:szCs w:val="21"/>
                      <w:lang w:val="en-US" w:eastAsia="zh-CN"/>
                    </w:rPr>
                    <w:t>1393</w:t>
                  </w:r>
                </w:p>
              </w:tc>
            </w:tr>
          </w:tbl>
          <w:p>
            <w:pPr>
              <w:jc w:val="left"/>
              <w:rPr>
                <w:b/>
                <w:szCs w:val="21"/>
              </w:rPr>
            </w:pPr>
            <w:r>
              <w:rPr>
                <w:b/>
                <w:szCs w:val="21"/>
              </w:rPr>
              <w:t>注：敏感保护目标坐标为距离项目厂界最近一点，其中环境空气保护目标坐标取距离厂址最近点位位置。</w:t>
            </w:r>
          </w:p>
          <w:p>
            <w:pPr>
              <w:jc w:val="center"/>
              <w:rPr>
                <w:b/>
                <w:szCs w:val="21"/>
              </w:rPr>
            </w:pPr>
            <w:r>
              <w:rPr>
                <w:rFonts w:hint="eastAsia"/>
                <w:b/>
                <w:szCs w:val="21"/>
              </w:rPr>
              <w:t>表10声环境和地表水环境环境保护目标一览表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59"/>
              <w:gridCol w:w="723"/>
              <w:gridCol w:w="1223"/>
              <w:gridCol w:w="1141"/>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szCs w:val="21"/>
                    </w:rPr>
                    <w:t>环境要素</w:t>
                  </w:r>
                </w:p>
              </w:tc>
              <w:tc>
                <w:tcPr>
                  <w:tcW w:w="1959" w:type="dxa"/>
                  <w:vAlign w:val="center"/>
                </w:tcPr>
                <w:p>
                  <w:pPr>
                    <w:jc w:val="center"/>
                    <w:rPr>
                      <w:szCs w:val="21"/>
                    </w:rPr>
                  </w:pPr>
                  <w:r>
                    <w:rPr>
                      <w:szCs w:val="21"/>
                    </w:rPr>
                    <w:t>环境保护目标名称</w:t>
                  </w:r>
                </w:p>
              </w:tc>
              <w:tc>
                <w:tcPr>
                  <w:tcW w:w="723" w:type="dxa"/>
                  <w:vAlign w:val="center"/>
                </w:tcPr>
                <w:p>
                  <w:pPr>
                    <w:jc w:val="center"/>
                    <w:rPr>
                      <w:szCs w:val="21"/>
                    </w:rPr>
                  </w:pPr>
                  <w:r>
                    <w:rPr>
                      <w:szCs w:val="21"/>
                    </w:rPr>
                    <w:t>方位</w:t>
                  </w:r>
                </w:p>
              </w:tc>
              <w:tc>
                <w:tcPr>
                  <w:tcW w:w="1223" w:type="dxa"/>
                  <w:vAlign w:val="center"/>
                </w:tcPr>
                <w:p>
                  <w:pPr>
                    <w:jc w:val="center"/>
                    <w:rPr>
                      <w:szCs w:val="21"/>
                    </w:rPr>
                  </w:pPr>
                  <w:r>
                    <w:rPr>
                      <w:szCs w:val="21"/>
                    </w:rPr>
                    <w:t>距离（m）</w:t>
                  </w:r>
                </w:p>
              </w:tc>
              <w:tc>
                <w:tcPr>
                  <w:tcW w:w="1141" w:type="dxa"/>
                  <w:vAlign w:val="center"/>
                </w:tcPr>
                <w:p>
                  <w:pPr>
                    <w:jc w:val="center"/>
                    <w:rPr>
                      <w:szCs w:val="21"/>
                    </w:rPr>
                  </w:pPr>
                  <w:r>
                    <w:rPr>
                      <w:szCs w:val="21"/>
                    </w:rPr>
                    <w:t>规模</w:t>
                  </w:r>
                </w:p>
              </w:tc>
              <w:tc>
                <w:tcPr>
                  <w:tcW w:w="3170" w:type="dxa"/>
                  <w:vAlign w:val="center"/>
                </w:tcPr>
                <w:p>
                  <w:pPr>
                    <w:jc w:val="center"/>
                    <w:rPr>
                      <w:szCs w:val="21"/>
                    </w:rPr>
                  </w:pPr>
                  <w:r>
                    <w:rPr>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jc w:val="center"/>
                    <w:rPr>
                      <w:szCs w:val="21"/>
                    </w:rPr>
                  </w:pPr>
                  <w:r>
                    <w:rPr>
                      <w:szCs w:val="21"/>
                    </w:rPr>
                    <w:t>地表水环境</w:t>
                  </w:r>
                </w:p>
              </w:tc>
              <w:tc>
                <w:tcPr>
                  <w:tcW w:w="1959" w:type="dxa"/>
                  <w:vAlign w:val="center"/>
                </w:tcPr>
                <w:p>
                  <w:pPr>
                    <w:jc w:val="center"/>
                    <w:rPr>
                      <w:szCs w:val="21"/>
                    </w:rPr>
                  </w:pPr>
                  <w:r>
                    <w:rPr>
                      <w:rFonts w:hint="eastAsia"/>
                      <w:szCs w:val="21"/>
                    </w:rPr>
                    <w:t>淮河</w:t>
                  </w:r>
                </w:p>
              </w:tc>
              <w:tc>
                <w:tcPr>
                  <w:tcW w:w="723" w:type="dxa"/>
                  <w:vAlign w:val="center"/>
                </w:tcPr>
                <w:p>
                  <w:pPr>
                    <w:jc w:val="center"/>
                    <w:rPr>
                      <w:szCs w:val="21"/>
                    </w:rPr>
                  </w:pPr>
                  <w:r>
                    <w:rPr>
                      <w:rFonts w:hint="eastAsia"/>
                      <w:szCs w:val="21"/>
                    </w:rPr>
                    <w:t>N</w:t>
                  </w:r>
                </w:p>
              </w:tc>
              <w:tc>
                <w:tcPr>
                  <w:tcW w:w="1223" w:type="dxa"/>
                  <w:vAlign w:val="center"/>
                </w:tcPr>
                <w:p>
                  <w:pPr>
                    <w:jc w:val="center"/>
                    <w:rPr>
                      <w:szCs w:val="21"/>
                    </w:rPr>
                  </w:pPr>
                  <w:r>
                    <w:rPr>
                      <w:szCs w:val="21"/>
                    </w:rPr>
                    <w:t>≥</w:t>
                  </w:r>
                  <w:r>
                    <w:rPr>
                      <w:rFonts w:hint="eastAsia"/>
                      <w:szCs w:val="21"/>
                    </w:rPr>
                    <w:t>7694</w:t>
                  </w:r>
                </w:p>
              </w:tc>
              <w:tc>
                <w:tcPr>
                  <w:tcW w:w="1141" w:type="dxa"/>
                  <w:vAlign w:val="center"/>
                </w:tcPr>
                <w:p>
                  <w:pPr>
                    <w:jc w:val="center"/>
                    <w:rPr>
                      <w:szCs w:val="21"/>
                    </w:rPr>
                  </w:pPr>
                  <w:r>
                    <w:rPr>
                      <w:rFonts w:hint="eastAsia"/>
                      <w:szCs w:val="21"/>
                    </w:rPr>
                    <w:t>特大</w:t>
                  </w:r>
                  <w:r>
                    <w:rPr>
                      <w:szCs w:val="21"/>
                    </w:rPr>
                    <w:t>型河流</w:t>
                  </w:r>
                </w:p>
              </w:tc>
              <w:tc>
                <w:tcPr>
                  <w:tcW w:w="3170" w:type="dxa"/>
                  <w:vMerge w:val="restart"/>
                  <w:vAlign w:val="center"/>
                </w:tcPr>
                <w:p>
                  <w:pPr>
                    <w:jc w:val="center"/>
                    <w:rPr>
                      <w:szCs w:val="21"/>
                    </w:rPr>
                  </w:pPr>
                  <w:r>
                    <w:rPr>
                      <w:szCs w:val="21"/>
                    </w:rPr>
                    <w:t>《地表水环境质量标准》（GB3838</w:t>
                  </w:r>
                  <w:r>
                    <w:rPr>
                      <w:szCs w:val="21"/>
                    </w:rPr>
                    <w:sym w:font="Symbol" w:char="F02D"/>
                  </w:r>
                  <w:r>
                    <w:rPr>
                      <w:szCs w:val="21"/>
                    </w:rPr>
                    <w:t>2002）中的</w:t>
                  </w:r>
                  <w:r>
                    <w:rPr>
                      <w:rFonts w:hint="eastAsia"/>
                      <w:bCs/>
                      <w:szCs w:val="21"/>
                    </w:rPr>
                    <w:t>Ⅲ</w:t>
                  </w:r>
                  <w:r>
                    <w:rPr>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jc w:val="center"/>
                    <w:rPr>
                      <w:szCs w:val="21"/>
                    </w:rPr>
                  </w:pPr>
                </w:p>
              </w:tc>
              <w:tc>
                <w:tcPr>
                  <w:tcW w:w="1959" w:type="dxa"/>
                  <w:vAlign w:val="center"/>
                </w:tcPr>
                <w:p>
                  <w:pPr>
                    <w:jc w:val="center"/>
                    <w:rPr>
                      <w:szCs w:val="21"/>
                    </w:rPr>
                  </w:pPr>
                  <w:r>
                    <w:rPr>
                      <w:rFonts w:hint="eastAsia"/>
                      <w:szCs w:val="21"/>
                    </w:rPr>
                    <w:t>高塘湖</w:t>
                  </w:r>
                </w:p>
              </w:tc>
              <w:tc>
                <w:tcPr>
                  <w:tcW w:w="723" w:type="dxa"/>
                  <w:vAlign w:val="center"/>
                </w:tcPr>
                <w:p>
                  <w:pPr>
                    <w:jc w:val="center"/>
                    <w:rPr>
                      <w:szCs w:val="21"/>
                    </w:rPr>
                  </w:pPr>
                  <w:r>
                    <w:rPr>
                      <w:rFonts w:hint="eastAsia"/>
                      <w:szCs w:val="21"/>
                    </w:rPr>
                    <w:t>E</w:t>
                  </w:r>
                </w:p>
              </w:tc>
              <w:tc>
                <w:tcPr>
                  <w:tcW w:w="1223" w:type="dxa"/>
                  <w:vAlign w:val="center"/>
                </w:tcPr>
                <w:p>
                  <w:pPr>
                    <w:jc w:val="center"/>
                    <w:rPr>
                      <w:szCs w:val="21"/>
                    </w:rPr>
                  </w:pPr>
                  <w:r>
                    <w:rPr>
                      <w:szCs w:val="21"/>
                    </w:rPr>
                    <w:t>≥</w:t>
                  </w:r>
                  <w:r>
                    <w:rPr>
                      <w:rFonts w:hint="eastAsia"/>
                      <w:szCs w:val="21"/>
                    </w:rPr>
                    <w:t>4760</w:t>
                  </w:r>
                </w:p>
              </w:tc>
              <w:tc>
                <w:tcPr>
                  <w:tcW w:w="1141" w:type="dxa"/>
                  <w:vAlign w:val="center"/>
                </w:tcPr>
                <w:p>
                  <w:pPr>
                    <w:jc w:val="center"/>
                    <w:rPr>
                      <w:szCs w:val="21"/>
                    </w:rPr>
                  </w:pPr>
                  <w:r>
                    <w:rPr>
                      <w:rFonts w:hint="eastAsia"/>
                      <w:szCs w:val="21"/>
                    </w:rPr>
                    <w:t>大型湖泊</w:t>
                  </w:r>
                </w:p>
              </w:tc>
              <w:tc>
                <w:tcPr>
                  <w:tcW w:w="317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szCs w:val="21"/>
                    </w:rPr>
                  </w:pPr>
                  <w:r>
                    <w:rPr>
                      <w:rFonts w:hint="eastAsia"/>
                      <w:szCs w:val="21"/>
                    </w:rPr>
                    <w:t>声环境</w:t>
                  </w:r>
                </w:p>
              </w:tc>
              <w:tc>
                <w:tcPr>
                  <w:tcW w:w="1959" w:type="dxa"/>
                  <w:vAlign w:val="center"/>
                </w:tcPr>
                <w:p>
                  <w:pPr>
                    <w:jc w:val="center"/>
                    <w:rPr>
                      <w:szCs w:val="21"/>
                    </w:rPr>
                  </w:pPr>
                  <w:r>
                    <w:rPr>
                      <w:rFonts w:hint="eastAsia"/>
                      <w:szCs w:val="21"/>
                    </w:rPr>
                    <w:t>项目区</w:t>
                  </w:r>
                </w:p>
              </w:tc>
              <w:tc>
                <w:tcPr>
                  <w:tcW w:w="723" w:type="dxa"/>
                  <w:vAlign w:val="center"/>
                </w:tcPr>
                <w:p>
                  <w:pPr>
                    <w:jc w:val="center"/>
                    <w:rPr>
                      <w:szCs w:val="21"/>
                    </w:rPr>
                  </w:pPr>
                  <w:r>
                    <w:rPr>
                      <w:rFonts w:hint="eastAsia"/>
                      <w:szCs w:val="21"/>
                    </w:rPr>
                    <w:t>/</w:t>
                  </w:r>
                </w:p>
              </w:tc>
              <w:tc>
                <w:tcPr>
                  <w:tcW w:w="1223" w:type="dxa"/>
                  <w:vAlign w:val="center"/>
                </w:tcPr>
                <w:p>
                  <w:pPr>
                    <w:jc w:val="center"/>
                    <w:rPr>
                      <w:szCs w:val="21"/>
                    </w:rPr>
                  </w:pPr>
                  <w:r>
                    <w:rPr>
                      <w:rFonts w:hint="eastAsia"/>
                      <w:szCs w:val="21"/>
                    </w:rPr>
                    <w:t>/</w:t>
                  </w:r>
                </w:p>
              </w:tc>
              <w:tc>
                <w:tcPr>
                  <w:tcW w:w="1141" w:type="dxa"/>
                  <w:vAlign w:val="center"/>
                </w:tcPr>
                <w:p>
                  <w:pPr>
                    <w:jc w:val="center"/>
                    <w:rPr>
                      <w:szCs w:val="21"/>
                    </w:rPr>
                  </w:pPr>
                  <w:r>
                    <w:rPr>
                      <w:rFonts w:hint="eastAsia"/>
                      <w:szCs w:val="21"/>
                    </w:rPr>
                    <w:t>/</w:t>
                  </w:r>
                </w:p>
              </w:tc>
              <w:tc>
                <w:tcPr>
                  <w:tcW w:w="3170" w:type="dxa"/>
                  <w:vAlign w:val="center"/>
                </w:tcPr>
                <w:p>
                  <w:pPr>
                    <w:jc w:val="center"/>
                    <w:rPr>
                      <w:szCs w:val="21"/>
                    </w:rPr>
                  </w:pPr>
                  <w:r>
                    <w:rPr>
                      <w:szCs w:val="21"/>
                    </w:rPr>
                    <w:t>《声环境质量标准》（GB3096-2008）中</w:t>
                  </w:r>
                  <w:r>
                    <w:rPr>
                      <w:rFonts w:hint="eastAsia"/>
                      <w:szCs w:val="21"/>
                    </w:rPr>
                    <w:t>3</w:t>
                  </w:r>
                  <w:r>
                    <w:rPr>
                      <w:szCs w:val="21"/>
                    </w:rPr>
                    <w:t>类</w:t>
                  </w:r>
                </w:p>
              </w:tc>
            </w:tr>
          </w:tbl>
          <w:p/>
          <w:p/>
          <w:p/>
          <w:p/>
          <w:p/>
          <w:p/>
          <w:p/>
          <w:p/>
          <w:p/>
          <w:p/>
          <w:p/>
          <w:p/>
          <w:p/>
          <w:p/>
        </w:tc>
      </w:tr>
    </w:tbl>
    <w:p>
      <w:pPr>
        <w:rPr>
          <w:b/>
          <w:sz w:val="28"/>
          <w:szCs w:val="28"/>
        </w:rPr>
      </w:pPr>
      <w:r>
        <w:rPr>
          <w:b/>
          <w:sz w:val="28"/>
          <w:szCs w:val="28"/>
        </w:rPr>
        <w:t>评价适用标准</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trPr>
        <w:tc>
          <w:tcPr>
            <w:tcW w:w="648" w:type="dxa"/>
            <w:vAlign w:val="center"/>
          </w:tcPr>
          <w:p>
            <w:pPr>
              <w:jc w:val="center"/>
              <w:rPr>
                <w:b/>
                <w:sz w:val="28"/>
                <w:szCs w:val="28"/>
              </w:rPr>
            </w:pPr>
            <w:r>
              <w:rPr>
                <w:sz w:val="24"/>
              </w:rPr>
              <w:t>环境质量标准</w:t>
            </w:r>
          </w:p>
        </w:tc>
        <w:tc>
          <w:tcPr>
            <w:tcW w:w="8714" w:type="dxa"/>
          </w:tcPr>
          <w:p>
            <w:pPr>
              <w:adjustRightInd w:val="0"/>
              <w:snapToGrid w:val="0"/>
              <w:spacing w:beforeLines="50" w:line="360" w:lineRule="auto"/>
              <w:ind w:firstLine="482" w:firstLineChars="200"/>
              <w:rPr>
                <w:sz w:val="24"/>
              </w:rPr>
            </w:pPr>
            <w:r>
              <w:rPr>
                <w:b/>
                <w:bCs/>
                <w:sz w:val="24"/>
              </w:rPr>
              <w:t>1、环境空气</w:t>
            </w:r>
          </w:p>
          <w:p>
            <w:pPr>
              <w:adjustRightInd w:val="0"/>
              <w:snapToGrid w:val="0"/>
              <w:spacing w:line="360" w:lineRule="auto"/>
              <w:ind w:firstLine="464" w:firstLineChars="200"/>
              <w:rPr>
                <w:spacing w:val="-4"/>
                <w:sz w:val="24"/>
              </w:rPr>
            </w:pPr>
            <w:r>
              <w:rPr>
                <w:spacing w:val="-4"/>
                <w:sz w:val="24"/>
              </w:rPr>
              <w:t>按</w:t>
            </w:r>
            <w:r>
              <w:rPr>
                <w:rFonts w:hint="eastAsia"/>
                <w:spacing w:val="-4"/>
                <w:sz w:val="24"/>
              </w:rPr>
              <w:t>淮南市</w:t>
            </w:r>
            <w:r>
              <w:rPr>
                <w:spacing w:val="-4"/>
                <w:sz w:val="24"/>
              </w:rPr>
              <w:t>环境空气质量功能区分类，该区域属二类区，常规污染物执行</w:t>
            </w:r>
            <w:bookmarkStart w:id="1" w:name="_Hlt42801835"/>
            <w:r>
              <w:rPr>
                <w:spacing w:val="-4"/>
                <w:sz w:val="24"/>
              </w:rPr>
              <w:t>《环境空气质量标准》（GB3095-</w:t>
            </w:r>
            <w:r>
              <w:rPr>
                <w:rFonts w:hint="eastAsia"/>
                <w:spacing w:val="-4"/>
                <w:sz w:val="24"/>
              </w:rPr>
              <w:t>2012</w:t>
            </w:r>
            <w:r>
              <w:rPr>
                <w:spacing w:val="-4"/>
                <w:sz w:val="24"/>
              </w:rPr>
              <w:t>）中的</w:t>
            </w:r>
            <w:r>
              <w:rPr>
                <w:bCs/>
                <w:sz w:val="24"/>
              </w:rPr>
              <w:t>二级</w:t>
            </w:r>
            <w:r>
              <w:rPr>
                <w:spacing w:val="-4"/>
                <w:sz w:val="24"/>
              </w:rPr>
              <w:t>标准</w:t>
            </w:r>
            <w:bookmarkEnd w:id="1"/>
            <w:r>
              <w:rPr>
                <w:spacing w:val="-4"/>
                <w:sz w:val="24"/>
              </w:rPr>
              <w:t>，有关污染因子的标准限值详见表</w:t>
            </w:r>
            <w:r>
              <w:rPr>
                <w:rFonts w:hint="eastAsia"/>
                <w:spacing w:val="-4"/>
                <w:sz w:val="24"/>
              </w:rPr>
              <w:t>11</w:t>
            </w:r>
            <w:r>
              <w:rPr>
                <w:spacing w:val="-4"/>
                <w:sz w:val="24"/>
              </w:rPr>
              <w:t>。</w:t>
            </w:r>
          </w:p>
          <w:p>
            <w:pPr>
              <w:pStyle w:val="45"/>
              <w:snapToGrid w:val="0"/>
              <w:spacing w:line="240" w:lineRule="auto"/>
              <w:ind w:firstLine="0"/>
              <w:jc w:val="center"/>
              <w:rPr>
                <w:rFonts w:ascii="Times New Roman" w:hAnsi="Times New Roman"/>
                <w:b/>
                <w:kern w:val="0"/>
                <w:sz w:val="21"/>
                <w:szCs w:val="21"/>
              </w:rPr>
            </w:pPr>
            <w:r>
              <w:rPr>
                <w:rFonts w:ascii="Times New Roman" w:hAnsi="Times New Roman"/>
                <w:b/>
                <w:kern w:val="0"/>
                <w:sz w:val="21"/>
                <w:szCs w:val="21"/>
              </w:rPr>
              <w:t>表</w:t>
            </w:r>
            <w:r>
              <w:rPr>
                <w:rFonts w:hint="eastAsia" w:ascii="Times New Roman" w:hAnsi="Times New Roman"/>
                <w:b/>
                <w:kern w:val="0"/>
                <w:sz w:val="21"/>
                <w:szCs w:val="21"/>
              </w:rPr>
              <w:t>11</w:t>
            </w:r>
            <w:r>
              <w:rPr>
                <w:rFonts w:ascii="Times New Roman" w:hAnsi="Times New Roman"/>
                <w:b/>
                <w:kern w:val="0"/>
                <w:sz w:val="21"/>
                <w:szCs w:val="21"/>
              </w:rPr>
              <w:t>环境空气质量标准</w:t>
            </w:r>
          </w:p>
          <w:tbl>
            <w:tblPr>
              <w:tblStyle w:val="30"/>
              <w:tblW w:w="84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7"/>
              <w:gridCol w:w="1667"/>
              <w:gridCol w:w="1480"/>
              <w:gridCol w:w="1565"/>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7" w:type="dxa"/>
                  <w:vMerge w:val="restart"/>
                  <w:vAlign w:val="center"/>
                </w:tcPr>
                <w:p>
                  <w:pPr>
                    <w:snapToGrid w:val="0"/>
                    <w:jc w:val="center"/>
                    <w:rPr>
                      <w:szCs w:val="21"/>
                    </w:rPr>
                  </w:pPr>
                  <w:r>
                    <w:rPr>
                      <w:rFonts w:hAnsi="宋体"/>
                      <w:szCs w:val="21"/>
                    </w:rPr>
                    <w:t>污染物</w:t>
                  </w:r>
                </w:p>
              </w:tc>
              <w:tc>
                <w:tcPr>
                  <w:tcW w:w="4712" w:type="dxa"/>
                  <w:gridSpan w:val="3"/>
                  <w:vAlign w:val="center"/>
                </w:tcPr>
                <w:p>
                  <w:pPr>
                    <w:snapToGrid w:val="0"/>
                    <w:jc w:val="center"/>
                    <w:rPr>
                      <w:szCs w:val="21"/>
                    </w:rPr>
                  </w:pPr>
                  <w:r>
                    <w:rPr>
                      <w:rFonts w:hAnsi="宋体"/>
                      <w:szCs w:val="21"/>
                    </w:rPr>
                    <w:t>各项污染物的浓度限值（</w:t>
                  </w:r>
                  <w:r>
                    <w:rPr>
                      <w:szCs w:val="21"/>
                    </w:rPr>
                    <w:t>ug/m</w:t>
                  </w:r>
                  <w:r>
                    <w:rPr>
                      <w:szCs w:val="21"/>
                      <w:vertAlign w:val="superscript"/>
                    </w:rPr>
                    <w:t>3</w:t>
                  </w:r>
                  <w:r>
                    <w:rPr>
                      <w:rFonts w:hAnsi="宋体"/>
                      <w:szCs w:val="21"/>
                    </w:rPr>
                    <w:t>）</w:t>
                  </w:r>
                </w:p>
              </w:tc>
              <w:tc>
                <w:tcPr>
                  <w:tcW w:w="2518" w:type="dxa"/>
                  <w:vMerge w:val="restart"/>
                  <w:vAlign w:val="center"/>
                </w:tcPr>
                <w:p>
                  <w:pPr>
                    <w:snapToGrid w:val="0"/>
                    <w:jc w:val="center"/>
                    <w:rPr>
                      <w:szCs w:val="21"/>
                    </w:rPr>
                  </w:pPr>
                  <w:r>
                    <w:rPr>
                      <w:rFonts w:hAnsi="宋体"/>
                      <w:szCs w:val="21"/>
                    </w:rPr>
                    <w:t>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7" w:type="dxa"/>
                  <w:vMerge w:val="continue"/>
                  <w:vAlign w:val="center"/>
                </w:tcPr>
                <w:p>
                  <w:pPr>
                    <w:snapToGrid w:val="0"/>
                    <w:jc w:val="center"/>
                    <w:rPr>
                      <w:szCs w:val="21"/>
                    </w:rPr>
                  </w:pPr>
                </w:p>
              </w:tc>
              <w:tc>
                <w:tcPr>
                  <w:tcW w:w="1667" w:type="dxa"/>
                  <w:vAlign w:val="center"/>
                </w:tcPr>
                <w:p>
                  <w:pPr>
                    <w:snapToGrid w:val="0"/>
                    <w:jc w:val="center"/>
                    <w:rPr>
                      <w:szCs w:val="21"/>
                    </w:rPr>
                  </w:pPr>
                  <w:r>
                    <w:rPr>
                      <w:szCs w:val="21"/>
                    </w:rPr>
                    <w:t>1</w:t>
                  </w:r>
                  <w:r>
                    <w:rPr>
                      <w:rFonts w:hAnsi="宋体"/>
                      <w:szCs w:val="21"/>
                    </w:rPr>
                    <w:t>小时平均</w:t>
                  </w:r>
                </w:p>
              </w:tc>
              <w:tc>
                <w:tcPr>
                  <w:tcW w:w="1480" w:type="dxa"/>
                  <w:vAlign w:val="center"/>
                </w:tcPr>
                <w:p>
                  <w:pPr>
                    <w:snapToGrid w:val="0"/>
                    <w:jc w:val="center"/>
                    <w:rPr>
                      <w:szCs w:val="21"/>
                    </w:rPr>
                  </w:pPr>
                  <w:r>
                    <w:rPr>
                      <w:rFonts w:hint="eastAsia" w:hAnsi="宋体"/>
                      <w:szCs w:val="21"/>
                    </w:rPr>
                    <w:t>24小时</w:t>
                  </w:r>
                  <w:r>
                    <w:rPr>
                      <w:rFonts w:hAnsi="宋体"/>
                      <w:szCs w:val="21"/>
                    </w:rPr>
                    <w:t>平均</w:t>
                  </w:r>
                </w:p>
              </w:tc>
              <w:tc>
                <w:tcPr>
                  <w:tcW w:w="1565" w:type="dxa"/>
                  <w:vAlign w:val="center"/>
                </w:tcPr>
                <w:p>
                  <w:pPr>
                    <w:snapToGrid w:val="0"/>
                    <w:jc w:val="center"/>
                    <w:rPr>
                      <w:szCs w:val="21"/>
                    </w:rPr>
                  </w:pPr>
                  <w:r>
                    <w:rPr>
                      <w:rFonts w:hAnsi="宋体"/>
                      <w:szCs w:val="21"/>
                    </w:rPr>
                    <w:t>年平均</w:t>
                  </w:r>
                </w:p>
              </w:tc>
              <w:tc>
                <w:tcPr>
                  <w:tcW w:w="2518" w:type="dxa"/>
                  <w:vMerge w:val="continue"/>
                  <w:vAlign w:val="center"/>
                </w:tcPr>
                <w:p>
                  <w:pPr>
                    <w:snapToGrid w:val="0"/>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7" w:type="dxa"/>
                  <w:vAlign w:val="center"/>
                </w:tcPr>
                <w:p>
                  <w:pPr>
                    <w:snapToGrid w:val="0"/>
                    <w:jc w:val="center"/>
                    <w:rPr>
                      <w:szCs w:val="21"/>
                    </w:rPr>
                  </w:pPr>
                  <w:r>
                    <w:rPr>
                      <w:szCs w:val="21"/>
                    </w:rPr>
                    <w:t>SO</w:t>
                  </w:r>
                  <w:r>
                    <w:rPr>
                      <w:szCs w:val="21"/>
                      <w:vertAlign w:val="subscript"/>
                    </w:rPr>
                    <w:t>2</w:t>
                  </w:r>
                </w:p>
              </w:tc>
              <w:tc>
                <w:tcPr>
                  <w:tcW w:w="1667" w:type="dxa"/>
                  <w:vAlign w:val="center"/>
                </w:tcPr>
                <w:p>
                  <w:pPr>
                    <w:snapToGrid w:val="0"/>
                    <w:jc w:val="center"/>
                    <w:rPr>
                      <w:szCs w:val="21"/>
                    </w:rPr>
                  </w:pPr>
                  <w:r>
                    <w:rPr>
                      <w:szCs w:val="21"/>
                    </w:rPr>
                    <w:t>500</w:t>
                  </w:r>
                </w:p>
              </w:tc>
              <w:tc>
                <w:tcPr>
                  <w:tcW w:w="1480" w:type="dxa"/>
                  <w:vAlign w:val="center"/>
                </w:tcPr>
                <w:p>
                  <w:pPr>
                    <w:snapToGrid w:val="0"/>
                    <w:jc w:val="center"/>
                    <w:rPr>
                      <w:szCs w:val="21"/>
                    </w:rPr>
                  </w:pPr>
                  <w:r>
                    <w:rPr>
                      <w:szCs w:val="21"/>
                    </w:rPr>
                    <w:t>150</w:t>
                  </w:r>
                </w:p>
              </w:tc>
              <w:tc>
                <w:tcPr>
                  <w:tcW w:w="1565" w:type="dxa"/>
                  <w:vAlign w:val="center"/>
                </w:tcPr>
                <w:p>
                  <w:pPr>
                    <w:snapToGrid w:val="0"/>
                    <w:jc w:val="center"/>
                    <w:rPr>
                      <w:szCs w:val="21"/>
                    </w:rPr>
                  </w:pPr>
                  <w:r>
                    <w:rPr>
                      <w:szCs w:val="21"/>
                    </w:rPr>
                    <w:t>60</w:t>
                  </w:r>
                </w:p>
              </w:tc>
              <w:tc>
                <w:tcPr>
                  <w:tcW w:w="2518" w:type="dxa"/>
                  <w:vMerge w:val="restart"/>
                  <w:vAlign w:val="center"/>
                </w:tcPr>
                <w:p>
                  <w:pPr>
                    <w:snapToGrid w:val="0"/>
                    <w:jc w:val="center"/>
                    <w:rPr>
                      <w:szCs w:val="21"/>
                    </w:rPr>
                  </w:pPr>
                  <w:r>
                    <w:rPr>
                      <w:szCs w:val="21"/>
                    </w:rPr>
                    <w:t>《环境空气质量标准》（GB3095-</w:t>
                  </w:r>
                  <w:r>
                    <w:rPr>
                      <w:rFonts w:hint="eastAsia"/>
                      <w:szCs w:val="21"/>
                    </w:rPr>
                    <w:t>2012</w:t>
                  </w:r>
                  <w:r>
                    <w:rPr>
                      <w:szCs w:val="21"/>
                    </w:rPr>
                    <w:t>）中的</w:t>
                  </w:r>
                  <w:r>
                    <w:rPr>
                      <w:bCs/>
                      <w:szCs w:val="21"/>
                    </w:rPr>
                    <w:t>二级</w:t>
                  </w:r>
                  <w:r>
                    <w:rPr>
                      <w:szCs w:val="21"/>
                    </w:rP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7" w:type="dxa"/>
                  <w:vAlign w:val="center"/>
                </w:tcPr>
                <w:p>
                  <w:pPr>
                    <w:snapToGrid w:val="0"/>
                    <w:jc w:val="center"/>
                    <w:rPr>
                      <w:szCs w:val="21"/>
                    </w:rPr>
                  </w:pPr>
                  <w:r>
                    <w:rPr>
                      <w:szCs w:val="21"/>
                    </w:rPr>
                    <w:t>NO</w:t>
                  </w:r>
                  <w:r>
                    <w:rPr>
                      <w:szCs w:val="21"/>
                      <w:vertAlign w:val="subscript"/>
                    </w:rPr>
                    <w:t>2</w:t>
                  </w:r>
                </w:p>
              </w:tc>
              <w:tc>
                <w:tcPr>
                  <w:tcW w:w="1667" w:type="dxa"/>
                  <w:vAlign w:val="center"/>
                </w:tcPr>
                <w:p>
                  <w:pPr>
                    <w:snapToGrid w:val="0"/>
                    <w:jc w:val="center"/>
                    <w:rPr>
                      <w:szCs w:val="21"/>
                    </w:rPr>
                  </w:pPr>
                  <w:r>
                    <w:rPr>
                      <w:szCs w:val="21"/>
                    </w:rPr>
                    <w:t>200</w:t>
                  </w:r>
                </w:p>
              </w:tc>
              <w:tc>
                <w:tcPr>
                  <w:tcW w:w="1480" w:type="dxa"/>
                  <w:vAlign w:val="center"/>
                </w:tcPr>
                <w:p>
                  <w:pPr>
                    <w:snapToGrid w:val="0"/>
                    <w:jc w:val="center"/>
                    <w:rPr>
                      <w:szCs w:val="21"/>
                    </w:rPr>
                  </w:pPr>
                  <w:r>
                    <w:rPr>
                      <w:szCs w:val="21"/>
                    </w:rPr>
                    <w:t>80</w:t>
                  </w:r>
                </w:p>
              </w:tc>
              <w:tc>
                <w:tcPr>
                  <w:tcW w:w="1565" w:type="dxa"/>
                  <w:vAlign w:val="center"/>
                </w:tcPr>
                <w:p>
                  <w:pPr>
                    <w:snapToGrid w:val="0"/>
                    <w:jc w:val="center"/>
                    <w:rPr>
                      <w:szCs w:val="21"/>
                    </w:rPr>
                  </w:pPr>
                  <w:r>
                    <w:rPr>
                      <w:szCs w:val="21"/>
                    </w:rPr>
                    <w:t>40</w:t>
                  </w:r>
                </w:p>
              </w:tc>
              <w:tc>
                <w:tcPr>
                  <w:tcW w:w="2518" w:type="dxa"/>
                  <w:vMerge w:val="continue"/>
                  <w:vAlign w:val="center"/>
                </w:tcPr>
                <w:p>
                  <w:pPr>
                    <w:snapToGrid w:val="0"/>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7" w:type="dxa"/>
                  <w:vAlign w:val="center"/>
                </w:tcPr>
                <w:p>
                  <w:pPr>
                    <w:snapToGrid w:val="0"/>
                    <w:jc w:val="center"/>
                    <w:rPr>
                      <w:szCs w:val="21"/>
                    </w:rPr>
                  </w:pPr>
                  <w:r>
                    <w:rPr>
                      <w:szCs w:val="21"/>
                    </w:rPr>
                    <w:t>PM</w:t>
                  </w:r>
                  <w:r>
                    <w:rPr>
                      <w:szCs w:val="21"/>
                      <w:vertAlign w:val="subscript"/>
                    </w:rPr>
                    <w:t>10</w:t>
                  </w:r>
                </w:p>
              </w:tc>
              <w:tc>
                <w:tcPr>
                  <w:tcW w:w="1667" w:type="dxa"/>
                  <w:vAlign w:val="center"/>
                </w:tcPr>
                <w:p>
                  <w:pPr>
                    <w:snapToGrid w:val="0"/>
                    <w:jc w:val="center"/>
                    <w:rPr>
                      <w:szCs w:val="21"/>
                    </w:rPr>
                  </w:pPr>
                  <w:r>
                    <w:rPr>
                      <w:szCs w:val="21"/>
                    </w:rPr>
                    <w:t>/</w:t>
                  </w:r>
                </w:p>
              </w:tc>
              <w:tc>
                <w:tcPr>
                  <w:tcW w:w="1480" w:type="dxa"/>
                  <w:vAlign w:val="center"/>
                </w:tcPr>
                <w:p>
                  <w:pPr>
                    <w:snapToGrid w:val="0"/>
                    <w:jc w:val="center"/>
                    <w:rPr>
                      <w:szCs w:val="21"/>
                    </w:rPr>
                  </w:pPr>
                  <w:r>
                    <w:rPr>
                      <w:szCs w:val="21"/>
                    </w:rPr>
                    <w:t>150</w:t>
                  </w:r>
                </w:p>
              </w:tc>
              <w:tc>
                <w:tcPr>
                  <w:tcW w:w="1565" w:type="dxa"/>
                  <w:vAlign w:val="center"/>
                </w:tcPr>
                <w:p>
                  <w:pPr>
                    <w:snapToGrid w:val="0"/>
                    <w:jc w:val="center"/>
                    <w:rPr>
                      <w:szCs w:val="21"/>
                    </w:rPr>
                  </w:pPr>
                  <w:r>
                    <w:rPr>
                      <w:szCs w:val="21"/>
                    </w:rPr>
                    <w:t>70</w:t>
                  </w:r>
                </w:p>
              </w:tc>
              <w:tc>
                <w:tcPr>
                  <w:tcW w:w="2518" w:type="dxa"/>
                  <w:vMerge w:val="continue"/>
                  <w:vAlign w:val="center"/>
                </w:tcPr>
                <w:p>
                  <w:pPr>
                    <w:snapToGrid w:val="0"/>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7" w:type="dxa"/>
                  <w:vAlign w:val="center"/>
                </w:tcPr>
                <w:p>
                  <w:pPr>
                    <w:jc w:val="center"/>
                    <w:rPr>
                      <w:szCs w:val="21"/>
                    </w:rPr>
                  </w:pPr>
                  <w:r>
                    <w:rPr>
                      <w:szCs w:val="21"/>
                    </w:rPr>
                    <w:t>PM</w:t>
                  </w:r>
                  <w:r>
                    <w:rPr>
                      <w:rFonts w:hint="eastAsia"/>
                      <w:szCs w:val="21"/>
                      <w:vertAlign w:val="subscript"/>
                    </w:rPr>
                    <w:t>2.5</w:t>
                  </w:r>
                </w:p>
              </w:tc>
              <w:tc>
                <w:tcPr>
                  <w:tcW w:w="1667" w:type="dxa"/>
                  <w:vAlign w:val="center"/>
                </w:tcPr>
                <w:p>
                  <w:pPr>
                    <w:jc w:val="center"/>
                    <w:rPr>
                      <w:szCs w:val="21"/>
                    </w:rPr>
                  </w:pPr>
                  <w:r>
                    <w:rPr>
                      <w:szCs w:val="21"/>
                    </w:rPr>
                    <w:t>/</w:t>
                  </w:r>
                </w:p>
              </w:tc>
              <w:tc>
                <w:tcPr>
                  <w:tcW w:w="1480" w:type="dxa"/>
                  <w:vAlign w:val="center"/>
                </w:tcPr>
                <w:p>
                  <w:pPr>
                    <w:jc w:val="center"/>
                    <w:rPr>
                      <w:szCs w:val="21"/>
                    </w:rPr>
                  </w:pPr>
                  <w:r>
                    <w:rPr>
                      <w:rFonts w:hint="eastAsia"/>
                      <w:szCs w:val="21"/>
                    </w:rPr>
                    <w:t>75</w:t>
                  </w:r>
                </w:p>
              </w:tc>
              <w:tc>
                <w:tcPr>
                  <w:tcW w:w="1565" w:type="dxa"/>
                  <w:vAlign w:val="center"/>
                </w:tcPr>
                <w:p>
                  <w:pPr>
                    <w:jc w:val="center"/>
                    <w:rPr>
                      <w:szCs w:val="21"/>
                    </w:rPr>
                  </w:pPr>
                  <w:r>
                    <w:rPr>
                      <w:rFonts w:hint="eastAsia"/>
                      <w:szCs w:val="21"/>
                    </w:rPr>
                    <w:t>35</w:t>
                  </w:r>
                </w:p>
              </w:tc>
              <w:tc>
                <w:tcPr>
                  <w:tcW w:w="2518" w:type="dxa"/>
                  <w:vMerge w:val="continue"/>
                  <w:vAlign w:val="center"/>
                </w:tcPr>
                <w:p>
                  <w:pPr>
                    <w:snapToGrid w:val="0"/>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7" w:type="dxa"/>
                  <w:vAlign w:val="center"/>
                </w:tcPr>
                <w:p>
                  <w:pPr>
                    <w:jc w:val="center"/>
                    <w:rPr>
                      <w:szCs w:val="21"/>
                    </w:rPr>
                  </w:pPr>
                  <w:r>
                    <w:rPr>
                      <w:rFonts w:hint="eastAsia"/>
                      <w:szCs w:val="21"/>
                    </w:rPr>
                    <w:t>CO</w:t>
                  </w:r>
                </w:p>
              </w:tc>
              <w:tc>
                <w:tcPr>
                  <w:tcW w:w="1667" w:type="dxa"/>
                  <w:vAlign w:val="center"/>
                </w:tcPr>
                <w:p>
                  <w:pPr>
                    <w:jc w:val="center"/>
                    <w:rPr>
                      <w:szCs w:val="21"/>
                    </w:rPr>
                  </w:pPr>
                  <w:r>
                    <w:rPr>
                      <w:rFonts w:hint="eastAsia"/>
                      <w:szCs w:val="21"/>
                    </w:rPr>
                    <w:t>4</w:t>
                  </w:r>
                </w:p>
              </w:tc>
              <w:tc>
                <w:tcPr>
                  <w:tcW w:w="1480" w:type="dxa"/>
                  <w:vAlign w:val="center"/>
                </w:tcPr>
                <w:p>
                  <w:pPr>
                    <w:jc w:val="center"/>
                    <w:rPr>
                      <w:szCs w:val="21"/>
                    </w:rPr>
                  </w:pPr>
                  <w:r>
                    <w:rPr>
                      <w:rFonts w:hint="eastAsia"/>
                      <w:szCs w:val="21"/>
                    </w:rPr>
                    <w:t>10</w:t>
                  </w:r>
                </w:p>
              </w:tc>
              <w:tc>
                <w:tcPr>
                  <w:tcW w:w="1565" w:type="dxa"/>
                  <w:vAlign w:val="center"/>
                </w:tcPr>
                <w:p>
                  <w:pPr>
                    <w:jc w:val="center"/>
                    <w:rPr>
                      <w:szCs w:val="21"/>
                    </w:rPr>
                  </w:pPr>
                  <w:r>
                    <w:rPr>
                      <w:rFonts w:hint="eastAsia"/>
                      <w:szCs w:val="21"/>
                    </w:rPr>
                    <w:t>/</w:t>
                  </w:r>
                </w:p>
              </w:tc>
              <w:tc>
                <w:tcPr>
                  <w:tcW w:w="2518" w:type="dxa"/>
                  <w:vMerge w:val="continue"/>
                  <w:vAlign w:val="center"/>
                </w:tcPr>
                <w:p>
                  <w:pPr>
                    <w:snapToGrid w:val="0"/>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7" w:type="dxa"/>
                  <w:vAlign w:val="center"/>
                </w:tcPr>
                <w:p>
                  <w:pPr>
                    <w:jc w:val="center"/>
                    <w:rPr>
                      <w:szCs w:val="21"/>
                    </w:rPr>
                  </w:pPr>
                  <w:r>
                    <w:rPr>
                      <w:rFonts w:hint="eastAsia"/>
                      <w:szCs w:val="21"/>
                    </w:rPr>
                    <w:t>O3</w:t>
                  </w:r>
                </w:p>
              </w:tc>
              <w:tc>
                <w:tcPr>
                  <w:tcW w:w="1667" w:type="dxa"/>
                  <w:vAlign w:val="center"/>
                </w:tcPr>
                <w:p>
                  <w:pPr>
                    <w:jc w:val="center"/>
                    <w:rPr>
                      <w:szCs w:val="21"/>
                    </w:rPr>
                  </w:pPr>
                  <w:r>
                    <w:rPr>
                      <w:rFonts w:hint="eastAsia"/>
                      <w:szCs w:val="21"/>
                    </w:rPr>
                    <w:t>200</w:t>
                  </w:r>
                </w:p>
              </w:tc>
              <w:tc>
                <w:tcPr>
                  <w:tcW w:w="1480" w:type="dxa"/>
                  <w:vAlign w:val="center"/>
                </w:tcPr>
                <w:p>
                  <w:pPr>
                    <w:jc w:val="center"/>
                    <w:rPr>
                      <w:szCs w:val="21"/>
                    </w:rPr>
                  </w:pPr>
                  <w:r>
                    <w:rPr>
                      <w:rFonts w:hint="eastAsia"/>
                      <w:szCs w:val="21"/>
                    </w:rPr>
                    <w:t>160（8h平均）</w:t>
                  </w:r>
                </w:p>
              </w:tc>
              <w:tc>
                <w:tcPr>
                  <w:tcW w:w="1565" w:type="dxa"/>
                  <w:vAlign w:val="center"/>
                </w:tcPr>
                <w:p>
                  <w:pPr>
                    <w:jc w:val="center"/>
                    <w:rPr>
                      <w:szCs w:val="21"/>
                    </w:rPr>
                  </w:pPr>
                  <w:r>
                    <w:rPr>
                      <w:rFonts w:hint="eastAsia"/>
                      <w:szCs w:val="21"/>
                    </w:rPr>
                    <w:t>/</w:t>
                  </w:r>
                </w:p>
              </w:tc>
              <w:tc>
                <w:tcPr>
                  <w:tcW w:w="2518" w:type="dxa"/>
                  <w:vMerge w:val="continue"/>
                  <w:vAlign w:val="center"/>
                </w:tcPr>
                <w:p>
                  <w:pPr>
                    <w:snapToGrid w:val="0"/>
                    <w:jc w:val="center"/>
                    <w:rPr>
                      <w:szCs w:val="21"/>
                    </w:rPr>
                  </w:pPr>
                </w:p>
              </w:tc>
            </w:tr>
          </w:tbl>
          <w:p>
            <w:pPr>
              <w:snapToGrid w:val="0"/>
              <w:spacing w:line="360" w:lineRule="auto"/>
              <w:ind w:firstLine="419" w:firstLineChars="174"/>
              <w:rPr>
                <w:b/>
                <w:bCs/>
                <w:sz w:val="24"/>
              </w:rPr>
            </w:pPr>
            <w:r>
              <w:rPr>
                <w:b/>
                <w:bCs/>
                <w:sz w:val="24"/>
              </w:rPr>
              <w:t>2、水环境</w:t>
            </w:r>
          </w:p>
          <w:p>
            <w:pPr>
              <w:spacing w:line="360" w:lineRule="auto"/>
              <w:ind w:firstLine="480" w:firstLineChars="200"/>
              <w:rPr>
                <w:sz w:val="24"/>
              </w:rPr>
            </w:pPr>
            <w:r>
              <w:rPr>
                <w:sz w:val="24"/>
              </w:rPr>
              <w:t>根据地面水功能区划的要求，评价区域地表水</w:t>
            </w:r>
            <w:r>
              <w:rPr>
                <w:rFonts w:hint="eastAsia"/>
                <w:sz w:val="24"/>
              </w:rPr>
              <w:t>淮河水质</w:t>
            </w:r>
            <w:r>
              <w:rPr>
                <w:sz w:val="24"/>
              </w:rPr>
              <w:t>环境执行《地表水环境质量标准》(GB3838-2002)中的</w:t>
            </w:r>
            <w:r>
              <w:rPr>
                <w:rFonts w:hint="eastAsia"/>
                <w:sz w:val="24"/>
              </w:rPr>
              <w:t>Ⅲ</w:t>
            </w:r>
            <w:r>
              <w:rPr>
                <w:sz w:val="24"/>
              </w:rPr>
              <w:t>类标准，标准限值见表</w:t>
            </w:r>
            <w:r>
              <w:rPr>
                <w:rFonts w:hint="eastAsia"/>
                <w:sz w:val="24"/>
              </w:rPr>
              <w:t>12</w:t>
            </w:r>
            <w:r>
              <w:rPr>
                <w:sz w:val="24"/>
              </w:rPr>
              <w:t>。</w:t>
            </w:r>
          </w:p>
          <w:p>
            <w:pPr>
              <w:snapToGrid w:val="0"/>
              <w:jc w:val="center"/>
              <w:rPr>
                <w:rFonts w:hAnsi="宋体"/>
                <w:b/>
                <w:szCs w:val="21"/>
              </w:rPr>
            </w:pPr>
            <w:r>
              <w:rPr>
                <w:rFonts w:hAnsi="宋体"/>
                <w:b/>
                <w:szCs w:val="21"/>
              </w:rPr>
              <w:t>表</w:t>
            </w:r>
            <w:r>
              <w:rPr>
                <w:rFonts w:hint="eastAsia" w:hAnsi="宋体"/>
                <w:b/>
                <w:szCs w:val="21"/>
              </w:rPr>
              <w:t>12</w:t>
            </w:r>
            <w:r>
              <w:rPr>
                <w:rFonts w:hAnsi="宋体"/>
                <w:b/>
                <w:szCs w:val="21"/>
              </w:rPr>
              <w:t>地表水环境质量标准(部分)（mg/L，pH值除外）</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4"/>
              <w:gridCol w:w="1238"/>
              <w:gridCol w:w="1583"/>
              <w:gridCol w:w="1442"/>
              <w:gridCol w:w="1459"/>
              <w:gridCol w:w="13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4" w:type="dxa"/>
                  <w:vAlign w:val="center"/>
                </w:tcPr>
                <w:p>
                  <w:pPr>
                    <w:adjustRightInd w:val="0"/>
                    <w:snapToGrid w:val="0"/>
                    <w:jc w:val="center"/>
                    <w:rPr>
                      <w:bCs/>
                      <w:szCs w:val="21"/>
                    </w:rPr>
                  </w:pPr>
                  <w:r>
                    <w:rPr>
                      <w:rFonts w:hint="eastAsia"/>
                      <w:bCs/>
                      <w:szCs w:val="21"/>
                    </w:rPr>
                    <w:t>项目</w:t>
                  </w:r>
                </w:p>
              </w:tc>
              <w:tc>
                <w:tcPr>
                  <w:tcW w:w="1238" w:type="dxa"/>
                  <w:vAlign w:val="center"/>
                </w:tcPr>
                <w:p>
                  <w:pPr>
                    <w:adjustRightInd w:val="0"/>
                    <w:snapToGrid w:val="0"/>
                    <w:jc w:val="center"/>
                    <w:rPr>
                      <w:bCs/>
                      <w:szCs w:val="21"/>
                    </w:rPr>
                  </w:pPr>
                  <w:r>
                    <w:rPr>
                      <w:rFonts w:hint="eastAsia"/>
                      <w:bCs/>
                      <w:szCs w:val="21"/>
                    </w:rPr>
                    <w:t>pH</w:t>
                  </w:r>
                </w:p>
              </w:tc>
              <w:tc>
                <w:tcPr>
                  <w:tcW w:w="1583" w:type="dxa"/>
                  <w:vAlign w:val="center"/>
                </w:tcPr>
                <w:p>
                  <w:pPr>
                    <w:adjustRightInd w:val="0"/>
                    <w:snapToGrid w:val="0"/>
                    <w:jc w:val="center"/>
                    <w:rPr>
                      <w:bCs/>
                      <w:szCs w:val="21"/>
                    </w:rPr>
                  </w:pPr>
                  <w:r>
                    <w:rPr>
                      <w:rFonts w:hint="eastAsia"/>
                      <w:bCs/>
                      <w:szCs w:val="21"/>
                    </w:rPr>
                    <w:t>COD</w:t>
                  </w:r>
                </w:p>
              </w:tc>
              <w:tc>
                <w:tcPr>
                  <w:tcW w:w="1442" w:type="dxa"/>
                  <w:vAlign w:val="center"/>
                </w:tcPr>
                <w:p>
                  <w:pPr>
                    <w:adjustRightInd w:val="0"/>
                    <w:snapToGrid w:val="0"/>
                    <w:jc w:val="center"/>
                    <w:rPr>
                      <w:bCs/>
                      <w:szCs w:val="21"/>
                    </w:rPr>
                  </w:pPr>
                  <w:r>
                    <w:rPr>
                      <w:bCs/>
                      <w:szCs w:val="21"/>
                    </w:rPr>
                    <w:t>BOD</w:t>
                  </w:r>
                  <w:r>
                    <w:rPr>
                      <w:bCs/>
                      <w:szCs w:val="21"/>
                      <w:vertAlign w:val="subscript"/>
                    </w:rPr>
                    <w:t>5</w:t>
                  </w:r>
                </w:p>
              </w:tc>
              <w:tc>
                <w:tcPr>
                  <w:tcW w:w="1459" w:type="dxa"/>
                  <w:vAlign w:val="center"/>
                </w:tcPr>
                <w:p>
                  <w:pPr>
                    <w:adjustRightInd w:val="0"/>
                    <w:snapToGrid w:val="0"/>
                    <w:jc w:val="center"/>
                    <w:rPr>
                      <w:bCs/>
                      <w:szCs w:val="21"/>
                    </w:rPr>
                  </w:pPr>
                  <w:r>
                    <w:rPr>
                      <w:rFonts w:hint="eastAsia"/>
                      <w:bCs/>
                      <w:szCs w:val="21"/>
                    </w:rPr>
                    <w:t>氨氮</w:t>
                  </w:r>
                </w:p>
              </w:tc>
              <w:tc>
                <w:tcPr>
                  <w:tcW w:w="1396" w:type="dxa"/>
                  <w:vAlign w:val="center"/>
                </w:tcPr>
                <w:p>
                  <w:pPr>
                    <w:adjustRightInd w:val="0"/>
                    <w:snapToGrid w:val="0"/>
                    <w:jc w:val="center"/>
                    <w:rPr>
                      <w:bCs/>
                      <w:szCs w:val="21"/>
                    </w:rPr>
                  </w:pPr>
                  <w:r>
                    <w:rPr>
                      <w:rFonts w:hint="eastAsia"/>
                      <w:bCs/>
                      <w:szCs w:val="21"/>
                    </w:rPr>
                    <w:t>总磷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4" w:type="dxa"/>
                  <w:vAlign w:val="center"/>
                </w:tcPr>
                <w:p>
                  <w:pPr>
                    <w:adjustRightInd w:val="0"/>
                    <w:snapToGrid w:val="0"/>
                    <w:jc w:val="center"/>
                    <w:rPr>
                      <w:bCs/>
                      <w:szCs w:val="21"/>
                    </w:rPr>
                  </w:pPr>
                  <w:r>
                    <w:rPr>
                      <w:rFonts w:hint="eastAsia"/>
                      <w:bCs/>
                      <w:szCs w:val="21"/>
                    </w:rPr>
                    <w:t>Ⅲ类</w:t>
                  </w:r>
                </w:p>
              </w:tc>
              <w:tc>
                <w:tcPr>
                  <w:tcW w:w="1238" w:type="dxa"/>
                  <w:vAlign w:val="center"/>
                </w:tcPr>
                <w:p>
                  <w:pPr>
                    <w:adjustRightInd w:val="0"/>
                    <w:snapToGrid w:val="0"/>
                    <w:jc w:val="center"/>
                    <w:rPr>
                      <w:bCs/>
                      <w:szCs w:val="21"/>
                    </w:rPr>
                  </w:pPr>
                  <w:r>
                    <w:rPr>
                      <w:bCs/>
                      <w:szCs w:val="21"/>
                    </w:rPr>
                    <w:t>6～9</w:t>
                  </w:r>
                </w:p>
              </w:tc>
              <w:tc>
                <w:tcPr>
                  <w:tcW w:w="1583" w:type="dxa"/>
                  <w:vAlign w:val="center"/>
                </w:tcPr>
                <w:p>
                  <w:pPr>
                    <w:adjustRightInd w:val="0"/>
                    <w:snapToGrid w:val="0"/>
                    <w:jc w:val="center"/>
                    <w:rPr>
                      <w:bCs/>
                      <w:szCs w:val="21"/>
                    </w:rPr>
                  </w:pPr>
                  <w:r>
                    <w:rPr>
                      <w:rFonts w:hint="eastAsia"/>
                      <w:bCs/>
                      <w:szCs w:val="21"/>
                    </w:rPr>
                    <w:t>≤2</w:t>
                  </w:r>
                  <w:r>
                    <w:rPr>
                      <w:bCs/>
                      <w:szCs w:val="21"/>
                    </w:rPr>
                    <w:t>0</w:t>
                  </w:r>
                </w:p>
              </w:tc>
              <w:tc>
                <w:tcPr>
                  <w:tcW w:w="1442" w:type="dxa"/>
                  <w:vAlign w:val="center"/>
                </w:tcPr>
                <w:p>
                  <w:pPr>
                    <w:adjustRightInd w:val="0"/>
                    <w:snapToGrid w:val="0"/>
                    <w:jc w:val="center"/>
                    <w:rPr>
                      <w:bCs/>
                      <w:szCs w:val="21"/>
                    </w:rPr>
                  </w:pPr>
                  <w:r>
                    <w:rPr>
                      <w:rFonts w:hint="eastAsia"/>
                      <w:bCs/>
                      <w:szCs w:val="21"/>
                    </w:rPr>
                    <w:t>≤4</w:t>
                  </w:r>
                </w:p>
              </w:tc>
              <w:tc>
                <w:tcPr>
                  <w:tcW w:w="1459" w:type="dxa"/>
                  <w:vAlign w:val="center"/>
                </w:tcPr>
                <w:p>
                  <w:pPr>
                    <w:adjustRightInd w:val="0"/>
                    <w:snapToGrid w:val="0"/>
                    <w:jc w:val="center"/>
                    <w:rPr>
                      <w:bCs/>
                      <w:szCs w:val="21"/>
                    </w:rPr>
                  </w:pPr>
                  <w:r>
                    <w:rPr>
                      <w:rFonts w:hint="eastAsia"/>
                      <w:bCs/>
                      <w:szCs w:val="21"/>
                    </w:rPr>
                    <w:t>≤</w:t>
                  </w:r>
                  <w:r>
                    <w:rPr>
                      <w:bCs/>
                      <w:szCs w:val="21"/>
                    </w:rPr>
                    <w:t>1.</w:t>
                  </w:r>
                  <w:r>
                    <w:rPr>
                      <w:rFonts w:hint="eastAsia"/>
                      <w:bCs/>
                      <w:szCs w:val="21"/>
                    </w:rPr>
                    <w:t>0</w:t>
                  </w:r>
                </w:p>
              </w:tc>
              <w:tc>
                <w:tcPr>
                  <w:tcW w:w="1396" w:type="dxa"/>
                  <w:vAlign w:val="center"/>
                </w:tcPr>
                <w:p>
                  <w:pPr>
                    <w:adjustRightInd w:val="0"/>
                    <w:snapToGrid w:val="0"/>
                    <w:jc w:val="center"/>
                    <w:rPr>
                      <w:bCs/>
                      <w:szCs w:val="21"/>
                    </w:rPr>
                  </w:pPr>
                  <w:r>
                    <w:rPr>
                      <w:rFonts w:hint="eastAsia"/>
                      <w:bCs/>
                      <w:szCs w:val="21"/>
                    </w:rPr>
                    <w:t>≤0.2</w:t>
                  </w:r>
                </w:p>
              </w:tc>
            </w:tr>
          </w:tbl>
          <w:p>
            <w:pPr>
              <w:spacing w:beforeLines="50" w:line="360" w:lineRule="auto"/>
              <w:ind w:firstLine="419" w:firstLineChars="174"/>
              <w:rPr>
                <w:sz w:val="24"/>
              </w:rPr>
            </w:pPr>
            <w:r>
              <w:rPr>
                <w:b/>
                <w:bCs/>
                <w:sz w:val="24"/>
              </w:rPr>
              <w:t>3、声环境</w:t>
            </w:r>
          </w:p>
          <w:p>
            <w:pPr>
              <w:spacing w:line="360" w:lineRule="auto"/>
              <w:ind w:firstLine="417" w:firstLineChars="174"/>
              <w:rPr>
                <w:sz w:val="24"/>
              </w:rPr>
            </w:pPr>
            <w:r>
              <w:rPr>
                <w:rFonts w:hint="eastAsia"/>
                <w:sz w:val="24"/>
              </w:rPr>
              <w:t>该项目区声环境标准执行《声环境质量标准》（GB3096-2008）中3类区声环境功能区标准。</w:t>
            </w:r>
            <w:r>
              <w:rPr>
                <w:sz w:val="24"/>
              </w:rPr>
              <w:t>具体指标见表</w:t>
            </w:r>
            <w:r>
              <w:rPr>
                <w:rFonts w:hint="eastAsia"/>
                <w:sz w:val="24"/>
              </w:rPr>
              <w:t>13。</w:t>
            </w:r>
          </w:p>
          <w:p>
            <w:pPr>
              <w:pStyle w:val="45"/>
              <w:snapToGrid w:val="0"/>
              <w:spacing w:line="240" w:lineRule="auto"/>
              <w:ind w:firstLine="0"/>
              <w:jc w:val="center"/>
              <w:rPr>
                <w:rFonts w:ascii="Times New Roman" w:hAnsi="Times New Roman"/>
                <w:b/>
                <w:kern w:val="0"/>
                <w:sz w:val="21"/>
                <w:szCs w:val="21"/>
              </w:rPr>
            </w:pPr>
            <w:r>
              <w:rPr>
                <w:rFonts w:ascii="Times New Roman" w:hAnsi="Times New Roman"/>
                <w:b/>
                <w:kern w:val="0"/>
                <w:sz w:val="21"/>
                <w:szCs w:val="21"/>
              </w:rPr>
              <w:t>表</w:t>
            </w:r>
            <w:r>
              <w:rPr>
                <w:rFonts w:hint="eastAsia" w:ascii="Times New Roman" w:hAnsi="Times New Roman"/>
                <w:b/>
                <w:kern w:val="0"/>
                <w:sz w:val="21"/>
                <w:szCs w:val="21"/>
              </w:rPr>
              <w:t>13声环境质量</w:t>
            </w:r>
            <w:r>
              <w:rPr>
                <w:rFonts w:ascii="Times New Roman" w:hAnsi="Times New Roman"/>
                <w:b/>
                <w:kern w:val="0"/>
                <w:sz w:val="21"/>
                <w:szCs w:val="21"/>
              </w:rPr>
              <w:t>标准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2993"/>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0" w:type="dxa"/>
                  <w:vMerge w:val="restart"/>
                  <w:vAlign w:val="center"/>
                </w:tcPr>
                <w:p>
                  <w:pPr>
                    <w:jc w:val="center"/>
                    <w:rPr>
                      <w:bCs/>
                      <w:szCs w:val="21"/>
                    </w:rPr>
                  </w:pPr>
                  <w:r>
                    <w:rPr>
                      <w:bCs/>
                      <w:szCs w:val="21"/>
                    </w:rPr>
                    <w:t>采用标准</w:t>
                  </w:r>
                </w:p>
              </w:tc>
              <w:tc>
                <w:tcPr>
                  <w:tcW w:w="5988" w:type="dxa"/>
                  <w:gridSpan w:val="2"/>
                  <w:vAlign w:val="center"/>
                </w:tcPr>
                <w:p>
                  <w:pPr>
                    <w:jc w:val="center"/>
                    <w:rPr>
                      <w:bCs/>
                      <w:szCs w:val="21"/>
                    </w:rPr>
                  </w:pPr>
                  <w:r>
                    <w:rPr>
                      <w:bCs/>
                      <w:szCs w:val="21"/>
                    </w:rPr>
                    <w:t>标准值[</w:t>
                  </w:r>
                  <w:r>
                    <w:rPr>
                      <w:szCs w:val="21"/>
                    </w:rPr>
                    <w:t>dB(A)</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0" w:type="dxa"/>
                  <w:vMerge w:val="continue"/>
                  <w:tcBorders>
                    <w:bottom w:val="single" w:color="auto" w:sz="4" w:space="0"/>
                  </w:tcBorders>
                  <w:vAlign w:val="center"/>
                </w:tcPr>
                <w:p>
                  <w:pPr>
                    <w:jc w:val="center"/>
                    <w:rPr>
                      <w:bCs/>
                      <w:szCs w:val="21"/>
                    </w:rPr>
                  </w:pPr>
                </w:p>
              </w:tc>
              <w:tc>
                <w:tcPr>
                  <w:tcW w:w="2993" w:type="dxa"/>
                  <w:tcBorders>
                    <w:bottom w:val="single" w:color="auto" w:sz="4" w:space="0"/>
                  </w:tcBorders>
                  <w:vAlign w:val="center"/>
                </w:tcPr>
                <w:p>
                  <w:pPr>
                    <w:jc w:val="center"/>
                    <w:rPr>
                      <w:bCs/>
                      <w:szCs w:val="21"/>
                    </w:rPr>
                  </w:pPr>
                  <w:r>
                    <w:rPr>
                      <w:bCs/>
                      <w:szCs w:val="21"/>
                    </w:rPr>
                    <w:t>昼间</w:t>
                  </w:r>
                </w:p>
              </w:tc>
              <w:tc>
                <w:tcPr>
                  <w:tcW w:w="2995" w:type="dxa"/>
                  <w:tcBorders>
                    <w:bottom w:val="single" w:color="auto" w:sz="4" w:space="0"/>
                  </w:tcBorders>
                  <w:vAlign w:val="center"/>
                </w:tcPr>
                <w:p>
                  <w:pPr>
                    <w:jc w:val="center"/>
                    <w:rPr>
                      <w:bCs/>
                      <w:szCs w:val="21"/>
                    </w:rPr>
                  </w:pPr>
                  <w:r>
                    <w:rPr>
                      <w:bCs/>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00" w:type="dxa"/>
                  <w:vAlign w:val="center"/>
                </w:tcPr>
                <w:p>
                  <w:pPr>
                    <w:jc w:val="center"/>
                    <w:rPr>
                      <w:szCs w:val="21"/>
                    </w:rPr>
                  </w:pPr>
                  <w:r>
                    <w:rPr>
                      <w:rFonts w:hint="eastAsia"/>
                      <w:szCs w:val="21"/>
                    </w:rPr>
                    <w:t>3类</w:t>
                  </w:r>
                </w:p>
              </w:tc>
              <w:tc>
                <w:tcPr>
                  <w:tcW w:w="2993" w:type="dxa"/>
                  <w:vAlign w:val="center"/>
                </w:tcPr>
                <w:p>
                  <w:pPr>
                    <w:jc w:val="center"/>
                    <w:rPr>
                      <w:szCs w:val="21"/>
                    </w:rPr>
                  </w:pPr>
                  <w:r>
                    <w:rPr>
                      <w:rFonts w:hint="eastAsia"/>
                      <w:szCs w:val="21"/>
                    </w:rPr>
                    <w:t>65</w:t>
                  </w:r>
                </w:p>
              </w:tc>
              <w:tc>
                <w:tcPr>
                  <w:tcW w:w="2995" w:type="dxa"/>
                  <w:vAlign w:val="center"/>
                </w:tcPr>
                <w:p>
                  <w:pPr>
                    <w:jc w:val="center"/>
                    <w:rPr>
                      <w:szCs w:val="21"/>
                    </w:rPr>
                  </w:pPr>
                  <w:r>
                    <w:rPr>
                      <w:rFonts w:hint="eastAsia"/>
                      <w:szCs w:val="21"/>
                    </w:rPr>
                    <w:t>55</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b/>
                <w:sz w:val="28"/>
                <w:szCs w:val="28"/>
              </w:rPr>
            </w:pPr>
            <w:r>
              <w:rPr>
                <w:sz w:val="24"/>
                <w:szCs w:val="24"/>
              </w:rPr>
              <w:t>污染物排放标准</w:t>
            </w:r>
          </w:p>
        </w:tc>
        <w:tc>
          <w:tcPr>
            <w:tcW w:w="8714" w:type="dxa"/>
          </w:tcPr>
          <w:p>
            <w:pPr>
              <w:tabs>
                <w:tab w:val="left" w:pos="540"/>
                <w:tab w:val="left" w:pos="900"/>
                <w:tab w:val="left" w:pos="3780"/>
              </w:tabs>
              <w:adjustRightInd w:val="0"/>
              <w:snapToGrid w:val="0"/>
              <w:spacing w:line="360" w:lineRule="auto"/>
              <w:rPr>
                <w:b/>
                <w:bCs/>
                <w:sz w:val="24"/>
              </w:rPr>
            </w:pPr>
            <w:r>
              <w:rPr>
                <w:rFonts w:hint="eastAsia"/>
                <w:b/>
                <w:bCs/>
                <w:sz w:val="24"/>
              </w:rPr>
              <w:t>1、废气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sz w:val="24"/>
              </w:rPr>
            </w:pPr>
            <w:r>
              <w:rPr>
                <w:rFonts w:hint="eastAsia"/>
                <w:sz w:val="24"/>
              </w:rPr>
              <w:t>废气排放执行《大气污染物综合排放标准》（</w:t>
            </w:r>
            <w:r>
              <w:rPr>
                <w:sz w:val="24"/>
              </w:rPr>
              <w:t>GB16297-1996</w:t>
            </w:r>
            <w:r>
              <w:rPr>
                <w:rFonts w:hint="eastAsia"/>
                <w:sz w:val="24"/>
              </w:rPr>
              <w:t>）中的二级标准，</w:t>
            </w:r>
            <w:r>
              <w:rPr>
                <w:rFonts w:hint="eastAsia"/>
                <w:sz w:val="24"/>
                <w:lang w:eastAsia="zh-CN"/>
              </w:rPr>
              <w:t>熔断机产生油烟参考执行</w:t>
            </w:r>
            <w:r>
              <w:rPr>
                <w:rFonts w:hint="eastAsia"/>
                <w:sz w:val="24"/>
              </w:rPr>
              <w:t>大气污染物综合排放标准》（</w:t>
            </w:r>
            <w:r>
              <w:rPr>
                <w:sz w:val="24"/>
              </w:rPr>
              <w:t>GB16297-1996</w:t>
            </w:r>
            <w:r>
              <w:rPr>
                <w:rFonts w:hint="eastAsia"/>
                <w:sz w:val="24"/>
              </w:rPr>
              <w:t>）中</w:t>
            </w:r>
            <w:r>
              <w:rPr>
                <w:rFonts w:hint="eastAsia"/>
                <w:sz w:val="24"/>
                <w:lang w:eastAsia="zh-CN"/>
              </w:rPr>
              <w:t>非甲烷总烃标准，</w:t>
            </w:r>
            <w:r>
              <w:rPr>
                <w:rFonts w:hint="eastAsia"/>
                <w:sz w:val="24"/>
              </w:rPr>
              <w:t>排放标准限值详见表</w:t>
            </w:r>
            <w:r>
              <w:rPr>
                <w:sz w:val="24"/>
              </w:rPr>
              <w:t>1</w:t>
            </w:r>
            <w:r>
              <w:rPr>
                <w:rFonts w:hint="eastAsia"/>
                <w:sz w:val="24"/>
              </w:rPr>
              <w:t>4。</w:t>
            </w:r>
          </w:p>
          <w:p>
            <w:pPr>
              <w:pStyle w:val="45"/>
              <w:snapToGrid w:val="0"/>
              <w:spacing w:line="240" w:lineRule="auto"/>
              <w:ind w:firstLine="422"/>
              <w:jc w:val="center"/>
              <w:rPr>
                <w:rFonts w:hint="eastAsia" w:ascii="Times New Roman" w:hAnsi="Times New Roman"/>
                <w:b/>
                <w:kern w:val="0"/>
                <w:sz w:val="21"/>
                <w:szCs w:val="21"/>
              </w:rPr>
            </w:pPr>
            <w:r>
              <w:rPr>
                <w:rFonts w:hint="eastAsia" w:ascii="Times New Roman" w:hAnsi="Times New Roman"/>
                <w:b/>
                <w:kern w:val="0"/>
                <w:sz w:val="21"/>
                <w:szCs w:val="21"/>
              </w:rPr>
              <w:t>表</w:t>
            </w:r>
            <w:r>
              <w:rPr>
                <w:rFonts w:ascii="Times New Roman" w:hAnsi="Times New Roman"/>
                <w:b/>
                <w:kern w:val="0"/>
                <w:sz w:val="21"/>
                <w:szCs w:val="21"/>
              </w:rPr>
              <w:t>1</w:t>
            </w:r>
            <w:r>
              <w:rPr>
                <w:rFonts w:hint="eastAsia" w:ascii="Times New Roman" w:hAnsi="Times New Roman"/>
                <w:b/>
                <w:kern w:val="0"/>
                <w:sz w:val="21"/>
                <w:szCs w:val="21"/>
              </w:rPr>
              <w:t>4</w:t>
            </w:r>
            <w:r>
              <w:rPr>
                <w:rFonts w:ascii="Times New Roman" w:hAnsi="Times New Roman"/>
                <w:b/>
                <w:kern w:val="0"/>
                <w:sz w:val="21"/>
                <w:szCs w:val="21"/>
              </w:rPr>
              <w:t xml:space="preserve"> </w:t>
            </w:r>
            <w:r>
              <w:rPr>
                <w:rFonts w:hint="eastAsia" w:ascii="Times New Roman" w:hAnsi="Times New Roman"/>
                <w:b/>
                <w:kern w:val="0"/>
                <w:sz w:val="21"/>
                <w:szCs w:val="21"/>
              </w:rPr>
              <w:t>《大气污染物综合排放标准》中二级标准限值</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101"/>
              <w:gridCol w:w="1058"/>
              <w:gridCol w:w="1116"/>
              <w:gridCol w:w="114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noWrap w:val="0"/>
                  <w:vAlign w:val="center"/>
                </w:tcPr>
                <w:p>
                  <w:pPr>
                    <w:snapToGrid w:val="0"/>
                    <w:jc w:val="center"/>
                    <w:rPr>
                      <w:szCs w:val="21"/>
                    </w:rPr>
                  </w:pPr>
                  <w:r>
                    <w:rPr>
                      <w:szCs w:val="21"/>
                    </w:rPr>
                    <w:t>污染物名称</w:t>
                  </w:r>
                </w:p>
              </w:tc>
              <w:tc>
                <w:tcPr>
                  <w:tcW w:w="1101" w:type="dxa"/>
                  <w:vMerge w:val="restart"/>
                  <w:noWrap w:val="0"/>
                  <w:vAlign w:val="center"/>
                </w:tcPr>
                <w:p>
                  <w:pPr>
                    <w:snapToGrid w:val="0"/>
                    <w:jc w:val="center"/>
                    <w:rPr>
                      <w:szCs w:val="21"/>
                    </w:rPr>
                  </w:pPr>
                  <w:r>
                    <w:rPr>
                      <w:szCs w:val="21"/>
                    </w:rPr>
                    <w:t>最高允许排放浓度</w:t>
                  </w:r>
                  <w:r>
                    <w:rPr>
                      <w:snapToGrid w:val="0"/>
                      <w:szCs w:val="21"/>
                    </w:rPr>
                    <w:t>(mg/m</w:t>
                  </w:r>
                  <w:r>
                    <w:rPr>
                      <w:snapToGrid w:val="0"/>
                      <w:szCs w:val="21"/>
                      <w:vertAlign w:val="superscript"/>
                    </w:rPr>
                    <w:t>3</w:t>
                  </w:r>
                  <w:r>
                    <w:rPr>
                      <w:snapToGrid w:val="0"/>
                      <w:szCs w:val="21"/>
                    </w:rPr>
                    <w:t>)</w:t>
                  </w:r>
                </w:p>
              </w:tc>
              <w:tc>
                <w:tcPr>
                  <w:tcW w:w="2174" w:type="dxa"/>
                  <w:gridSpan w:val="2"/>
                  <w:noWrap w:val="0"/>
                  <w:vAlign w:val="center"/>
                </w:tcPr>
                <w:p>
                  <w:pPr>
                    <w:snapToGrid w:val="0"/>
                    <w:jc w:val="center"/>
                    <w:rPr>
                      <w:szCs w:val="21"/>
                    </w:rPr>
                  </w:pPr>
                  <w:r>
                    <w:rPr>
                      <w:szCs w:val="21"/>
                    </w:rPr>
                    <w:t>最高允许排放速率</w:t>
                  </w:r>
                </w:p>
              </w:tc>
              <w:tc>
                <w:tcPr>
                  <w:tcW w:w="1140" w:type="dxa"/>
                  <w:vMerge w:val="restart"/>
                  <w:noWrap w:val="0"/>
                  <w:vAlign w:val="center"/>
                </w:tcPr>
                <w:p>
                  <w:pPr>
                    <w:snapToGrid w:val="0"/>
                    <w:jc w:val="center"/>
                    <w:rPr>
                      <w:szCs w:val="21"/>
                    </w:rPr>
                  </w:pPr>
                  <w:r>
                    <w:rPr>
                      <w:snapToGrid w:val="0"/>
                      <w:szCs w:val="21"/>
                    </w:rPr>
                    <w:t>无组织排放监控值(mg/m</w:t>
                  </w:r>
                  <w:r>
                    <w:rPr>
                      <w:snapToGrid w:val="0"/>
                      <w:szCs w:val="21"/>
                      <w:vertAlign w:val="superscript"/>
                    </w:rPr>
                    <w:t>3</w:t>
                  </w:r>
                  <w:r>
                    <w:rPr>
                      <w:snapToGrid w:val="0"/>
                      <w:szCs w:val="21"/>
                    </w:rPr>
                    <w:t>)</w:t>
                  </w:r>
                </w:p>
              </w:tc>
              <w:tc>
                <w:tcPr>
                  <w:tcW w:w="2370" w:type="dxa"/>
                  <w:vMerge w:val="restart"/>
                  <w:noWrap w:val="0"/>
                  <w:vAlign w:val="center"/>
                </w:tcPr>
                <w:p>
                  <w:pPr>
                    <w:snapToGrid w:val="0"/>
                    <w:jc w:val="center"/>
                    <w:rPr>
                      <w:szCs w:val="21"/>
                    </w:rPr>
                  </w:pPr>
                  <w:r>
                    <w:rPr>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noWrap w:val="0"/>
                  <w:vAlign w:val="center"/>
                </w:tcPr>
                <w:p>
                  <w:pPr>
                    <w:snapToGrid w:val="0"/>
                    <w:jc w:val="center"/>
                    <w:rPr>
                      <w:szCs w:val="21"/>
                    </w:rPr>
                  </w:pPr>
                </w:p>
              </w:tc>
              <w:tc>
                <w:tcPr>
                  <w:tcW w:w="1101" w:type="dxa"/>
                  <w:vMerge w:val="continue"/>
                  <w:noWrap w:val="0"/>
                  <w:vAlign w:val="center"/>
                </w:tcPr>
                <w:p>
                  <w:pPr>
                    <w:snapToGrid w:val="0"/>
                    <w:jc w:val="center"/>
                    <w:rPr>
                      <w:szCs w:val="21"/>
                    </w:rPr>
                  </w:pPr>
                </w:p>
              </w:tc>
              <w:tc>
                <w:tcPr>
                  <w:tcW w:w="1058" w:type="dxa"/>
                  <w:noWrap w:val="0"/>
                  <w:vAlign w:val="center"/>
                </w:tcPr>
                <w:p>
                  <w:pPr>
                    <w:snapToGrid w:val="0"/>
                    <w:jc w:val="center"/>
                    <w:rPr>
                      <w:szCs w:val="21"/>
                    </w:rPr>
                  </w:pPr>
                  <w:r>
                    <w:rPr>
                      <w:szCs w:val="21"/>
                    </w:rPr>
                    <w:t>排气筒(m)</w:t>
                  </w:r>
                </w:p>
              </w:tc>
              <w:tc>
                <w:tcPr>
                  <w:tcW w:w="1116" w:type="dxa"/>
                  <w:noWrap w:val="0"/>
                  <w:vAlign w:val="center"/>
                </w:tcPr>
                <w:p>
                  <w:pPr>
                    <w:snapToGrid w:val="0"/>
                    <w:jc w:val="center"/>
                    <w:rPr>
                      <w:szCs w:val="21"/>
                    </w:rPr>
                  </w:pPr>
                  <w:r>
                    <w:rPr>
                      <w:szCs w:val="21"/>
                    </w:rPr>
                    <w:t>二级kg/h</w:t>
                  </w:r>
                </w:p>
              </w:tc>
              <w:tc>
                <w:tcPr>
                  <w:tcW w:w="1140" w:type="dxa"/>
                  <w:vMerge w:val="continue"/>
                  <w:noWrap w:val="0"/>
                  <w:vAlign w:val="center"/>
                </w:tcPr>
                <w:p>
                  <w:pPr>
                    <w:snapToGrid w:val="0"/>
                    <w:jc w:val="center"/>
                    <w:rPr>
                      <w:szCs w:val="21"/>
                    </w:rPr>
                  </w:pPr>
                </w:p>
              </w:tc>
              <w:tc>
                <w:tcPr>
                  <w:tcW w:w="2370" w:type="dxa"/>
                  <w:vMerge w:val="continue"/>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center"/>
                </w:tcPr>
                <w:p>
                  <w:pPr>
                    <w:snapToGrid w:val="0"/>
                    <w:jc w:val="center"/>
                    <w:rPr>
                      <w:szCs w:val="21"/>
                    </w:rPr>
                  </w:pPr>
                  <w:r>
                    <w:rPr>
                      <w:szCs w:val="21"/>
                    </w:rPr>
                    <w:t>颗粒物</w:t>
                  </w:r>
                </w:p>
              </w:tc>
              <w:tc>
                <w:tcPr>
                  <w:tcW w:w="1101" w:type="dxa"/>
                  <w:noWrap w:val="0"/>
                  <w:vAlign w:val="center"/>
                </w:tcPr>
                <w:p>
                  <w:pPr>
                    <w:snapToGrid w:val="0"/>
                    <w:jc w:val="center"/>
                    <w:rPr>
                      <w:szCs w:val="21"/>
                    </w:rPr>
                  </w:pPr>
                  <w:r>
                    <w:rPr>
                      <w:szCs w:val="21"/>
                    </w:rPr>
                    <w:t>120</w:t>
                  </w:r>
                </w:p>
              </w:tc>
              <w:tc>
                <w:tcPr>
                  <w:tcW w:w="1058" w:type="dxa"/>
                  <w:noWrap w:val="0"/>
                  <w:vAlign w:val="center"/>
                </w:tcPr>
                <w:p>
                  <w:pPr>
                    <w:snapToGrid w:val="0"/>
                    <w:jc w:val="center"/>
                    <w:rPr>
                      <w:szCs w:val="21"/>
                    </w:rPr>
                  </w:pPr>
                  <w:r>
                    <w:rPr>
                      <w:szCs w:val="21"/>
                    </w:rPr>
                    <w:t>15</w:t>
                  </w:r>
                </w:p>
              </w:tc>
              <w:tc>
                <w:tcPr>
                  <w:tcW w:w="1116" w:type="dxa"/>
                  <w:noWrap w:val="0"/>
                  <w:vAlign w:val="center"/>
                </w:tcPr>
                <w:p>
                  <w:pPr>
                    <w:snapToGrid w:val="0"/>
                    <w:jc w:val="center"/>
                    <w:rPr>
                      <w:szCs w:val="21"/>
                    </w:rPr>
                  </w:pPr>
                  <w:r>
                    <w:rPr>
                      <w:szCs w:val="21"/>
                    </w:rPr>
                    <w:t>3.5</w:t>
                  </w:r>
                </w:p>
              </w:tc>
              <w:tc>
                <w:tcPr>
                  <w:tcW w:w="1140" w:type="dxa"/>
                  <w:noWrap w:val="0"/>
                  <w:vAlign w:val="center"/>
                </w:tcPr>
                <w:p>
                  <w:pPr>
                    <w:snapToGrid w:val="0"/>
                    <w:jc w:val="center"/>
                    <w:rPr>
                      <w:szCs w:val="21"/>
                    </w:rPr>
                  </w:pPr>
                  <w:r>
                    <w:rPr>
                      <w:szCs w:val="21"/>
                    </w:rPr>
                    <w:t>1.0</w:t>
                  </w:r>
                </w:p>
              </w:tc>
              <w:tc>
                <w:tcPr>
                  <w:tcW w:w="2370" w:type="dxa"/>
                  <w:noWrap w:val="0"/>
                  <w:vAlign w:val="center"/>
                </w:tcPr>
                <w:p>
                  <w:pPr>
                    <w:snapToGrid w:val="0"/>
                    <w:jc w:val="center"/>
                    <w:rPr>
                      <w:szCs w:val="21"/>
                    </w:rPr>
                  </w:pPr>
                  <w:r>
                    <w:rPr>
                      <w:szCs w:val="21"/>
                    </w:rPr>
                    <w:t>《大气污染物综合排放标准》(GB16297-1996)</w:t>
                  </w:r>
                </w:p>
              </w:tc>
            </w:tr>
          </w:tbl>
          <w:p>
            <w:pPr>
              <w:tabs>
                <w:tab w:val="left" w:pos="540"/>
                <w:tab w:val="left" w:pos="900"/>
                <w:tab w:val="left" w:pos="3780"/>
              </w:tabs>
              <w:adjustRightInd w:val="0"/>
              <w:snapToGrid w:val="0"/>
              <w:spacing w:line="360" w:lineRule="auto"/>
              <w:rPr>
                <w:b/>
                <w:sz w:val="24"/>
              </w:rPr>
            </w:pPr>
            <w:r>
              <w:rPr>
                <w:rFonts w:hint="eastAsia"/>
                <w:b/>
                <w:bCs/>
                <w:sz w:val="24"/>
              </w:rPr>
              <w:t>2、</w:t>
            </w:r>
            <w:r>
              <w:rPr>
                <w:b/>
                <w:sz w:val="24"/>
              </w:rPr>
              <w:t>废水</w:t>
            </w:r>
          </w:p>
          <w:p>
            <w:pPr>
              <w:spacing w:line="360" w:lineRule="auto"/>
              <w:ind w:firstLine="480" w:firstLineChars="200"/>
              <w:rPr>
                <w:sz w:val="24"/>
              </w:rPr>
            </w:pPr>
            <w:r>
              <w:rPr>
                <w:rFonts w:hint="eastAsia" w:hAnsi="宋体"/>
                <w:color w:val="000000" w:themeColor="text1"/>
                <w:sz w:val="24"/>
                <w:szCs w:val="24"/>
                <w14:textFill>
                  <w14:solidFill>
                    <w14:schemeClr w14:val="tx1"/>
                  </w14:solidFill>
                </w14:textFill>
              </w:rPr>
              <w:t>项目产生的</w:t>
            </w:r>
            <w:r>
              <w:rPr>
                <w:rFonts w:hint="eastAsia" w:hAnsi="宋体"/>
                <w:bCs/>
                <w:color w:val="000000" w:themeColor="text1"/>
                <w:sz w:val="24"/>
                <w:szCs w:val="24"/>
                <w14:textFill>
                  <w14:solidFill>
                    <w14:schemeClr w14:val="tx1"/>
                  </w14:solidFill>
                </w14:textFill>
              </w:rPr>
              <w:t>生活污水经化粪池预处理后</w:t>
            </w:r>
            <w:r>
              <w:rPr>
                <w:rFonts w:hint="eastAsia"/>
                <w:sz w:val="24"/>
                <w:szCs w:val="24"/>
              </w:rPr>
              <w:t>排入</w:t>
            </w:r>
            <w:r>
              <w:rPr>
                <w:rFonts w:hint="eastAsia"/>
                <w:sz w:val="24"/>
                <w:szCs w:val="24"/>
                <w:lang w:eastAsia="zh-CN"/>
              </w:rPr>
              <w:t>园区</w:t>
            </w:r>
            <w:r>
              <w:rPr>
                <w:rFonts w:hint="eastAsia"/>
                <w:sz w:val="24"/>
                <w:szCs w:val="24"/>
              </w:rPr>
              <w:t>污水</w:t>
            </w:r>
            <w:r>
              <w:rPr>
                <w:rFonts w:hint="eastAsia"/>
                <w:sz w:val="24"/>
                <w:szCs w:val="24"/>
                <w:lang w:eastAsia="zh-CN"/>
              </w:rPr>
              <w:t>处理站</w:t>
            </w:r>
            <w:r>
              <w:rPr>
                <w:rFonts w:hint="eastAsia"/>
                <w:sz w:val="24"/>
                <w:szCs w:val="24"/>
              </w:rPr>
              <w:t>，最后进入淮南首创第一污水处理厂</w:t>
            </w:r>
            <w:r>
              <w:rPr>
                <w:sz w:val="24"/>
              </w:rPr>
              <w:t>进一步处理</w:t>
            </w:r>
            <w:r>
              <w:rPr>
                <w:rFonts w:hint="eastAsia"/>
                <w:sz w:val="24"/>
              </w:rPr>
              <w:t>，</w:t>
            </w:r>
            <w:r>
              <w:rPr>
                <w:rFonts w:hint="eastAsia" w:hAnsi="宋体"/>
                <w:sz w:val="24"/>
                <w:szCs w:val="24"/>
              </w:rPr>
              <w:t>污水排放执行</w:t>
            </w:r>
            <w:r>
              <w:rPr>
                <w:rFonts w:hint="eastAsia"/>
                <w:sz w:val="24"/>
              </w:rPr>
              <w:t>《污水排入城镇下水道水质标准》（GB/T 31962-2015）中B等级放标准，标准值</w:t>
            </w:r>
            <w:r>
              <w:rPr>
                <w:sz w:val="24"/>
              </w:rPr>
              <w:t>详见表1</w:t>
            </w:r>
            <w:r>
              <w:rPr>
                <w:rFonts w:hint="eastAsia"/>
                <w:sz w:val="24"/>
              </w:rPr>
              <w:t>5。</w:t>
            </w:r>
          </w:p>
          <w:p>
            <w:pPr>
              <w:snapToGrid w:val="0"/>
              <w:jc w:val="center"/>
              <w:rPr>
                <w:rFonts w:hAnsi="宋体"/>
                <w:b/>
                <w:szCs w:val="21"/>
              </w:rPr>
            </w:pPr>
            <w:r>
              <w:rPr>
                <w:rFonts w:hAnsi="宋体"/>
                <w:b/>
                <w:szCs w:val="21"/>
              </w:rPr>
              <w:t>表1</w:t>
            </w:r>
            <w:r>
              <w:rPr>
                <w:rFonts w:hint="eastAsia" w:hAnsi="宋体"/>
                <w:b/>
                <w:szCs w:val="21"/>
              </w:rPr>
              <w:t>5</w:t>
            </w:r>
            <w:r>
              <w:rPr>
                <w:rFonts w:hAnsi="宋体"/>
                <w:b/>
                <w:szCs w:val="21"/>
              </w:rPr>
              <w:t xml:space="preserve">污水综合排放标准限值  </w:t>
            </w:r>
            <w:r>
              <w:rPr>
                <w:rFonts w:hint="eastAsia" w:hAnsi="宋体"/>
                <w:b/>
                <w:szCs w:val="21"/>
              </w:rPr>
              <w:t>单位：</w:t>
            </w:r>
            <w:r>
              <w:rPr>
                <w:rFonts w:hAnsi="宋体"/>
                <w:b/>
                <w:szCs w:val="21"/>
              </w:rPr>
              <w:t>mg/L，pH值除外</w:t>
            </w:r>
          </w:p>
          <w:tbl>
            <w:tblPr>
              <w:tblStyle w:val="30"/>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003"/>
              <w:gridCol w:w="1569"/>
              <w:gridCol w:w="492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2003" w:type="dxa"/>
                  <w:vAlign w:val="center"/>
                </w:tcPr>
                <w:p>
                  <w:pPr>
                    <w:tabs>
                      <w:tab w:val="left" w:pos="540"/>
                      <w:tab w:val="left" w:pos="900"/>
                      <w:tab w:val="left" w:pos="3780"/>
                    </w:tabs>
                    <w:adjustRightInd w:val="0"/>
                    <w:snapToGrid w:val="0"/>
                    <w:jc w:val="center"/>
                    <w:rPr>
                      <w:szCs w:val="21"/>
                    </w:rPr>
                  </w:pPr>
                  <w:r>
                    <w:rPr>
                      <w:szCs w:val="21"/>
                    </w:rPr>
                    <w:t>项目</w:t>
                  </w:r>
                </w:p>
              </w:tc>
              <w:tc>
                <w:tcPr>
                  <w:tcW w:w="1569" w:type="dxa"/>
                  <w:vAlign w:val="center"/>
                </w:tcPr>
                <w:p>
                  <w:pPr>
                    <w:tabs>
                      <w:tab w:val="left" w:pos="540"/>
                      <w:tab w:val="left" w:pos="900"/>
                      <w:tab w:val="left" w:pos="3780"/>
                    </w:tabs>
                    <w:adjustRightInd w:val="0"/>
                    <w:snapToGrid w:val="0"/>
                    <w:jc w:val="center"/>
                    <w:rPr>
                      <w:szCs w:val="21"/>
                    </w:rPr>
                  </w:pPr>
                  <w:r>
                    <w:rPr>
                      <w:szCs w:val="21"/>
                    </w:rPr>
                    <w:t>标准值</w:t>
                  </w:r>
                </w:p>
              </w:tc>
              <w:tc>
                <w:tcPr>
                  <w:tcW w:w="4920" w:type="dxa"/>
                  <w:vAlign w:val="center"/>
                </w:tcPr>
                <w:p>
                  <w:pPr>
                    <w:tabs>
                      <w:tab w:val="left" w:pos="540"/>
                      <w:tab w:val="left" w:pos="900"/>
                      <w:tab w:val="left" w:pos="3780"/>
                    </w:tabs>
                    <w:adjustRightInd w:val="0"/>
                    <w:snapToGrid w:val="0"/>
                    <w:jc w:val="center"/>
                    <w:rPr>
                      <w:szCs w:val="21"/>
                    </w:rPr>
                  </w:pPr>
                  <w:r>
                    <w:rPr>
                      <w:szCs w:val="21"/>
                    </w:rPr>
                    <w:t>标准来源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2003" w:type="dxa"/>
                  <w:vAlign w:val="center"/>
                </w:tcPr>
                <w:p>
                  <w:pPr>
                    <w:tabs>
                      <w:tab w:val="left" w:pos="540"/>
                      <w:tab w:val="left" w:pos="900"/>
                      <w:tab w:val="left" w:pos="3780"/>
                    </w:tabs>
                    <w:adjustRightInd w:val="0"/>
                    <w:snapToGrid w:val="0"/>
                    <w:jc w:val="center"/>
                    <w:rPr>
                      <w:szCs w:val="21"/>
                    </w:rPr>
                  </w:pPr>
                  <w:r>
                    <w:rPr>
                      <w:szCs w:val="21"/>
                    </w:rPr>
                    <w:t>pH</w:t>
                  </w:r>
                </w:p>
              </w:tc>
              <w:tc>
                <w:tcPr>
                  <w:tcW w:w="1569" w:type="dxa"/>
                  <w:vAlign w:val="center"/>
                </w:tcPr>
                <w:p>
                  <w:pPr>
                    <w:tabs>
                      <w:tab w:val="left" w:pos="540"/>
                      <w:tab w:val="left" w:pos="900"/>
                      <w:tab w:val="left" w:pos="3780"/>
                    </w:tabs>
                    <w:adjustRightInd w:val="0"/>
                    <w:snapToGrid w:val="0"/>
                    <w:jc w:val="center"/>
                    <w:rPr>
                      <w:szCs w:val="21"/>
                    </w:rPr>
                  </w:pPr>
                  <w:r>
                    <w:rPr>
                      <w:szCs w:val="21"/>
                    </w:rPr>
                    <w:t>6～9</w:t>
                  </w:r>
                </w:p>
              </w:tc>
              <w:tc>
                <w:tcPr>
                  <w:tcW w:w="4920" w:type="dxa"/>
                  <w:vMerge w:val="restart"/>
                  <w:vAlign w:val="center"/>
                </w:tcPr>
                <w:p>
                  <w:pPr>
                    <w:tabs>
                      <w:tab w:val="left" w:pos="540"/>
                      <w:tab w:val="left" w:pos="900"/>
                      <w:tab w:val="left" w:pos="3780"/>
                    </w:tabs>
                    <w:adjustRightInd w:val="0"/>
                    <w:snapToGrid w:val="0"/>
                    <w:jc w:val="center"/>
                    <w:rPr>
                      <w:szCs w:val="21"/>
                    </w:rPr>
                  </w:pPr>
                  <w:r>
                    <w:rPr>
                      <w:szCs w:val="21"/>
                    </w:rPr>
                    <w:t>《</w:t>
                  </w:r>
                  <w:r>
                    <w:rPr>
                      <w:rFonts w:hint="eastAsia"/>
                      <w:szCs w:val="21"/>
                    </w:rPr>
                    <w:t>污水排入城镇下水道水质标准</w:t>
                  </w:r>
                  <w:r>
                    <w:rPr>
                      <w:szCs w:val="21"/>
                    </w:rPr>
                    <w:t>》（</w:t>
                  </w:r>
                  <w:r>
                    <w:rPr>
                      <w:rFonts w:hint="eastAsia"/>
                      <w:szCs w:val="21"/>
                    </w:rPr>
                    <w:t>GB/T 31962-2015</w:t>
                  </w:r>
                  <w:r>
                    <w:rPr>
                      <w:szCs w:val="21"/>
                    </w:rPr>
                    <w:t>）中</w:t>
                  </w:r>
                  <w:r>
                    <w:rPr>
                      <w:rFonts w:hint="eastAsia"/>
                      <w:szCs w:val="21"/>
                    </w:rPr>
                    <w:t>B等级排</w:t>
                  </w:r>
                  <w:r>
                    <w:rPr>
                      <w:szCs w:val="21"/>
                    </w:rPr>
                    <w:t>放标准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2003" w:type="dxa"/>
                  <w:vAlign w:val="center"/>
                </w:tcPr>
                <w:p>
                  <w:pPr>
                    <w:tabs>
                      <w:tab w:val="left" w:pos="540"/>
                      <w:tab w:val="left" w:pos="900"/>
                      <w:tab w:val="left" w:pos="3780"/>
                    </w:tabs>
                    <w:adjustRightInd w:val="0"/>
                    <w:snapToGrid w:val="0"/>
                    <w:jc w:val="center"/>
                    <w:rPr>
                      <w:szCs w:val="21"/>
                    </w:rPr>
                  </w:pPr>
                  <w:r>
                    <w:rPr>
                      <w:szCs w:val="21"/>
                    </w:rPr>
                    <w:t>COD</w:t>
                  </w:r>
                  <w:r>
                    <w:rPr>
                      <w:rFonts w:hint="eastAsia"/>
                      <w:szCs w:val="21"/>
                      <w:vertAlign w:val="subscript"/>
                    </w:rPr>
                    <w:t>Cr</w:t>
                  </w:r>
                </w:p>
              </w:tc>
              <w:tc>
                <w:tcPr>
                  <w:tcW w:w="1569" w:type="dxa"/>
                  <w:vAlign w:val="center"/>
                </w:tcPr>
                <w:p>
                  <w:pPr>
                    <w:tabs>
                      <w:tab w:val="left" w:pos="540"/>
                      <w:tab w:val="left" w:pos="900"/>
                      <w:tab w:val="left" w:pos="3780"/>
                    </w:tabs>
                    <w:adjustRightInd w:val="0"/>
                    <w:snapToGrid w:val="0"/>
                    <w:jc w:val="center"/>
                    <w:rPr>
                      <w:szCs w:val="21"/>
                    </w:rPr>
                  </w:pPr>
                  <w:r>
                    <w:rPr>
                      <w:rFonts w:hint="eastAsia"/>
                      <w:szCs w:val="21"/>
                    </w:rPr>
                    <w:t>≤500</w:t>
                  </w:r>
                </w:p>
              </w:tc>
              <w:tc>
                <w:tcPr>
                  <w:tcW w:w="4920" w:type="dxa"/>
                  <w:vMerge w:val="continue"/>
                  <w:vAlign w:val="center"/>
                </w:tcPr>
                <w:p>
                  <w:pPr>
                    <w:tabs>
                      <w:tab w:val="left" w:pos="540"/>
                      <w:tab w:val="left" w:pos="900"/>
                      <w:tab w:val="left" w:pos="3780"/>
                    </w:tabs>
                    <w:adjustRightInd w:val="0"/>
                    <w:snapToGri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2003" w:type="dxa"/>
                  <w:vAlign w:val="center"/>
                </w:tcPr>
                <w:p>
                  <w:pPr>
                    <w:tabs>
                      <w:tab w:val="left" w:pos="540"/>
                      <w:tab w:val="left" w:pos="900"/>
                      <w:tab w:val="left" w:pos="3780"/>
                    </w:tabs>
                    <w:adjustRightInd w:val="0"/>
                    <w:snapToGrid w:val="0"/>
                    <w:jc w:val="center"/>
                    <w:rPr>
                      <w:szCs w:val="21"/>
                    </w:rPr>
                  </w:pPr>
                  <w:r>
                    <w:rPr>
                      <w:rFonts w:hint="eastAsia"/>
                      <w:szCs w:val="21"/>
                    </w:rPr>
                    <w:t>BOD</w:t>
                  </w:r>
                  <w:r>
                    <w:rPr>
                      <w:rFonts w:hint="eastAsia"/>
                      <w:szCs w:val="21"/>
                      <w:vertAlign w:val="subscript"/>
                    </w:rPr>
                    <w:t>5</w:t>
                  </w:r>
                </w:p>
              </w:tc>
              <w:tc>
                <w:tcPr>
                  <w:tcW w:w="1569" w:type="dxa"/>
                  <w:vAlign w:val="center"/>
                </w:tcPr>
                <w:p>
                  <w:pPr>
                    <w:tabs>
                      <w:tab w:val="left" w:pos="540"/>
                      <w:tab w:val="left" w:pos="900"/>
                      <w:tab w:val="left" w:pos="3780"/>
                    </w:tabs>
                    <w:adjustRightInd w:val="0"/>
                    <w:snapToGrid w:val="0"/>
                    <w:jc w:val="center"/>
                    <w:rPr>
                      <w:szCs w:val="21"/>
                    </w:rPr>
                  </w:pPr>
                  <w:r>
                    <w:rPr>
                      <w:rFonts w:hint="eastAsia"/>
                      <w:szCs w:val="21"/>
                    </w:rPr>
                    <w:t>≤350</w:t>
                  </w:r>
                </w:p>
              </w:tc>
              <w:tc>
                <w:tcPr>
                  <w:tcW w:w="4920" w:type="dxa"/>
                  <w:vMerge w:val="continue"/>
                  <w:vAlign w:val="center"/>
                </w:tcPr>
                <w:p>
                  <w:pPr>
                    <w:tabs>
                      <w:tab w:val="left" w:pos="540"/>
                      <w:tab w:val="left" w:pos="900"/>
                      <w:tab w:val="left" w:pos="3780"/>
                    </w:tabs>
                    <w:adjustRightInd w:val="0"/>
                    <w:snapToGri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2003" w:type="dxa"/>
                  <w:vAlign w:val="center"/>
                </w:tcPr>
                <w:p>
                  <w:pPr>
                    <w:tabs>
                      <w:tab w:val="left" w:pos="540"/>
                      <w:tab w:val="left" w:pos="900"/>
                      <w:tab w:val="left" w:pos="3780"/>
                    </w:tabs>
                    <w:adjustRightInd w:val="0"/>
                    <w:snapToGrid w:val="0"/>
                    <w:jc w:val="center"/>
                    <w:rPr>
                      <w:szCs w:val="21"/>
                    </w:rPr>
                  </w:pPr>
                  <w:r>
                    <w:rPr>
                      <w:szCs w:val="21"/>
                    </w:rPr>
                    <w:t>SS</w:t>
                  </w:r>
                </w:p>
              </w:tc>
              <w:tc>
                <w:tcPr>
                  <w:tcW w:w="1569" w:type="dxa"/>
                  <w:vAlign w:val="center"/>
                </w:tcPr>
                <w:p>
                  <w:pPr>
                    <w:tabs>
                      <w:tab w:val="left" w:pos="540"/>
                      <w:tab w:val="left" w:pos="900"/>
                      <w:tab w:val="left" w:pos="3780"/>
                    </w:tabs>
                    <w:adjustRightInd w:val="0"/>
                    <w:snapToGrid w:val="0"/>
                    <w:jc w:val="center"/>
                    <w:rPr>
                      <w:szCs w:val="21"/>
                    </w:rPr>
                  </w:pPr>
                  <w:r>
                    <w:rPr>
                      <w:rFonts w:hint="eastAsia"/>
                      <w:szCs w:val="21"/>
                    </w:rPr>
                    <w:t>≤400</w:t>
                  </w:r>
                </w:p>
              </w:tc>
              <w:tc>
                <w:tcPr>
                  <w:tcW w:w="4920" w:type="dxa"/>
                  <w:vMerge w:val="continue"/>
                  <w:vAlign w:val="center"/>
                </w:tcPr>
                <w:p>
                  <w:pPr>
                    <w:tabs>
                      <w:tab w:val="left" w:pos="540"/>
                      <w:tab w:val="left" w:pos="900"/>
                      <w:tab w:val="left" w:pos="3780"/>
                    </w:tabs>
                    <w:adjustRightInd w:val="0"/>
                    <w:snapToGri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2003" w:type="dxa"/>
                  <w:vAlign w:val="center"/>
                </w:tcPr>
                <w:p>
                  <w:pPr>
                    <w:tabs>
                      <w:tab w:val="left" w:pos="540"/>
                      <w:tab w:val="left" w:pos="900"/>
                      <w:tab w:val="left" w:pos="3780"/>
                    </w:tabs>
                    <w:adjustRightInd w:val="0"/>
                    <w:snapToGrid w:val="0"/>
                    <w:jc w:val="center"/>
                    <w:rPr>
                      <w:szCs w:val="21"/>
                    </w:rPr>
                  </w:pPr>
                  <w:r>
                    <w:rPr>
                      <w:szCs w:val="21"/>
                    </w:rPr>
                    <w:t>NH</w:t>
                  </w:r>
                  <w:r>
                    <w:rPr>
                      <w:szCs w:val="21"/>
                      <w:vertAlign w:val="subscript"/>
                    </w:rPr>
                    <w:t>3</w:t>
                  </w:r>
                  <w:r>
                    <w:rPr>
                      <w:szCs w:val="21"/>
                    </w:rPr>
                    <w:t>-N</w:t>
                  </w:r>
                </w:p>
              </w:tc>
              <w:tc>
                <w:tcPr>
                  <w:tcW w:w="1569" w:type="dxa"/>
                  <w:vAlign w:val="center"/>
                </w:tcPr>
                <w:p>
                  <w:pPr>
                    <w:tabs>
                      <w:tab w:val="left" w:pos="540"/>
                      <w:tab w:val="left" w:pos="900"/>
                      <w:tab w:val="left" w:pos="3780"/>
                    </w:tabs>
                    <w:adjustRightInd w:val="0"/>
                    <w:snapToGrid w:val="0"/>
                    <w:jc w:val="center"/>
                    <w:rPr>
                      <w:szCs w:val="21"/>
                    </w:rPr>
                  </w:pPr>
                  <w:r>
                    <w:rPr>
                      <w:rFonts w:hint="eastAsia"/>
                      <w:szCs w:val="21"/>
                    </w:rPr>
                    <w:t>≤45</w:t>
                  </w:r>
                </w:p>
              </w:tc>
              <w:tc>
                <w:tcPr>
                  <w:tcW w:w="4920" w:type="dxa"/>
                  <w:vMerge w:val="continue"/>
                  <w:vAlign w:val="center"/>
                </w:tcPr>
                <w:p>
                  <w:pPr>
                    <w:tabs>
                      <w:tab w:val="left" w:pos="540"/>
                      <w:tab w:val="left" w:pos="900"/>
                      <w:tab w:val="left" w:pos="3780"/>
                    </w:tabs>
                    <w:adjustRightInd w:val="0"/>
                    <w:snapToGrid w:val="0"/>
                    <w:jc w:val="center"/>
                    <w:rPr>
                      <w:szCs w:val="21"/>
                    </w:rPr>
                  </w:pPr>
                </w:p>
              </w:tc>
            </w:tr>
          </w:tbl>
          <w:p>
            <w:pPr>
              <w:adjustRightInd w:val="0"/>
              <w:snapToGrid w:val="0"/>
              <w:spacing w:line="360" w:lineRule="auto"/>
              <w:rPr>
                <w:b/>
                <w:sz w:val="24"/>
              </w:rPr>
            </w:pPr>
            <w:r>
              <w:rPr>
                <w:rFonts w:hint="eastAsia"/>
                <w:b/>
                <w:sz w:val="24"/>
              </w:rPr>
              <w:t>3、噪声</w:t>
            </w:r>
          </w:p>
          <w:p>
            <w:pPr>
              <w:spacing w:line="360" w:lineRule="auto"/>
              <w:ind w:firstLine="480" w:firstLineChars="200"/>
              <w:rPr>
                <w:sz w:val="24"/>
              </w:rPr>
            </w:pPr>
            <w:r>
              <w:rPr>
                <w:sz w:val="24"/>
              </w:rPr>
              <w:t>本项目营运期</w:t>
            </w:r>
            <w:r>
              <w:rPr>
                <w:rFonts w:hint="eastAsia"/>
                <w:sz w:val="24"/>
              </w:rPr>
              <w:t>项目区</w:t>
            </w:r>
            <w:r>
              <w:rPr>
                <w:sz w:val="24"/>
              </w:rPr>
              <w:t>噪声执行《工业企业厂界环境噪声排放标准》</w:t>
            </w:r>
            <w:r>
              <w:rPr>
                <w:rFonts w:hint="eastAsia"/>
                <w:sz w:val="24"/>
              </w:rPr>
              <w:t>（</w:t>
            </w:r>
            <w:r>
              <w:rPr>
                <w:sz w:val="24"/>
              </w:rPr>
              <w:t>GB12348-2008</w:t>
            </w:r>
            <w:r>
              <w:rPr>
                <w:rFonts w:hint="eastAsia"/>
                <w:sz w:val="24"/>
              </w:rPr>
              <w:t>）</w:t>
            </w:r>
            <w:r>
              <w:rPr>
                <w:sz w:val="24"/>
              </w:rPr>
              <w:t>中</w:t>
            </w:r>
            <w:r>
              <w:rPr>
                <w:rFonts w:hint="eastAsia"/>
                <w:sz w:val="24"/>
              </w:rPr>
              <w:t>3</w:t>
            </w:r>
            <w:r>
              <w:rPr>
                <w:sz w:val="24"/>
              </w:rPr>
              <w:t>类标准</w:t>
            </w:r>
            <w:r>
              <w:rPr>
                <w:rFonts w:hint="eastAsia"/>
                <w:sz w:val="24"/>
              </w:rPr>
              <w:t>，</w:t>
            </w:r>
            <w:r>
              <w:rPr>
                <w:sz w:val="24"/>
              </w:rPr>
              <w:t>准详见表1</w:t>
            </w:r>
            <w:r>
              <w:rPr>
                <w:rFonts w:hint="eastAsia"/>
                <w:sz w:val="24"/>
              </w:rPr>
              <w:t>6。</w:t>
            </w:r>
          </w:p>
          <w:p>
            <w:pPr>
              <w:pStyle w:val="45"/>
              <w:snapToGrid w:val="0"/>
              <w:spacing w:line="240" w:lineRule="auto"/>
              <w:ind w:firstLine="0"/>
              <w:jc w:val="center"/>
              <w:rPr>
                <w:rFonts w:ascii="Times New Roman" w:hAnsi="Times New Roman"/>
                <w:b/>
                <w:kern w:val="0"/>
                <w:sz w:val="21"/>
                <w:szCs w:val="21"/>
              </w:rPr>
            </w:pPr>
            <w:r>
              <w:rPr>
                <w:rFonts w:ascii="Times New Roman" w:hAnsi="Times New Roman"/>
                <w:b/>
                <w:kern w:val="0"/>
                <w:sz w:val="21"/>
                <w:szCs w:val="21"/>
              </w:rPr>
              <w:t>表1</w:t>
            </w:r>
            <w:r>
              <w:rPr>
                <w:rFonts w:hint="eastAsia" w:ascii="Times New Roman" w:hAnsi="Times New Roman"/>
                <w:b/>
                <w:kern w:val="0"/>
                <w:sz w:val="21"/>
                <w:szCs w:val="21"/>
              </w:rPr>
              <w:t>6</w:t>
            </w:r>
            <w:r>
              <w:rPr>
                <w:rFonts w:ascii="Times New Roman" w:hAnsi="Times New Roman"/>
                <w:b/>
                <w:kern w:val="0"/>
                <w:sz w:val="21"/>
                <w:szCs w:val="21"/>
              </w:rPr>
              <w:t>工业企业厂界环境噪声排放标准单位：dB（A）</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7"/>
              <w:gridCol w:w="1618"/>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7" w:type="dxa"/>
                  <w:vAlign w:val="center"/>
                </w:tcPr>
                <w:p>
                  <w:pPr>
                    <w:snapToGrid w:val="0"/>
                    <w:jc w:val="center"/>
                    <w:rPr>
                      <w:szCs w:val="21"/>
                    </w:rPr>
                  </w:pPr>
                  <w:r>
                    <w:rPr>
                      <w:szCs w:val="21"/>
                    </w:rPr>
                    <w:t>标准</w:t>
                  </w:r>
                </w:p>
              </w:tc>
              <w:tc>
                <w:tcPr>
                  <w:tcW w:w="1618" w:type="dxa"/>
                  <w:vAlign w:val="center"/>
                </w:tcPr>
                <w:p>
                  <w:pPr>
                    <w:snapToGrid w:val="0"/>
                    <w:jc w:val="center"/>
                    <w:rPr>
                      <w:szCs w:val="21"/>
                    </w:rPr>
                  </w:pPr>
                  <w:r>
                    <w:rPr>
                      <w:szCs w:val="21"/>
                    </w:rPr>
                    <w:t>昼间</w:t>
                  </w:r>
                </w:p>
              </w:tc>
              <w:tc>
                <w:tcPr>
                  <w:tcW w:w="2123" w:type="dxa"/>
                  <w:vAlign w:val="center"/>
                </w:tcPr>
                <w:p>
                  <w:pPr>
                    <w:snapToGrid w:val="0"/>
                    <w:jc w:val="center"/>
                    <w:rPr>
                      <w:szCs w:val="21"/>
                    </w:rPr>
                  </w:pPr>
                  <w:r>
                    <w:rPr>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747" w:type="dxa"/>
                  <w:vAlign w:val="center"/>
                </w:tcPr>
                <w:p>
                  <w:pPr>
                    <w:snapToGrid w:val="0"/>
                    <w:jc w:val="center"/>
                    <w:rPr>
                      <w:szCs w:val="21"/>
                    </w:rPr>
                  </w:pPr>
                  <w:r>
                    <w:rPr>
                      <w:szCs w:val="21"/>
                    </w:rPr>
                    <w:t>《工业企业厂界环境噪声排放标准》</w:t>
                  </w:r>
                  <w:r>
                    <w:rPr>
                      <w:rFonts w:hint="eastAsia"/>
                      <w:szCs w:val="21"/>
                    </w:rPr>
                    <w:t>3</w:t>
                  </w:r>
                  <w:r>
                    <w:rPr>
                      <w:szCs w:val="21"/>
                    </w:rPr>
                    <w:t>类</w:t>
                  </w:r>
                </w:p>
              </w:tc>
              <w:tc>
                <w:tcPr>
                  <w:tcW w:w="1618" w:type="dxa"/>
                  <w:vAlign w:val="center"/>
                </w:tcPr>
                <w:p>
                  <w:pPr>
                    <w:snapToGrid w:val="0"/>
                    <w:jc w:val="center"/>
                    <w:rPr>
                      <w:szCs w:val="21"/>
                    </w:rPr>
                  </w:pPr>
                  <w:r>
                    <w:rPr>
                      <w:szCs w:val="21"/>
                    </w:rPr>
                    <w:t>6</w:t>
                  </w:r>
                  <w:r>
                    <w:rPr>
                      <w:rFonts w:hint="eastAsia"/>
                      <w:szCs w:val="21"/>
                    </w:rPr>
                    <w:t>5</w:t>
                  </w:r>
                </w:p>
              </w:tc>
              <w:tc>
                <w:tcPr>
                  <w:tcW w:w="2123" w:type="dxa"/>
                  <w:vAlign w:val="center"/>
                </w:tcPr>
                <w:p>
                  <w:pPr>
                    <w:snapToGrid w:val="0"/>
                    <w:jc w:val="center"/>
                    <w:rPr>
                      <w:szCs w:val="21"/>
                    </w:rPr>
                  </w:pPr>
                  <w:r>
                    <w:rPr>
                      <w:szCs w:val="21"/>
                    </w:rPr>
                    <w:t>5</w:t>
                  </w:r>
                  <w:r>
                    <w:rPr>
                      <w:rFonts w:hint="eastAsia"/>
                      <w:szCs w:val="21"/>
                    </w:rPr>
                    <w:t>5</w:t>
                  </w:r>
                </w:p>
              </w:tc>
            </w:tr>
          </w:tbl>
          <w:p>
            <w:pPr>
              <w:adjustRightInd w:val="0"/>
              <w:snapToGrid w:val="0"/>
              <w:spacing w:line="360" w:lineRule="auto"/>
              <w:rPr>
                <w:b/>
                <w:sz w:val="24"/>
              </w:rPr>
            </w:pPr>
            <w:r>
              <w:rPr>
                <w:rFonts w:hint="eastAsia"/>
                <w:b/>
                <w:sz w:val="24"/>
              </w:rPr>
              <w:t>4、固体废物</w:t>
            </w:r>
          </w:p>
          <w:p>
            <w:pPr>
              <w:snapToGrid w:val="0"/>
              <w:spacing w:line="360" w:lineRule="auto"/>
              <w:ind w:firstLine="540" w:firstLineChars="225"/>
              <w:rPr>
                <w:bCs/>
                <w:sz w:val="24"/>
              </w:rPr>
            </w:pPr>
            <w:r>
              <w:rPr>
                <w:sz w:val="24"/>
              </w:rPr>
              <w:t>固体废物处置执行《一般工业固体废物贮存、处置场污染控制标准》</w:t>
            </w:r>
            <w:r>
              <w:rPr>
                <w:rFonts w:hint="eastAsia"/>
                <w:sz w:val="24"/>
              </w:rPr>
              <w:t>（</w:t>
            </w:r>
            <w:r>
              <w:rPr>
                <w:sz w:val="24"/>
              </w:rPr>
              <w:t>GB18599</w:t>
            </w:r>
            <w:r>
              <w:rPr>
                <w:rFonts w:hint="eastAsia"/>
                <w:sz w:val="24"/>
              </w:rPr>
              <w:t>-</w:t>
            </w:r>
            <w:r>
              <w:rPr>
                <w:sz w:val="24"/>
              </w:rPr>
              <w:t>2001</w:t>
            </w:r>
            <w:r>
              <w:rPr>
                <w:rFonts w:hint="eastAsia"/>
                <w:sz w:val="24"/>
              </w:rPr>
              <w:t>））及修改单。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sz w:val="24"/>
                <w:szCs w:val="24"/>
              </w:rPr>
            </w:pPr>
            <w:r>
              <w:rPr>
                <w:sz w:val="24"/>
                <w:szCs w:val="24"/>
              </w:rPr>
              <w:t>总量控制</w:t>
            </w:r>
          </w:p>
        </w:tc>
        <w:tc>
          <w:tcPr>
            <w:tcW w:w="8714" w:type="dxa"/>
            <w:vAlign w:val="center"/>
          </w:tcPr>
          <w:p>
            <w:pPr>
              <w:snapToGrid w:val="0"/>
              <w:spacing w:line="360" w:lineRule="auto"/>
              <w:ind w:firstLine="480" w:firstLineChars="200"/>
              <w:rPr>
                <w:rFonts w:hAnsi="宋体"/>
                <w:sz w:val="24"/>
                <w:szCs w:val="24"/>
              </w:rPr>
            </w:pPr>
            <w:r>
              <w:rPr>
                <w:rFonts w:hint="eastAsia" w:hAnsi="宋体"/>
                <w:sz w:val="24"/>
                <w:szCs w:val="24"/>
              </w:rPr>
              <w:t>根据国家环保部总量控制要求及安徽省环保厅《关于进一步加强建设项目新增大气污染物总量指标管理工作的通知》（皖环发[2017]19号），结合本项目生产特点，确定总量控制因子如下：</w:t>
            </w:r>
          </w:p>
          <w:p>
            <w:pPr>
              <w:snapToGrid w:val="0"/>
              <w:spacing w:line="360" w:lineRule="auto"/>
              <w:ind w:firstLine="480" w:firstLineChars="200"/>
              <w:rPr>
                <w:rFonts w:hint="eastAsia" w:hAnsi="宋体"/>
                <w:sz w:val="24"/>
                <w:szCs w:val="24"/>
              </w:rPr>
            </w:pPr>
            <w:r>
              <w:rPr>
                <w:rFonts w:hint="eastAsia" w:hAnsi="宋体"/>
                <w:sz w:val="24"/>
                <w:szCs w:val="24"/>
              </w:rPr>
              <w:t>拟建项目水污染物总量控制因子COD、NH</w:t>
            </w:r>
            <w:r>
              <w:rPr>
                <w:rFonts w:hint="eastAsia" w:hAnsi="宋体"/>
                <w:sz w:val="24"/>
                <w:szCs w:val="24"/>
                <w:vertAlign w:val="subscript"/>
              </w:rPr>
              <w:t>3</w:t>
            </w:r>
            <w:r>
              <w:rPr>
                <w:rFonts w:hint="eastAsia" w:hAnsi="宋体"/>
                <w:sz w:val="24"/>
                <w:szCs w:val="24"/>
              </w:rPr>
              <w:t>-N不重新申请总量，纳入到淮南首创第一污水处理厂的总量之中。</w:t>
            </w:r>
          </w:p>
          <w:p>
            <w:pPr>
              <w:snapToGrid w:val="0"/>
              <w:spacing w:line="360" w:lineRule="auto"/>
              <w:rPr>
                <w:b/>
                <w:sz w:val="24"/>
              </w:rPr>
            </w:pPr>
          </w:p>
        </w:tc>
      </w:tr>
    </w:tbl>
    <w:p>
      <w:pPr>
        <w:rPr>
          <w:b/>
          <w:sz w:val="32"/>
          <w:szCs w:val="32"/>
        </w:rPr>
        <w:sectPr>
          <w:pgSz w:w="11906" w:h="16838"/>
          <w:pgMar w:top="1440" w:right="1286" w:bottom="1440" w:left="1474" w:header="851" w:footer="992" w:gutter="0"/>
          <w:cols w:space="720" w:num="1"/>
          <w:docGrid w:type="lines" w:linePitch="312" w:charSpace="0"/>
        </w:sectPr>
      </w:pPr>
    </w:p>
    <w:p>
      <w:pPr>
        <w:rPr>
          <w:b/>
          <w:sz w:val="32"/>
          <w:szCs w:val="32"/>
        </w:rPr>
      </w:pPr>
      <w:r>
        <w:rPr>
          <w:b/>
          <w:sz w:val="32"/>
          <w:szCs w:val="32"/>
        </w:rPr>
        <w:t>建设项目工程分析</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9" w:hRule="atLeast"/>
        </w:trPr>
        <w:tc>
          <w:tcPr>
            <w:tcW w:w="9130" w:type="dxa"/>
          </w:tcPr>
          <w:p>
            <w:pPr>
              <w:rPr>
                <w:b/>
                <w:sz w:val="24"/>
                <w:szCs w:val="24"/>
              </w:rPr>
            </w:pPr>
            <w:r>
              <w:rPr>
                <w:b/>
                <w:sz w:val="24"/>
                <w:szCs w:val="24"/>
              </w:rPr>
              <w:t>工艺流程简图（图示）</w:t>
            </w:r>
          </w:p>
          <w:p>
            <w:pPr>
              <w:spacing w:line="360" w:lineRule="auto"/>
              <w:rPr>
                <w:sz w:val="24"/>
                <w:szCs w:val="24"/>
              </w:rPr>
            </w:pPr>
            <w:r>
              <w:rPr>
                <w:sz w:val="24"/>
                <w:szCs w:val="24"/>
              </w:rPr>
              <w:t>施工期间工艺流程图</w:t>
            </w:r>
          </w:p>
          <w:p>
            <w:pPr>
              <w:spacing w:after="40" w:line="300" w:lineRule="atLeast"/>
              <w:outlineLvl w:val="2"/>
              <w:rPr>
                <w:sz w:val="24"/>
                <w:szCs w:val="24"/>
              </w:rPr>
            </w:pPr>
            <w:r>
              <w:rPr>
                <w:sz w:val="24"/>
                <w:szCs w:val="24"/>
              </w:rPr>
              <w:t>施工期主要环境问题是项目设备安装期间产生的污染。</w:t>
            </w:r>
          </w:p>
          <w:p>
            <w:pPr>
              <w:spacing w:after="40" w:line="300" w:lineRule="atLeast"/>
              <w:jc w:val="center"/>
              <w:outlineLvl w:val="2"/>
              <w:rPr>
                <w:rFonts w:eastAsia="楷体_GB2312"/>
              </w:rPr>
            </w:pPr>
            <w:r>
              <w:rPr>
                <w:rFonts w:eastAsia="楷体_GB2312"/>
              </w:rPr>
              <mc:AlternateContent>
                <mc:Choice Requires="wpg">
                  <w:drawing>
                    <wp:anchor distT="0" distB="0" distL="114300" distR="114300" simplePos="0" relativeHeight="251657216" behindDoc="0" locked="0" layoutInCell="1" allowOverlap="1">
                      <wp:simplePos x="0" y="0"/>
                      <wp:positionH relativeFrom="column">
                        <wp:posOffset>1722755</wp:posOffset>
                      </wp:positionH>
                      <wp:positionV relativeFrom="paragraph">
                        <wp:posOffset>173355</wp:posOffset>
                      </wp:positionV>
                      <wp:extent cx="2160905" cy="970280"/>
                      <wp:effectExtent l="0" t="4445" r="10795" b="15875"/>
                      <wp:wrapNone/>
                      <wp:docPr id="4" name="Group 2"/>
                      <wp:cNvGraphicFramePr/>
                      <a:graphic xmlns:a="http://schemas.openxmlformats.org/drawingml/2006/main">
                        <a:graphicData uri="http://schemas.microsoft.com/office/word/2010/wordprocessingGroup">
                          <wpg:wgp>
                            <wpg:cNvGrpSpPr/>
                            <wpg:grpSpPr>
                              <a:xfrm>
                                <a:off x="0" y="0"/>
                                <a:ext cx="2160905" cy="970280"/>
                                <a:chOff x="0" y="0"/>
                                <a:chExt cx="2760" cy="1350"/>
                              </a:xfrm>
                            </wpg:grpSpPr>
                            <wps:wsp>
                              <wps:cNvPr id="1" name="Text Box 3"/>
                              <wps:cNvSpPr txBox="1"/>
                              <wps:spPr>
                                <a:xfrm>
                                  <a:off x="765" y="0"/>
                                  <a:ext cx="126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设备安装期</w:t>
                                    </w:r>
                                  </w:p>
                                </w:txbxContent>
                              </wps:txbx>
                              <wps:bodyPr upright="1"/>
                            </wps:wsp>
                            <wps:wsp>
                              <wps:cNvPr id="2" name="箭头 54"/>
                              <wps:cNvCnPr/>
                              <wps:spPr>
                                <a:xfrm>
                                  <a:off x="1396" y="448"/>
                                  <a:ext cx="1" cy="435"/>
                                </a:xfrm>
                                <a:prstGeom prst="line">
                                  <a:avLst/>
                                </a:prstGeom>
                                <a:ln w="15875" cap="flat" cmpd="sng">
                                  <a:solidFill>
                                    <a:srgbClr val="000000"/>
                                  </a:solidFill>
                                  <a:prstDash val="sysDot"/>
                                  <a:headEnd type="none" w="med" len="med"/>
                                  <a:tailEnd type="triangle" w="med" len="med"/>
                                </a:ln>
                              </wps:spPr>
                              <wps:bodyPr upright="1"/>
                            </wps:wsp>
                            <wps:wsp>
                              <wps:cNvPr id="3" name="Text Box 5"/>
                              <wps:cNvSpPr txBox="1"/>
                              <wps:spPr>
                                <a:xfrm>
                                  <a:off x="0" y="916"/>
                                  <a:ext cx="2760" cy="435"/>
                                </a:xfrm>
                                <a:prstGeom prst="rect">
                                  <a:avLst/>
                                </a:prstGeom>
                                <a:solidFill>
                                  <a:srgbClr val="FFFFFF"/>
                                </a:solidFill>
                                <a:ln>
                                  <a:noFill/>
                                </a:ln>
                              </wps:spPr>
                              <wps:txbx>
                                <w:txbxContent>
                                  <w:p>
                                    <w:pPr>
                                      <w:jc w:val="center"/>
                                    </w:pPr>
                                    <w:r>
                                      <w:rPr>
                                        <w:rFonts w:hint="eastAsia"/>
                                      </w:rPr>
                                      <w:t>废气、废水、噪声、固废</w:t>
                                    </w:r>
                                  </w:p>
                                </w:txbxContent>
                              </wps:txbx>
                              <wps:bodyPr lIns="91439" tIns="45720" rIns="91439" bIns="45720" upright="1"/>
                            </wps:wsp>
                          </wpg:wgp>
                        </a:graphicData>
                      </a:graphic>
                    </wp:anchor>
                  </w:drawing>
                </mc:Choice>
                <mc:Fallback>
                  <w:pict>
                    <v:group id="Group 2" o:spid="_x0000_s1026" o:spt="203" style="position:absolute;left:0pt;margin-left:135.65pt;margin-top:13.65pt;height:76.4pt;width:170.15pt;z-index:251657216;mso-width-relative:page;mso-height-relative:page;" coordsize="2760,1350" o:gfxdata="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PdplJjYAAAACgEAAA8AAAAAAAAAAQAgAAAAIgAA&#10;AGRycy9kb3ducmV2LnhtbFBLAQIUABQAAAAIAIdO4kCi/GpN7AIAANkIAAAOAAAAAAAAAAEAIAAA&#10;ACcBAABkcnMvZTJvRG9jLnhtbFBLBQYAAAAABgAGAFkBAACFBgAAAAA=&#10;">
                      <o:lock v:ext="edit" aspectratio="f"/>
                      <v:shape id="Text Box 3" o:spid="_x0000_s1026" o:spt="202" type="#_x0000_t202" style="position:absolute;left:765;top:0;height:435;width:1260;"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设备安装期</w:t>
                              </w:r>
                            </w:p>
                          </w:txbxContent>
                        </v:textbox>
                      </v:shape>
                      <v:line id="箭头 54" o:spid="_x0000_s1026" o:spt="20" style="position:absolute;left:1396;top:448;height:435;width:1;" filled="f" stroked="t" coordsize="21600,21600" o:gfxdata="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8qV7twAAANoAAAAP&#10;AAAAAAAAAAEAIAAAACIAAABkcnMvZG93bnJldi54bWxQSwECFAAUAAAACACHTuJAMy8FnjsAAAA5&#10;AAAAEAAAAAAAAAABACAAAAAGAQAAZHJzL3NoYXBleG1sLnhtbFBLBQYAAAAABgAGAFsBAACwAwAA&#10;AAA=&#10;">
                        <v:fill on="f" focussize="0,0"/>
                        <v:stroke weight="1.25pt" color="#000000" joinstyle="round" dashstyle="1 1" endarrow="block"/>
                        <v:imagedata o:title=""/>
                        <o:lock v:ext="edit" aspectratio="f"/>
                      </v:line>
                      <v:shape id="Text Box 5" o:spid="_x0000_s1026" o:spt="202" type="#_x0000_t202" style="position:absolute;left:0;top:916;height:435;width:2760;" fillcolor="#FFFFFF" filled="t" stroked="f" coordsize="21600,21600" o:gfxdata="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q/57ugAAANoA&#10;AAAPAAAAAAAAAAEAIAAAACIAAABkcnMvZG93bnJldi54bWxQSwECFAAUAAAACACHTuJAMy8FnjsA&#10;AAA5AAAAEAAAAAAAAAABACAAAAAJAQAAZHJzL3NoYXBleG1sLnhtbFBLBQYAAAAABgAGAFsBAACz&#10;AwAAAAA=&#10;">
                        <v:fill on="t" focussize="0,0"/>
                        <v:stroke on="f"/>
                        <v:imagedata o:title=""/>
                        <o:lock v:ext="edit" aspectratio="f"/>
                        <v:textbox inset="7.19992125984252pt,1.27mm,7.19992125984252pt,1.27mm">
                          <w:txbxContent>
                            <w:p>
                              <w:pPr>
                                <w:jc w:val="center"/>
                              </w:pPr>
                              <w:r>
                                <w:rPr>
                                  <w:rFonts w:hint="eastAsia"/>
                                </w:rPr>
                                <w:t>废气、废水、噪声、固废</w:t>
                              </w:r>
                            </w:p>
                          </w:txbxContent>
                        </v:textbox>
                      </v:shape>
                    </v:group>
                  </w:pict>
                </mc:Fallback>
              </mc:AlternateContent>
            </w:r>
          </w:p>
          <w:p>
            <w:pPr>
              <w:spacing w:beforeLines="50" w:line="360" w:lineRule="auto"/>
              <w:rPr>
                <w:b/>
                <w:bCs/>
                <w:sz w:val="24"/>
              </w:rPr>
            </w:pPr>
          </w:p>
          <w:p>
            <w:pPr>
              <w:jc w:val="center"/>
              <w:rPr>
                <w:b/>
                <w:bCs/>
                <w:szCs w:val="21"/>
              </w:rPr>
            </w:pPr>
          </w:p>
          <w:p>
            <w:pPr>
              <w:jc w:val="center"/>
              <w:rPr>
                <w:b/>
                <w:bCs/>
                <w:szCs w:val="21"/>
              </w:rPr>
            </w:pPr>
          </w:p>
          <w:p>
            <w:pPr>
              <w:rPr>
                <w:b/>
                <w:bCs/>
                <w:szCs w:val="21"/>
              </w:rPr>
            </w:pPr>
          </w:p>
          <w:p>
            <w:pPr>
              <w:jc w:val="center"/>
              <w:rPr>
                <w:b/>
                <w:bCs/>
                <w:szCs w:val="21"/>
              </w:rPr>
            </w:pPr>
            <w:r>
              <w:rPr>
                <w:b/>
                <w:bCs/>
                <w:szCs w:val="21"/>
              </w:rPr>
              <w:t>图1施工期工艺流程及产污节点图</w:t>
            </w:r>
          </w:p>
          <w:p>
            <w:pPr>
              <w:spacing w:line="360" w:lineRule="auto"/>
              <w:rPr>
                <w:sz w:val="24"/>
                <w:szCs w:val="24"/>
              </w:rPr>
            </w:pPr>
            <w:r>
              <w:rPr>
                <w:b/>
                <w:sz w:val="24"/>
                <w:szCs w:val="24"/>
              </w:rPr>
              <w:t>施工期污染源简析：</w:t>
            </w:r>
          </w:p>
          <w:p>
            <w:pPr>
              <w:spacing w:line="360" w:lineRule="auto"/>
              <w:ind w:firstLine="480" w:firstLineChars="200"/>
              <w:rPr>
                <w:sz w:val="24"/>
                <w:szCs w:val="24"/>
              </w:rPr>
            </w:pPr>
            <w:r>
              <w:rPr>
                <w:sz w:val="24"/>
                <w:szCs w:val="24"/>
              </w:rPr>
              <w:t>本项目位于</w:t>
            </w:r>
            <w:r>
              <w:rPr>
                <w:rFonts w:hint="eastAsia"/>
                <w:sz w:val="24"/>
                <w:szCs w:val="24"/>
              </w:rPr>
              <w:t>淮南市大通区</w:t>
            </w:r>
            <w:r>
              <w:rPr>
                <w:rFonts w:hint="eastAsia"/>
                <w:sz w:val="24"/>
                <w:szCs w:val="24"/>
                <w:lang w:eastAsia="zh-CN"/>
              </w:rPr>
              <w:t>大通区工业新区标准化厂房</w:t>
            </w:r>
            <w:r>
              <w:rPr>
                <w:sz w:val="24"/>
                <w:szCs w:val="24"/>
              </w:rPr>
              <w:t>，无土方开挖、结构、装饰等施工期作业，主要为设备安装时期施工人员产生的少量生活废水和生活垃圾等，本次环评对施工期的环境影响不做分析。</w:t>
            </w:r>
          </w:p>
          <w:p>
            <w:pPr>
              <w:spacing w:line="480" w:lineRule="exact"/>
              <w:rPr>
                <w:b/>
                <w:sz w:val="24"/>
                <w:szCs w:val="24"/>
              </w:rPr>
            </w:pPr>
            <w:r>
              <w:rPr>
                <w:rFonts w:hint="eastAsia"/>
                <w:b/>
                <w:sz w:val="24"/>
                <w:szCs w:val="24"/>
              </w:rPr>
              <w:t>营运期生产工艺及流程图</w:t>
            </w:r>
          </w:p>
          <w:p>
            <w:pPr>
              <w:snapToGrid w:val="0"/>
              <w:spacing w:line="360" w:lineRule="auto"/>
              <w:rPr>
                <w:b/>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5026660</wp:posOffset>
                      </wp:positionH>
                      <wp:positionV relativeFrom="paragraph">
                        <wp:posOffset>531495</wp:posOffset>
                      </wp:positionV>
                      <wp:extent cx="3810" cy="514350"/>
                      <wp:effectExtent l="34925" t="0" r="37465" b="0"/>
                      <wp:wrapNone/>
                      <wp:docPr id="50" name="直接箭头连接符 50"/>
                      <wp:cNvGraphicFramePr/>
                      <a:graphic xmlns:a="http://schemas.openxmlformats.org/drawingml/2006/main">
                        <a:graphicData uri="http://schemas.microsoft.com/office/word/2010/wordprocessingShape">
                          <wps:wsp>
                            <wps:cNvCnPr/>
                            <wps:spPr>
                              <a:xfrm>
                                <a:off x="6214110" y="6807835"/>
                                <a:ext cx="3810" cy="514350"/>
                              </a:xfrm>
                              <a:prstGeom prst="straightConnector1">
                                <a:avLst/>
                              </a:prstGeom>
                              <a:ln w="635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5.8pt;margin-top:41.85pt;height:40.5pt;width:0.3pt;z-index:251661312;mso-width-relative:page;mso-height-relative:page;" filled="f" stroked="t" coordsize="21600,21600" o:gfxdata="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OvuedkAAAAKAQAADwAAAAAAAAABACAAAAAiAAAAZHJzL2Rvd25yZXYueG1sUEsBAhQAFAAAAAgA&#10;h07iQEO7O/LrAQAAjAMAAA4AAAAAAAAAAQAgAAAAKAEAAGRycy9lMm9Eb2MueG1sUEsFBgAAAAAG&#10;AAYAWQEAAIUFAAAAAA==&#10;">
                      <v:fill on="f" focussize="0,0"/>
                      <v:stroke weight="0.5pt" color="#000000 [3213]" joinstyle="round" endarrow="block"/>
                      <v:imagedata o:title=""/>
                      <o:lock v:ext="edit" aspectratio="f"/>
                    </v:shape>
                  </w:pict>
                </mc:Fallback>
              </mc:AlternateContent>
            </w:r>
            <w:r>
              <w:rPr>
                <w:sz w:val="24"/>
                <w:szCs w:val="24"/>
              </w:rPr>
              <mc:AlternateContent>
                <mc:Choice Requires="wpc">
                  <w:drawing>
                    <wp:inline distT="0" distB="0" distL="114300" distR="114300">
                      <wp:extent cx="5669280" cy="1764665"/>
                      <wp:effectExtent l="4445" t="0" r="0" b="0"/>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矩形 53"/>
                              <wps:cNvSpPr/>
                              <wps:spPr>
                                <a:xfrm>
                                  <a:off x="0" y="245745"/>
                                  <a:ext cx="48577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铝材</w:t>
                                    </w:r>
                                  </w:p>
                                </w:txbxContent>
                              </wps:txbx>
                              <wps:bodyPr upright="1"/>
                            </wps:wsp>
                            <wps:wsp>
                              <wps:cNvPr id="54" name="直接箭头连接符 54"/>
                              <wps:cNvCnPr/>
                              <wps:spPr>
                                <a:xfrm>
                                  <a:off x="495300" y="398145"/>
                                  <a:ext cx="194945" cy="635"/>
                                </a:xfrm>
                                <a:prstGeom prst="straightConnector1">
                                  <a:avLst/>
                                </a:prstGeom>
                                <a:ln w="9525" cap="flat" cmpd="sng">
                                  <a:solidFill>
                                    <a:srgbClr val="000000"/>
                                  </a:solidFill>
                                  <a:prstDash val="solid"/>
                                  <a:headEnd type="none" w="med" len="med"/>
                                  <a:tailEnd type="triangle" w="med" len="med"/>
                                </a:ln>
                              </wps:spPr>
                              <wps:bodyPr/>
                            </wps:wsp>
                            <wps:wsp>
                              <wps:cNvPr id="55" name="矩形 55"/>
                              <wps:cNvSpPr/>
                              <wps:spPr>
                                <a:xfrm>
                                  <a:off x="689610" y="271780"/>
                                  <a:ext cx="55054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Cs w:val="21"/>
                                        <w:lang w:eastAsia="zh-CN"/>
                                      </w:rPr>
                                    </w:pPr>
                                    <w:r>
                                      <w:rPr>
                                        <w:rFonts w:hint="eastAsia"/>
                                        <w:szCs w:val="21"/>
                                        <w:lang w:eastAsia="zh-CN"/>
                                      </w:rPr>
                                      <w:t>切割</w:t>
                                    </w:r>
                                  </w:p>
                                </w:txbxContent>
                              </wps:txbx>
                              <wps:bodyPr upright="1"/>
                            </wps:wsp>
                            <wps:wsp>
                              <wps:cNvPr id="56" name="矩形 56"/>
                              <wps:cNvSpPr/>
                              <wps:spPr>
                                <a:xfrm>
                                  <a:off x="1442720" y="264160"/>
                                  <a:ext cx="55181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钻孔</w:t>
                                    </w:r>
                                  </w:p>
                                </w:txbxContent>
                              </wps:txbx>
                              <wps:bodyPr upright="1"/>
                            </wps:wsp>
                            <wps:wsp>
                              <wps:cNvPr id="57" name="直接箭头连接符 57"/>
                              <wps:cNvCnPr/>
                              <wps:spPr>
                                <a:xfrm>
                                  <a:off x="1685290" y="540385"/>
                                  <a:ext cx="1270" cy="284480"/>
                                </a:xfrm>
                                <a:prstGeom prst="straightConnector1">
                                  <a:avLst/>
                                </a:prstGeom>
                                <a:ln w="9525" cap="flat" cmpd="sng">
                                  <a:solidFill>
                                    <a:srgbClr val="000000"/>
                                  </a:solidFill>
                                  <a:prstDash val="dash"/>
                                  <a:headEnd type="none" w="med" len="med"/>
                                  <a:tailEnd type="triangle" w="med" len="med"/>
                                </a:ln>
                              </wps:spPr>
                              <wps:bodyPr/>
                            </wps:wsp>
                            <wps:wsp>
                              <wps:cNvPr id="58" name="矩形 58"/>
                              <wps:cNvSpPr/>
                              <wps:spPr>
                                <a:xfrm>
                                  <a:off x="407035" y="753745"/>
                                  <a:ext cx="901700" cy="344805"/>
                                </a:xfrm>
                                <a:prstGeom prst="rect">
                                  <a:avLst/>
                                </a:prstGeom>
                                <a:noFill/>
                                <a:ln>
                                  <a:noFill/>
                                </a:ln>
                              </wps:spPr>
                              <wps:txbx>
                                <w:txbxContent>
                                  <w:p>
                                    <w:pPr>
                                      <w:rPr>
                                        <w:szCs w:val="21"/>
                                      </w:rPr>
                                    </w:pPr>
                                    <w:r>
                                      <w:rPr>
                                        <w:rFonts w:hint="eastAsia"/>
                                        <w:szCs w:val="21"/>
                                        <w:lang w:val="en-US" w:eastAsia="zh-CN"/>
                                      </w:rPr>
                                      <w:t>G1、</w:t>
                                    </w:r>
                                    <w:r>
                                      <w:rPr>
                                        <w:rFonts w:hint="eastAsia"/>
                                        <w:szCs w:val="21"/>
                                      </w:rPr>
                                      <w:t>S1、N1</w:t>
                                    </w:r>
                                  </w:p>
                                </w:txbxContent>
                              </wps:txbx>
                              <wps:bodyPr upright="1"/>
                            </wps:wsp>
                            <wps:wsp>
                              <wps:cNvPr id="59" name="矩形 59"/>
                              <wps:cNvSpPr/>
                              <wps:spPr>
                                <a:xfrm>
                                  <a:off x="1328420" y="779780"/>
                                  <a:ext cx="709930" cy="336550"/>
                                </a:xfrm>
                                <a:prstGeom prst="rect">
                                  <a:avLst/>
                                </a:prstGeom>
                                <a:noFill/>
                                <a:ln>
                                  <a:noFill/>
                                </a:ln>
                              </wps:spPr>
                              <wps:txbx>
                                <w:txbxContent>
                                  <w:p>
                                    <w:pPr>
                                      <w:rPr>
                                        <w:szCs w:val="21"/>
                                      </w:rPr>
                                    </w:pPr>
                                    <w:r>
                                      <w:rPr>
                                        <w:rFonts w:hint="eastAsia"/>
                                        <w:szCs w:val="21"/>
                                      </w:rPr>
                                      <w:t>S2、N1</w:t>
                                    </w:r>
                                  </w:p>
                                </w:txbxContent>
                              </wps:txbx>
                              <wps:bodyPr upright="1"/>
                            </wps:wsp>
                            <wps:wsp>
                              <wps:cNvPr id="60" name="矩形 60"/>
                              <wps:cNvSpPr/>
                              <wps:spPr>
                                <a:xfrm>
                                  <a:off x="0" y="1264285"/>
                                  <a:ext cx="4365625" cy="500380"/>
                                </a:xfrm>
                                <a:prstGeom prst="rect">
                                  <a:avLst/>
                                </a:prstGeom>
                                <a:noFill/>
                                <a:ln w="3175">
                                  <a:noFill/>
                                </a:ln>
                              </wps:spPr>
                              <wps:txbx>
                                <w:txbxContent>
                                  <w:p>
                                    <w:pPr>
                                      <w:rPr>
                                        <w:rFonts w:hint="eastAsia"/>
                                      </w:rPr>
                                    </w:pPr>
                                    <w:r>
                                      <w:rPr>
                                        <w:rFonts w:hint="eastAsia"/>
                                      </w:rPr>
                                      <w:t>注</w:t>
                                    </w:r>
                                    <w:r>
                                      <w:rPr>
                                        <w:rFonts w:hint="eastAsia"/>
                                        <w:lang w:eastAsia="zh-CN"/>
                                      </w:rPr>
                                      <w:t>：</w:t>
                                    </w:r>
                                    <w:r>
                                      <w:rPr>
                                        <w:rFonts w:hint="eastAsia"/>
                                        <w:lang w:val="en-US" w:eastAsia="zh-CN"/>
                                      </w:rPr>
                                      <w:t>G-废气、</w:t>
                                    </w:r>
                                    <w:r>
                                      <w:rPr>
                                        <w:rFonts w:hint="eastAsia"/>
                                      </w:rPr>
                                      <w:t>S-固废、N-噪声</w:t>
                                    </w:r>
                                  </w:p>
                                  <w:p>
                                    <w:pPr>
                                      <w:rPr>
                                        <w:rFonts w:hint="eastAsia"/>
                                      </w:rPr>
                                    </w:pPr>
                                    <w:r>
                                      <w:rPr>
                                        <w:rFonts w:hint="eastAsia"/>
                                        <w:lang w:val="en-US" w:eastAsia="zh-CN"/>
                                      </w:rPr>
                                      <w:t>G1-切割粉尘、G2-打磨粉尘、</w:t>
                                    </w:r>
                                    <w:r>
                                      <w:rPr>
                                        <w:rFonts w:hint="eastAsia"/>
                                      </w:rPr>
                                      <w:t>S1-边角料、S2-</w:t>
                                    </w:r>
                                    <w:r>
                                      <w:rPr>
                                        <w:rFonts w:hint="eastAsia"/>
                                        <w:lang w:eastAsia="zh-CN"/>
                                      </w:rPr>
                                      <w:t>废铝屑</w:t>
                                    </w:r>
                                    <w:r>
                                      <w:rPr>
                                        <w:rFonts w:hint="eastAsia"/>
                                      </w:rPr>
                                      <w:t>、N1-设备噪声</w:t>
                                    </w:r>
                                  </w:p>
                                </w:txbxContent>
                              </wps:txbx>
                              <wps:bodyPr upright="1"/>
                            </wps:wsp>
                            <wps:wsp>
                              <wps:cNvPr id="61" name="矩形 61"/>
                              <wps:cNvSpPr/>
                              <wps:spPr>
                                <a:xfrm>
                                  <a:off x="4490720" y="248920"/>
                                  <a:ext cx="700405" cy="267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Cs w:val="21"/>
                                        <w:lang w:eastAsia="zh-CN"/>
                                      </w:rPr>
                                    </w:pPr>
                                    <w:r>
                                      <w:rPr>
                                        <w:rFonts w:hint="eastAsia"/>
                                        <w:szCs w:val="21"/>
                                        <w:lang w:eastAsia="zh-CN"/>
                                      </w:rPr>
                                      <w:t>打磨</w:t>
                                    </w:r>
                                  </w:p>
                                </w:txbxContent>
                              </wps:txbx>
                              <wps:bodyPr upright="1"/>
                            </wps:wsp>
                            <wps:wsp>
                              <wps:cNvPr id="62" name="直接箭头连接符 62"/>
                              <wps:cNvCnPr/>
                              <wps:spPr>
                                <a:xfrm>
                                  <a:off x="1247140" y="408940"/>
                                  <a:ext cx="194945" cy="635"/>
                                </a:xfrm>
                                <a:prstGeom prst="straightConnector1">
                                  <a:avLst/>
                                </a:prstGeom>
                                <a:ln w="9525" cap="flat" cmpd="sng">
                                  <a:solidFill>
                                    <a:srgbClr val="000000"/>
                                  </a:solidFill>
                                  <a:prstDash val="solid"/>
                                  <a:headEnd type="none" w="med" len="med"/>
                                  <a:tailEnd type="triangle" w="med" len="med"/>
                                </a:ln>
                              </wps:spPr>
                              <wps:bodyPr/>
                            </wps:wsp>
                            <wps:wsp>
                              <wps:cNvPr id="63" name="直接箭头连接符 63"/>
                              <wps:cNvCnPr/>
                              <wps:spPr>
                                <a:xfrm>
                                  <a:off x="1995805" y="398780"/>
                                  <a:ext cx="194945" cy="635"/>
                                </a:xfrm>
                                <a:prstGeom prst="straightConnector1">
                                  <a:avLst/>
                                </a:prstGeom>
                                <a:ln w="9525" cap="flat" cmpd="sng">
                                  <a:solidFill>
                                    <a:srgbClr val="000000"/>
                                  </a:solidFill>
                                  <a:prstDash val="solid"/>
                                  <a:headEnd type="none" w="med" len="med"/>
                                  <a:tailEnd type="triangle" w="med" len="med"/>
                                </a:ln>
                              </wps:spPr>
                              <wps:bodyPr/>
                            </wps:wsp>
                            <wps:wsp>
                              <wps:cNvPr id="64" name="矩形 64"/>
                              <wps:cNvSpPr/>
                              <wps:spPr>
                                <a:xfrm>
                                  <a:off x="2199005" y="255905"/>
                                  <a:ext cx="55181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车床</w:t>
                                    </w:r>
                                  </w:p>
                                </w:txbxContent>
                              </wps:txbx>
                              <wps:bodyPr upright="1"/>
                            </wps:wsp>
                            <wps:wsp>
                              <wps:cNvPr id="65" name="直接箭头连接符 65"/>
                              <wps:cNvCnPr/>
                              <wps:spPr>
                                <a:xfrm>
                                  <a:off x="2750820" y="407035"/>
                                  <a:ext cx="194945" cy="635"/>
                                </a:xfrm>
                                <a:prstGeom prst="straightConnector1">
                                  <a:avLst/>
                                </a:prstGeom>
                                <a:ln w="9525" cap="flat" cmpd="sng">
                                  <a:solidFill>
                                    <a:srgbClr val="000000"/>
                                  </a:solidFill>
                                  <a:prstDash val="solid"/>
                                  <a:headEnd type="none" w="med" len="med"/>
                                  <a:tailEnd type="triangle" w="med" len="med"/>
                                </a:ln>
                              </wps:spPr>
                              <wps:bodyPr/>
                            </wps:wsp>
                            <wps:wsp>
                              <wps:cNvPr id="66" name="矩形 66"/>
                              <wps:cNvSpPr/>
                              <wps:spPr>
                                <a:xfrm>
                                  <a:off x="2954655" y="262890"/>
                                  <a:ext cx="55181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铣床</w:t>
                                    </w:r>
                                  </w:p>
                                </w:txbxContent>
                              </wps:txbx>
                              <wps:bodyPr upright="1"/>
                            </wps:wsp>
                            <wps:wsp>
                              <wps:cNvPr id="67" name="直接箭头连接符 67"/>
                              <wps:cNvCnPr/>
                              <wps:spPr>
                                <a:xfrm>
                                  <a:off x="3513455" y="406400"/>
                                  <a:ext cx="194945" cy="635"/>
                                </a:xfrm>
                                <a:prstGeom prst="straightConnector1">
                                  <a:avLst/>
                                </a:prstGeom>
                                <a:ln w="9525" cap="flat" cmpd="sng">
                                  <a:solidFill>
                                    <a:srgbClr val="000000"/>
                                  </a:solidFill>
                                  <a:prstDash val="solid"/>
                                  <a:headEnd type="none" w="med" len="med"/>
                                  <a:tailEnd type="triangle" w="med" len="med"/>
                                </a:ln>
                              </wps:spPr>
                              <wps:bodyPr/>
                            </wps:wsp>
                            <wps:wsp>
                              <wps:cNvPr id="68" name="直接箭头连接符 68"/>
                              <wps:cNvCnPr/>
                              <wps:spPr>
                                <a:xfrm>
                                  <a:off x="4290060" y="413385"/>
                                  <a:ext cx="194945" cy="635"/>
                                </a:xfrm>
                                <a:prstGeom prst="straightConnector1">
                                  <a:avLst/>
                                </a:prstGeom>
                                <a:ln w="9525" cap="flat" cmpd="sng">
                                  <a:solidFill>
                                    <a:srgbClr val="000000"/>
                                  </a:solidFill>
                                  <a:prstDash val="solid"/>
                                  <a:headEnd type="none" w="med" len="med"/>
                                  <a:tailEnd type="triangle" w="med" len="med"/>
                                </a:ln>
                              </wps:spPr>
                              <wps:bodyPr/>
                            </wps:wsp>
                            <wps:wsp>
                              <wps:cNvPr id="69" name="矩形 69"/>
                              <wps:cNvSpPr/>
                              <wps:spPr>
                                <a:xfrm>
                                  <a:off x="3719195" y="271145"/>
                                  <a:ext cx="55181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Cs w:val="21"/>
                                        <w:lang w:eastAsia="zh-CN"/>
                                      </w:rPr>
                                    </w:pPr>
                                    <w:r>
                                      <w:rPr>
                                        <w:rFonts w:hint="eastAsia"/>
                                        <w:szCs w:val="21"/>
                                        <w:lang w:eastAsia="zh-CN"/>
                                      </w:rPr>
                                      <w:t>雕刻</w:t>
                                    </w:r>
                                  </w:p>
                                </w:txbxContent>
                              </wps:txbx>
                              <wps:bodyPr upright="1"/>
                            </wps:wsp>
                            <wps:wsp>
                              <wps:cNvPr id="70" name="直接箭头连接符 70"/>
                              <wps:cNvCnPr/>
                              <wps:spPr>
                                <a:xfrm>
                                  <a:off x="2444750" y="539750"/>
                                  <a:ext cx="1270" cy="284480"/>
                                </a:xfrm>
                                <a:prstGeom prst="straightConnector1">
                                  <a:avLst/>
                                </a:prstGeom>
                                <a:ln w="9525" cap="flat" cmpd="sng">
                                  <a:solidFill>
                                    <a:srgbClr val="000000"/>
                                  </a:solidFill>
                                  <a:prstDash val="dash"/>
                                  <a:headEnd type="none" w="med" len="med"/>
                                  <a:tailEnd type="triangle" w="med" len="med"/>
                                </a:ln>
                              </wps:spPr>
                              <wps:bodyPr/>
                            </wps:wsp>
                            <wps:wsp>
                              <wps:cNvPr id="71" name="直接箭头连接符 71"/>
                              <wps:cNvCnPr/>
                              <wps:spPr>
                                <a:xfrm>
                                  <a:off x="934085" y="565785"/>
                                  <a:ext cx="635" cy="267970"/>
                                </a:xfrm>
                                <a:prstGeom prst="straightConnector1">
                                  <a:avLst/>
                                </a:prstGeom>
                                <a:ln w="9525" cap="flat" cmpd="sng">
                                  <a:solidFill>
                                    <a:srgbClr val="000000"/>
                                  </a:solidFill>
                                  <a:prstDash val="dash"/>
                                  <a:headEnd type="none" w="med" len="med"/>
                                  <a:tailEnd type="triangle" w="med" len="med"/>
                                </a:ln>
                              </wps:spPr>
                              <wps:bodyPr/>
                            </wps:wsp>
                            <wps:wsp>
                              <wps:cNvPr id="72" name="矩形 72"/>
                              <wps:cNvSpPr/>
                              <wps:spPr>
                                <a:xfrm>
                                  <a:off x="2091055" y="735965"/>
                                  <a:ext cx="709930" cy="336550"/>
                                </a:xfrm>
                                <a:prstGeom prst="rect">
                                  <a:avLst/>
                                </a:prstGeom>
                                <a:noFill/>
                                <a:ln>
                                  <a:noFill/>
                                </a:ln>
                              </wps:spPr>
                              <wps:txbx>
                                <w:txbxContent>
                                  <w:p>
                                    <w:pPr>
                                      <w:rPr>
                                        <w:szCs w:val="21"/>
                                      </w:rPr>
                                    </w:pPr>
                                    <w:r>
                                      <w:rPr>
                                        <w:rFonts w:hint="eastAsia"/>
                                        <w:szCs w:val="21"/>
                                      </w:rPr>
                                      <w:t>S2、N1</w:t>
                                    </w:r>
                                  </w:p>
                                </w:txbxContent>
                              </wps:txbx>
                              <wps:bodyPr upright="1"/>
                            </wps:wsp>
                            <wps:wsp>
                              <wps:cNvPr id="73" name="直接箭头连接符 73"/>
                              <wps:cNvCnPr/>
                              <wps:spPr>
                                <a:xfrm>
                                  <a:off x="3167380" y="557530"/>
                                  <a:ext cx="1270" cy="284480"/>
                                </a:xfrm>
                                <a:prstGeom prst="straightConnector1">
                                  <a:avLst/>
                                </a:prstGeom>
                                <a:ln w="9525" cap="flat" cmpd="sng">
                                  <a:solidFill>
                                    <a:srgbClr val="000000"/>
                                  </a:solidFill>
                                  <a:prstDash val="dash"/>
                                  <a:headEnd type="none" w="med" len="med"/>
                                  <a:tailEnd type="triangle" w="med" len="med"/>
                                </a:ln>
                              </wps:spPr>
                              <wps:bodyPr/>
                            </wps:wsp>
                            <wps:wsp>
                              <wps:cNvPr id="74" name="矩形 74"/>
                              <wps:cNvSpPr/>
                              <wps:spPr>
                                <a:xfrm>
                                  <a:off x="2876550" y="796925"/>
                                  <a:ext cx="709930" cy="266700"/>
                                </a:xfrm>
                                <a:prstGeom prst="rect">
                                  <a:avLst/>
                                </a:prstGeom>
                                <a:noFill/>
                                <a:ln>
                                  <a:noFill/>
                                </a:ln>
                              </wps:spPr>
                              <wps:txbx>
                                <w:txbxContent>
                                  <w:p>
                                    <w:pPr>
                                      <w:snapToGrid w:val="0"/>
                                      <w:rPr>
                                        <w:szCs w:val="21"/>
                                      </w:rPr>
                                    </w:pPr>
                                    <w:r>
                                      <w:rPr>
                                        <w:rFonts w:hint="eastAsia"/>
                                        <w:szCs w:val="21"/>
                                        <w:lang w:val="en-US" w:eastAsia="zh-CN"/>
                                      </w:rPr>
                                      <w:t>S1、</w:t>
                                    </w:r>
                                    <w:r>
                                      <w:rPr>
                                        <w:rFonts w:hint="eastAsia"/>
                                        <w:szCs w:val="21"/>
                                      </w:rPr>
                                      <w:t>N1</w:t>
                                    </w:r>
                                  </w:p>
                                </w:txbxContent>
                              </wps:txbx>
                              <wps:bodyPr upright="1"/>
                            </wps:wsp>
                            <wps:wsp>
                              <wps:cNvPr id="75" name="直接箭头连接符 75"/>
                              <wps:cNvCnPr/>
                              <wps:spPr>
                                <a:xfrm>
                                  <a:off x="3983990" y="557530"/>
                                  <a:ext cx="1270" cy="284480"/>
                                </a:xfrm>
                                <a:prstGeom prst="straightConnector1">
                                  <a:avLst/>
                                </a:prstGeom>
                                <a:ln w="9525" cap="flat" cmpd="sng">
                                  <a:solidFill>
                                    <a:srgbClr val="000000"/>
                                  </a:solidFill>
                                  <a:prstDash val="dash"/>
                                  <a:headEnd type="none" w="med" len="med"/>
                                  <a:tailEnd type="triangle" w="med" len="med"/>
                                </a:ln>
                              </wps:spPr>
                              <wps:bodyPr/>
                            </wps:wsp>
                            <wps:wsp>
                              <wps:cNvPr id="76" name="矩形 76"/>
                              <wps:cNvSpPr/>
                              <wps:spPr>
                                <a:xfrm>
                                  <a:off x="3658235" y="823595"/>
                                  <a:ext cx="709930" cy="266700"/>
                                </a:xfrm>
                                <a:prstGeom prst="rect">
                                  <a:avLst/>
                                </a:prstGeom>
                                <a:noFill/>
                                <a:ln>
                                  <a:noFill/>
                                </a:ln>
                              </wps:spPr>
                              <wps:txbx>
                                <w:txbxContent>
                                  <w:p>
                                    <w:pPr>
                                      <w:snapToGrid w:val="0"/>
                                      <w:rPr>
                                        <w:szCs w:val="21"/>
                                      </w:rPr>
                                    </w:pPr>
                                    <w:r>
                                      <w:rPr>
                                        <w:rFonts w:hint="eastAsia"/>
                                        <w:szCs w:val="21"/>
                                        <w:lang w:val="en-US" w:eastAsia="zh-CN"/>
                                      </w:rPr>
                                      <w:t>S1、</w:t>
                                    </w:r>
                                    <w:r>
                                      <w:rPr>
                                        <w:rFonts w:hint="eastAsia"/>
                                        <w:szCs w:val="21"/>
                                      </w:rPr>
                                      <w:t>N1</w:t>
                                    </w:r>
                                  </w:p>
                                </w:txbxContent>
                              </wps:txbx>
                              <wps:bodyPr upright="1"/>
                            </wps:wsp>
                            <wps:wsp>
                              <wps:cNvPr id="80" name="矩形 80"/>
                              <wps:cNvSpPr/>
                              <wps:spPr>
                                <a:xfrm>
                                  <a:off x="4638675" y="1054735"/>
                                  <a:ext cx="787400" cy="267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Cs w:val="21"/>
                                        <w:lang w:eastAsia="zh-CN"/>
                                      </w:rPr>
                                    </w:pPr>
                                    <w:r>
                                      <w:rPr>
                                        <w:rFonts w:hint="eastAsia"/>
                                        <w:szCs w:val="21"/>
                                        <w:lang w:eastAsia="zh-CN"/>
                                      </w:rPr>
                                      <w:t>包装入库</w:t>
                                    </w:r>
                                  </w:p>
                                </w:txbxContent>
                              </wps:txbx>
                              <wps:bodyPr upright="1"/>
                            </wps:wsp>
                            <wps:wsp>
                              <wps:cNvPr id="81" name="直接箭头连接符 81"/>
                              <wps:cNvCnPr/>
                              <wps:spPr>
                                <a:xfrm>
                                  <a:off x="4737735" y="534035"/>
                                  <a:ext cx="1270" cy="284480"/>
                                </a:xfrm>
                                <a:prstGeom prst="straightConnector1">
                                  <a:avLst/>
                                </a:prstGeom>
                                <a:ln w="9525" cap="flat" cmpd="sng">
                                  <a:solidFill>
                                    <a:srgbClr val="000000"/>
                                  </a:solidFill>
                                  <a:prstDash val="dash"/>
                                  <a:headEnd type="none" w="med" len="med"/>
                                  <a:tailEnd type="triangle" w="med" len="med"/>
                                </a:ln>
                              </wps:spPr>
                              <wps:bodyPr/>
                            </wps:wsp>
                            <wps:wsp>
                              <wps:cNvPr id="82" name="矩形 82"/>
                              <wps:cNvSpPr/>
                              <wps:spPr>
                                <a:xfrm>
                                  <a:off x="4403090" y="744220"/>
                                  <a:ext cx="709930" cy="266700"/>
                                </a:xfrm>
                                <a:prstGeom prst="rect">
                                  <a:avLst/>
                                </a:prstGeom>
                                <a:noFill/>
                                <a:ln>
                                  <a:noFill/>
                                </a:ln>
                              </wps:spPr>
                              <wps:txbx>
                                <w:txbxContent>
                                  <w:p>
                                    <w:pPr>
                                      <w:snapToGrid w:val="0"/>
                                      <w:rPr>
                                        <w:szCs w:val="21"/>
                                      </w:rPr>
                                    </w:pPr>
                                    <w:r>
                                      <w:rPr>
                                        <w:rFonts w:hint="eastAsia"/>
                                        <w:szCs w:val="21"/>
                                        <w:lang w:val="en-US" w:eastAsia="zh-CN"/>
                                      </w:rPr>
                                      <w:t>G2、</w:t>
                                    </w:r>
                                    <w:r>
                                      <w:rPr>
                                        <w:rFonts w:hint="eastAsia"/>
                                        <w:szCs w:val="21"/>
                                      </w:rPr>
                                      <w:t>N1</w:t>
                                    </w:r>
                                  </w:p>
                                </w:txbxContent>
                              </wps:txbx>
                              <wps:bodyPr upright="1"/>
                            </wps:wsp>
                          </wpc:wpc>
                        </a:graphicData>
                      </a:graphic>
                    </wp:inline>
                  </w:drawing>
                </mc:Choice>
                <mc:Fallback>
                  <w:pict>
                    <v:group id="_x0000_s1026" o:spid="_x0000_s1026" o:spt="203" style="height:138.95pt;width:446.4pt;" coordsize="5669280,1764665" editas="canvas" o:gfxdata="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">
                      <o:lock v:ext="edit" aspectratio="f"/>
                      <v:shape id="_x0000_s1026" o:spid="_x0000_s1026" style="position:absolute;left:0;top:0;height:1764665;width:5669280;" filled="f" stroked="f" coordsize="21600,21600" o:gfxdata="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">
                        <v:fill on="f" focussize="0,0"/>
                        <v:stroke on="f"/>
                        <v:imagedata o:title=""/>
                        <o:lock v:ext="edit" aspectratio="t"/>
                      </v:shape>
                      <v:rect id="_x0000_s1026" o:spid="_x0000_s1026" o:spt="1" style="position:absolute;left:0;top:245745;height:302260;width:485775;" fillcolor="#FFFFFF" filled="t" stroked="t" coordsize="21600,21600" o:gfxdata="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8v8AzVAAAABQEAAA8AAAAAAAAAAQAgAAAAIgAAAGRycy9kb3ducmV2LnhtbFBLAQIUABQAAAAI&#10;AIdO4kD87yMs8AEAAOEDAAAOAAAAAAAAAAEAIAAAACQBAABkcnMvZTJvRG9jLnhtbFBLBQYAAAAA&#10;BgAGAFkBAACGBQAAAAA=&#10;">
                        <v:fill on="t" focussize="0,0"/>
                        <v:stroke color="#000000" joinstyle="miter"/>
                        <v:imagedata o:title=""/>
                        <o:lock v:ext="edit" aspectratio="f"/>
                        <v:textbox>
                          <w:txbxContent>
                            <w:p>
                              <w:pPr>
                                <w:rPr>
                                  <w:szCs w:val="21"/>
                                </w:rPr>
                              </w:pPr>
                              <w:r>
                                <w:rPr>
                                  <w:rFonts w:hint="eastAsia"/>
                                  <w:szCs w:val="21"/>
                                </w:rPr>
                                <w:t>铝材</w:t>
                              </w:r>
                            </w:p>
                          </w:txbxContent>
                        </v:textbox>
                      </v:rect>
                      <v:shape id="_x0000_s1026" o:spid="_x0000_s1026" o:spt="32" type="#_x0000_t32" style="position:absolute;left:495300;top:398145;height:635;width:194945;" filled="f" stroked="t" coordsize="21600,21600" o:gfxdata="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VMNvNYAAAAFAQAADwAAAAAAAAABACAAAAAiAAAAZHJzL2Rvd25yZXYueG1sUEsB&#10;AhQAFAAAAAgAh07iQPbMWSz3AQAArwMAAA4AAAAAAAAAAQAgAAAAJQEAAGRycy9lMm9Eb2MueG1s&#10;UEsFBgAAAAAGAAYAWQEAAI4FAAAAAA==&#10;">
                        <v:fill on="f" focussize="0,0"/>
                        <v:stroke color="#000000" joinstyle="round" endarrow="block"/>
                        <v:imagedata o:title=""/>
                        <o:lock v:ext="edit" aspectratio="f"/>
                      </v:shape>
                      <v:rect id="_x0000_s1026" o:spid="_x0000_s1026" o:spt="1" style="position:absolute;left:689610;top:271780;height:266700;width:550545;" fillcolor="#FFFFFF" filled="t" stroked="t" coordsize="21600,21600" o:gfxdata="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v8AzVAAAABQEAAA8AAAAAAAAAAQAgAAAAIgAAAGRycy9kb3ducmV2LnhtbFBLAQIUABQA&#10;AAAIAIdO4kCm3fIw8wEAAOYDAAAOAAAAAAAAAAEAIAAAACQBAABkcnMvZTJvRG9jLnhtbFBLBQYA&#10;AAAABgAGAFkBAACJBQAAAAA=&#10;">
                        <v:fill on="t" focussize="0,0"/>
                        <v:stroke color="#000000" joinstyle="miter"/>
                        <v:imagedata o:title=""/>
                        <o:lock v:ext="edit" aspectratio="f"/>
                        <v:textbox>
                          <w:txbxContent>
                            <w:p>
                              <w:pPr>
                                <w:rPr>
                                  <w:rFonts w:hint="eastAsia" w:eastAsia="宋体"/>
                                  <w:szCs w:val="21"/>
                                  <w:lang w:eastAsia="zh-CN"/>
                                </w:rPr>
                              </w:pPr>
                              <w:r>
                                <w:rPr>
                                  <w:rFonts w:hint="eastAsia"/>
                                  <w:szCs w:val="21"/>
                                  <w:lang w:eastAsia="zh-CN"/>
                                </w:rPr>
                                <w:t>切割</w:t>
                              </w:r>
                            </w:p>
                          </w:txbxContent>
                        </v:textbox>
                      </v:rect>
                      <v:rect id="_x0000_s1026" o:spid="_x0000_s1026" o:spt="1" style="position:absolute;left:1442720;top:264160;height:266700;width:551815;" fillcolor="#FFFFFF" filled="t" stroked="t" coordsize="21600,21600" o:gfxdata="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v8AzVAAAABQEAAA8AAAAAAAAAAQAgAAAAIgAAAGRycy9kb3ducmV2LnhtbFBLAQIUABQA&#10;AAAIAIdO4kBz+keK8wEAAOcDAAAOAAAAAAAAAAEAIAAAACQBAABkcnMvZTJvRG9jLnhtbFBLBQYA&#10;AAAABgAGAFkBAACJBQAAAAA=&#10;">
                        <v:fill on="t" focussize="0,0"/>
                        <v:stroke color="#000000" joinstyle="miter"/>
                        <v:imagedata o:title=""/>
                        <o:lock v:ext="edit" aspectratio="f"/>
                        <v:textbox>
                          <w:txbxContent>
                            <w:p>
                              <w:pPr>
                                <w:rPr>
                                  <w:szCs w:val="21"/>
                                </w:rPr>
                              </w:pPr>
                              <w:r>
                                <w:rPr>
                                  <w:rFonts w:hint="eastAsia"/>
                                  <w:szCs w:val="21"/>
                                </w:rPr>
                                <w:t>钻孔</w:t>
                              </w:r>
                            </w:p>
                          </w:txbxContent>
                        </v:textbox>
                      </v:rect>
                      <v:shape id="_x0000_s1026" o:spid="_x0000_s1026" o:spt="32" type="#_x0000_t32" style="position:absolute;left:1685290;top:540385;height:284480;width:1270;" filled="f" stroked="t" coordsize="21600,21600" o:gfxdata="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ow+R9MAAAAFAQAADwAAAAAAAAABACAAAAAiAAAAZHJzL2Rvd25yZXYueG1sUEsB&#10;AhQAFAAAAAgAh07iQKSQ5Y76AQAAsAMAAA4AAAAAAAAAAQAgAAAAIgEAAGRycy9lMm9Eb2MueG1s&#10;UEsFBgAAAAAGAAYAWQEAAI4FAAAAAA==&#10;">
                        <v:fill on="f" focussize="0,0"/>
                        <v:stroke color="#000000" joinstyle="round" dashstyle="dash" endarrow="block"/>
                        <v:imagedata o:title=""/>
                        <o:lock v:ext="edit" aspectratio="f"/>
                      </v:shape>
                      <v:rect id="_x0000_s1026" o:spid="_x0000_s1026" o:spt="1" style="position:absolute;left:407035;top:753745;height:344805;width:901700;" filled="f" stroked="f" coordsize="21600,21600" o:gfxdata="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k/q2dcAAAAFAQAADwAAAAAAAAABACAAAAAiAAAAZHJz&#10;L2Rvd25yZXYueG1sUEsBAhQAFAAAAAgAh07iQGvFYG2TAQAA/gIAAA4AAAAAAAAAAQAgAAAAJgEA&#10;AGRycy9lMm9Eb2MueG1sUEsFBgAAAAAGAAYAWQEAACsFAAAAAA==&#10;">
                        <v:fill on="f" focussize="0,0"/>
                        <v:stroke on="f"/>
                        <v:imagedata o:title=""/>
                        <o:lock v:ext="edit" aspectratio="f"/>
                        <v:textbox>
                          <w:txbxContent>
                            <w:p>
                              <w:pPr>
                                <w:rPr>
                                  <w:szCs w:val="21"/>
                                </w:rPr>
                              </w:pPr>
                              <w:r>
                                <w:rPr>
                                  <w:rFonts w:hint="eastAsia"/>
                                  <w:szCs w:val="21"/>
                                  <w:lang w:val="en-US" w:eastAsia="zh-CN"/>
                                </w:rPr>
                                <w:t>G1、</w:t>
                              </w:r>
                              <w:r>
                                <w:rPr>
                                  <w:rFonts w:hint="eastAsia"/>
                                  <w:szCs w:val="21"/>
                                </w:rPr>
                                <w:t>S1、N1</w:t>
                              </w:r>
                            </w:p>
                          </w:txbxContent>
                        </v:textbox>
                      </v:rect>
                      <v:rect id="_x0000_s1026" o:spid="_x0000_s1026" o:spt="1" style="position:absolute;left:1328420;top:779780;height:336550;width:709930;" filled="f" stroked="f" coordsize="21600,21600" o:gfxdata="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k/q2dcAAAAFAQAADwAAAAAAAAABACAAAAAiAAAAZHJz&#10;L2Rvd25yZXYueG1sUEsBAhQAFAAAAAgAh07iQK1dPeiTAQAA/wIAAA4AAAAAAAAAAQAgAAAAJgEA&#10;AGRycy9lMm9Eb2MueG1sUEsFBgAAAAAGAAYAWQEAACsFAAAAAA==&#10;">
                        <v:fill on="f" focussize="0,0"/>
                        <v:stroke on="f"/>
                        <v:imagedata o:title=""/>
                        <o:lock v:ext="edit" aspectratio="f"/>
                        <v:textbox>
                          <w:txbxContent>
                            <w:p>
                              <w:pPr>
                                <w:rPr>
                                  <w:szCs w:val="21"/>
                                </w:rPr>
                              </w:pPr>
                              <w:r>
                                <w:rPr>
                                  <w:rFonts w:hint="eastAsia"/>
                                  <w:szCs w:val="21"/>
                                </w:rPr>
                                <w:t>S2、N1</w:t>
                              </w:r>
                            </w:p>
                          </w:txbxContent>
                        </v:textbox>
                      </v:rect>
                      <v:rect id="_x0000_s1026" o:spid="_x0000_s1026" o:spt="1" style="position:absolute;left:0;top:1264285;height:500380;width:4365625;" filled="f" stroked="f" coordsize="21600,21600" o:gfxdata="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&#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75/IO0wAAAAUBAAAPAAAAAAAAAAEAIAAAACIAAABk&#10;cnMvZG93bnJldi54bWxQSwECFAAUAAAACACHTuJAPdyaC5kBAAAEAwAADgAAAAAAAAABACAAAAAi&#10;AQAAZHJzL2Uyb0RvYy54bWxQSwUGAAAAAAYABgBZAQAALQUAAAAA&#10;">
                        <v:fill on="f" focussize="0,0"/>
                        <v:stroke on="f" weight="0.25pt"/>
                        <v:imagedata o:title=""/>
                        <o:lock v:ext="edit" aspectratio="f"/>
                        <v:textbox>
                          <w:txbxContent>
                            <w:p>
                              <w:pPr>
                                <w:rPr>
                                  <w:rFonts w:hint="eastAsia"/>
                                </w:rPr>
                              </w:pPr>
                              <w:r>
                                <w:rPr>
                                  <w:rFonts w:hint="eastAsia"/>
                                </w:rPr>
                                <w:t>注</w:t>
                              </w:r>
                              <w:r>
                                <w:rPr>
                                  <w:rFonts w:hint="eastAsia"/>
                                  <w:lang w:eastAsia="zh-CN"/>
                                </w:rPr>
                                <w:t>：</w:t>
                              </w:r>
                              <w:r>
                                <w:rPr>
                                  <w:rFonts w:hint="eastAsia"/>
                                  <w:lang w:val="en-US" w:eastAsia="zh-CN"/>
                                </w:rPr>
                                <w:t>G-废气、</w:t>
                              </w:r>
                              <w:r>
                                <w:rPr>
                                  <w:rFonts w:hint="eastAsia"/>
                                </w:rPr>
                                <w:t>S-固废、N-噪声</w:t>
                              </w:r>
                            </w:p>
                            <w:p>
                              <w:pPr>
                                <w:rPr>
                                  <w:rFonts w:hint="eastAsia"/>
                                </w:rPr>
                              </w:pPr>
                              <w:r>
                                <w:rPr>
                                  <w:rFonts w:hint="eastAsia"/>
                                  <w:lang w:val="en-US" w:eastAsia="zh-CN"/>
                                </w:rPr>
                                <w:t>G1-切割粉尘、G2-打磨粉尘、</w:t>
                              </w:r>
                              <w:r>
                                <w:rPr>
                                  <w:rFonts w:hint="eastAsia"/>
                                </w:rPr>
                                <w:t>S1-边角料、S2-</w:t>
                              </w:r>
                              <w:r>
                                <w:rPr>
                                  <w:rFonts w:hint="eastAsia"/>
                                  <w:lang w:eastAsia="zh-CN"/>
                                </w:rPr>
                                <w:t>废铝屑</w:t>
                              </w:r>
                              <w:r>
                                <w:rPr>
                                  <w:rFonts w:hint="eastAsia"/>
                                </w:rPr>
                                <w:t>、N1-设备噪声</w:t>
                              </w:r>
                            </w:p>
                          </w:txbxContent>
                        </v:textbox>
                      </v:rect>
                      <v:rect id="_x0000_s1026" o:spid="_x0000_s1026" o:spt="1" style="position:absolute;left:4490720;top:248920;height:267970;width:700405;" fillcolor="#FFFFFF" filled="t" stroked="t" coordsize="21600,21600" o:gfxdata="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v8AzVAAAABQEAAA8AAAAAAAAAAQAgAAAAIgAAAGRycy9kb3ducmV2LnhtbFBLAQIUABQA&#10;AAAIAIdO4kCTB4zY8wEAAOcDAAAOAAAAAAAAAAEAIAAAACQBAABkcnMvZTJvRG9jLnhtbFBLBQYA&#10;AAAABgAGAFkBAACJBQAAAAA=&#10;">
                        <v:fill on="t" focussize="0,0"/>
                        <v:stroke color="#000000" joinstyle="miter"/>
                        <v:imagedata o:title=""/>
                        <o:lock v:ext="edit" aspectratio="f"/>
                        <v:textbox>
                          <w:txbxContent>
                            <w:p>
                              <w:pPr>
                                <w:rPr>
                                  <w:rFonts w:hint="eastAsia" w:eastAsia="宋体"/>
                                  <w:szCs w:val="21"/>
                                  <w:lang w:eastAsia="zh-CN"/>
                                </w:rPr>
                              </w:pPr>
                              <w:r>
                                <w:rPr>
                                  <w:rFonts w:hint="eastAsia"/>
                                  <w:szCs w:val="21"/>
                                  <w:lang w:eastAsia="zh-CN"/>
                                </w:rPr>
                                <w:t>打磨</w:t>
                              </w:r>
                            </w:p>
                          </w:txbxContent>
                        </v:textbox>
                      </v:rect>
                      <v:shape id="_x0000_s1026" o:spid="_x0000_s1026" o:spt="32" type="#_x0000_t32" style="position:absolute;left:1247140;top:408940;height:635;width:194945;" filled="f" stroked="t" coordsize="21600,21600" o:gfxdata="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1TDbzWAAAABQEAAA8AAAAAAAAAAQAgAAAAIgAAAGRycy9kb3ducmV2LnhtbFBLAQIU&#10;ABQAAAAIAIdO4kAGygt79QEAALADAAAOAAAAAAAAAAEAIAAAACUBAABkcnMvZTJvRG9jLnhtbFBL&#10;BQYAAAAABgAGAFkBAACMBQAAAAA=&#10;">
                        <v:fill on="f" focussize="0,0"/>
                        <v:stroke color="#000000" joinstyle="round" endarrow="block"/>
                        <v:imagedata o:title=""/>
                        <o:lock v:ext="edit" aspectratio="f"/>
                      </v:shape>
                      <v:shape id="_x0000_s1026" o:spid="_x0000_s1026" o:spt="32" type="#_x0000_t32" style="position:absolute;left:1995805;top:398780;height:635;width:194945;" filled="f" stroked="t" coordsize="21600,21600" o:gfxdata="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VMNvNYAAAAFAQAADwAAAAAAAAABACAAAAAiAAAAZHJzL2Rvd25yZXYueG1sUEsBAhQA&#10;FAAAAAgAh07iQB4PTQn0AQAAsAMAAA4AAAAAAAAAAQAgAAAAJQEAAGRycy9lMm9Eb2MueG1sUEsF&#10;BgAAAAAGAAYAWQEAAIsFAAAAAA==&#10;">
                        <v:fill on="f" focussize="0,0"/>
                        <v:stroke color="#000000" joinstyle="round" endarrow="block"/>
                        <v:imagedata o:title=""/>
                        <o:lock v:ext="edit" aspectratio="f"/>
                      </v:shape>
                      <v:rect id="_x0000_s1026" o:spid="_x0000_s1026" o:spt="1" style="position:absolute;left:2199005;top:255905;height:266700;width:551815;" fillcolor="#FFFFFF" filled="t" stroked="t" coordsize="21600,21600" o:gfxdata="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y/wDNUAAAAFAQAADwAAAAAAAAABACAAAAAiAAAAZHJzL2Rvd25yZXYueG1sUEsBAhQAFAAA&#10;AAgAh07iQEycnfvyAQAA5wMAAA4AAAAAAAAAAQAgAAAAJAEAAGRycy9lMm9Eb2MueG1sUEsFBgAA&#10;AAAGAAYAWQEAAIgFAAAAAA==&#10;">
                        <v:fill on="t" focussize="0,0"/>
                        <v:stroke color="#000000" joinstyle="miter"/>
                        <v:imagedata o:title=""/>
                        <o:lock v:ext="edit" aspectratio="f"/>
                        <v:textbox>
                          <w:txbxContent>
                            <w:p>
                              <w:pPr>
                                <w:rPr>
                                  <w:szCs w:val="21"/>
                                </w:rPr>
                              </w:pPr>
                              <w:r>
                                <w:rPr>
                                  <w:rFonts w:hint="eastAsia"/>
                                  <w:szCs w:val="21"/>
                                </w:rPr>
                                <w:t>车床</w:t>
                              </w:r>
                            </w:p>
                          </w:txbxContent>
                        </v:textbox>
                      </v:rect>
                      <v:shape id="_x0000_s1026" o:spid="_x0000_s1026" o:spt="32" type="#_x0000_t32" style="position:absolute;left:2750820;top:407035;height:635;width:194945;" filled="f" stroked="t" coordsize="21600,21600" o:gfxdata="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Uw281gAAAAUBAAAPAAAAAAAAAAEAIAAAACIAAABkcnMvZG93bnJldi54bWxQ&#10;SwECFAAUAAAACACHTuJAx98XYfkBAACwAwAADgAAAAAAAAABACAAAAAlAQAAZHJzL2Uyb0RvYy54&#10;bWxQSwUGAAAAAAYABgBZAQAAkAUAAAAA&#10;">
                        <v:fill on="f" focussize="0,0"/>
                        <v:stroke color="#000000" joinstyle="round" endarrow="block"/>
                        <v:imagedata o:title=""/>
                        <o:lock v:ext="edit" aspectratio="f"/>
                      </v:shape>
                      <v:rect id="_x0000_s1026" o:spid="_x0000_s1026" o:spt="1" style="position:absolute;left:2954655;top:262890;height:266700;width:551815;" fillcolor="#FFFFFF" filled="t" stroked="t" coordsize="21600,21600" o:gfxdata="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y/wDNUAAAAFAQAADwAAAAAAAAABACAAAAAiAAAAZHJzL2Rvd25yZXYueG1sUEsBAhQAFAAA&#10;AAgAh07iQDFsLy3yAQAA5wMAAA4AAAAAAAAAAQAgAAAAJAEAAGRycy9lMm9Eb2MueG1sUEsFBgAA&#10;AAAGAAYAWQEAAIgFAAAAAA==&#10;">
                        <v:fill on="t" focussize="0,0"/>
                        <v:stroke color="#000000" joinstyle="miter"/>
                        <v:imagedata o:title=""/>
                        <o:lock v:ext="edit" aspectratio="f"/>
                        <v:textbox>
                          <w:txbxContent>
                            <w:p>
                              <w:pPr>
                                <w:rPr>
                                  <w:szCs w:val="21"/>
                                </w:rPr>
                              </w:pPr>
                              <w:r>
                                <w:rPr>
                                  <w:rFonts w:hint="eastAsia"/>
                                  <w:szCs w:val="21"/>
                                </w:rPr>
                                <w:t>铣床</w:t>
                              </w:r>
                            </w:p>
                          </w:txbxContent>
                        </v:textbox>
                      </v:rect>
                      <v:shape id="_x0000_s1026" o:spid="_x0000_s1026" o:spt="32" type="#_x0000_t32" style="position:absolute;left:3513455;top:406400;height:635;width:194945;" filled="f" stroked="t" coordsize="21600,21600" o:gfxdata="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1TDbzWAAAABQEAAA8AAAAAAAAAAQAgAAAAIgAAAGRycy9kb3ducmV2LnhtbFBLAQIU&#10;ABQAAAAIAIdO4kDw6lQf9QEAALADAAAOAAAAAAAAAAEAIAAAACUBAABkcnMvZTJvRG9jLnhtbFBL&#10;BQYAAAAABgAGAFkBAACMBQAAAAA=&#10;">
                        <v:fill on="f" focussize="0,0"/>
                        <v:stroke color="#000000" joinstyle="round" endarrow="block"/>
                        <v:imagedata o:title=""/>
                        <o:lock v:ext="edit" aspectratio="f"/>
                      </v:shape>
                      <v:shape id="_x0000_s1026" o:spid="_x0000_s1026" o:spt="32" type="#_x0000_t32" style="position:absolute;left:4290060;top:413385;height:635;width:194945;" filled="f" stroked="t" coordsize="21600,21600" o:gfxdata="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Uw281gAAAAUBAAAPAAAAAAAAAAEAIAAAACIAAABkcnMvZG93bnJldi54bWxQSwEC&#10;FAAUAAAACACHTuJAhHFjO/YBAACwAwAADgAAAAAAAAABACAAAAAlAQAAZHJzL2Uyb0RvYy54bWxQ&#10;SwUGAAAAAAYABgBZAQAAjQUAAAAA&#10;">
                        <v:fill on="f" focussize="0,0"/>
                        <v:stroke color="#000000" joinstyle="round" endarrow="block"/>
                        <v:imagedata o:title=""/>
                        <o:lock v:ext="edit" aspectratio="f"/>
                      </v:shape>
                      <v:rect id="_x0000_s1026" o:spid="_x0000_s1026" o:spt="1" style="position:absolute;left:3719195;top:271145;height:266700;width:551815;" fillcolor="#FFFFFF" filled="t" stroked="t" coordsize="21600,21600" o:gfxdata="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8v8AzVAAAABQEAAA8AAAAAAAAAAQAgAAAAIgAAAGRycy9kb3ducmV2LnhtbFBLAQIU&#10;ABQAAAAIAIdO4kDXIJo99gEAAOcDAAAOAAAAAAAAAAEAIAAAACQBAABkcnMvZTJvRG9jLnhtbFBL&#10;BQYAAAAABgAGAFkBAACMBQAAAAA=&#10;">
                        <v:fill on="t" focussize="0,0"/>
                        <v:stroke color="#000000" joinstyle="miter"/>
                        <v:imagedata o:title=""/>
                        <o:lock v:ext="edit" aspectratio="f"/>
                        <v:textbox>
                          <w:txbxContent>
                            <w:p>
                              <w:pPr>
                                <w:rPr>
                                  <w:rFonts w:hint="eastAsia" w:eastAsia="宋体"/>
                                  <w:szCs w:val="21"/>
                                  <w:lang w:eastAsia="zh-CN"/>
                                </w:rPr>
                              </w:pPr>
                              <w:r>
                                <w:rPr>
                                  <w:rFonts w:hint="eastAsia"/>
                                  <w:szCs w:val="21"/>
                                  <w:lang w:eastAsia="zh-CN"/>
                                </w:rPr>
                                <w:t>雕刻</w:t>
                              </w:r>
                            </w:p>
                          </w:txbxContent>
                        </v:textbox>
                      </v:rect>
                      <v:shape id="_x0000_s1026" o:spid="_x0000_s1026" o:spt="32" type="#_x0000_t32" style="position:absolute;left:2444750;top:539750;height:284480;width:1270;" filled="f" stroked="t" coordsize="21600,21600" o:gfxdata="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ow+R9MAAAAFAQAADwAAAAAAAAABACAAAAAiAAAAZHJzL2Rvd25yZXYueG1sUEsBAhQA&#10;FAAAAAgAh07iQCskR/73AQAAsAMAAA4AAAAAAAAAAQAgAAAAIgEAAGRycy9lMm9Eb2MueG1sUEsF&#10;BgAAAAAGAAYAWQEAAIsFAAAAAA==&#10;">
                        <v:fill on="f" focussize="0,0"/>
                        <v:stroke color="#000000" joinstyle="round" dashstyle="dash" endarrow="block"/>
                        <v:imagedata o:title=""/>
                        <o:lock v:ext="edit" aspectratio="f"/>
                      </v:shape>
                      <v:shape id="_x0000_s1026" o:spid="_x0000_s1026" o:spt="32" type="#_x0000_t32" style="position:absolute;left:934085;top:565785;height:267970;width:635;" filled="f" stroked="t" coordsize="21600,21600" o:gfxdata="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jD5H0wAAAAUBAAAPAAAAAAAAAAEAIAAAACIAAABkcnMvZG93bnJldi54bWxQSwECFAAU&#10;AAAACACHTuJAFIzGgvYBAACuAwAADgAAAAAAAAABACAAAAAiAQAAZHJzL2Uyb0RvYy54bWxQSwUG&#10;AAAAAAYABgBZAQAAigUAAAAA&#10;">
                        <v:fill on="f" focussize="0,0"/>
                        <v:stroke color="#000000" joinstyle="round" dashstyle="dash" endarrow="block"/>
                        <v:imagedata o:title=""/>
                        <o:lock v:ext="edit" aspectratio="f"/>
                      </v:shape>
                      <v:rect id="_x0000_s1026" o:spid="_x0000_s1026" o:spt="1" style="position:absolute;left:2091055;top:735965;height:336550;width:709930;" filled="f" stroked="f" coordsize="21600,21600" o:gfxdata="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pP6tnXAAAABQEAAA8AAAAAAAAAAQAgAAAAIgAAAGRy&#10;cy9kb3ducmV2LnhtbFBLAQIUABQAAAAIAIdO4kAZtV+ulAEAAP8CAAAOAAAAAAAAAAEAIAAAACYB&#10;AABkcnMvZTJvRG9jLnhtbFBLBQYAAAAABgAGAFkBAAAsBQAAAAA=&#10;">
                        <v:fill on="f" focussize="0,0"/>
                        <v:stroke on="f"/>
                        <v:imagedata o:title=""/>
                        <o:lock v:ext="edit" aspectratio="f"/>
                        <v:textbox>
                          <w:txbxContent>
                            <w:p>
                              <w:pPr>
                                <w:rPr>
                                  <w:szCs w:val="21"/>
                                </w:rPr>
                              </w:pPr>
                              <w:r>
                                <w:rPr>
                                  <w:rFonts w:hint="eastAsia"/>
                                  <w:szCs w:val="21"/>
                                </w:rPr>
                                <w:t>S2、N1</w:t>
                              </w:r>
                            </w:p>
                          </w:txbxContent>
                        </v:textbox>
                      </v:rect>
                      <v:shape id="_x0000_s1026" o:spid="_x0000_s1026" o:spt="32" type="#_x0000_t32" style="position:absolute;left:3167380;top:557530;height:284480;width:1270;" filled="f" stroked="t" coordsize="21600,21600" o:gfxdata="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jD5H0wAAAAUBAAAPAAAAAAAAAAEAIAAAACIAAABkcnMvZG93bnJldi54bWxQSwEC&#10;FAAUAAAACACHTuJAzGwFhvkBAACwAwAADgAAAAAAAAABACAAAAAiAQAAZHJzL2Uyb0RvYy54bWxQ&#10;SwUGAAAAAAYABgBZAQAAjQUAAAAA&#10;">
                        <v:fill on="f" focussize="0,0"/>
                        <v:stroke color="#000000" joinstyle="round" dashstyle="dash" endarrow="block"/>
                        <v:imagedata o:title=""/>
                        <o:lock v:ext="edit" aspectratio="f"/>
                      </v:shape>
                      <v:rect id="_x0000_s1026" o:spid="_x0000_s1026" o:spt="1" style="position:absolute;left:2876550;top:796925;height:266700;width:709930;" filled="f" stroked="f" coordsize="21600,21600" o:gfxdata="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pP6tnXAAAABQEAAA8AAAAAAAAAAQAgAAAAIgAAAGRy&#10;cy9kb3ducmV2LnhtbFBLAQIUABQAAAAIAIdO4kCgYZXllAEAAP8CAAAOAAAAAAAAAAEAIAAAACYB&#10;AABkcnMvZTJvRG9jLnhtbFBLBQYAAAAABgAGAFkBAAAsBQAAAAA=&#10;">
                        <v:fill on="f" focussize="0,0"/>
                        <v:stroke on="f"/>
                        <v:imagedata o:title=""/>
                        <o:lock v:ext="edit" aspectratio="f"/>
                        <v:textbox>
                          <w:txbxContent>
                            <w:p>
                              <w:pPr>
                                <w:snapToGrid w:val="0"/>
                                <w:rPr>
                                  <w:szCs w:val="21"/>
                                </w:rPr>
                              </w:pPr>
                              <w:r>
                                <w:rPr>
                                  <w:rFonts w:hint="eastAsia"/>
                                  <w:szCs w:val="21"/>
                                  <w:lang w:val="en-US" w:eastAsia="zh-CN"/>
                                </w:rPr>
                                <w:t>S1、</w:t>
                              </w:r>
                              <w:r>
                                <w:rPr>
                                  <w:rFonts w:hint="eastAsia"/>
                                  <w:szCs w:val="21"/>
                                </w:rPr>
                                <w:t>N1</w:t>
                              </w:r>
                            </w:p>
                          </w:txbxContent>
                        </v:textbox>
                      </v:rect>
                      <v:shape id="_x0000_s1026" o:spid="_x0000_s1026" o:spt="32" type="#_x0000_t32" style="position:absolute;left:3983990;top:557530;height:284480;width:1270;" filled="f" stroked="t" coordsize="21600,21600" o:gfxdata="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ow+R9MAAAAFAQAADwAAAAAAAAABACAAAAAiAAAAZHJzL2Rvd25yZXYueG1sUEsB&#10;AhQAFAAAAAgAh07iQLkOquH6AQAAsAMAAA4AAAAAAAAAAQAgAAAAIgEAAGRycy9lMm9Eb2MueG1s&#10;UEsFBgAAAAAGAAYAWQEAAI4FAAAAAA==&#10;">
                        <v:fill on="f" focussize="0,0"/>
                        <v:stroke color="#000000" joinstyle="round" dashstyle="dash" endarrow="block"/>
                        <v:imagedata o:title=""/>
                        <o:lock v:ext="edit" aspectratio="f"/>
                      </v:shape>
                      <v:rect id="_x0000_s1026" o:spid="_x0000_s1026" o:spt="1" style="position:absolute;left:3658235;top:823595;height:266700;width:709930;" filled="f" stroked="f" coordsize="21600,21600" o:gfxdata="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k/q2dcAAAAFAQAADwAAAAAAAAABACAAAAAiAAAAZHJz&#10;L2Rvd25yZXYueG1sUEsBAhQAFAAAAAgAh07iQDzsDWqTAQAA/wIAAA4AAAAAAAAAAQAgAAAAJgEA&#10;AGRycy9lMm9Eb2MueG1sUEsFBgAAAAAGAAYAWQEAACsFAAAAAA==&#10;">
                        <v:fill on="f" focussize="0,0"/>
                        <v:stroke on="f"/>
                        <v:imagedata o:title=""/>
                        <o:lock v:ext="edit" aspectratio="f"/>
                        <v:textbox>
                          <w:txbxContent>
                            <w:p>
                              <w:pPr>
                                <w:snapToGrid w:val="0"/>
                                <w:rPr>
                                  <w:szCs w:val="21"/>
                                </w:rPr>
                              </w:pPr>
                              <w:r>
                                <w:rPr>
                                  <w:rFonts w:hint="eastAsia"/>
                                  <w:szCs w:val="21"/>
                                  <w:lang w:val="en-US" w:eastAsia="zh-CN"/>
                                </w:rPr>
                                <w:t>S1、</w:t>
                              </w:r>
                              <w:r>
                                <w:rPr>
                                  <w:rFonts w:hint="eastAsia"/>
                                  <w:szCs w:val="21"/>
                                </w:rPr>
                                <w:t>N1</w:t>
                              </w:r>
                            </w:p>
                          </w:txbxContent>
                        </v:textbox>
                      </v:rect>
                      <v:rect id="_x0000_s1026" o:spid="_x0000_s1026" o:spt="1" style="position:absolute;left:4638675;top:1054735;height:267970;width:787400;" fillcolor="#FFFFFF" filled="t" stroked="t" coordsize="21600,21600" o:gfxdata="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L/AM1QAAAAUBAAAPAAAAAAAAAAEAIAAAACIAAABkcnMvZG93bnJldi54bWxQSwEC&#10;FAAUAAAACACHTuJAfkzaafcBAADoAwAADgAAAAAAAAABACAAAAAkAQAAZHJzL2Uyb0RvYy54bWxQ&#10;SwUGAAAAAAYABgBZAQAAjQUAAAAA&#10;">
                        <v:fill on="t" focussize="0,0"/>
                        <v:stroke color="#000000" joinstyle="miter"/>
                        <v:imagedata o:title=""/>
                        <o:lock v:ext="edit" aspectratio="f"/>
                        <v:textbox>
                          <w:txbxContent>
                            <w:p>
                              <w:pPr>
                                <w:rPr>
                                  <w:rFonts w:hint="eastAsia" w:eastAsia="宋体"/>
                                  <w:szCs w:val="21"/>
                                  <w:lang w:eastAsia="zh-CN"/>
                                </w:rPr>
                              </w:pPr>
                              <w:r>
                                <w:rPr>
                                  <w:rFonts w:hint="eastAsia"/>
                                  <w:szCs w:val="21"/>
                                  <w:lang w:eastAsia="zh-CN"/>
                                </w:rPr>
                                <w:t>包装入库</w:t>
                              </w:r>
                            </w:p>
                          </w:txbxContent>
                        </v:textbox>
                      </v:rect>
                      <v:shape id="_x0000_s1026" o:spid="_x0000_s1026" o:spt="32" type="#_x0000_t32" style="position:absolute;left:4737735;top:534035;height:284480;width:1270;" filled="f" stroked="t" coordsize="21600,21600" o:gfxdata="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ow+R9MAAAAFAQAADwAAAAAAAAABACAAAAAiAAAAZHJzL2Rvd25yZXYueG1sUEsB&#10;AhQAFAAAAAgAh07iQHvRUpH6AQAAsAMAAA4AAAAAAAAAAQAgAAAAIgEAAGRycy9lMm9Eb2MueG1s&#10;UEsFBgAAAAAGAAYAWQEAAI4FAAAAAA==&#10;">
                        <v:fill on="f" focussize="0,0"/>
                        <v:stroke color="#000000" joinstyle="round" dashstyle="dash" endarrow="block"/>
                        <v:imagedata o:title=""/>
                        <o:lock v:ext="edit" aspectratio="f"/>
                      </v:shape>
                      <v:rect id="_x0000_s1026" o:spid="_x0000_s1026" o:spt="1" style="position:absolute;left:4403090;top:744220;height:266700;width:709930;" filled="f" stroked="f" coordsize="21600,21600" o:gfxdata="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qT+rZ1wAAAAUBAAAPAAAAAAAAAAEAIAAAACIAAABkcnMv&#10;ZG93bnJldi54bWxQSwECFAAUAAAACACHTuJA6ujbwZIBAAD/AgAADgAAAAAAAAABACAAAAAmAQAA&#10;ZHJzL2Uyb0RvYy54bWxQSwUGAAAAAAYABgBZAQAAKgUAAAAA&#10;">
                        <v:fill on="f" focussize="0,0"/>
                        <v:stroke on="f"/>
                        <v:imagedata o:title=""/>
                        <o:lock v:ext="edit" aspectratio="f"/>
                        <v:textbox>
                          <w:txbxContent>
                            <w:p>
                              <w:pPr>
                                <w:snapToGrid w:val="0"/>
                                <w:rPr>
                                  <w:szCs w:val="21"/>
                                </w:rPr>
                              </w:pPr>
                              <w:r>
                                <w:rPr>
                                  <w:rFonts w:hint="eastAsia"/>
                                  <w:szCs w:val="21"/>
                                  <w:lang w:val="en-US" w:eastAsia="zh-CN"/>
                                </w:rPr>
                                <w:t>G2、</w:t>
                              </w:r>
                              <w:r>
                                <w:rPr>
                                  <w:rFonts w:hint="eastAsia"/>
                                  <w:szCs w:val="21"/>
                                </w:rPr>
                                <w:t>N1</w:t>
                              </w:r>
                            </w:p>
                          </w:txbxContent>
                        </v:textbox>
                      </v:rect>
                      <w10:wrap type="none"/>
                      <w10:anchorlock/>
                    </v:group>
                  </w:pict>
                </mc:Fallback>
              </mc:AlternateContent>
            </w:r>
          </w:p>
          <w:p>
            <w:pPr>
              <w:snapToGrid w:val="0"/>
              <w:jc w:val="center"/>
              <w:rPr>
                <w:b/>
                <w:bCs/>
                <w:szCs w:val="21"/>
              </w:rPr>
            </w:pPr>
            <w:r>
              <w:rPr>
                <w:b/>
                <w:bCs/>
                <w:szCs w:val="21"/>
              </w:rPr>
              <w:t>图</w:t>
            </w:r>
            <w:r>
              <w:rPr>
                <w:rFonts w:hint="eastAsia"/>
                <w:b/>
                <w:bCs/>
                <w:szCs w:val="21"/>
              </w:rPr>
              <w:t>2</w:t>
            </w:r>
            <w:r>
              <w:rPr>
                <w:b/>
                <w:bCs/>
                <w:szCs w:val="21"/>
              </w:rPr>
              <w:t>生产工艺流程及产污节点图</w:t>
            </w:r>
          </w:p>
          <w:p>
            <w:pPr>
              <w:spacing w:line="360" w:lineRule="auto"/>
              <w:rPr>
                <w:b/>
                <w:sz w:val="24"/>
                <w:szCs w:val="24"/>
              </w:rPr>
            </w:pPr>
            <w:r>
              <w:rPr>
                <w:b/>
                <w:sz w:val="24"/>
                <w:szCs w:val="24"/>
              </w:rPr>
              <w:t>生产工艺流程简述：</w:t>
            </w:r>
          </w:p>
          <w:p>
            <w:pPr>
              <w:spacing w:line="360" w:lineRule="auto"/>
              <w:ind w:firstLine="480" w:firstLineChars="200"/>
              <w:rPr>
                <w:sz w:val="24"/>
                <w:szCs w:val="24"/>
              </w:rPr>
            </w:pPr>
            <w:r>
              <w:rPr>
                <w:rFonts w:hint="eastAsia"/>
                <w:sz w:val="24"/>
                <w:szCs w:val="24"/>
              </w:rPr>
              <w:t>将外购的铝材按照要求进行下料，然后再钻孔、车床、铣床、CNC数控中心等机加工，最后人工通过</w:t>
            </w:r>
            <w:r>
              <w:rPr>
                <w:rFonts w:hint="eastAsia"/>
                <w:sz w:val="24"/>
                <w:szCs w:val="24"/>
                <w:lang w:eastAsia="zh-CN"/>
              </w:rPr>
              <w:t>手磨机进行打磨，最后即可包装入库</w:t>
            </w:r>
            <w:r>
              <w:rPr>
                <w:rFonts w:hint="eastAsia"/>
                <w:sz w:val="24"/>
                <w:szCs w:val="24"/>
              </w:rPr>
              <w:t>。</w:t>
            </w:r>
          </w:p>
          <w:p>
            <w:pPr>
              <w:spacing w:line="360" w:lineRule="auto"/>
              <w:rPr>
                <w:b/>
                <w:sz w:val="24"/>
                <w:szCs w:val="24"/>
              </w:rPr>
            </w:pPr>
            <w:r>
              <w:rPr>
                <w:b/>
                <w:sz w:val="24"/>
                <w:szCs w:val="24"/>
              </w:rPr>
              <w:t>运营期主要污染工序：</w:t>
            </w:r>
          </w:p>
          <w:p>
            <w:pPr>
              <w:snapToGrid w:val="0"/>
              <w:spacing w:line="360" w:lineRule="auto"/>
              <w:ind w:firstLine="480" w:firstLineChars="200"/>
              <w:rPr>
                <w:sz w:val="24"/>
                <w:szCs w:val="24"/>
              </w:rPr>
            </w:pPr>
            <w:r>
              <w:rPr>
                <w:sz w:val="24"/>
                <w:szCs w:val="24"/>
              </w:rPr>
              <w:t>（1）废气</w:t>
            </w:r>
          </w:p>
          <w:p>
            <w:pPr>
              <w:snapToGrid w:val="0"/>
              <w:spacing w:line="360" w:lineRule="auto"/>
              <w:ind w:firstLine="480" w:firstLineChars="200"/>
              <w:rPr>
                <w:sz w:val="24"/>
                <w:szCs w:val="24"/>
              </w:rPr>
            </w:pPr>
            <w:r>
              <w:rPr>
                <w:sz w:val="24"/>
                <w:szCs w:val="24"/>
              </w:rPr>
              <w:t>本项目营运期</w:t>
            </w:r>
            <w:r>
              <w:rPr>
                <w:rFonts w:hint="eastAsia"/>
                <w:sz w:val="24"/>
                <w:szCs w:val="24"/>
              </w:rPr>
              <w:t>产生的废气主要为切割机切割过程中产生的切割</w:t>
            </w:r>
            <w:r>
              <w:rPr>
                <w:rFonts w:hint="eastAsia"/>
                <w:sz w:val="24"/>
                <w:szCs w:val="24"/>
                <w:lang w:eastAsia="zh-CN"/>
              </w:rPr>
              <w:t>粉尘</w:t>
            </w:r>
            <w:r>
              <w:rPr>
                <w:rFonts w:hint="eastAsia"/>
                <w:sz w:val="24"/>
                <w:szCs w:val="24"/>
              </w:rPr>
              <w:t>、</w:t>
            </w:r>
            <w:r>
              <w:rPr>
                <w:rFonts w:hint="eastAsia"/>
                <w:sz w:val="24"/>
                <w:szCs w:val="24"/>
                <w:lang w:eastAsia="zh-CN"/>
              </w:rPr>
              <w:t>打磨过程中产生的粉尘</w:t>
            </w:r>
            <w:r>
              <w:rPr>
                <w:rFonts w:hint="eastAsia"/>
                <w:sz w:val="24"/>
                <w:szCs w:val="24"/>
              </w:rPr>
              <w:t>。</w:t>
            </w:r>
          </w:p>
          <w:p>
            <w:pPr>
              <w:snapToGrid w:val="0"/>
              <w:spacing w:line="360" w:lineRule="auto"/>
              <w:ind w:firstLine="480" w:firstLineChars="200"/>
              <w:rPr>
                <w:sz w:val="24"/>
                <w:szCs w:val="24"/>
              </w:rPr>
            </w:pPr>
            <w:r>
              <w:rPr>
                <w:sz w:val="24"/>
                <w:szCs w:val="24"/>
              </w:rPr>
              <w:t>（2）废水</w:t>
            </w:r>
          </w:p>
          <w:p>
            <w:pPr>
              <w:snapToGrid w:val="0"/>
              <w:spacing w:line="360" w:lineRule="auto"/>
              <w:ind w:firstLine="480" w:firstLineChars="200"/>
              <w:rPr>
                <w:sz w:val="24"/>
                <w:szCs w:val="24"/>
              </w:rPr>
            </w:pPr>
            <w:r>
              <w:rPr>
                <w:sz w:val="24"/>
                <w:szCs w:val="24"/>
              </w:rPr>
              <w:t>本项目排放污水主要为职工生活污水，职工就餐为外送。其污染因子为COD</w:t>
            </w:r>
            <w:r>
              <w:rPr>
                <w:sz w:val="24"/>
                <w:szCs w:val="24"/>
                <w:vertAlign w:val="subscript"/>
              </w:rPr>
              <w:t>Cr</w:t>
            </w:r>
            <w:r>
              <w:rPr>
                <w:sz w:val="24"/>
                <w:szCs w:val="24"/>
              </w:rPr>
              <w:t>、BOD</w:t>
            </w:r>
            <w:r>
              <w:rPr>
                <w:sz w:val="24"/>
                <w:szCs w:val="24"/>
                <w:vertAlign w:val="subscript"/>
              </w:rPr>
              <w:t>5</w:t>
            </w:r>
            <w:r>
              <w:rPr>
                <w:sz w:val="24"/>
                <w:szCs w:val="24"/>
              </w:rPr>
              <w:t>、SS、氨氮等。</w:t>
            </w:r>
          </w:p>
          <w:p>
            <w:pPr>
              <w:snapToGrid w:val="0"/>
              <w:spacing w:line="360" w:lineRule="auto"/>
              <w:ind w:firstLine="480" w:firstLineChars="200"/>
              <w:rPr>
                <w:sz w:val="24"/>
                <w:szCs w:val="24"/>
              </w:rPr>
            </w:pPr>
            <w:r>
              <w:rPr>
                <w:sz w:val="24"/>
                <w:szCs w:val="24"/>
              </w:rPr>
              <w:t>（3）噪声</w:t>
            </w:r>
          </w:p>
          <w:p>
            <w:pPr>
              <w:snapToGrid w:val="0"/>
              <w:spacing w:line="360" w:lineRule="auto"/>
              <w:ind w:firstLine="480" w:firstLineChars="200"/>
              <w:rPr>
                <w:sz w:val="24"/>
                <w:szCs w:val="24"/>
              </w:rPr>
            </w:pPr>
            <w:r>
              <w:rPr>
                <w:bCs/>
                <w:sz w:val="24"/>
                <w:szCs w:val="24"/>
              </w:rPr>
              <w:t>项目主要噪声为各种生产设备运行及车辆进出产生的噪声。</w:t>
            </w:r>
            <w:r>
              <w:rPr>
                <w:sz w:val="24"/>
                <w:szCs w:val="24"/>
              </w:rPr>
              <w:t>本项目噪声污染主要来自设备。设备噪声源强为</w:t>
            </w:r>
            <w:r>
              <w:rPr>
                <w:rFonts w:hint="eastAsia"/>
                <w:sz w:val="24"/>
                <w:szCs w:val="24"/>
              </w:rPr>
              <w:t>75~85</w:t>
            </w:r>
            <w:r>
              <w:rPr>
                <w:sz w:val="24"/>
                <w:szCs w:val="24"/>
              </w:rPr>
              <w:t>dB（A）。</w:t>
            </w:r>
          </w:p>
          <w:p>
            <w:pPr>
              <w:snapToGrid w:val="0"/>
              <w:spacing w:line="360" w:lineRule="auto"/>
              <w:ind w:firstLine="480" w:firstLineChars="200"/>
              <w:rPr>
                <w:sz w:val="24"/>
                <w:szCs w:val="24"/>
              </w:rPr>
            </w:pPr>
            <w:r>
              <w:rPr>
                <w:sz w:val="24"/>
                <w:szCs w:val="24"/>
              </w:rPr>
              <w:t>（4）固体废物</w:t>
            </w:r>
          </w:p>
          <w:p>
            <w:pPr>
              <w:snapToGrid w:val="0"/>
              <w:spacing w:line="360" w:lineRule="auto"/>
              <w:ind w:firstLine="480" w:firstLineChars="200"/>
              <w:rPr>
                <w:sz w:val="24"/>
                <w:szCs w:val="24"/>
              </w:rPr>
            </w:pPr>
            <w:r>
              <w:rPr>
                <w:bCs/>
                <w:sz w:val="24"/>
                <w:szCs w:val="24"/>
              </w:rPr>
              <w:t>本项目产生</w:t>
            </w:r>
            <w:r>
              <w:rPr>
                <w:rFonts w:hint="eastAsia"/>
                <w:bCs/>
                <w:sz w:val="24"/>
                <w:szCs w:val="24"/>
              </w:rPr>
              <w:t>的</w:t>
            </w:r>
            <w:r>
              <w:rPr>
                <w:bCs/>
                <w:sz w:val="24"/>
                <w:szCs w:val="24"/>
              </w:rPr>
              <w:t>固废主要为：</w:t>
            </w:r>
            <w:r>
              <w:rPr>
                <w:rFonts w:hint="eastAsia"/>
                <w:bCs/>
                <w:sz w:val="24"/>
                <w:szCs w:val="24"/>
              </w:rPr>
              <w:t>生产车间产生边角料及</w:t>
            </w:r>
            <w:r>
              <w:rPr>
                <w:rFonts w:hint="eastAsia"/>
                <w:bCs/>
                <w:sz w:val="24"/>
                <w:szCs w:val="24"/>
                <w:lang w:eastAsia="zh-CN"/>
              </w:rPr>
              <w:t>废铝屑</w:t>
            </w:r>
            <w:r>
              <w:rPr>
                <w:rFonts w:hint="eastAsia"/>
                <w:bCs/>
                <w:sz w:val="24"/>
                <w:szCs w:val="24"/>
              </w:rPr>
              <w:t>、维修设备产生的含油抹布手套等、</w:t>
            </w:r>
            <w:r>
              <w:rPr>
                <w:rFonts w:hint="eastAsia"/>
                <w:bCs/>
                <w:sz w:val="24"/>
                <w:szCs w:val="24"/>
                <w:lang w:eastAsia="zh-CN"/>
              </w:rPr>
              <w:t>废切削液、</w:t>
            </w:r>
            <w:r>
              <w:rPr>
                <w:rFonts w:hint="eastAsia"/>
                <w:bCs/>
                <w:sz w:val="24"/>
                <w:szCs w:val="24"/>
              </w:rPr>
              <w:t>职工生活垃圾</w:t>
            </w:r>
            <w:r>
              <w:rPr>
                <w:bCs/>
                <w:sz w:val="24"/>
                <w:szCs w:val="24"/>
              </w:rPr>
              <w:t>。</w:t>
            </w:r>
          </w:p>
          <w:p>
            <w:pPr>
              <w:spacing w:line="360" w:lineRule="auto"/>
              <w:rPr>
                <w:b/>
                <w:bCs/>
                <w:kern w:val="0"/>
                <w:sz w:val="24"/>
              </w:rPr>
            </w:pPr>
            <w:r>
              <w:rPr>
                <w:b/>
                <w:bCs/>
                <w:kern w:val="0"/>
                <w:sz w:val="24"/>
              </w:rPr>
              <w:t>主要</w:t>
            </w:r>
            <w:r>
              <w:rPr>
                <w:rFonts w:hint="eastAsia"/>
                <w:b/>
                <w:bCs/>
                <w:kern w:val="0"/>
                <w:sz w:val="24"/>
              </w:rPr>
              <w:t>污染源简析</w:t>
            </w:r>
          </w:p>
          <w:p>
            <w:pPr>
              <w:spacing w:line="360" w:lineRule="auto"/>
              <w:rPr>
                <w:b/>
                <w:bCs/>
                <w:kern w:val="0"/>
                <w:sz w:val="24"/>
              </w:rPr>
            </w:pPr>
            <w:r>
              <w:rPr>
                <w:rFonts w:hint="eastAsia"/>
                <w:b/>
                <w:bCs/>
                <w:kern w:val="0"/>
                <w:sz w:val="24"/>
              </w:rPr>
              <w:t>1、</w:t>
            </w:r>
            <w:r>
              <w:rPr>
                <w:b/>
                <w:bCs/>
                <w:kern w:val="0"/>
                <w:sz w:val="24"/>
              </w:rPr>
              <w:t>废水污染源分析</w:t>
            </w:r>
          </w:p>
          <w:p>
            <w:pPr>
              <w:pStyle w:val="150"/>
              <w:numPr>
                <w:ilvl w:val="0"/>
                <w:numId w:val="1"/>
              </w:numPr>
              <w:spacing w:line="360" w:lineRule="auto"/>
              <w:rPr>
                <w:kern w:val="0"/>
              </w:rPr>
            </w:pPr>
            <w:r>
              <w:rPr>
                <w:kern w:val="0"/>
              </w:rPr>
              <w:t>建设项目给、排水概况</w:t>
            </w:r>
          </w:p>
          <w:p>
            <w:pPr>
              <w:spacing w:line="360" w:lineRule="auto"/>
              <w:ind w:firstLine="480" w:firstLineChars="200"/>
              <w:rPr>
                <w:sz w:val="24"/>
              </w:rPr>
            </w:pPr>
            <w:r>
              <w:rPr>
                <w:rFonts w:hint="eastAsia" w:hAnsi="宋体"/>
                <w:color w:val="000000" w:themeColor="text1"/>
                <w:sz w:val="24"/>
                <w:szCs w:val="24"/>
                <w14:textFill>
                  <w14:solidFill>
                    <w14:schemeClr w14:val="tx1"/>
                  </w14:solidFill>
                </w14:textFill>
              </w:rPr>
              <w:t>项目产生的</w:t>
            </w:r>
            <w:r>
              <w:rPr>
                <w:rFonts w:hint="eastAsia" w:hAnsi="宋体"/>
                <w:bCs/>
                <w:color w:val="000000" w:themeColor="text1"/>
                <w:sz w:val="24"/>
                <w:szCs w:val="24"/>
                <w14:textFill>
                  <w14:solidFill>
                    <w14:schemeClr w14:val="tx1"/>
                  </w14:solidFill>
                </w14:textFill>
              </w:rPr>
              <w:t>生活污水经化粪池预处理后</w:t>
            </w:r>
            <w:r>
              <w:rPr>
                <w:rFonts w:hint="eastAsia"/>
                <w:sz w:val="24"/>
                <w:szCs w:val="24"/>
              </w:rPr>
              <w:t>排入</w:t>
            </w:r>
            <w:r>
              <w:rPr>
                <w:rFonts w:hint="eastAsia"/>
                <w:sz w:val="24"/>
                <w:szCs w:val="24"/>
                <w:lang w:eastAsia="zh-CN"/>
              </w:rPr>
              <w:t>园区</w:t>
            </w:r>
            <w:r>
              <w:rPr>
                <w:rFonts w:hint="eastAsia"/>
                <w:sz w:val="24"/>
                <w:szCs w:val="24"/>
              </w:rPr>
              <w:t>污水</w:t>
            </w:r>
            <w:r>
              <w:rPr>
                <w:rFonts w:hint="eastAsia"/>
                <w:sz w:val="24"/>
                <w:szCs w:val="24"/>
                <w:lang w:eastAsia="zh-CN"/>
              </w:rPr>
              <w:t>处理站</w:t>
            </w:r>
            <w:r>
              <w:rPr>
                <w:rFonts w:hint="eastAsia"/>
                <w:sz w:val="24"/>
                <w:szCs w:val="24"/>
              </w:rPr>
              <w:t>，最后进入淮南首创第一污水处理厂</w:t>
            </w:r>
            <w:r>
              <w:rPr>
                <w:sz w:val="24"/>
              </w:rPr>
              <w:t>进一步处理</w:t>
            </w:r>
            <w:r>
              <w:rPr>
                <w:rFonts w:hint="eastAsia"/>
                <w:sz w:val="24"/>
              </w:rPr>
              <w:t>，处理达标后排入淮河。</w:t>
            </w:r>
          </w:p>
          <w:p>
            <w:pPr>
              <w:spacing w:line="360" w:lineRule="auto"/>
              <w:ind w:firstLine="480" w:firstLineChars="200"/>
              <w:rPr>
                <w:sz w:val="24"/>
                <w:szCs w:val="24"/>
              </w:rPr>
            </w:pPr>
            <w:r>
              <w:rPr>
                <w:sz w:val="24"/>
                <w:szCs w:val="24"/>
              </w:rPr>
              <w:t>本项目职工人数为</w:t>
            </w:r>
            <w:r>
              <w:rPr>
                <w:rFonts w:hint="eastAsia"/>
                <w:sz w:val="24"/>
                <w:szCs w:val="24"/>
              </w:rPr>
              <w:t>30人</w:t>
            </w:r>
            <w:r>
              <w:rPr>
                <w:sz w:val="24"/>
                <w:szCs w:val="24"/>
              </w:rPr>
              <w:t>，职工均不在项目区食宿，用水标准按50L/(人·d)，用水量为</w:t>
            </w:r>
            <w:r>
              <w:rPr>
                <w:rFonts w:hint="eastAsia"/>
                <w:sz w:val="24"/>
                <w:szCs w:val="24"/>
              </w:rPr>
              <w:t>1.5</w:t>
            </w:r>
            <w:r>
              <w:rPr>
                <w:sz w:val="24"/>
                <w:szCs w:val="24"/>
              </w:rPr>
              <w:t>m</w:t>
            </w:r>
            <w:r>
              <w:rPr>
                <w:sz w:val="24"/>
                <w:szCs w:val="24"/>
                <w:vertAlign w:val="superscript"/>
              </w:rPr>
              <w:t>3</w:t>
            </w:r>
            <w:r>
              <w:rPr>
                <w:sz w:val="24"/>
                <w:szCs w:val="24"/>
              </w:rPr>
              <w:t>/d，</w:t>
            </w:r>
            <w:r>
              <w:rPr>
                <w:rFonts w:hint="eastAsia"/>
                <w:sz w:val="24"/>
                <w:szCs w:val="24"/>
              </w:rPr>
              <w:t>450m</w:t>
            </w:r>
            <w:r>
              <w:rPr>
                <w:sz w:val="24"/>
                <w:szCs w:val="24"/>
                <w:vertAlign w:val="superscript"/>
              </w:rPr>
              <w:t>3</w:t>
            </w:r>
            <w:r>
              <w:rPr>
                <w:sz w:val="24"/>
                <w:szCs w:val="24"/>
              </w:rPr>
              <w:t>/a（一年按</w:t>
            </w:r>
            <w:r>
              <w:rPr>
                <w:rFonts w:hint="eastAsia"/>
                <w:sz w:val="24"/>
                <w:szCs w:val="24"/>
              </w:rPr>
              <w:t>300</w:t>
            </w:r>
            <w:r>
              <w:rPr>
                <w:sz w:val="24"/>
                <w:szCs w:val="24"/>
              </w:rPr>
              <w:t>天计算），排放系数按80%计，则污水量为</w:t>
            </w:r>
            <w:r>
              <w:rPr>
                <w:rFonts w:hint="eastAsia"/>
                <w:sz w:val="24"/>
                <w:szCs w:val="24"/>
              </w:rPr>
              <w:t>1.2</w:t>
            </w:r>
            <w:r>
              <w:rPr>
                <w:sz w:val="24"/>
                <w:szCs w:val="24"/>
              </w:rPr>
              <w:t>m</w:t>
            </w:r>
            <w:r>
              <w:rPr>
                <w:sz w:val="24"/>
                <w:szCs w:val="24"/>
                <w:vertAlign w:val="superscript"/>
              </w:rPr>
              <w:t>3</w:t>
            </w:r>
            <w:r>
              <w:rPr>
                <w:sz w:val="24"/>
                <w:szCs w:val="24"/>
              </w:rPr>
              <w:t>/d，360m</w:t>
            </w:r>
            <w:r>
              <w:rPr>
                <w:sz w:val="24"/>
                <w:szCs w:val="24"/>
                <w:vertAlign w:val="superscript"/>
              </w:rPr>
              <w:t>3</w:t>
            </w:r>
            <w:r>
              <w:rPr>
                <w:sz w:val="24"/>
                <w:szCs w:val="24"/>
              </w:rPr>
              <w:t>/a；</w:t>
            </w:r>
          </w:p>
          <w:p>
            <w:pPr>
              <w:spacing w:line="360" w:lineRule="auto"/>
              <w:rPr>
                <w:sz w:val="24"/>
              </w:rPr>
            </w:pPr>
            <w:r>
              <w:rPr>
                <w:sz w:val="24"/>
              </w:rPr>
              <mc:AlternateContent>
                <mc:Choice Requires="wpc">
                  <w:drawing>
                    <wp:inline distT="0" distB="0" distL="114300" distR="114300">
                      <wp:extent cx="5534025" cy="836930"/>
                      <wp:effectExtent l="0" t="0" r="9525" b="20955"/>
                      <wp:docPr id="49" name="画布 5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矩形 515"/>
                              <wps:cNvSpPr/>
                              <wps:spPr>
                                <a:xfrm>
                                  <a:off x="1824355" y="198120"/>
                                  <a:ext cx="457200" cy="297180"/>
                                </a:xfrm>
                                <a:prstGeom prst="rect">
                                  <a:avLst/>
                                </a:prstGeom>
                                <a:solidFill>
                                  <a:srgbClr val="FFFFFF"/>
                                </a:solidFill>
                                <a:ln>
                                  <a:noFill/>
                                </a:ln>
                              </wps:spPr>
                              <wps:linkedTxbx id="22" seq="1"/>
                              <wps:bodyPr upright="1"/>
                            </wps:wsp>
                            <wpg:wgp>
                              <wpg:cNvPr id="34" name="组合 516"/>
                              <wpg:cNvGrpSpPr/>
                              <wpg:grpSpPr>
                                <a:xfrm>
                                  <a:off x="108585" y="143510"/>
                                  <a:ext cx="687070" cy="693420"/>
                                  <a:chOff x="1893" y="12201"/>
                                  <a:chExt cx="1082" cy="1092"/>
                                </a:xfrm>
                              </wpg:grpSpPr>
                              <wps:wsp>
                                <wps:cNvPr id="32" name="矩形 517"/>
                                <wps:cNvSpPr/>
                                <wps:spPr>
                                  <a:xfrm>
                                    <a:off x="1893" y="12201"/>
                                    <a:ext cx="1081" cy="469"/>
                                  </a:xfrm>
                                  <a:prstGeom prst="rect">
                                    <a:avLst/>
                                  </a:prstGeom>
                                  <a:solidFill>
                                    <a:srgbClr val="FFFFFF"/>
                                  </a:solidFill>
                                  <a:ln>
                                    <a:noFill/>
                                  </a:ln>
                                </wps:spPr>
                                <wps:txbx>
                                  <w:txbxContent>
                                    <w:p>
                                      <w:r>
                                        <w:rPr>
                                          <w:rFonts w:hint="eastAsia"/>
                                        </w:rPr>
                                        <w:t>自来水</w:t>
                                      </w:r>
                                    </w:p>
                                  </w:txbxContent>
                                </wps:txbx>
                                <wps:bodyPr upright="1"/>
                              </wps:wsp>
                              <wps:wsp>
                                <wps:cNvPr id="33" name="矩形 518"/>
                                <wps:cNvSpPr/>
                                <wps:spPr>
                                  <a:xfrm>
                                    <a:off x="1894" y="12824"/>
                                    <a:ext cx="1081" cy="469"/>
                                  </a:xfrm>
                                  <a:prstGeom prst="rect">
                                    <a:avLst/>
                                  </a:prstGeom>
                                  <a:solidFill>
                                    <a:srgbClr val="FFFFFF"/>
                                  </a:solidFill>
                                  <a:ln>
                                    <a:noFill/>
                                  </a:ln>
                                </wps:spPr>
                                <wps:txbx>
                                  <w:txbxContent>
                                    <w:p>
                                      <w:r>
                                        <w:rPr>
                                          <w:rFonts w:hint="eastAsia"/>
                                        </w:rPr>
                                        <w:t>1.5</w:t>
                                      </w:r>
                                    </w:p>
                                  </w:txbxContent>
                                </wps:txbx>
                                <wps:bodyPr upright="1"/>
                              </wps:wsp>
                            </wpg:wgp>
                            <wps:wsp>
                              <wps:cNvPr id="35" name="直线 519"/>
                              <wps:cNvCnPr/>
                              <wps:spPr>
                                <a:xfrm>
                                  <a:off x="109220" y="520700"/>
                                  <a:ext cx="686435" cy="635"/>
                                </a:xfrm>
                                <a:prstGeom prst="line">
                                  <a:avLst/>
                                </a:prstGeom>
                                <a:ln w="9525" cap="flat" cmpd="sng">
                                  <a:solidFill>
                                    <a:srgbClr val="000000"/>
                                  </a:solidFill>
                                  <a:prstDash val="solid"/>
                                  <a:headEnd type="none" w="med" len="med"/>
                                  <a:tailEnd type="triangle" w="med" len="med"/>
                                </a:ln>
                              </wps:spPr>
                              <wps:bodyPr upright="1"/>
                            </wps:wsp>
                            <wps:wsp>
                              <wps:cNvPr id="36" name="矩形 520"/>
                              <wps:cNvSpPr/>
                              <wps:spPr>
                                <a:xfrm>
                                  <a:off x="795655" y="39624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生活用水</w:t>
                                    </w:r>
                                  </w:p>
                                </w:txbxContent>
                              </wps:txbx>
                              <wps:bodyPr upright="1"/>
                            </wps:wsp>
                            <wpg:wgp>
                              <wpg:cNvPr id="40" name="组合 521"/>
                              <wpg:cNvGrpSpPr/>
                              <wpg:grpSpPr>
                                <a:xfrm>
                                  <a:off x="1367155" y="198120"/>
                                  <a:ext cx="236220" cy="224155"/>
                                  <a:chOff x="4520" y="2614"/>
                                  <a:chExt cx="353" cy="353"/>
                                </a:xfrm>
                              </wpg:grpSpPr>
                              <wps:wsp>
                                <wps:cNvPr id="37" name="直线 522"/>
                                <wps:cNvCnPr/>
                                <wps:spPr>
                                  <a:xfrm flipV="1">
                                    <a:off x="4520" y="2655"/>
                                    <a:ext cx="180" cy="312"/>
                                  </a:xfrm>
                                  <a:prstGeom prst="line">
                                    <a:avLst/>
                                  </a:prstGeom>
                                  <a:ln w="9525" cap="flat" cmpd="sng">
                                    <a:solidFill>
                                      <a:srgbClr val="000000"/>
                                    </a:solidFill>
                                    <a:prstDash val="solid"/>
                                    <a:headEnd type="none" w="med" len="med"/>
                                    <a:tailEnd type="none" w="med" len="med"/>
                                  </a:ln>
                                </wps:spPr>
                                <wps:bodyPr upright="1"/>
                              </wps:wsp>
                              <wps:wsp>
                                <wps:cNvPr id="38" name="直线 523"/>
                                <wps:cNvCnPr/>
                                <wps:spPr>
                                  <a:xfrm>
                                    <a:off x="4700" y="2655"/>
                                    <a:ext cx="57" cy="197"/>
                                  </a:xfrm>
                                  <a:prstGeom prst="line">
                                    <a:avLst/>
                                  </a:prstGeom>
                                  <a:ln w="9525" cap="flat" cmpd="sng">
                                    <a:solidFill>
                                      <a:srgbClr val="000000"/>
                                    </a:solidFill>
                                    <a:prstDash val="solid"/>
                                    <a:headEnd type="none" w="med" len="med"/>
                                    <a:tailEnd type="none" w="med" len="med"/>
                                  </a:ln>
                                </wps:spPr>
                                <wps:bodyPr upright="1"/>
                              </wps:wsp>
                              <wps:wsp>
                                <wps:cNvPr id="39" name="直线 524"/>
                                <wps:cNvCnPr/>
                                <wps:spPr>
                                  <a:xfrm flipV="1">
                                    <a:off x="4761" y="2614"/>
                                    <a:ext cx="112" cy="256"/>
                                  </a:xfrm>
                                  <a:prstGeom prst="line">
                                    <a:avLst/>
                                  </a:prstGeom>
                                  <a:ln w="9525" cap="flat" cmpd="sng">
                                    <a:solidFill>
                                      <a:srgbClr val="000000"/>
                                    </a:solidFill>
                                    <a:prstDash val="solid"/>
                                    <a:headEnd type="none" w="med" len="med"/>
                                    <a:tailEnd type="triangle" w="sm" len="sm"/>
                                  </a:ln>
                                </wps:spPr>
                                <wps:bodyPr upright="1"/>
                              </wps:wsp>
                            </wpg:wgp>
                            <wps:wsp>
                              <wps:cNvPr id="41" name="矩形 525"/>
                              <wps:cNvSpPr/>
                              <wps:spPr>
                                <a:xfrm>
                                  <a:off x="1481455" y="0"/>
                                  <a:ext cx="571500" cy="297180"/>
                                </a:xfrm>
                                <a:prstGeom prst="rect">
                                  <a:avLst/>
                                </a:prstGeom>
                                <a:noFill/>
                                <a:ln>
                                  <a:noFill/>
                                </a:ln>
                              </wps:spPr>
                              <wps:txbx>
                                <w:txbxContent>
                                  <w:p>
                                    <w:r>
                                      <w:rPr>
                                        <w:rFonts w:hint="eastAsia"/>
                                      </w:rPr>
                                      <w:t>0.3</w:t>
                                    </w:r>
                                  </w:p>
                                </w:txbxContent>
                              </wps:txbx>
                              <wps:bodyPr upright="1"/>
                            </wps:wsp>
                            <wps:wsp>
                              <wps:cNvPr id="42" name="矩形 526"/>
                              <wps:cNvSpPr/>
                              <wps:spPr>
                                <a:xfrm>
                                  <a:off x="2281555" y="360680"/>
                                  <a:ext cx="736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化粪池</w:t>
                                    </w:r>
                                  </w:p>
                                </w:txbxContent>
                              </wps:txbx>
                              <wps:bodyPr upright="1"/>
                            </wps:wsp>
                            <wps:wsp>
                              <wps:cNvPr id="43" name="直线 533"/>
                              <wps:cNvCnPr/>
                              <wps:spPr>
                                <a:xfrm>
                                  <a:off x="1824355" y="495300"/>
                                  <a:ext cx="457200" cy="635"/>
                                </a:xfrm>
                                <a:prstGeom prst="line">
                                  <a:avLst/>
                                </a:prstGeom>
                                <a:ln w="9525" cap="flat" cmpd="sng">
                                  <a:solidFill>
                                    <a:srgbClr val="000000"/>
                                  </a:solidFill>
                                  <a:prstDash val="solid"/>
                                  <a:headEnd type="none" w="med" len="med"/>
                                  <a:tailEnd type="triangle" w="med" len="med"/>
                                </a:ln>
                              </wps:spPr>
                              <wps:bodyPr upright="1"/>
                            </wps:wsp>
                            <wps:wsp>
                              <wps:cNvPr id="44" name="直线 534"/>
                              <wps:cNvCnPr/>
                              <wps:spPr>
                                <a:xfrm>
                                  <a:off x="3018155" y="495935"/>
                                  <a:ext cx="457200" cy="635"/>
                                </a:xfrm>
                                <a:prstGeom prst="line">
                                  <a:avLst/>
                                </a:prstGeom>
                                <a:ln w="9525" cap="flat" cmpd="sng">
                                  <a:solidFill>
                                    <a:srgbClr val="000000"/>
                                  </a:solidFill>
                                  <a:prstDash val="solid"/>
                                  <a:headEnd type="none" w="med" len="med"/>
                                  <a:tailEnd type="triangle" w="med" len="med"/>
                                </a:ln>
                              </wps:spPr>
                              <wps:bodyPr upright="1"/>
                            </wps:wsp>
                            <wps:wsp>
                              <wps:cNvPr id="45" name="矩形 590"/>
                              <wps:cNvSpPr/>
                              <wps:spPr>
                                <a:xfrm>
                                  <a:off x="3475355" y="290195"/>
                                  <a:ext cx="1022985"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淮南首创第一污水处理厂</w:t>
                                    </w:r>
                                  </w:p>
                                </w:txbxContent>
                              </wps:txbx>
                              <wps:bodyPr upright="1"/>
                            </wps:wsp>
                            <wps:wsp>
                              <wps:cNvPr id="46" name="直线 534"/>
                              <wps:cNvCnPr/>
                              <wps:spPr>
                                <a:xfrm>
                                  <a:off x="4498340" y="520065"/>
                                  <a:ext cx="390525" cy="635"/>
                                </a:xfrm>
                                <a:prstGeom prst="line">
                                  <a:avLst/>
                                </a:prstGeom>
                                <a:ln w="9525" cap="flat" cmpd="sng">
                                  <a:solidFill>
                                    <a:srgbClr val="000000"/>
                                  </a:solidFill>
                                  <a:prstDash val="solid"/>
                                  <a:headEnd type="none" w="med" len="med"/>
                                  <a:tailEnd type="triangle" w="med" len="med"/>
                                </a:ln>
                              </wps:spPr>
                              <wps:bodyPr upright="1"/>
                            </wps:wsp>
                            <wps:wsp>
                              <wps:cNvPr id="47" name="矩形 515"/>
                              <wps:cNvSpPr/>
                              <wps:spPr>
                                <a:xfrm>
                                  <a:off x="3018155" y="241935"/>
                                  <a:ext cx="457200" cy="297180"/>
                                </a:xfrm>
                                <a:prstGeom prst="rect">
                                  <a:avLst/>
                                </a:prstGeom>
                                <a:noFill/>
                                <a:ln>
                                  <a:noFill/>
                                </a:ln>
                              </wps:spPr>
                              <wps:txbx id="22">
                                <w:txbxContent>
                                  <w:p>
                                    <w:r>
                                      <w:rPr>
                                        <w:rFonts w:hint="eastAsia"/>
                                      </w:rPr>
                                      <w:t>1.2</w:t>
                                    </w:r>
                                  </w:p>
                                </w:txbxContent>
                              </wps:txbx>
                              <wps:bodyPr upright="1"/>
                            </wps:wsp>
                            <wps:wsp>
                              <wps:cNvPr id="48" name="矩形 526"/>
                              <wps:cNvSpPr/>
                              <wps:spPr>
                                <a:xfrm>
                                  <a:off x="4888865" y="360680"/>
                                  <a:ext cx="5734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淮河</w:t>
                                    </w:r>
                                  </w:p>
                                </w:txbxContent>
                              </wps:txbx>
                              <wps:bodyPr upright="1"/>
                            </wps:wsp>
                          </wpc:wpc>
                        </a:graphicData>
                      </a:graphic>
                    </wp:inline>
                  </w:drawing>
                </mc:Choice>
                <mc:Fallback>
                  <w:pict>
                    <v:group id="画布 512" o:spid="_x0000_s1026" o:spt="203" style="height:65.9pt;width:435.75pt;" coordsize="5534025,836930" editas="canvas" o:gfxdata="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gCVbv9cAAAAFAQAADwAAAAAAAAABACAAAAAiAAAAZHJzL2Rvd25y&#10;ZXYueG1sUEsBAhQAFAAAAAgAh07iQJdT5GyPBQAAjCQAAA4AAAAAAAAAAQAgAAAAJgEAAGRycy9l&#10;Mm9Eb2MueG1sUEsFBgAAAAAGAAYAWQEAACcJAAAAAA==&#10;">
                      <o:lock v:ext="edit" aspectratio="f"/>
                      <v:shape id="画布 512" o:spid="_x0000_s1026" style="position:absolute;left:0;top:0;height:836930;width:5534025;" filled="f" stroked="f" coordsize="21600,21600" o:gfxdata="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">
                        <v:fill on="f" focussize="0,0"/>
                        <v:stroke on="f"/>
                        <v:imagedata o:title=""/>
                        <o:lock v:ext="edit" aspectratio="t"/>
                      </v:shape>
                      <v:rect id="矩形 515" o:spid="_x0000_s1026" o:spt="1" style="position:absolute;left:1824355;top:198120;height:297180;width:457200;" fillcolor="#FFFFFF" filled="t" stroked="f" coordsize="21600,21600" o:gfxdata="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PvI401QAAAAUBAAAPAAAAAAAA&#10;AAEAIAAAACIAAABkcnMvZG93bnJldi54bWxQSwECFAAUAAAACACHTuJA8ai/v6MBAAAeAwAADgAA&#10;AAAAAAABACAAAAAkAQAAZHJzL2Uyb0RvYy54bWxQSwUGAAAAAAYABgBZAQAAOQUAAAAA&#10;">
                        <v:fill on="t" focussize="0,0"/>
                        <v:stroke on="f"/>
                        <v:imagedata o:title=""/>
                        <o:lock v:ext="edit" aspectratio="f"/>
                        <v:textbox>
                          <w:txbxContent/>
                        </v:textbox>
                      </v:rect>
                      <v:group id="组合 516" o:spid="_x0000_s1026" o:spt="203" style="position:absolute;left:108585;top:143510;height:693420;width:687070;" coordorigin="1893,12201" coordsize="1082,1092" o:gfxdata="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z4axNUAAAAFAQAADwAAAAAAAAABACAAAAAiAAAAZHJzL2Rvd25yZXYueG1s&#10;UEsBAhQAFAAAAAgAh07iQHsB5HY0AgAA7QUAAA4AAAAAAAAAAQAgAAAAJAEAAGRycy9lMm9Eb2Mu&#10;eG1sUEsFBgAAAAAGAAYAWQEAAMoFAAAAAA==&#10;">
                        <o:lock v:ext="edit" aspectratio="f"/>
                        <v:rect id="矩形 517" o:spid="_x0000_s1026" o:spt="1" style="position:absolute;left:1893;top:12201;height:469;width:1081;" fillcolor="#FFFFFF" filled="t" stroked="f" coordsize="21600,21600" o:gfxdata="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wr6W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自来水</w:t>
                                </w:r>
                              </w:p>
                            </w:txbxContent>
                          </v:textbox>
                        </v:rect>
                        <v:rect id="矩形 518" o:spid="_x0000_s1026" o:spt="1" style="position:absolute;left:1894;top:12824;height:469;width:1081;" fillcolor="#FFFFFF" filled="t" stroked="f" coordsize="21600,21600" o:gfxdata="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Cj6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1.5</w:t>
                                </w:r>
                              </w:p>
                            </w:txbxContent>
                          </v:textbox>
                        </v:rect>
                      </v:group>
                      <v:line id="直线 519" o:spid="_x0000_s1026" o:spt="20" style="position:absolute;left:109220;top:520700;height:635;width:686435;" filled="f" stroked="t" coordsize="21600,21600" o:gfxdata="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VXGoNYAAAAFAQAADwAA&#10;AAAAAAABACAAAAAiAAAAZHJzL2Rvd25yZXYueG1sUEsBAhQAFAAAAAgAh07iQC5zmADfAQAAnwMA&#10;AA4AAAAAAAAAAQAgAAAAJQEAAGRycy9lMm9Eb2MueG1sUEsFBgAAAAAGAAYAWQEAAHYFAAAAAA==&#10;">
                        <v:fill on="f" focussize="0,0"/>
                        <v:stroke color="#000000" joinstyle="round" endarrow="block"/>
                        <v:imagedata o:title=""/>
                        <o:lock v:ext="edit" aspectratio="f"/>
                      </v:line>
                      <v:rect id="矩形 520" o:spid="_x0000_s1026" o:spt="1" style="position:absolute;left:795655;top:396240;height:297180;width:1028700;" fillcolor="#FFFFFF" filled="t" stroked="t" coordsize="21600,21600" o:gfxdata="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UVBatUAAAAFAQAADwAAAAAAAAABACAAAAAiAAAAZHJzL2Rvd25yZXYueG1sUEsBAhQA&#10;FAAAAAgAh07iQDtmIY31AQAA6AMAAA4AAAAAAAAAAQAgAAAAJAEAAGRycy9lMm9Eb2MueG1sUEsF&#10;BgAAAAAGAAYAWQEAAIsFAAAAAA==&#10;">
                        <v:fill on="t" focussize="0,0"/>
                        <v:stroke color="#000000" joinstyle="miter"/>
                        <v:imagedata o:title=""/>
                        <o:lock v:ext="edit" aspectratio="f"/>
                        <v:textbox>
                          <w:txbxContent>
                            <w:p>
                              <w:pPr>
                                <w:jc w:val="center"/>
                              </w:pPr>
                              <w:r>
                                <w:rPr>
                                  <w:rFonts w:hint="eastAsia"/>
                                </w:rPr>
                                <w:t>生活用水</w:t>
                              </w:r>
                            </w:p>
                          </w:txbxContent>
                        </v:textbox>
                      </v:rect>
                      <v:group id="组合 521" o:spid="_x0000_s1026" o:spt="203" style="position:absolute;left:1367155;top:198120;height:224155;width:236220;" coordorigin="4520,2614" coordsize="353,353" o:gfxdata="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c+GsTVAAAABQEAAA8AAAAAAAAAAQAg&#10;AAAAIgAAAGRycy9kb3ducmV2LnhtbFBLAQIUABQAAAAIAIdO4kDdDGvKvAIAAOwIAAAOAAAAAAAA&#10;AAEAIAAAACQBAABkcnMvZTJvRG9jLnhtbFBLBQYAAAAABgAGAFkBAABSBgAAAAA=&#10;">
                        <o:lock v:ext="edit" aspectratio="f"/>
                        <v:line id="直线 522" o:spid="_x0000_s1026" o:spt="20" style="position:absolute;left:4520;top:2655;flip:y;height:312;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23" o:spid="_x0000_s1026" o:spt="20" style="position:absolute;left:4700;top:2655;height:197;width:57;"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24" o:spid="_x0000_s1026" o:spt="20" style="position:absolute;left:4761;top:2614;flip:y;height:256;width:112;" filled="f" stroked="t" coordsize="21600,21600" o:gfxdata="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fVrr4A&#10;AADb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group>
                      <v:rect id="矩形 525" o:spid="_x0000_s1026" o:spt="1" style="position:absolute;left:1481455;top:0;height:297180;width:571500;" filled="f" stroked="f" coordsize="21600,21600" o:gfxdata="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AJVu/1wAAAAUBAAAPAAAAAAAAAAEAIAAAACIAAABkcnMvZG93&#10;bnJldi54bWxQSwECFAAUAAAACACHTuJA/0oVPI8BAAD7AgAADgAAAAAAAAABACAAAAAmAQAAZHJz&#10;L2Uyb0RvYy54bWxQSwUGAAAAAAYABgBZAQAAJwUAAAAA&#10;">
                        <v:fill on="f" focussize="0,0"/>
                        <v:stroke on="f"/>
                        <v:imagedata o:title=""/>
                        <o:lock v:ext="edit" aspectratio="f"/>
                        <v:textbox>
                          <w:txbxContent>
                            <w:p>
                              <w:r>
                                <w:rPr>
                                  <w:rFonts w:hint="eastAsia"/>
                                </w:rPr>
                                <w:t>0.3</w:t>
                              </w:r>
                            </w:p>
                          </w:txbxContent>
                        </v:textbox>
                      </v:rect>
                      <v:rect id="矩形 526" o:spid="_x0000_s1026" o:spt="1" style="position:absolute;left:2281555;top:360680;height:297180;width:736600;" fillcolor="#FFFFFF" filled="t" stroked="t" coordsize="21600,21600" o:gfxdata="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VFQWrVAAAABQEAAA8AAAAAAAAAAQAgAAAAIgAAAGRycy9kb3ducmV2LnhtbFBLAQIU&#10;ABQAAAAIAIdO4kDMtG0V9gEAAOgDAAAOAAAAAAAAAAEAIAAAACQBAABkcnMvZTJvRG9jLnhtbFBL&#10;BQYAAAAABgAGAFkBAACMBQAAAAA=&#10;">
                        <v:fill on="t" focussize="0,0"/>
                        <v:stroke color="#000000" joinstyle="miter"/>
                        <v:imagedata o:title=""/>
                        <o:lock v:ext="edit" aspectratio="f"/>
                        <v:textbox>
                          <w:txbxContent>
                            <w:p>
                              <w:r>
                                <w:rPr>
                                  <w:rFonts w:hint="eastAsia"/>
                                </w:rPr>
                                <w:t>化粪池</w:t>
                              </w:r>
                            </w:p>
                          </w:txbxContent>
                        </v:textbox>
                      </v:rect>
                      <v:line id="直线 533" o:spid="_x0000_s1026" o:spt="20" style="position:absolute;left:1824355;top:495300;height:635;width:457200;" filled="f" stroked="t" coordsize="21600,21600" o:gfxdata="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VXGoNYAAAAFAQAA&#10;DwAAAAAAAAABACAAAAAiAAAAZHJzL2Rvd25yZXYueG1sUEsBAhQAFAAAAAgAh07iQEo11TriAQAA&#10;oAMAAA4AAAAAAAAAAQAgAAAAJQEAAGRycy9lMm9Eb2MueG1sUEsFBgAAAAAGAAYAWQEAAHkFAAAA&#10;AA==&#10;">
                        <v:fill on="f" focussize="0,0"/>
                        <v:stroke color="#000000" joinstyle="round" endarrow="block"/>
                        <v:imagedata o:title=""/>
                        <o:lock v:ext="edit" aspectratio="f"/>
                      </v:line>
                      <v:line id="直线 534" o:spid="_x0000_s1026" o:spt="20" style="position:absolute;left:3018155;top:495935;height:635;width:457200;" filled="f" stroked="t" coordsize="21600,21600" o:gfxdata="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VXGoNYAAAAF&#10;AQAADwAAAAAAAAABACAAAAAiAAAAZHJzL2Rvd25yZXYueG1sUEsBAhQAFAAAAAgAh07iQKH6m+vl&#10;AQAAoAMAAA4AAAAAAAAAAQAgAAAAJQEAAGRycy9lMm9Eb2MueG1sUEsFBgAAAAAGAAYAWQEAAHwF&#10;AAAAAA==&#10;">
                        <v:fill on="f" focussize="0,0"/>
                        <v:stroke color="#000000" joinstyle="round" endarrow="block"/>
                        <v:imagedata o:title=""/>
                        <o:lock v:ext="edit" aspectratio="f"/>
                      </v:line>
                      <v:rect id="矩形 590" o:spid="_x0000_s1026" o:spt="1" style="position:absolute;left:3475355;top:290195;height:546735;width:1022985;" fillcolor="#FFFFFF" filled="t" stroked="t" coordsize="21600,21600" o:gfxdata="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VFQWrVAAAABQEAAA8AAAAAAAAAAQAgAAAAIgAAAGRycy9kb3ducmV2LnhtbFBLAQIU&#10;ABQAAAAIAIdO4kCDlA+K9gEAAOkDAAAOAAAAAAAAAAEAIAAAACQBAABkcnMvZTJvRG9jLnhtbFBL&#10;BQYAAAAABgAGAFkBAACMBQAAAAA=&#10;">
                        <v:fill on="t" focussize="0,0"/>
                        <v:stroke color="#000000" joinstyle="miter"/>
                        <v:imagedata o:title=""/>
                        <o:lock v:ext="edit" aspectratio="f"/>
                        <v:textbox>
                          <w:txbxContent>
                            <w:p>
                              <w:r>
                                <w:rPr>
                                  <w:rFonts w:hint="eastAsia"/>
                                </w:rPr>
                                <w:t>淮南首创第一污水处理厂</w:t>
                              </w:r>
                            </w:p>
                          </w:txbxContent>
                        </v:textbox>
                      </v:rect>
                      <v:line id="直线 534" o:spid="_x0000_s1026" o:spt="20" style="position:absolute;left:4498340;top:520065;height:635;width:390525;" filled="f" stroked="t" coordsize="21600,21600" o:gfxdata="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Vcag1gAAAAUBAAAP&#10;AAAAAAAAAAEAIAAAACIAAABkcnMvZG93bnJldi54bWxQSwECFAAUAAAACACHTuJAhodTauEBAACg&#10;AwAADgAAAAAAAAABACAAAAAlAQAAZHJzL2Uyb0RvYy54bWxQSwUGAAAAAAYABgBZAQAAeAUAAAAA&#10;">
                        <v:fill on="f" focussize="0,0"/>
                        <v:stroke color="#000000" joinstyle="round" endarrow="block"/>
                        <v:imagedata o:title=""/>
                        <o:lock v:ext="edit" aspectratio="f"/>
                      </v:line>
                      <v:rect id="矩形 515" o:spid="_x0000_s1026" o:spt="1" style="position:absolute;left:3018155;top:241935;height:297180;width:457200;" filled="f" stroked="f" coordsize="21600,21600" o:gfxdata="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&#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gCVbv9cAAAAFAQAADwAAAAAAAAABACAAAAAiAAAA&#10;ZHJzL2Rvd25yZXYueG1sUEsBAhQAFAAAAAgAh07iQIupQLSWAQAAAAMAAA4AAAAAAAAAAQAgAAAA&#10;JgEAAGRycy9lMm9Eb2MueG1sUEsFBgAAAAAGAAYAWQEAAC4FAAAAAA==&#10;">
                        <v:fill on="f" focussize="0,0"/>
                        <v:stroke on="f"/>
                        <v:imagedata o:title=""/>
                        <o:lock v:ext="edit" aspectratio="f"/>
                        <v:textbox>
                          <w:txbxContent>
                            <w:p>
                              <w:r>
                                <w:rPr>
                                  <w:rFonts w:hint="eastAsia"/>
                                </w:rPr>
                                <w:t>1.2</w:t>
                              </w:r>
                            </w:p>
                          </w:txbxContent>
                        </v:textbox>
                      </v:rect>
                      <v:rect id="矩形 526" o:spid="_x0000_s1026" o:spt="1" style="position:absolute;left:4888865;top:360680;height:297180;width:573405;" fillcolor="#FFFFFF" filled="t" stroked="t" coordsize="21600,21600" o:gfxdata="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VFQWrVAAAABQEAAA8AAAAAAAAAAQAgAAAAIgAAAGRycy9kb3ducmV2LnhtbFBLAQIUABQA&#10;AAAIAIdO4kBqQN+e8wEAAOgDAAAOAAAAAAAAAAEAIAAAACQBAABkcnMvZTJvRG9jLnhtbFBLBQYA&#10;AAAABgAGAFkBAACJBQAAAAA=&#10;">
                        <v:fill on="t" focussize="0,0"/>
                        <v:stroke color="#000000" joinstyle="miter"/>
                        <v:imagedata o:title=""/>
                        <o:lock v:ext="edit" aspectratio="f"/>
                        <v:textbox>
                          <w:txbxContent>
                            <w:p>
                              <w:r>
                                <w:rPr>
                                  <w:rFonts w:hint="eastAsia"/>
                                </w:rPr>
                                <w:t>淮河</w:t>
                              </w:r>
                            </w:p>
                          </w:txbxContent>
                        </v:textbox>
                      </v:rect>
                      <w10:wrap type="none"/>
                      <w10:anchorlock/>
                    </v:group>
                  </w:pict>
                </mc:Fallback>
              </mc:AlternateContent>
            </w:r>
          </w:p>
          <w:p>
            <w:pPr>
              <w:spacing w:line="360" w:lineRule="auto"/>
              <w:jc w:val="center"/>
              <w:rPr>
                <w:b/>
                <w:szCs w:val="21"/>
              </w:rPr>
            </w:pPr>
            <w:r>
              <w:rPr>
                <w:b/>
                <w:szCs w:val="21"/>
              </w:rPr>
              <w:t>图</w:t>
            </w:r>
            <w:r>
              <w:rPr>
                <w:rFonts w:hint="eastAsia"/>
                <w:b/>
                <w:szCs w:val="21"/>
              </w:rPr>
              <w:t xml:space="preserve">3 </w:t>
            </w:r>
            <w:r>
              <w:rPr>
                <w:b/>
                <w:szCs w:val="21"/>
              </w:rPr>
              <w:t>项目水平衡图（单位：m</w:t>
            </w:r>
            <w:r>
              <w:rPr>
                <w:b/>
                <w:szCs w:val="21"/>
                <w:vertAlign w:val="superscript"/>
              </w:rPr>
              <w:t>3</w:t>
            </w:r>
            <w:r>
              <w:rPr>
                <w:b/>
                <w:szCs w:val="21"/>
              </w:rPr>
              <w:t>/d）</w:t>
            </w:r>
          </w:p>
          <w:p>
            <w:pPr>
              <w:spacing w:line="360" w:lineRule="auto"/>
              <w:ind w:firstLine="480" w:firstLineChars="200"/>
              <w:rPr>
                <w:b/>
                <w:sz w:val="28"/>
                <w:szCs w:val="28"/>
              </w:rPr>
            </w:pPr>
            <w:r>
              <w:rPr>
                <w:sz w:val="24"/>
                <w:szCs w:val="24"/>
              </w:rPr>
              <w:t>(2)废水污染物种类</w:t>
            </w:r>
          </w:p>
          <w:p>
            <w:pPr>
              <w:spacing w:line="360" w:lineRule="auto"/>
              <w:ind w:firstLine="480" w:firstLineChars="200"/>
              <w:rPr>
                <w:sz w:val="24"/>
                <w:szCs w:val="24"/>
              </w:rPr>
            </w:pPr>
            <w:r>
              <w:rPr>
                <w:sz w:val="24"/>
                <w:szCs w:val="24"/>
                <w:lang w:val="en-GB"/>
              </w:rPr>
              <w:t>根据建设项目特点，该项目排放废水主要为办公、生活废水。类比调查资料显示，本项目废水主要污染物为COD</w:t>
            </w:r>
            <w:r>
              <w:rPr>
                <w:rFonts w:eastAsia="仿宋_GB2312"/>
                <w:sz w:val="24"/>
                <w:vertAlign w:val="subscript"/>
              </w:rPr>
              <w:t>cr</w:t>
            </w:r>
            <w:r>
              <w:rPr>
                <w:sz w:val="24"/>
                <w:szCs w:val="24"/>
                <w:lang w:val="en-GB"/>
              </w:rPr>
              <w:t>、SS、氨氮等。项目废水污染物产生情况见下表：</w:t>
            </w:r>
          </w:p>
          <w:p>
            <w:pPr>
              <w:jc w:val="center"/>
              <w:rPr>
                <w:b/>
                <w:szCs w:val="21"/>
              </w:rPr>
            </w:pPr>
            <w:r>
              <w:rPr>
                <w:b/>
                <w:szCs w:val="21"/>
              </w:rPr>
              <w:t>表</w:t>
            </w:r>
            <w:r>
              <w:rPr>
                <w:rFonts w:hint="eastAsia"/>
                <w:b/>
                <w:szCs w:val="21"/>
              </w:rPr>
              <w:t>17</w:t>
            </w:r>
            <w:r>
              <w:rPr>
                <w:b/>
                <w:szCs w:val="21"/>
              </w:rPr>
              <w:t>废水水质指标  单位：mg/L（pH除外）</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2"/>
              <w:gridCol w:w="1148"/>
              <w:gridCol w:w="1833"/>
              <w:gridCol w:w="1207"/>
              <w:gridCol w:w="1467"/>
              <w:gridCol w:w="14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32" w:type="dxa"/>
                  <w:vAlign w:val="center"/>
                </w:tcPr>
                <w:p>
                  <w:pPr>
                    <w:jc w:val="center"/>
                    <w:rPr>
                      <w:rFonts w:eastAsia="仿宋_GB2312"/>
                      <w:caps/>
                      <w:szCs w:val="21"/>
                    </w:rPr>
                  </w:pPr>
                  <w:r>
                    <w:rPr>
                      <w:caps/>
                      <w:szCs w:val="21"/>
                    </w:rPr>
                    <w:t>种类</w:t>
                  </w:r>
                </w:p>
              </w:tc>
              <w:tc>
                <w:tcPr>
                  <w:tcW w:w="1148" w:type="dxa"/>
                  <w:vAlign w:val="center"/>
                </w:tcPr>
                <w:p>
                  <w:pPr>
                    <w:jc w:val="center"/>
                    <w:rPr>
                      <w:rFonts w:eastAsia="仿宋_GB2312"/>
                      <w:szCs w:val="21"/>
                    </w:rPr>
                  </w:pPr>
                  <w:r>
                    <w:rPr>
                      <w:rFonts w:eastAsia="仿宋_GB2312"/>
                      <w:szCs w:val="21"/>
                    </w:rPr>
                    <w:t>pH</w:t>
                  </w:r>
                </w:p>
              </w:tc>
              <w:tc>
                <w:tcPr>
                  <w:tcW w:w="1833" w:type="dxa"/>
                  <w:vAlign w:val="center"/>
                </w:tcPr>
                <w:p>
                  <w:pPr>
                    <w:jc w:val="center"/>
                    <w:rPr>
                      <w:rFonts w:eastAsia="仿宋_GB2312"/>
                      <w:caps/>
                      <w:szCs w:val="21"/>
                    </w:rPr>
                  </w:pPr>
                  <w:r>
                    <w:rPr>
                      <w:rFonts w:eastAsia="仿宋_GB2312"/>
                      <w:caps/>
                      <w:szCs w:val="21"/>
                    </w:rPr>
                    <w:t>COD</w:t>
                  </w:r>
                  <w:r>
                    <w:rPr>
                      <w:rFonts w:eastAsia="仿宋_GB2312"/>
                      <w:szCs w:val="21"/>
                      <w:vertAlign w:val="subscript"/>
                    </w:rPr>
                    <w:t>cr</w:t>
                  </w:r>
                </w:p>
              </w:tc>
              <w:tc>
                <w:tcPr>
                  <w:tcW w:w="1207" w:type="dxa"/>
                  <w:vAlign w:val="center"/>
                </w:tcPr>
                <w:p>
                  <w:pPr>
                    <w:jc w:val="center"/>
                    <w:rPr>
                      <w:rFonts w:eastAsia="仿宋_GB2312"/>
                      <w:caps/>
                      <w:szCs w:val="21"/>
                    </w:rPr>
                  </w:pPr>
                  <w:r>
                    <w:rPr>
                      <w:rFonts w:eastAsia="仿宋_GB2312"/>
                      <w:caps/>
                      <w:szCs w:val="21"/>
                    </w:rPr>
                    <w:t>BOD</w:t>
                  </w:r>
                  <w:r>
                    <w:rPr>
                      <w:rFonts w:eastAsia="仿宋_GB2312"/>
                      <w:caps/>
                      <w:szCs w:val="21"/>
                      <w:vertAlign w:val="subscript"/>
                    </w:rPr>
                    <w:t>5</w:t>
                  </w:r>
                </w:p>
              </w:tc>
              <w:tc>
                <w:tcPr>
                  <w:tcW w:w="1467" w:type="dxa"/>
                  <w:vAlign w:val="center"/>
                </w:tcPr>
                <w:p>
                  <w:pPr>
                    <w:jc w:val="center"/>
                    <w:rPr>
                      <w:rFonts w:eastAsia="仿宋_GB2312"/>
                      <w:caps/>
                      <w:szCs w:val="21"/>
                    </w:rPr>
                  </w:pPr>
                  <w:r>
                    <w:rPr>
                      <w:rFonts w:eastAsia="仿宋_GB2312"/>
                      <w:caps/>
                      <w:szCs w:val="21"/>
                    </w:rPr>
                    <w:t>SS</w:t>
                  </w:r>
                </w:p>
              </w:tc>
              <w:tc>
                <w:tcPr>
                  <w:tcW w:w="1417" w:type="dxa"/>
                  <w:vAlign w:val="center"/>
                </w:tcPr>
                <w:p>
                  <w:pPr>
                    <w:jc w:val="center"/>
                    <w:rPr>
                      <w:caps/>
                      <w:szCs w:val="21"/>
                    </w:rPr>
                  </w:pPr>
                  <w:r>
                    <w:rPr>
                      <w:caps/>
                      <w:szCs w:val="21"/>
                    </w:rPr>
                    <w:t>氨氮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32" w:type="dxa"/>
                  <w:vAlign w:val="center"/>
                </w:tcPr>
                <w:p>
                  <w:pPr>
                    <w:jc w:val="center"/>
                    <w:rPr>
                      <w:caps/>
                      <w:szCs w:val="21"/>
                    </w:rPr>
                  </w:pPr>
                  <w:r>
                    <w:rPr>
                      <w:caps/>
                      <w:szCs w:val="21"/>
                    </w:rPr>
                    <w:t>生活废水</w:t>
                  </w:r>
                </w:p>
              </w:tc>
              <w:tc>
                <w:tcPr>
                  <w:tcW w:w="1148" w:type="dxa"/>
                  <w:vAlign w:val="center"/>
                </w:tcPr>
                <w:p>
                  <w:pPr>
                    <w:jc w:val="center"/>
                    <w:rPr>
                      <w:rFonts w:eastAsia="仿宋_GB2312"/>
                      <w:caps/>
                      <w:szCs w:val="21"/>
                    </w:rPr>
                  </w:pPr>
                  <w:r>
                    <w:rPr>
                      <w:rFonts w:eastAsia="仿宋_GB2312"/>
                      <w:caps/>
                      <w:szCs w:val="21"/>
                    </w:rPr>
                    <w:t>6~8</w:t>
                  </w:r>
                </w:p>
              </w:tc>
              <w:tc>
                <w:tcPr>
                  <w:tcW w:w="1833" w:type="dxa"/>
                  <w:vAlign w:val="center"/>
                </w:tcPr>
                <w:p>
                  <w:pPr>
                    <w:jc w:val="center"/>
                    <w:rPr>
                      <w:rFonts w:eastAsia="仿宋_GB2312"/>
                      <w:caps/>
                      <w:szCs w:val="21"/>
                    </w:rPr>
                  </w:pPr>
                  <w:r>
                    <w:rPr>
                      <w:rFonts w:eastAsia="仿宋_GB2312"/>
                      <w:caps/>
                      <w:szCs w:val="21"/>
                    </w:rPr>
                    <w:t>350</w:t>
                  </w:r>
                </w:p>
              </w:tc>
              <w:tc>
                <w:tcPr>
                  <w:tcW w:w="1207" w:type="dxa"/>
                  <w:vAlign w:val="center"/>
                </w:tcPr>
                <w:p>
                  <w:pPr>
                    <w:jc w:val="center"/>
                    <w:rPr>
                      <w:rFonts w:eastAsia="仿宋_GB2312"/>
                      <w:caps/>
                      <w:szCs w:val="21"/>
                    </w:rPr>
                  </w:pPr>
                  <w:r>
                    <w:rPr>
                      <w:rFonts w:eastAsia="仿宋_GB2312"/>
                      <w:caps/>
                      <w:szCs w:val="21"/>
                    </w:rPr>
                    <w:t>250</w:t>
                  </w:r>
                </w:p>
              </w:tc>
              <w:tc>
                <w:tcPr>
                  <w:tcW w:w="1467" w:type="dxa"/>
                  <w:vAlign w:val="center"/>
                </w:tcPr>
                <w:p>
                  <w:pPr>
                    <w:jc w:val="center"/>
                    <w:rPr>
                      <w:rFonts w:eastAsia="仿宋_GB2312"/>
                      <w:caps/>
                      <w:szCs w:val="21"/>
                    </w:rPr>
                  </w:pPr>
                  <w:r>
                    <w:rPr>
                      <w:rFonts w:eastAsia="仿宋_GB2312"/>
                      <w:caps/>
                      <w:szCs w:val="21"/>
                    </w:rPr>
                    <w:t>200</w:t>
                  </w:r>
                </w:p>
              </w:tc>
              <w:tc>
                <w:tcPr>
                  <w:tcW w:w="1417" w:type="dxa"/>
                  <w:vAlign w:val="center"/>
                </w:tcPr>
                <w:p>
                  <w:pPr>
                    <w:jc w:val="center"/>
                    <w:rPr>
                      <w:rFonts w:eastAsia="仿宋_GB2312"/>
                      <w:caps/>
                      <w:szCs w:val="21"/>
                    </w:rPr>
                  </w:pPr>
                  <w:r>
                    <w:rPr>
                      <w:rFonts w:eastAsia="仿宋_GB2312"/>
                      <w:caps/>
                      <w:szCs w:val="21"/>
                    </w:rPr>
                    <w:t>20</w:t>
                  </w:r>
                </w:p>
              </w:tc>
            </w:tr>
          </w:tbl>
          <w:p>
            <w:pPr>
              <w:spacing w:line="360" w:lineRule="auto"/>
              <w:ind w:firstLine="240" w:firstLineChars="100"/>
              <w:rPr>
                <w:sz w:val="24"/>
                <w:szCs w:val="24"/>
              </w:rPr>
            </w:pPr>
            <w:r>
              <w:rPr>
                <w:sz w:val="24"/>
                <w:szCs w:val="24"/>
              </w:rPr>
              <w:t>(3)污水处理措施分析</w:t>
            </w:r>
          </w:p>
          <w:p>
            <w:pPr>
              <w:jc w:val="center"/>
              <w:rPr>
                <w:b/>
                <w:szCs w:val="21"/>
              </w:rPr>
            </w:pPr>
            <w:r>
              <w:rPr>
                <w:rFonts w:hint="eastAsia"/>
                <w:b/>
                <w:szCs w:val="21"/>
              </w:rPr>
              <w:t xml:space="preserve">表18 </w:t>
            </w:r>
            <w:r>
              <w:rPr>
                <w:b/>
                <w:szCs w:val="21"/>
              </w:rPr>
              <w:t>废水</w:t>
            </w:r>
            <w:r>
              <w:rPr>
                <w:rFonts w:hint="eastAsia"/>
                <w:b/>
                <w:szCs w:val="21"/>
              </w:rPr>
              <w:t>处理前后水质情况表</w:t>
            </w:r>
          </w:p>
          <w:tbl>
            <w:tblPr>
              <w:tblStyle w:val="30"/>
              <w:tblW w:w="89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466"/>
              <w:gridCol w:w="1436"/>
              <w:gridCol w:w="975"/>
              <w:gridCol w:w="1116"/>
              <w:gridCol w:w="958"/>
              <w:gridCol w:w="9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466" w:type="dxa"/>
                  <w:vAlign w:val="center"/>
                </w:tcPr>
                <w:p>
                  <w:pPr>
                    <w:snapToGrid w:val="0"/>
                    <w:jc w:val="center"/>
                    <w:rPr>
                      <w:b/>
                      <w:szCs w:val="21"/>
                    </w:rPr>
                  </w:pPr>
                  <w:r>
                    <w:rPr>
                      <w:rFonts w:hint="eastAsia"/>
                      <w:b/>
                      <w:szCs w:val="21"/>
                    </w:rPr>
                    <w:t>名称</w:t>
                  </w:r>
                </w:p>
              </w:tc>
              <w:tc>
                <w:tcPr>
                  <w:tcW w:w="1436" w:type="dxa"/>
                  <w:vAlign w:val="center"/>
                </w:tcPr>
                <w:p>
                  <w:pPr>
                    <w:snapToGrid w:val="0"/>
                    <w:jc w:val="center"/>
                    <w:rPr>
                      <w:b/>
                      <w:szCs w:val="21"/>
                    </w:rPr>
                  </w:pPr>
                  <w:r>
                    <w:rPr>
                      <w:b/>
                      <w:szCs w:val="21"/>
                    </w:rPr>
                    <w:t>废水量(t/a)</w:t>
                  </w:r>
                </w:p>
              </w:tc>
              <w:tc>
                <w:tcPr>
                  <w:tcW w:w="975" w:type="dxa"/>
                  <w:vAlign w:val="center"/>
                </w:tcPr>
                <w:p>
                  <w:pPr>
                    <w:snapToGrid w:val="0"/>
                    <w:ind w:hanging="24"/>
                    <w:jc w:val="center"/>
                    <w:rPr>
                      <w:b/>
                      <w:szCs w:val="21"/>
                    </w:rPr>
                  </w:pPr>
                  <w:r>
                    <w:rPr>
                      <w:b/>
                      <w:szCs w:val="21"/>
                    </w:rPr>
                    <w:t>COD</w:t>
                  </w:r>
                </w:p>
              </w:tc>
              <w:tc>
                <w:tcPr>
                  <w:tcW w:w="1116" w:type="dxa"/>
                  <w:vAlign w:val="center"/>
                </w:tcPr>
                <w:p>
                  <w:pPr>
                    <w:snapToGrid w:val="0"/>
                    <w:ind w:hanging="24"/>
                    <w:jc w:val="center"/>
                    <w:rPr>
                      <w:b/>
                      <w:szCs w:val="21"/>
                    </w:rPr>
                  </w:pPr>
                  <w:r>
                    <w:rPr>
                      <w:b/>
                      <w:szCs w:val="21"/>
                    </w:rPr>
                    <w:t>BOD</w:t>
                  </w:r>
                  <w:r>
                    <w:rPr>
                      <w:b/>
                      <w:szCs w:val="21"/>
                      <w:vertAlign w:val="subscript"/>
                    </w:rPr>
                    <w:t>5</w:t>
                  </w:r>
                </w:p>
              </w:tc>
              <w:tc>
                <w:tcPr>
                  <w:tcW w:w="958" w:type="dxa"/>
                  <w:vAlign w:val="center"/>
                </w:tcPr>
                <w:p>
                  <w:pPr>
                    <w:snapToGrid w:val="0"/>
                    <w:ind w:hanging="24"/>
                    <w:jc w:val="center"/>
                    <w:rPr>
                      <w:b/>
                      <w:szCs w:val="21"/>
                    </w:rPr>
                  </w:pPr>
                  <w:r>
                    <w:rPr>
                      <w:b/>
                      <w:szCs w:val="21"/>
                    </w:rPr>
                    <w:t>SS</w:t>
                  </w:r>
                </w:p>
              </w:tc>
              <w:tc>
                <w:tcPr>
                  <w:tcW w:w="957" w:type="dxa"/>
                  <w:vAlign w:val="center"/>
                </w:tcPr>
                <w:p>
                  <w:pPr>
                    <w:snapToGrid w:val="0"/>
                    <w:jc w:val="center"/>
                    <w:rPr>
                      <w:b/>
                      <w:szCs w:val="21"/>
                    </w:rPr>
                  </w:pPr>
                  <w:r>
                    <w:rPr>
                      <w:rFonts w:hint="eastAsia"/>
                      <w:b/>
                      <w:bCs/>
                      <w:szCs w:val="21"/>
                    </w:rPr>
                    <w:t>氨氮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466" w:type="dxa"/>
                  <w:vAlign w:val="center"/>
                </w:tcPr>
                <w:p>
                  <w:pPr>
                    <w:snapToGrid w:val="0"/>
                    <w:jc w:val="center"/>
                    <w:rPr>
                      <w:caps/>
                      <w:szCs w:val="21"/>
                    </w:rPr>
                  </w:pPr>
                  <w:r>
                    <w:rPr>
                      <w:rFonts w:hint="eastAsia"/>
                      <w:caps/>
                      <w:szCs w:val="21"/>
                    </w:rPr>
                    <w:t>生活污水</w:t>
                  </w:r>
                </w:p>
              </w:tc>
              <w:tc>
                <w:tcPr>
                  <w:tcW w:w="1436" w:type="dxa"/>
                  <w:vMerge w:val="restart"/>
                  <w:vAlign w:val="center"/>
                </w:tcPr>
                <w:p>
                  <w:pPr>
                    <w:snapToGrid w:val="0"/>
                    <w:jc w:val="center"/>
                    <w:rPr>
                      <w:szCs w:val="21"/>
                    </w:rPr>
                  </w:pPr>
                  <w:r>
                    <w:rPr>
                      <w:rFonts w:hint="eastAsia"/>
                      <w:szCs w:val="21"/>
                    </w:rPr>
                    <w:t>360</w:t>
                  </w:r>
                </w:p>
              </w:tc>
              <w:tc>
                <w:tcPr>
                  <w:tcW w:w="975" w:type="dxa"/>
                  <w:vAlign w:val="center"/>
                </w:tcPr>
                <w:p>
                  <w:pPr>
                    <w:snapToGrid w:val="0"/>
                    <w:jc w:val="center"/>
                    <w:rPr>
                      <w:szCs w:val="21"/>
                    </w:rPr>
                  </w:pPr>
                  <w:r>
                    <w:rPr>
                      <w:szCs w:val="21"/>
                    </w:rPr>
                    <w:t>350</w:t>
                  </w:r>
                </w:p>
              </w:tc>
              <w:tc>
                <w:tcPr>
                  <w:tcW w:w="1116" w:type="dxa"/>
                  <w:vAlign w:val="center"/>
                </w:tcPr>
                <w:p>
                  <w:pPr>
                    <w:snapToGrid w:val="0"/>
                    <w:jc w:val="center"/>
                    <w:rPr>
                      <w:szCs w:val="21"/>
                    </w:rPr>
                  </w:pPr>
                  <w:r>
                    <w:rPr>
                      <w:szCs w:val="21"/>
                    </w:rPr>
                    <w:t>250</w:t>
                  </w:r>
                </w:p>
              </w:tc>
              <w:tc>
                <w:tcPr>
                  <w:tcW w:w="958" w:type="dxa"/>
                  <w:vAlign w:val="center"/>
                </w:tcPr>
                <w:p>
                  <w:pPr>
                    <w:snapToGrid w:val="0"/>
                    <w:jc w:val="center"/>
                    <w:rPr>
                      <w:szCs w:val="21"/>
                    </w:rPr>
                  </w:pPr>
                  <w:r>
                    <w:rPr>
                      <w:szCs w:val="21"/>
                    </w:rPr>
                    <w:t>200</w:t>
                  </w:r>
                </w:p>
              </w:tc>
              <w:tc>
                <w:tcPr>
                  <w:tcW w:w="957" w:type="dxa"/>
                  <w:vAlign w:val="center"/>
                </w:tcPr>
                <w:p>
                  <w:pPr>
                    <w:snapToGrid w:val="0"/>
                    <w:jc w:val="center"/>
                    <w:rPr>
                      <w:szCs w:val="21"/>
                    </w:rPr>
                  </w:pPr>
                  <w:r>
                    <w:rPr>
                      <w:szCs w:val="21"/>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466" w:type="dxa"/>
                  <w:vAlign w:val="center"/>
                </w:tcPr>
                <w:p>
                  <w:pPr>
                    <w:snapToGrid w:val="0"/>
                    <w:jc w:val="center"/>
                    <w:rPr>
                      <w:szCs w:val="21"/>
                    </w:rPr>
                  </w:pPr>
                  <w:r>
                    <w:rPr>
                      <w:szCs w:val="21"/>
                    </w:rPr>
                    <w:t>产生量（t/a）</w:t>
                  </w:r>
                </w:p>
              </w:tc>
              <w:tc>
                <w:tcPr>
                  <w:tcW w:w="1436" w:type="dxa"/>
                  <w:vMerge w:val="continue"/>
                  <w:vAlign w:val="center"/>
                </w:tcPr>
                <w:p>
                  <w:pPr>
                    <w:snapToGrid w:val="0"/>
                    <w:jc w:val="center"/>
                    <w:rPr>
                      <w:bCs/>
                      <w:szCs w:val="21"/>
                      <w:lang w:val="en-GB"/>
                    </w:rPr>
                  </w:pPr>
                </w:p>
              </w:tc>
              <w:tc>
                <w:tcPr>
                  <w:tcW w:w="975" w:type="dxa"/>
                  <w:vAlign w:val="center"/>
                </w:tcPr>
                <w:p>
                  <w:pPr>
                    <w:jc w:val="center"/>
                    <w:rPr>
                      <w:rFonts w:ascii="宋体" w:hAnsi="宋体" w:cs="宋体"/>
                      <w:color w:val="000000"/>
                      <w:sz w:val="22"/>
                      <w:szCs w:val="22"/>
                    </w:rPr>
                  </w:pPr>
                  <w:r>
                    <w:rPr>
                      <w:rFonts w:hint="eastAsia"/>
                      <w:color w:val="000000"/>
                      <w:sz w:val="22"/>
                      <w:szCs w:val="22"/>
                    </w:rPr>
                    <w:t>0.126</w:t>
                  </w:r>
                </w:p>
              </w:tc>
              <w:tc>
                <w:tcPr>
                  <w:tcW w:w="1116" w:type="dxa"/>
                  <w:vAlign w:val="center"/>
                </w:tcPr>
                <w:p>
                  <w:pPr>
                    <w:jc w:val="center"/>
                    <w:rPr>
                      <w:rFonts w:ascii="宋体" w:hAnsi="宋体" w:cs="宋体"/>
                      <w:color w:val="000000"/>
                      <w:sz w:val="22"/>
                      <w:szCs w:val="22"/>
                    </w:rPr>
                  </w:pPr>
                  <w:r>
                    <w:rPr>
                      <w:rFonts w:hint="eastAsia"/>
                      <w:color w:val="000000"/>
                      <w:sz w:val="22"/>
                      <w:szCs w:val="22"/>
                    </w:rPr>
                    <w:t>0.09</w:t>
                  </w:r>
                </w:p>
              </w:tc>
              <w:tc>
                <w:tcPr>
                  <w:tcW w:w="958" w:type="dxa"/>
                  <w:vAlign w:val="center"/>
                </w:tcPr>
                <w:p>
                  <w:pPr>
                    <w:jc w:val="center"/>
                    <w:rPr>
                      <w:rFonts w:ascii="宋体" w:hAnsi="宋体" w:cs="宋体"/>
                      <w:color w:val="000000"/>
                      <w:sz w:val="22"/>
                      <w:szCs w:val="22"/>
                    </w:rPr>
                  </w:pPr>
                  <w:r>
                    <w:rPr>
                      <w:rFonts w:hint="eastAsia"/>
                      <w:color w:val="000000"/>
                      <w:sz w:val="22"/>
                      <w:szCs w:val="22"/>
                    </w:rPr>
                    <w:t>0.072</w:t>
                  </w:r>
                </w:p>
              </w:tc>
              <w:tc>
                <w:tcPr>
                  <w:tcW w:w="957" w:type="dxa"/>
                  <w:vAlign w:val="center"/>
                </w:tcPr>
                <w:p>
                  <w:pPr>
                    <w:jc w:val="center"/>
                    <w:rPr>
                      <w:rFonts w:ascii="宋体" w:hAnsi="宋体" w:cs="宋体"/>
                      <w:color w:val="000000"/>
                      <w:sz w:val="22"/>
                      <w:szCs w:val="22"/>
                    </w:rPr>
                  </w:pPr>
                  <w:r>
                    <w:rPr>
                      <w:rFonts w:hint="eastAsia"/>
                      <w:color w:val="000000"/>
                      <w:sz w:val="22"/>
                      <w:szCs w:val="22"/>
                    </w:rPr>
                    <w:t>0.0072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466" w:type="dxa"/>
                  <w:vAlign w:val="center"/>
                </w:tcPr>
                <w:p>
                  <w:pPr>
                    <w:snapToGrid w:val="0"/>
                    <w:jc w:val="center"/>
                    <w:rPr>
                      <w:szCs w:val="21"/>
                    </w:rPr>
                  </w:pPr>
                  <w:r>
                    <w:rPr>
                      <w:rFonts w:hint="eastAsia"/>
                      <w:szCs w:val="21"/>
                    </w:rPr>
                    <w:t>化粪池</w:t>
                  </w:r>
                  <w:r>
                    <w:rPr>
                      <w:szCs w:val="21"/>
                    </w:rPr>
                    <w:t>排放浓度（</w:t>
                  </w:r>
                  <w:r>
                    <w:rPr>
                      <w:bCs/>
                      <w:szCs w:val="21"/>
                    </w:rPr>
                    <w:t>mg/L</w:t>
                  </w:r>
                  <w:r>
                    <w:rPr>
                      <w:szCs w:val="21"/>
                    </w:rPr>
                    <w:t>）</w:t>
                  </w:r>
                </w:p>
              </w:tc>
              <w:tc>
                <w:tcPr>
                  <w:tcW w:w="1436" w:type="dxa"/>
                  <w:vMerge w:val="continue"/>
                  <w:vAlign w:val="center"/>
                </w:tcPr>
                <w:p>
                  <w:pPr>
                    <w:snapToGrid w:val="0"/>
                    <w:jc w:val="center"/>
                    <w:rPr>
                      <w:bCs/>
                      <w:szCs w:val="21"/>
                      <w:lang w:val="en-GB"/>
                    </w:rPr>
                  </w:pPr>
                </w:p>
              </w:tc>
              <w:tc>
                <w:tcPr>
                  <w:tcW w:w="975" w:type="dxa"/>
                  <w:vAlign w:val="center"/>
                </w:tcPr>
                <w:p>
                  <w:pPr>
                    <w:snapToGrid w:val="0"/>
                    <w:jc w:val="center"/>
                    <w:rPr>
                      <w:szCs w:val="21"/>
                    </w:rPr>
                  </w:pPr>
                  <w:r>
                    <w:rPr>
                      <w:rFonts w:hint="eastAsia"/>
                      <w:szCs w:val="21"/>
                    </w:rPr>
                    <w:t>296</w:t>
                  </w:r>
                </w:p>
              </w:tc>
              <w:tc>
                <w:tcPr>
                  <w:tcW w:w="1116" w:type="dxa"/>
                  <w:vAlign w:val="center"/>
                </w:tcPr>
                <w:p>
                  <w:pPr>
                    <w:snapToGrid w:val="0"/>
                    <w:jc w:val="center"/>
                    <w:rPr>
                      <w:szCs w:val="21"/>
                    </w:rPr>
                  </w:pPr>
                  <w:r>
                    <w:rPr>
                      <w:rFonts w:hint="eastAsia"/>
                      <w:szCs w:val="21"/>
                    </w:rPr>
                    <w:t>185</w:t>
                  </w:r>
                </w:p>
              </w:tc>
              <w:tc>
                <w:tcPr>
                  <w:tcW w:w="958" w:type="dxa"/>
                  <w:vAlign w:val="center"/>
                </w:tcPr>
                <w:p>
                  <w:pPr>
                    <w:snapToGrid w:val="0"/>
                    <w:jc w:val="center"/>
                    <w:rPr>
                      <w:szCs w:val="21"/>
                    </w:rPr>
                  </w:pPr>
                  <w:r>
                    <w:rPr>
                      <w:rFonts w:hint="eastAsia"/>
                      <w:szCs w:val="21"/>
                    </w:rPr>
                    <w:t>180</w:t>
                  </w:r>
                </w:p>
              </w:tc>
              <w:tc>
                <w:tcPr>
                  <w:tcW w:w="957" w:type="dxa"/>
                  <w:vAlign w:val="center"/>
                </w:tcPr>
                <w:p>
                  <w:pPr>
                    <w:snapToGrid w:val="0"/>
                    <w:jc w:val="center"/>
                    <w:rPr>
                      <w:szCs w:val="21"/>
                    </w:rPr>
                  </w:pPr>
                  <w:r>
                    <w:rPr>
                      <w:rFonts w:hint="eastAsia"/>
                      <w:szCs w:val="21"/>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466" w:type="dxa"/>
                  <w:vAlign w:val="center"/>
                </w:tcPr>
                <w:p>
                  <w:pPr>
                    <w:snapToGrid w:val="0"/>
                    <w:jc w:val="center"/>
                    <w:rPr>
                      <w:szCs w:val="21"/>
                    </w:rPr>
                  </w:pPr>
                  <w:r>
                    <w:rPr>
                      <w:szCs w:val="21"/>
                    </w:rPr>
                    <w:t>排放量（t/a）</w:t>
                  </w:r>
                </w:p>
              </w:tc>
              <w:tc>
                <w:tcPr>
                  <w:tcW w:w="1436" w:type="dxa"/>
                  <w:vMerge w:val="continue"/>
                  <w:vAlign w:val="center"/>
                </w:tcPr>
                <w:p>
                  <w:pPr>
                    <w:snapToGrid w:val="0"/>
                    <w:jc w:val="center"/>
                    <w:rPr>
                      <w:bCs/>
                      <w:szCs w:val="21"/>
                      <w:lang w:val="en-GB"/>
                    </w:rPr>
                  </w:pPr>
                </w:p>
              </w:tc>
              <w:tc>
                <w:tcPr>
                  <w:tcW w:w="975" w:type="dxa"/>
                  <w:vAlign w:val="center"/>
                </w:tcPr>
                <w:p>
                  <w:pPr>
                    <w:jc w:val="center"/>
                    <w:rPr>
                      <w:rFonts w:ascii="宋体" w:hAnsi="宋体" w:cs="宋体"/>
                      <w:color w:val="000000"/>
                      <w:sz w:val="22"/>
                      <w:szCs w:val="22"/>
                    </w:rPr>
                  </w:pPr>
                  <w:r>
                    <w:rPr>
                      <w:rFonts w:hint="eastAsia"/>
                      <w:color w:val="000000"/>
                      <w:sz w:val="22"/>
                      <w:szCs w:val="22"/>
                    </w:rPr>
                    <w:t>0.107</w:t>
                  </w:r>
                </w:p>
              </w:tc>
              <w:tc>
                <w:tcPr>
                  <w:tcW w:w="1116" w:type="dxa"/>
                  <w:vAlign w:val="center"/>
                </w:tcPr>
                <w:p>
                  <w:pPr>
                    <w:jc w:val="center"/>
                    <w:rPr>
                      <w:rFonts w:ascii="宋体" w:hAnsi="宋体" w:cs="宋体"/>
                      <w:color w:val="000000"/>
                      <w:sz w:val="22"/>
                      <w:szCs w:val="22"/>
                    </w:rPr>
                  </w:pPr>
                  <w:r>
                    <w:rPr>
                      <w:rFonts w:hint="eastAsia"/>
                      <w:color w:val="000000"/>
                      <w:sz w:val="22"/>
                      <w:szCs w:val="22"/>
                    </w:rPr>
                    <w:t>0.067</w:t>
                  </w:r>
                </w:p>
              </w:tc>
              <w:tc>
                <w:tcPr>
                  <w:tcW w:w="958" w:type="dxa"/>
                  <w:vAlign w:val="center"/>
                </w:tcPr>
                <w:p>
                  <w:pPr>
                    <w:jc w:val="center"/>
                    <w:rPr>
                      <w:rFonts w:ascii="宋体" w:hAnsi="宋体" w:cs="宋体"/>
                      <w:color w:val="000000"/>
                      <w:sz w:val="22"/>
                      <w:szCs w:val="22"/>
                    </w:rPr>
                  </w:pPr>
                  <w:r>
                    <w:rPr>
                      <w:rFonts w:hint="eastAsia"/>
                      <w:color w:val="000000"/>
                      <w:sz w:val="22"/>
                      <w:szCs w:val="22"/>
                    </w:rPr>
                    <w:t>0.065</w:t>
                  </w:r>
                </w:p>
              </w:tc>
              <w:tc>
                <w:tcPr>
                  <w:tcW w:w="957" w:type="dxa"/>
                  <w:vAlign w:val="center"/>
                </w:tcPr>
                <w:p>
                  <w:pPr>
                    <w:jc w:val="center"/>
                    <w:rPr>
                      <w:rFonts w:ascii="宋体" w:hAnsi="宋体" w:cs="宋体"/>
                      <w:color w:val="000000"/>
                      <w:sz w:val="22"/>
                      <w:szCs w:val="22"/>
                    </w:rPr>
                  </w:pPr>
                  <w:r>
                    <w:rPr>
                      <w:rFonts w:hint="eastAsia"/>
                      <w:color w:val="000000"/>
                      <w:sz w:val="22"/>
                      <w:szCs w:val="22"/>
                    </w:rPr>
                    <w:t>0.0072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466" w:type="dxa"/>
                  <w:vAlign w:val="center"/>
                </w:tcPr>
                <w:p>
                  <w:pPr>
                    <w:snapToGrid w:val="0"/>
                    <w:jc w:val="center"/>
                    <w:rPr>
                      <w:szCs w:val="21"/>
                      <w:lang w:val="en-GB"/>
                    </w:rPr>
                  </w:pPr>
                  <w:r>
                    <w:rPr>
                      <w:rFonts w:hint="eastAsia" w:hAnsi="宋体"/>
                      <w:szCs w:val="21"/>
                    </w:rPr>
                    <w:t>《污水排入城市下水道水质标准》（GB/T 31962-2015）B级标准</w:t>
                  </w:r>
                </w:p>
              </w:tc>
              <w:tc>
                <w:tcPr>
                  <w:tcW w:w="1436" w:type="dxa"/>
                  <w:vAlign w:val="center"/>
                </w:tcPr>
                <w:p>
                  <w:pPr>
                    <w:snapToGrid w:val="0"/>
                    <w:jc w:val="center"/>
                    <w:rPr>
                      <w:bCs/>
                      <w:szCs w:val="21"/>
                      <w:lang w:val="en-GB"/>
                    </w:rPr>
                  </w:pPr>
                </w:p>
              </w:tc>
              <w:tc>
                <w:tcPr>
                  <w:tcW w:w="975" w:type="dxa"/>
                  <w:vAlign w:val="center"/>
                </w:tcPr>
                <w:p>
                  <w:pPr>
                    <w:snapToGrid w:val="0"/>
                    <w:jc w:val="center"/>
                    <w:rPr>
                      <w:szCs w:val="21"/>
                    </w:rPr>
                  </w:pPr>
                  <w:r>
                    <w:rPr>
                      <w:rFonts w:hint="eastAsia"/>
                    </w:rPr>
                    <w:t>500</w:t>
                  </w:r>
                </w:p>
              </w:tc>
              <w:tc>
                <w:tcPr>
                  <w:tcW w:w="1116" w:type="dxa"/>
                  <w:vAlign w:val="center"/>
                </w:tcPr>
                <w:p>
                  <w:pPr>
                    <w:snapToGrid w:val="0"/>
                    <w:jc w:val="center"/>
                    <w:rPr>
                      <w:szCs w:val="21"/>
                    </w:rPr>
                  </w:pPr>
                  <w:r>
                    <w:rPr>
                      <w:rFonts w:hint="eastAsia"/>
                    </w:rPr>
                    <w:t>300</w:t>
                  </w:r>
                </w:p>
              </w:tc>
              <w:tc>
                <w:tcPr>
                  <w:tcW w:w="958" w:type="dxa"/>
                  <w:vAlign w:val="center"/>
                </w:tcPr>
                <w:p>
                  <w:pPr>
                    <w:snapToGrid w:val="0"/>
                    <w:jc w:val="center"/>
                    <w:rPr>
                      <w:szCs w:val="21"/>
                    </w:rPr>
                  </w:pPr>
                  <w:r>
                    <w:rPr>
                      <w:rFonts w:hint="eastAsia"/>
                    </w:rPr>
                    <w:t>400</w:t>
                  </w:r>
                </w:p>
              </w:tc>
              <w:tc>
                <w:tcPr>
                  <w:tcW w:w="957" w:type="dxa"/>
                  <w:vAlign w:val="center"/>
                </w:tcPr>
                <w:p>
                  <w:pPr>
                    <w:snapToGrid w:val="0"/>
                    <w:jc w:val="center"/>
                    <w:rPr>
                      <w:szCs w:val="21"/>
                    </w:rPr>
                  </w:pPr>
                  <w:r>
                    <w:rPr>
                      <w:rFonts w:hint="eastAsia"/>
                    </w:rPr>
                    <w:t>45</w:t>
                  </w:r>
                </w:p>
              </w:tc>
            </w:tr>
          </w:tbl>
          <w:p>
            <w:pPr>
              <w:spacing w:line="360" w:lineRule="auto"/>
              <w:ind w:firstLine="480" w:firstLineChars="200"/>
              <w:rPr>
                <w:bCs/>
                <w:sz w:val="24"/>
                <w:szCs w:val="24"/>
              </w:rPr>
            </w:pPr>
            <w:r>
              <w:rPr>
                <w:bCs/>
                <w:sz w:val="24"/>
                <w:szCs w:val="24"/>
              </w:rPr>
              <w:t>由上表可知，项目</w:t>
            </w:r>
            <w:r>
              <w:rPr>
                <w:rFonts w:hint="eastAsia"/>
                <w:bCs/>
                <w:sz w:val="24"/>
                <w:szCs w:val="24"/>
              </w:rPr>
              <w:t>产生的生活污水</w:t>
            </w:r>
            <w:r>
              <w:rPr>
                <w:bCs/>
                <w:sz w:val="24"/>
                <w:szCs w:val="24"/>
              </w:rPr>
              <w:t>经</w:t>
            </w:r>
            <w:r>
              <w:rPr>
                <w:rFonts w:hint="eastAsia"/>
                <w:bCs/>
                <w:sz w:val="24"/>
                <w:szCs w:val="24"/>
              </w:rPr>
              <w:t>化粪池</w:t>
            </w:r>
            <w:r>
              <w:rPr>
                <w:bCs/>
                <w:sz w:val="24"/>
                <w:szCs w:val="24"/>
              </w:rPr>
              <w:t>处理后</w:t>
            </w:r>
            <w:r>
              <w:rPr>
                <w:rFonts w:hint="eastAsia"/>
                <w:bCs/>
                <w:sz w:val="24"/>
                <w:szCs w:val="24"/>
              </w:rPr>
              <w:t>，项目废水排放浓度能</w:t>
            </w:r>
            <w:r>
              <w:rPr>
                <w:bCs/>
                <w:sz w:val="24"/>
                <w:szCs w:val="24"/>
              </w:rPr>
              <w:t>达到</w:t>
            </w:r>
            <w:r>
              <w:rPr>
                <w:rFonts w:hint="eastAsia"/>
                <w:bCs/>
                <w:sz w:val="24"/>
                <w:szCs w:val="24"/>
              </w:rPr>
              <w:t>《污水排入城镇下水道水质标准》（GB/T 31962-2015）中B等级放标准，排入淮南首创第一污水处理厂处理，达到《城镇污水处理厂污染物排放标准》(GB18918-2002)一级标准A标准，主要污染物的排放浓度为COD：50mg/l、BOD</w:t>
            </w:r>
            <w:r>
              <w:rPr>
                <w:rFonts w:hint="eastAsia"/>
                <w:bCs/>
                <w:sz w:val="24"/>
                <w:szCs w:val="24"/>
                <w:vertAlign w:val="subscript"/>
              </w:rPr>
              <w:t>5</w:t>
            </w:r>
            <w:r>
              <w:rPr>
                <w:rFonts w:hint="eastAsia"/>
                <w:bCs/>
                <w:sz w:val="24"/>
                <w:szCs w:val="24"/>
              </w:rPr>
              <w:t>:10mg/l、SS：10mg/l、NH</w:t>
            </w:r>
            <w:r>
              <w:rPr>
                <w:rFonts w:hint="eastAsia"/>
                <w:bCs/>
                <w:sz w:val="24"/>
                <w:szCs w:val="24"/>
                <w:vertAlign w:val="subscript"/>
              </w:rPr>
              <w:t>3</w:t>
            </w:r>
            <w:r>
              <w:rPr>
                <w:rFonts w:hint="eastAsia"/>
                <w:bCs/>
                <w:sz w:val="24"/>
                <w:szCs w:val="24"/>
              </w:rPr>
              <w:t>-N：5（8）mg/l，主要污染物排放量为COD：0.018t/a、BOD5：0.0036t/a、SS：0.0036t/a、NH</w:t>
            </w:r>
            <w:r>
              <w:rPr>
                <w:rFonts w:hint="eastAsia"/>
                <w:bCs/>
                <w:sz w:val="24"/>
                <w:szCs w:val="24"/>
                <w:vertAlign w:val="subscript"/>
              </w:rPr>
              <w:t>3</w:t>
            </w:r>
            <w:r>
              <w:rPr>
                <w:rFonts w:hint="eastAsia"/>
                <w:bCs/>
                <w:sz w:val="24"/>
                <w:szCs w:val="24"/>
              </w:rPr>
              <w:t>-N：0.0018t/a，最终排入淮河，对地表水质影响不大。</w:t>
            </w:r>
          </w:p>
          <w:p>
            <w:pPr>
              <w:spacing w:line="360" w:lineRule="auto"/>
              <w:rPr>
                <w:sz w:val="24"/>
                <w:szCs w:val="24"/>
              </w:rPr>
            </w:pPr>
            <w:r>
              <w:rPr>
                <w:rFonts w:hint="eastAsia"/>
                <w:sz w:val="24"/>
                <w:szCs w:val="24"/>
              </w:rPr>
              <w:t>2、</w:t>
            </w:r>
            <w:r>
              <w:rPr>
                <w:sz w:val="24"/>
                <w:szCs w:val="24"/>
              </w:rPr>
              <w:t>大气</w:t>
            </w:r>
            <w:r>
              <w:rPr>
                <w:rFonts w:hint="eastAsia"/>
                <w:sz w:val="24"/>
                <w:szCs w:val="24"/>
              </w:rPr>
              <w:t>污染源简析</w:t>
            </w:r>
          </w:p>
          <w:p>
            <w:pPr>
              <w:spacing w:line="360" w:lineRule="auto"/>
              <w:ind w:firstLine="480" w:firstLineChars="200"/>
              <w:rPr>
                <w:bCs/>
                <w:sz w:val="24"/>
                <w:szCs w:val="24"/>
              </w:rPr>
            </w:pPr>
            <w:r>
              <w:rPr>
                <w:sz w:val="24"/>
                <w:szCs w:val="24"/>
              </w:rPr>
              <w:t>本项目营运期</w:t>
            </w:r>
            <w:r>
              <w:rPr>
                <w:rFonts w:hint="eastAsia"/>
                <w:sz w:val="24"/>
                <w:szCs w:val="24"/>
              </w:rPr>
              <w:t>产生的废气主要为切割机切割过程中产生的切割烟尘、</w:t>
            </w:r>
            <w:r>
              <w:rPr>
                <w:rFonts w:hint="eastAsia"/>
                <w:sz w:val="24"/>
                <w:szCs w:val="24"/>
                <w:lang w:eastAsia="zh-CN"/>
              </w:rPr>
              <w:t>打磨过程中产生的粉尘</w:t>
            </w:r>
            <w:r>
              <w:rPr>
                <w:rFonts w:hint="eastAsia"/>
                <w:sz w:val="24"/>
                <w:szCs w:val="24"/>
              </w:rPr>
              <w:t>。</w:t>
            </w:r>
          </w:p>
          <w:p>
            <w:pPr>
              <w:spacing w:line="360" w:lineRule="auto"/>
              <w:ind w:firstLine="480" w:firstLineChars="200"/>
              <w:rPr>
                <w:bCs/>
                <w:sz w:val="24"/>
                <w:szCs w:val="24"/>
              </w:rPr>
            </w:pPr>
            <w:r>
              <w:rPr>
                <w:rFonts w:hint="eastAsia"/>
                <w:bCs/>
                <w:sz w:val="24"/>
                <w:szCs w:val="24"/>
              </w:rPr>
              <w:t>（1）切割机下料过程中产生的切割烟尘</w:t>
            </w:r>
          </w:p>
          <w:p>
            <w:pPr>
              <w:spacing w:line="360" w:lineRule="auto"/>
              <w:ind w:firstLine="480" w:firstLineChars="200"/>
              <w:rPr>
                <w:bCs/>
                <w:sz w:val="24"/>
                <w:szCs w:val="24"/>
              </w:rPr>
            </w:pPr>
            <w:r>
              <w:rPr>
                <w:rFonts w:hint="eastAsia"/>
                <w:bCs/>
                <w:sz w:val="24"/>
                <w:szCs w:val="24"/>
              </w:rPr>
              <w:t>项目设</w:t>
            </w:r>
            <w:r>
              <w:rPr>
                <w:rFonts w:hint="eastAsia"/>
                <w:bCs/>
                <w:sz w:val="24"/>
                <w:szCs w:val="24"/>
                <w:lang w:val="en-US" w:eastAsia="zh-CN"/>
              </w:rPr>
              <w:t>2</w:t>
            </w:r>
            <w:r>
              <w:rPr>
                <w:rFonts w:hint="eastAsia"/>
                <w:bCs/>
                <w:sz w:val="24"/>
                <w:szCs w:val="24"/>
              </w:rPr>
              <w:t>台切割机，年工作</w:t>
            </w:r>
            <w:r>
              <w:rPr>
                <w:bCs/>
                <w:sz w:val="24"/>
                <w:szCs w:val="24"/>
              </w:rPr>
              <w:t>300d</w:t>
            </w:r>
            <w:r>
              <w:rPr>
                <w:rFonts w:hint="eastAsia"/>
                <w:bCs/>
                <w:sz w:val="24"/>
                <w:szCs w:val="24"/>
              </w:rPr>
              <w:t>，每天工作</w:t>
            </w:r>
            <w:r>
              <w:rPr>
                <w:rFonts w:hint="eastAsia"/>
                <w:bCs/>
                <w:sz w:val="24"/>
                <w:szCs w:val="24"/>
                <w:lang w:val="en-US" w:eastAsia="zh-CN"/>
              </w:rPr>
              <w:t>1</w:t>
            </w:r>
            <w:r>
              <w:rPr>
                <w:bCs/>
                <w:sz w:val="24"/>
                <w:szCs w:val="24"/>
              </w:rPr>
              <w:t>h</w:t>
            </w:r>
            <w:r>
              <w:rPr>
                <w:rFonts w:hint="eastAsia"/>
                <w:bCs/>
                <w:sz w:val="24"/>
                <w:szCs w:val="24"/>
              </w:rPr>
              <w:t>，年工作</w:t>
            </w:r>
            <w:r>
              <w:rPr>
                <w:rFonts w:hint="eastAsia"/>
                <w:bCs/>
                <w:sz w:val="24"/>
                <w:szCs w:val="24"/>
                <w:lang w:val="en-US" w:eastAsia="zh-CN"/>
              </w:rPr>
              <w:t>3</w:t>
            </w:r>
            <w:r>
              <w:rPr>
                <w:bCs/>
                <w:sz w:val="24"/>
                <w:szCs w:val="24"/>
              </w:rPr>
              <w:t>00h</w:t>
            </w:r>
            <w:r>
              <w:rPr>
                <w:rFonts w:hint="eastAsia"/>
                <w:bCs/>
                <w:sz w:val="24"/>
                <w:szCs w:val="24"/>
              </w:rPr>
              <w:t>。切割钢丝过程中会产生一定量的切割烟尘，切割烟尘产生量为切割</w:t>
            </w:r>
            <w:r>
              <w:rPr>
                <w:rFonts w:hint="eastAsia"/>
                <w:bCs/>
                <w:sz w:val="24"/>
                <w:szCs w:val="24"/>
                <w:lang w:eastAsia="zh-CN"/>
              </w:rPr>
              <w:t>铝材</w:t>
            </w:r>
            <w:r>
              <w:rPr>
                <w:rFonts w:hint="eastAsia"/>
                <w:bCs/>
                <w:sz w:val="24"/>
                <w:szCs w:val="24"/>
              </w:rPr>
              <w:t>的</w:t>
            </w:r>
            <w:r>
              <w:rPr>
                <w:bCs/>
                <w:sz w:val="24"/>
                <w:szCs w:val="24"/>
              </w:rPr>
              <w:t>0.01%</w:t>
            </w:r>
            <w:r>
              <w:rPr>
                <w:rFonts w:hint="eastAsia"/>
                <w:bCs/>
                <w:sz w:val="24"/>
                <w:szCs w:val="24"/>
              </w:rPr>
              <w:t>，项目切割机年切割钢丝量为</w:t>
            </w:r>
            <w:r>
              <w:rPr>
                <w:rFonts w:hint="eastAsia"/>
                <w:bCs/>
                <w:sz w:val="24"/>
                <w:szCs w:val="24"/>
                <w:lang w:val="en-US" w:eastAsia="zh-CN"/>
              </w:rPr>
              <w:t>8</w:t>
            </w:r>
            <w:r>
              <w:rPr>
                <w:rFonts w:hint="eastAsia"/>
                <w:bCs/>
                <w:sz w:val="24"/>
                <w:szCs w:val="24"/>
              </w:rPr>
              <w:t>00t，则产生的切割烟尘量为0.</w:t>
            </w:r>
            <w:r>
              <w:rPr>
                <w:rFonts w:hint="eastAsia"/>
                <w:bCs/>
                <w:sz w:val="24"/>
                <w:szCs w:val="24"/>
                <w:lang w:val="en-US" w:eastAsia="zh-CN"/>
              </w:rPr>
              <w:t>08</w:t>
            </w:r>
            <w:r>
              <w:rPr>
                <w:rFonts w:hint="eastAsia"/>
                <w:bCs/>
                <w:sz w:val="24"/>
                <w:szCs w:val="24"/>
              </w:rPr>
              <w:t>t/a，产生速率为0.</w:t>
            </w:r>
            <w:r>
              <w:rPr>
                <w:rFonts w:hint="eastAsia"/>
                <w:bCs/>
                <w:sz w:val="24"/>
                <w:szCs w:val="24"/>
                <w:lang w:val="en-US" w:eastAsia="zh-CN"/>
              </w:rPr>
              <w:t>27</w:t>
            </w:r>
            <w:r>
              <w:rPr>
                <w:bCs/>
                <w:sz w:val="24"/>
                <w:szCs w:val="24"/>
              </w:rPr>
              <w:t>kg/h</w:t>
            </w:r>
            <w:r>
              <w:rPr>
                <w:rFonts w:hint="eastAsia"/>
                <w:bCs/>
                <w:sz w:val="24"/>
                <w:szCs w:val="24"/>
              </w:rPr>
              <w:t>，产生的切割烟尘通过移动式焊烟净化器收集处理，烟尘收集效率约为90%，则收集到的切割烟尘量为0.</w:t>
            </w:r>
            <w:r>
              <w:rPr>
                <w:rFonts w:hint="eastAsia"/>
                <w:bCs/>
                <w:sz w:val="24"/>
                <w:szCs w:val="24"/>
                <w:lang w:val="en-US" w:eastAsia="zh-CN"/>
              </w:rPr>
              <w:t>072</w:t>
            </w:r>
            <w:r>
              <w:rPr>
                <w:rFonts w:hint="eastAsia"/>
                <w:bCs/>
                <w:sz w:val="24"/>
                <w:szCs w:val="24"/>
              </w:rPr>
              <w:t>t/a，未被收集到的切割烟尘量为0.0</w:t>
            </w:r>
            <w:r>
              <w:rPr>
                <w:rFonts w:hint="eastAsia"/>
                <w:bCs/>
                <w:sz w:val="24"/>
                <w:szCs w:val="24"/>
                <w:lang w:val="en-US" w:eastAsia="zh-CN"/>
              </w:rPr>
              <w:t>08</w:t>
            </w:r>
            <w:r>
              <w:rPr>
                <w:rFonts w:hint="eastAsia"/>
                <w:bCs/>
                <w:sz w:val="24"/>
                <w:szCs w:val="24"/>
              </w:rPr>
              <w:t>t/a，移动式焊烟净化器处理效率为85%，经过移动焊烟净化器处理后切割烟尘排放量为0.0</w:t>
            </w:r>
            <w:r>
              <w:rPr>
                <w:rFonts w:hint="eastAsia"/>
                <w:bCs/>
                <w:sz w:val="24"/>
                <w:szCs w:val="24"/>
                <w:lang w:val="en-US" w:eastAsia="zh-CN"/>
              </w:rPr>
              <w:t>11</w:t>
            </w:r>
            <w:r>
              <w:rPr>
                <w:rFonts w:hint="eastAsia"/>
                <w:bCs/>
                <w:sz w:val="24"/>
                <w:szCs w:val="24"/>
              </w:rPr>
              <w:t>t/a。处理后的切割烟尘以无组织形式排放。综上项目切割烟尘无组织排放量为</w:t>
            </w:r>
            <w:r>
              <w:rPr>
                <w:bCs/>
                <w:sz w:val="24"/>
                <w:szCs w:val="24"/>
              </w:rPr>
              <w:t>0.</w:t>
            </w:r>
            <w:r>
              <w:rPr>
                <w:rFonts w:hint="eastAsia"/>
                <w:bCs/>
                <w:sz w:val="24"/>
                <w:szCs w:val="24"/>
                <w:lang w:val="en-US" w:eastAsia="zh-CN"/>
              </w:rPr>
              <w:t>019</w:t>
            </w:r>
            <w:r>
              <w:rPr>
                <w:bCs/>
                <w:sz w:val="24"/>
                <w:szCs w:val="24"/>
              </w:rPr>
              <w:t>t/a</w:t>
            </w:r>
            <w:r>
              <w:rPr>
                <w:rFonts w:hint="eastAsia"/>
                <w:bCs/>
                <w:sz w:val="24"/>
                <w:szCs w:val="24"/>
              </w:rPr>
              <w:t>，</w:t>
            </w:r>
            <w:r>
              <w:rPr>
                <w:bCs/>
                <w:sz w:val="24"/>
                <w:szCs w:val="24"/>
              </w:rPr>
              <w:t>0.</w:t>
            </w:r>
            <w:r>
              <w:rPr>
                <w:rFonts w:hint="eastAsia"/>
                <w:bCs/>
                <w:sz w:val="24"/>
                <w:szCs w:val="24"/>
                <w:lang w:val="en-US" w:eastAsia="zh-CN"/>
              </w:rPr>
              <w:t>063</w:t>
            </w:r>
            <w:r>
              <w:rPr>
                <w:bCs/>
                <w:sz w:val="24"/>
                <w:szCs w:val="24"/>
              </w:rPr>
              <w:t>kg/h</w:t>
            </w:r>
            <w:r>
              <w:rPr>
                <w:rFonts w:hint="eastAsia"/>
                <w:bCs/>
                <w:sz w:val="24"/>
                <w:szCs w:val="24"/>
              </w:rPr>
              <w:t>。生产车间采用全面通风方式，烟尘排出室外。采取以上措施后下料烟尘对周围环境影响较小。</w:t>
            </w:r>
          </w:p>
          <w:p>
            <w:pPr>
              <w:spacing w:line="360" w:lineRule="auto"/>
              <w:ind w:firstLine="480" w:firstLineChars="200"/>
              <w:rPr>
                <w:rFonts w:hint="eastAsia"/>
                <w:bCs/>
                <w:sz w:val="24"/>
                <w:szCs w:val="24"/>
                <w:lang w:eastAsia="zh-CN"/>
              </w:rPr>
            </w:pPr>
            <w:r>
              <w:rPr>
                <w:rFonts w:hint="eastAsia"/>
                <w:bCs/>
                <w:sz w:val="24"/>
                <w:szCs w:val="24"/>
              </w:rPr>
              <w:t>（2）</w:t>
            </w:r>
            <w:r>
              <w:rPr>
                <w:rFonts w:hint="eastAsia"/>
                <w:bCs/>
                <w:sz w:val="24"/>
                <w:szCs w:val="24"/>
                <w:lang w:eastAsia="zh-CN"/>
              </w:rPr>
              <w:t>打磨粉尘</w:t>
            </w:r>
          </w:p>
          <w:p>
            <w:pPr>
              <w:spacing w:line="360" w:lineRule="auto"/>
              <w:ind w:firstLine="480" w:firstLineChars="200"/>
              <w:rPr>
                <w:rFonts w:hint="eastAsia"/>
                <w:bCs/>
                <w:sz w:val="24"/>
                <w:szCs w:val="24"/>
                <w:lang w:eastAsia="zh-CN"/>
              </w:rPr>
            </w:pPr>
            <w:r>
              <w:rPr>
                <w:rFonts w:hint="eastAsia"/>
                <w:bCs/>
                <w:sz w:val="24"/>
                <w:szCs w:val="24"/>
              </w:rPr>
              <w:t>项目设</w:t>
            </w:r>
            <w:r>
              <w:rPr>
                <w:rFonts w:hint="eastAsia"/>
                <w:bCs/>
                <w:sz w:val="24"/>
                <w:szCs w:val="24"/>
                <w:lang w:val="en-US" w:eastAsia="zh-CN"/>
              </w:rPr>
              <w:t>10</w:t>
            </w:r>
            <w:r>
              <w:rPr>
                <w:rFonts w:hint="eastAsia"/>
                <w:bCs/>
                <w:sz w:val="24"/>
                <w:szCs w:val="24"/>
              </w:rPr>
              <w:t>台</w:t>
            </w:r>
            <w:r>
              <w:rPr>
                <w:rFonts w:hint="eastAsia"/>
                <w:bCs/>
                <w:sz w:val="24"/>
                <w:szCs w:val="24"/>
                <w:lang w:eastAsia="zh-CN"/>
              </w:rPr>
              <w:t>手磨</w:t>
            </w:r>
            <w:r>
              <w:rPr>
                <w:rFonts w:hint="eastAsia"/>
                <w:bCs/>
                <w:sz w:val="24"/>
                <w:szCs w:val="24"/>
              </w:rPr>
              <w:t>机，年工作</w:t>
            </w:r>
            <w:r>
              <w:rPr>
                <w:bCs/>
                <w:sz w:val="24"/>
                <w:szCs w:val="24"/>
              </w:rPr>
              <w:t>300d</w:t>
            </w:r>
            <w:r>
              <w:rPr>
                <w:rFonts w:hint="eastAsia"/>
                <w:bCs/>
                <w:sz w:val="24"/>
                <w:szCs w:val="24"/>
              </w:rPr>
              <w:t>，每天工作</w:t>
            </w:r>
            <w:r>
              <w:rPr>
                <w:rFonts w:hint="eastAsia"/>
                <w:bCs/>
                <w:sz w:val="24"/>
                <w:szCs w:val="24"/>
                <w:lang w:val="en-US" w:eastAsia="zh-CN"/>
              </w:rPr>
              <w:t>6</w:t>
            </w:r>
            <w:r>
              <w:rPr>
                <w:bCs/>
                <w:sz w:val="24"/>
                <w:szCs w:val="24"/>
              </w:rPr>
              <w:t>h</w:t>
            </w:r>
            <w:r>
              <w:rPr>
                <w:rFonts w:hint="eastAsia"/>
                <w:bCs/>
                <w:sz w:val="24"/>
                <w:szCs w:val="24"/>
              </w:rPr>
              <w:t>，年工作</w:t>
            </w:r>
            <w:r>
              <w:rPr>
                <w:rFonts w:hint="eastAsia"/>
                <w:bCs/>
                <w:sz w:val="24"/>
                <w:szCs w:val="24"/>
                <w:lang w:val="en-US" w:eastAsia="zh-CN"/>
              </w:rPr>
              <w:t>18</w:t>
            </w:r>
            <w:r>
              <w:rPr>
                <w:bCs/>
                <w:sz w:val="24"/>
                <w:szCs w:val="24"/>
              </w:rPr>
              <w:t>00h</w:t>
            </w:r>
            <w:r>
              <w:rPr>
                <w:rFonts w:hint="eastAsia"/>
                <w:bCs/>
                <w:sz w:val="24"/>
                <w:szCs w:val="24"/>
              </w:rPr>
              <w:t>。</w:t>
            </w:r>
            <w:r>
              <w:rPr>
                <w:rFonts w:hint="eastAsia"/>
                <w:bCs/>
                <w:sz w:val="24"/>
                <w:szCs w:val="24"/>
                <w:lang w:eastAsia="zh-CN"/>
              </w:rPr>
              <w:t>手磨机对工件进行打磨时会产生一定量的粉尘，粉尘产生量约工件量的</w:t>
            </w:r>
            <w:r>
              <w:rPr>
                <w:rFonts w:hint="eastAsia"/>
                <w:bCs/>
                <w:sz w:val="24"/>
                <w:szCs w:val="24"/>
                <w:lang w:val="en-US" w:eastAsia="zh-CN"/>
              </w:rPr>
              <w:t>0.05%，项目年打磨工件量为800</w:t>
            </w:r>
            <w:r>
              <w:rPr>
                <w:rFonts w:hint="eastAsia"/>
                <w:bCs/>
                <w:sz w:val="24"/>
                <w:szCs w:val="24"/>
              </w:rPr>
              <w:t>t</w:t>
            </w:r>
            <w:r>
              <w:rPr>
                <w:rFonts w:hint="eastAsia"/>
                <w:bCs/>
                <w:sz w:val="24"/>
                <w:szCs w:val="24"/>
                <w:lang w:eastAsia="zh-CN"/>
              </w:rPr>
              <w:t>，则产生的打磨粉尘量为</w:t>
            </w:r>
            <w:r>
              <w:rPr>
                <w:rFonts w:hint="eastAsia"/>
                <w:bCs/>
                <w:sz w:val="24"/>
                <w:szCs w:val="24"/>
              </w:rPr>
              <w:t>0.</w:t>
            </w:r>
            <w:r>
              <w:rPr>
                <w:rFonts w:hint="eastAsia"/>
                <w:bCs/>
                <w:sz w:val="24"/>
                <w:szCs w:val="24"/>
                <w:lang w:val="en-US" w:eastAsia="zh-CN"/>
              </w:rPr>
              <w:t>4</w:t>
            </w:r>
            <w:r>
              <w:rPr>
                <w:rFonts w:hint="eastAsia"/>
                <w:bCs/>
                <w:sz w:val="24"/>
                <w:szCs w:val="24"/>
              </w:rPr>
              <w:t>t/a，产生速率为0.</w:t>
            </w:r>
            <w:r>
              <w:rPr>
                <w:rFonts w:hint="eastAsia"/>
                <w:bCs/>
                <w:sz w:val="24"/>
                <w:szCs w:val="24"/>
                <w:lang w:val="en-US" w:eastAsia="zh-CN"/>
              </w:rPr>
              <w:t>22</w:t>
            </w:r>
            <w:r>
              <w:rPr>
                <w:bCs/>
                <w:sz w:val="24"/>
                <w:szCs w:val="24"/>
              </w:rPr>
              <w:t>kg/h</w:t>
            </w:r>
            <w:r>
              <w:rPr>
                <w:rFonts w:hint="eastAsia"/>
                <w:bCs/>
                <w:sz w:val="24"/>
                <w:szCs w:val="24"/>
              </w:rPr>
              <w:t>，产生的</w:t>
            </w:r>
            <w:r>
              <w:rPr>
                <w:rFonts w:hint="eastAsia"/>
                <w:bCs/>
                <w:sz w:val="24"/>
                <w:szCs w:val="24"/>
                <w:lang w:eastAsia="zh-CN"/>
              </w:rPr>
              <w:t>打磨粉尘</w:t>
            </w:r>
            <w:r>
              <w:rPr>
                <w:rFonts w:hint="eastAsia"/>
                <w:bCs/>
                <w:sz w:val="24"/>
                <w:szCs w:val="24"/>
              </w:rPr>
              <w:t>通过移动式焊烟净化器收集处理，</w:t>
            </w:r>
            <w:r>
              <w:rPr>
                <w:rFonts w:hint="eastAsia"/>
                <w:bCs/>
                <w:sz w:val="24"/>
                <w:szCs w:val="24"/>
                <w:lang w:eastAsia="zh-CN"/>
              </w:rPr>
              <w:t>粉尘</w:t>
            </w:r>
            <w:r>
              <w:rPr>
                <w:rFonts w:hint="eastAsia"/>
                <w:bCs/>
                <w:sz w:val="24"/>
                <w:szCs w:val="24"/>
              </w:rPr>
              <w:t>收集效率约为90%，则收集到的</w:t>
            </w:r>
            <w:r>
              <w:rPr>
                <w:rFonts w:hint="eastAsia"/>
                <w:bCs/>
                <w:sz w:val="24"/>
                <w:szCs w:val="24"/>
                <w:lang w:eastAsia="zh-CN"/>
              </w:rPr>
              <w:t>打磨粉尘</w:t>
            </w:r>
            <w:r>
              <w:rPr>
                <w:rFonts w:hint="eastAsia"/>
                <w:bCs/>
                <w:sz w:val="24"/>
                <w:szCs w:val="24"/>
              </w:rPr>
              <w:t>量为0.</w:t>
            </w:r>
            <w:r>
              <w:rPr>
                <w:rFonts w:hint="eastAsia"/>
                <w:bCs/>
                <w:sz w:val="24"/>
                <w:szCs w:val="24"/>
                <w:lang w:val="en-US" w:eastAsia="zh-CN"/>
              </w:rPr>
              <w:t>36</w:t>
            </w:r>
            <w:r>
              <w:rPr>
                <w:rFonts w:hint="eastAsia"/>
                <w:bCs/>
                <w:sz w:val="24"/>
                <w:szCs w:val="24"/>
              </w:rPr>
              <w:t>t/a，未被收集到的</w:t>
            </w:r>
            <w:r>
              <w:rPr>
                <w:rFonts w:hint="eastAsia"/>
                <w:bCs/>
                <w:sz w:val="24"/>
                <w:szCs w:val="24"/>
                <w:lang w:eastAsia="zh-CN"/>
              </w:rPr>
              <w:t>打磨粉尘</w:t>
            </w:r>
            <w:r>
              <w:rPr>
                <w:rFonts w:hint="eastAsia"/>
                <w:bCs/>
                <w:sz w:val="24"/>
                <w:szCs w:val="24"/>
              </w:rPr>
              <w:t>量为0.0</w:t>
            </w:r>
            <w:r>
              <w:rPr>
                <w:rFonts w:hint="eastAsia"/>
                <w:bCs/>
                <w:sz w:val="24"/>
                <w:szCs w:val="24"/>
                <w:lang w:val="en-US" w:eastAsia="zh-CN"/>
              </w:rPr>
              <w:t>4</w:t>
            </w:r>
            <w:r>
              <w:rPr>
                <w:rFonts w:hint="eastAsia"/>
                <w:bCs/>
                <w:sz w:val="24"/>
                <w:szCs w:val="24"/>
              </w:rPr>
              <w:t>t/a，移动式焊烟净化器处理效率为85%，经过移动焊烟净化器处理后</w:t>
            </w:r>
            <w:r>
              <w:rPr>
                <w:rFonts w:hint="eastAsia"/>
                <w:bCs/>
                <w:sz w:val="24"/>
                <w:szCs w:val="24"/>
                <w:lang w:eastAsia="zh-CN"/>
              </w:rPr>
              <w:t>打磨粉尘</w:t>
            </w:r>
            <w:r>
              <w:rPr>
                <w:rFonts w:hint="eastAsia"/>
                <w:bCs/>
                <w:sz w:val="24"/>
                <w:szCs w:val="24"/>
              </w:rPr>
              <w:t>排放量为0.0</w:t>
            </w:r>
            <w:r>
              <w:rPr>
                <w:rFonts w:hint="eastAsia"/>
                <w:bCs/>
                <w:sz w:val="24"/>
                <w:szCs w:val="24"/>
                <w:lang w:val="en-US" w:eastAsia="zh-CN"/>
              </w:rPr>
              <w:t>54</w:t>
            </w:r>
            <w:r>
              <w:rPr>
                <w:rFonts w:hint="eastAsia"/>
                <w:bCs/>
                <w:sz w:val="24"/>
                <w:szCs w:val="24"/>
              </w:rPr>
              <w:t>t/a。处理后的</w:t>
            </w:r>
            <w:r>
              <w:rPr>
                <w:rFonts w:hint="eastAsia"/>
                <w:bCs/>
                <w:sz w:val="24"/>
                <w:szCs w:val="24"/>
                <w:lang w:eastAsia="zh-CN"/>
              </w:rPr>
              <w:t>打磨粉尘</w:t>
            </w:r>
            <w:r>
              <w:rPr>
                <w:rFonts w:hint="eastAsia"/>
                <w:bCs/>
                <w:sz w:val="24"/>
                <w:szCs w:val="24"/>
              </w:rPr>
              <w:t>以无组织形式排放。综上项目</w:t>
            </w:r>
            <w:r>
              <w:rPr>
                <w:rFonts w:hint="eastAsia"/>
                <w:bCs/>
                <w:sz w:val="24"/>
                <w:szCs w:val="24"/>
                <w:lang w:eastAsia="zh-CN"/>
              </w:rPr>
              <w:t>打磨粉尘</w:t>
            </w:r>
            <w:r>
              <w:rPr>
                <w:rFonts w:hint="eastAsia"/>
                <w:bCs/>
                <w:sz w:val="24"/>
                <w:szCs w:val="24"/>
              </w:rPr>
              <w:t>无组织排放量为</w:t>
            </w:r>
            <w:r>
              <w:rPr>
                <w:bCs/>
                <w:sz w:val="24"/>
                <w:szCs w:val="24"/>
              </w:rPr>
              <w:t>0.</w:t>
            </w:r>
            <w:r>
              <w:rPr>
                <w:rFonts w:hint="eastAsia"/>
                <w:bCs/>
                <w:sz w:val="24"/>
                <w:szCs w:val="24"/>
                <w:lang w:val="en-US" w:eastAsia="zh-CN"/>
              </w:rPr>
              <w:t>094</w:t>
            </w:r>
            <w:r>
              <w:rPr>
                <w:bCs/>
                <w:sz w:val="24"/>
                <w:szCs w:val="24"/>
              </w:rPr>
              <w:t>t/a</w:t>
            </w:r>
            <w:r>
              <w:rPr>
                <w:rFonts w:hint="eastAsia"/>
                <w:bCs/>
                <w:sz w:val="24"/>
                <w:szCs w:val="24"/>
              </w:rPr>
              <w:t>，</w:t>
            </w:r>
            <w:r>
              <w:rPr>
                <w:bCs/>
                <w:sz w:val="24"/>
                <w:szCs w:val="24"/>
              </w:rPr>
              <w:t>0.</w:t>
            </w:r>
            <w:r>
              <w:rPr>
                <w:rFonts w:hint="eastAsia"/>
                <w:bCs/>
                <w:sz w:val="24"/>
                <w:szCs w:val="24"/>
                <w:lang w:val="en-US" w:eastAsia="zh-CN"/>
              </w:rPr>
              <w:t>052</w:t>
            </w:r>
            <w:r>
              <w:rPr>
                <w:bCs/>
                <w:sz w:val="24"/>
                <w:szCs w:val="24"/>
              </w:rPr>
              <w:t>kg/h</w:t>
            </w:r>
            <w:r>
              <w:rPr>
                <w:rFonts w:hint="eastAsia"/>
                <w:bCs/>
                <w:sz w:val="24"/>
                <w:szCs w:val="24"/>
              </w:rPr>
              <w:t>。生产车间采用全面通风方式，烟尘排出室外。采取以上措施后下料烟尘对周围环境影响较小。</w:t>
            </w:r>
          </w:p>
          <w:p>
            <w:pPr>
              <w:spacing w:line="360" w:lineRule="auto"/>
              <w:ind w:firstLine="480" w:firstLineChars="200"/>
              <w:rPr>
                <w:rFonts w:hint="default"/>
                <w:bCs/>
                <w:sz w:val="24"/>
                <w:szCs w:val="24"/>
                <w:lang w:val="en-US" w:eastAsia="zh-CN"/>
              </w:rPr>
            </w:pPr>
            <w:r>
              <w:rPr>
                <w:rFonts w:hint="eastAsia"/>
                <w:bCs/>
                <w:sz w:val="24"/>
                <w:szCs w:val="24"/>
                <w:lang w:val="en-US" w:eastAsia="zh-CN"/>
              </w:rPr>
              <w:t>综上所述，项目产生的烟粉尘量为0.48t/a，通过安装移动式焊烟净化器对烟粉尘进行收集处理，收集处理后以无组织形式排放，无组织排放量为0.113t/a，0.115kg/h</w:t>
            </w:r>
          </w:p>
          <w:p>
            <w:pPr>
              <w:jc w:val="center"/>
              <w:rPr>
                <w:b/>
                <w:szCs w:val="21"/>
              </w:rPr>
            </w:pPr>
            <w:r>
              <w:rPr>
                <w:b/>
                <w:szCs w:val="21"/>
              </w:rPr>
              <w:t>表</w:t>
            </w:r>
            <w:r>
              <w:rPr>
                <w:rFonts w:hint="eastAsia"/>
                <w:b/>
                <w:szCs w:val="21"/>
              </w:rPr>
              <w:t>19 项目废气产生和排放情况见下表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21"/>
              <w:gridCol w:w="829"/>
              <w:gridCol w:w="830"/>
              <w:gridCol w:w="829"/>
              <w:gridCol w:w="1650"/>
              <w:gridCol w:w="830"/>
              <w:gridCol w:w="692"/>
              <w:gridCol w:w="80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18" w:type="dxa"/>
                  <w:gridSpan w:val="2"/>
                  <w:vMerge w:val="restart"/>
                  <w:vAlign w:val="center"/>
                </w:tcPr>
                <w:p>
                  <w:pPr>
                    <w:snapToGrid w:val="0"/>
                    <w:jc w:val="center"/>
                    <w:rPr>
                      <w:sz w:val="21"/>
                      <w:szCs w:val="21"/>
                    </w:rPr>
                  </w:pPr>
                  <w:r>
                    <w:rPr>
                      <w:sz w:val="21"/>
                      <w:szCs w:val="21"/>
                    </w:rPr>
                    <w:t>污染物</w:t>
                  </w:r>
                </w:p>
              </w:tc>
              <w:tc>
                <w:tcPr>
                  <w:tcW w:w="829" w:type="dxa"/>
                  <w:vMerge w:val="restart"/>
                  <w:vAlign w:val="center"/>
                </w:tcPr>
                <w:p>
                  <w:pPr>
                    <w:snapToGrid w:val="0"/>
                    <w:jc w:val="center"/>
                    <w:rPr>
                      <w:sz w:val="21"/>
                      <w:szCs w:val="21"/>
                    </w:rPr>
                  </w:pPr>
                  <w:r>
                    <w:rPr>
                      <w:sz w:val="21"/>
                      <w:szCs w:val="21"/>
                    </w:rPr>
                    <w:t>废气量m</w:t>
                  </w:r>
                  <w:r>
                    <w:rPr>
                      <w:sz w:val="21"/>
                      <w:szCs w:val="21"/>
                      <w:vertAlign w:val="superscript"/>
                    </w:rPr>
                    <w:t>3</w:t>
                  </w:r>
                  <w:r>
                    <w:rPr>
                      <w:sz w:val="21"/>
                      <w:szCs w:val="21"/>
                    </w:rPr>
                    <w:t>/h</w:t>
                  </w:r>
                </w:p>
              </w:tc>
              <w:tc>
                <w:tcPr>
                  <w:tcW w:w="1659" w:type="dxa"/>
                  <w:gridSpan w:val="2"/>
                  <w:vAlign w:val="center"/>
                </w:tcPr>
                <w:p>
                  <w:pPr>
                    <w:snapToGrid w:val="0"/>
                    <w:jc w:val="center"/>
                    <w:rPr>
                      <w:sz w:val="21"/>
                      <w:szCs w:val="21"/>
                    </w:rPr>
                  </w:pPr>
                  <w:r>
                    <w:rPr>
                      <w:sz w:val="21"/>
                      <w:szCs w:val="21"/>
                    </w:rPr>
                    <w:t>产生情况</w:t>
                  </w:r>
                </w:p>
              </w:tc>
              <w:tc>
                <w:tcPr>
                  <w:tcW w:w="1650" w:type="dxa"/>
                  <w:vMerge w:val="restart"/>
                  <w:vAlign w:val="center"/>
                </w:tcPr>
                <w:p>
                  <w:pPr>
                    <w:snapToGrid w:val="0"/>
                    <w:jc w:val="center"/>
                    <w:rPr>
                      <w:sz w:val="21"/>
                      <w:szCs w:val="21"/>
                    </w:rPr>
                  </w:pPr>
                  <w:r>
                    <w:rPr>
                      <w:sz w:val="21"/>
                      <w:szCs w:val="21"/>
                    </w:rPr>
                    <w:t>措施</w:t>
                  </w:r>
                </w:p>
              </w:tc>
              <w:tc>
                <w:tcPr>
                  <w:tcW w:w="830" w:type="dxa"/>
                  <w:vMerge w:val="restart"/>
                  <w:vAlign w:val="center"/>
                </w:tcPr>
                <w:p>
                  <w:pPr>
                    <w:snapToGrid w:val="0"/>
                    <w:jc w:val="center"/>
                    <w:rPr>
                      <w:sz w:val="21"/>
                      <w:szCs w:val="21"/>
                    </w:rPr>
                  </w:pPr>
                  <w:r>
                    <w:rPr>
                      <w:sz w:val="21"/>
                      <w:szCs w:val="21"/>
                    </w:rPr>
                    <w:t>排气筒编号及</w:t>
                  </w:r>
                </w:p>
                <w:p>
                  <w:pPr>
                    <w:snapToGrid w:val="0"/>
                    <w:jc w:val="center"/>
                    <w:rPr>
                      <w:sz w:val="21"/>
                      <w:szCs w:val="21"/>
                    </w:rPr>
                  </w:pPr>
                  <w:r>
                    <w:rPr>
                      <w:sz w:val="21"/>
                      <w:szCs w:val="21"/>
                    </w:rPr>
                    <w:t>直径</w:t>
                  </w:r>
                </w:p>
                <w:p>
                  <w:pPr>
                    <w:snapToGrid w:val="0"/>
                    <w:jc w:val="center"/>
                    <w:rPr>
                      <w:sz w:val="21"/>
                      <w:szCs w:val="21"/>
                    </w:rPr>
                  </w:pPr>
                  <w:r>
                    <w:rPr>
                      <w:sz w:val="21"/>
                      <w:szCs w:val="21"/>
                    </w:rPr>
                    <w:t>（m）</w:t>
                  </w:r>
                </w:p>
              </w:tc>
              <w:tc>
                <w:tcPr>
                  <w:tcW w:w="692" w:type="dxa"/>
                  <w:vMerge w:val="restart"/>
                  <w:vAlign w:val="center"/>
                </w:tcPr>
                <w:p>
                  <w:pPr>
                    <w:snapToGrid w:val="0"/>
                    <w:jc w:val="center"/>
                    <w:rPr>
                      <w:sz w:val="21"/>
                      <w:szCs w:val="21"/>
                    </w:rPr>
                  </w:pPr>
                  <w:r>
                    <w:rPr>
                      <w:sz w:val="21"/>
                      <w:szCs w:val="21"/>
                    </w:rPr>
                    <w:t>处理效率</w:t>
                  </w:r>
                </w:p>
                <w:p>
                  <w:pPr>
                    <w:snapToGrid w:val="0"/>
                    <w:jc w:val="center"/>
                    <w:rPr>
                      <w:sz w:val="21"/>
                      <w:szCs w:val="21"/>
                    </w:rPr>
                  </w:pPr>
                  <w:r>
                    <w:rPr>
                      <w:sz w:val="21"/>
                      <w:szCs w:val="21"/>
                    </w:rPr>
                    <w:t>（%）</w:t>
                  </w:r>
                </w:p>
              </w:tc>
              <w:tc>
                <w:tcPr>
                  <w:tcW w:w="1726" w:type="dxa"/>
                  <w:gridSpan w:val="2"/>
                  <w:vAlign w:val="center"/>
                </w:tcPr>
                <w:p>
                  <w:pPr>
                    <w:snapToGrid w:val="0"/>
                    <w:jc w:val="center"/>
                    <w:rPr>
                      <w:sz w:val="21"/>
                      <w:szCs w:val="21"/>
                    </w:rPr>
                  </w:pPr>
                  <w:r>
                    <w:rPr>
                      <w:sz w:val="21"/>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18" w:type="dxa"/>
                  <w:gridSpan w:val="2"/>
                  <w:vMerge w:val="continue"/>
                  <w:vAlign w:val="center"/>
                </w:tcPr>
                <w:p>
                  <w:pPr>
                    <w:snapToGrid w:val="0"/>
                    <w:jc w:val="center"/>
                    <w:rPr>
                      <w:sz w:val="21"/>
                      <w:szCs w:val="21"/>
                    </w:rPr>
                  </w:pPr>
                </w:p>
              </w:tc>
              <w:tc>
                <w:tcPr>
                  <w:tcW w:w="829" w:type="dxa"/>
                  <w:vMerge w:val="continue"/>
                  <w:vAlign w:val="center"/>
                </w:tcPr>
                <w:p>
                  <w:pPr>
                    <w:snapToGrid w:val="0"/>
                    <w:jc w:val="center"/>
                    <w:rPr>
                      <w:sz w:val="21"/>
                      <w:szCs w:val="21"/>
                    </w:rPr>
                  </w:pPr>
                </w:p>
              </w:tc>
              <w:tc>
                <w:tcPr>
                  <w:tcW w:w="830" w:type="dxa"/>
                  <w:vAlign w:val="center"/>
                </w:tcPr>
                <w:p>
                  <w:pPr>
                    <w:snapToGrid w:val="0"/>
                    <w:jc w:val="center"/>
                    <w:rPr>
                      <w:sz w:val="21"/>
                      <w:szCs w:val="21"/>
                    </w:rPr>
                  </w:pPr>
                  <w:r>
                    <w:rPr>
                      <w:sz w:val="21"/>
                      <w:szCs w:val="21"/>
                    </w:rPr>
                    <w:t>浓度 mg/m</w:t>
                  </w:r>
                  <w:r>
                    <w:rPr>
                      <w:sz w:val="21"/>
                      <w:szCs w:val="21"/>
                      <w:vertAlign w:val="superscript"/>
                    </w:rPr>
                    <w:t>3</w:t>
                  </w:r>
                </w:p>
              </w:tc>
              <w:tc>
                <w:tcPr>
                  <w:tcW w:w="829" w:type="dxa"/>
                  <w:vAlign w:val="center"/>
                </w:tcPr>
                <w:p>
                  <w:pPr>
                    <w:snapToGrid w:val="0"/>
                    <w:jc w:val="center"/>
                    <w:rPr>
                      <w:sz w:val="21"/>
                      <w:szCs w:val="21"/>
                    </w:rPr>
                  </w:pPr>
                  <w:r>
                    <w:rPr>
                      <w:sz w:val="21"/>
                      <w:szCs w:val="21"/>
                    </w:rPr>
                    <w:t xml:space="preserve">产生量 </w:t>
                  </w:r>
                  <w:r>
                    <w:rPr>
                      <w:rFonts w:hint="eastAsia"/>
                      <w:sz w:val="21"/>
                      <w:szCs w:val="21"/>
                    </w:rPr>
                    <w:t>t</w:t>
                  </w:r>
                  <w:r>
                    <w:rPr>
                      <w:sz w:val="21"/>
                      <w:szCs w:val="21"/>
                    </w:rPr>
                    <w:t>/a</w:t>
                  </w:r>
                </w:p>
              </w:tc>
              <w:tc>
                <w:tcPr>
                  <w:tcW w:w="1650" w:type="dxa"/>
                  <w:vMerge w:val="continue"/>
                  <w:vAlign w:val="center"/>
                </w:tcPr>
                <w:p>
                  <w:pPr>
                    <w:snapToGrid w:val="0"/>
                    <w:jc w:val="center"/>
                    <w:rPr>
                      <w:sz w:val="21"/>
                      <w:szCs w:val="21"/>
                    </w:rPr>
                  </w:pPr>
                </w:p>
              </w:tc>
              <w:tc>
                <w:tcPr>
                  <w:tcW w:w="830" w:type="dxa"/>
                  <w:vMerge w:val="continue"/>
                  <w:vAlign w:val="center"/>
                </w:tcPr>
                <w:p>
                  <w:pPr>
                    <w:snapToGrid w:val="0"/>
                    <w:jc w:val="center"/>
                    <w:rPr>
                      <w:sz w:val="21"/>
                      <w:szCs w:val="21"/>
                    </w:rPr>
                  </w:pPr>
                </w:p>
              </w:tc>
              <w:tc>
                <w:tcPr>
                  <w:tcW w:w="692" w:type="dxa"/>
                  <w:vMerge w:val="continue"/>
                  <w:vAlign w:val="center"/>
                </w:tcPr>
                <w:p>
                  <w:pPr>
                    <w:snapToGrid w:val="0"/>
                    <w:jc w:val="center"/>
                    <w:rPr>
                      <w:sz w:val="21"/>
                      <w:szCs w:val="21"/>
                    </w:rPr>
                  </w:pPr>
                </w:p>
              </w:tc>
              <w:tc>
                <w:tcPr>
                  <w:tcW w:w="807" w:type="dxa"/>
                  <w:vAlign w:val="center"/>
                </w:tcPr>
                <w:p>
                  <w:pPr>
                    <w:snapToGrid w:val="0"/>
                    <w:jc w:val="center"/>
                    <w:rPr>
                      <w:sz w:val="21"/>
                      <w:szCs w:val="21"/>
                    </w:rPr>
                  </w:pPr>
                  <w:r>
                    <w:rPr>
                      <w:sz w:val="21"/>
                      <w:szCs w:val="21"/>
                    </w:rPr>
                    <w:t>浓度 mg/m</w:t>
                  </w:r>
                  <w:r>
                    <w:rPr>
                      <w:sz w:val="21"/>
                      <w:szCs w:val="21"/>
                      <w:vertAlign w:val="superscript"/>
                    </w:rPr>
                    <w:t>3</w:t>
                  </w:r>
                </w:p>
              </w:tc>
              <w:tc>
                <w:tcPr>
                  <w:tcW w:w="919" w:type="dxa"/>
                  <w:vAlign w:val="center"/>
                </w:tcPr>
                <w:p>
                  <w:pPr>
                    <w:snapToGrid w:val="0"/>
                    <w:jc w:val="center"/>
                    <w:rPr>
                      <w:sz w:val="21"/>
                      <w:szCs w:val="21"/>
                    </w:rPr>
                  </w:pPr>
                  <w:r>
                    <w:rPr>
                      <w:sz w:val="21"/>
                      <w:szCs w:val="21"/>
                    </w:rPr>
                    <w:t xml:space="preserve">排放量 </w:t>
                  </w:r>
                  <w:r>
                    <w:rPr>
                      <w:rFonts w:hint="eastAsia"/>
                      <w:sz w:val="21"/>
                      <w:szCs w:val="21"/>
                    </w:rPr>
                    <w:t>t</w:t>
                  </w:r>
                  <w:r>
                    <w:rPr>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vAlign w:val="center"/>
                </w:tcPr>
                <w:p>
                  <w:pPr>
                    <w:snapToGrid w:val="0"/>
                    <w:jc w:val="center"/>
                    <w:rPr>
                      <w:sz w:val="21"/>
                      <w:szCs w:val="21"/>
                    </w:rPr>
                  </w:pPr>
                  <w:r>
                    <w:rPr>
                      <w:sz w:val="21"/>
                      <w:szCs w:val="21"/>
                    </w:rPr>
                    <w:t>无组织排放</w:t>
                  </w:r>
                </w:p>
              </w:tc>
              <w:tc>
                <w:tcPr>
                  <w:tcW w:w="821" w:type="dxa"/>
                  <w:vAlign w:val="center"/>
                </w:tcPr>
                <w:p>
                  <w:pPr>
                    <w:jc w:val="center"/>
                    <w:rPr>
                      <w:rFonts w:hint="eastAsia" w:eastAsia="宋体"/>
                      <w:sz w:val="21"/>
                      <w:szCs w:val="21"/>
                      <w:lang w:eastAsia="zh-CN"/>
                    </w:rPr>
                  </w:pPr>
                  <w:r>
                    <w:rPr>
                      <w:rFonts w:hint="eastAsia"/>
                      <w:sz w:val="21"/>
                      <w:szCs w:val="21"/>
                      <w:lang w:eastAsia="zh-CN"/>
                    </w:rPr>
                    <w:t>切割烟尘</w:t>
                  </w:r>
                </w:p>
              </w:tc>
              <w:tc>
                <w:tcPr>
                  <w:tcW w:w="829" w:type="dxa"/>
                  <w:vAlign w:val="center"/>
                </w:tcPr>
                <w:p>
                  <w:pPr>
                    <w:snapToGrid w:val="0"/>
                    <w:jc w:val="center"/>
                    <w:rPr>
                      <w:sz w:val="21"/>
                      <w:szCs w:val="21"/>
                    </w:rPr>
                  </w:pPr>
                  <w:r>
                    <w:rPr>
                      <w:sz w:val="21"/>
                      <w:szCs w:val="21"/>
                    </w:rPr>
                    <w:t>/</w:t>
                  </w:r>
                </w:p>
              </w:tc>
              <w:tc>
                <w:tcPr>
                  <w:tcW w:w="830" w:type="dxa"/>
                  <w:vAlign w:val="center"/>
                </w:tcPr>
                <w:p>
                  <w:pPr>
                    <w:snapToGrid w:val="0"/>
                    <w:jc w:val="center"/>
                    <w:rPr>
                      <w:sz w:val="21"/>
                      <w:szCs w:val="21"/>
                    </w:rPr>
                  </w:pPr>
                  <w:r>
                    <w:rPr>
                      <w:sz w:val="21"/>
                      <w:szCs w:val="21"/>
                    </w:rPr>
                    <w:t>/</w:t>
                  </w:r>
                </w:p>
              </w:tc>
              <w:tc>
                <w:tcPr>
                  <w:tcW w:w="829" w:type="dxa"/>
                  <w:vAlign w:val="center"/>
                </w:tcPr>
                <w:p>
                  <w:pPr>
                    <w:snapToGrid w:val="0"/>
                    <w:jc w:val="center"/>
                    <w:rPr>
                      <w:rFonts w:hint="default" w:eastAsia="宋体"/>
                      <w:sz w:val="21"/>
                      <w:szCs w:val="21"/>
                      <w:lang w:val="en-US" w:eastAsia="zh-CN"/>
                    </w:rPr>
                  </w:pPr>
                  <w:r>
                    <w:rPr>
                      <w:rFonts w:hint="eastAsia"/>
                      <w:sz w:val="21"/>
                      <w:szCs w:val="21"/>
                      <w:lang w:val="en-US" w:eastAsia="zh-CN"/>
                    </w:rPr>
                    <w:t>0.08</w:t>
                  </w:r>
                </w:p>
              </w:tc>
              <w:tc>
                <w:tcPr>
                  <w:tcW w:w="1650" w:type="dxa"/>
                  <w:vAlign w:val="center"/>
                </w:tcPr>
                <w:p>
                  <w:pPr>
                    <w:snapToGrid w:val="0"/>
                    <w:jc w:val="center"/>
                    <w:rPr>
                      <w:sz w:val="21"/>
                      <w:szCs w:val="21"/>
                    </w:rPr>
                  </w:pPr>
                  <w:r>
                    <w:rPr>
                      <w:rFonts w:hint="eastAsia"/>
                      <w:sz w:val="21"/>
                      <w:szCs w:val="21"/>
                    </w:rPr>
                    <w:t>集气罩收集+移动式焊烟净化器</w:t>
                  </w:r>
                </w:p>
              </w:tc>
              <w:tc>
                <w:tcPr>
                  <w:tcW w:w="830" w:type="dxa"/>
                  <w:vAlign w:val="center"/>
                </w:tcPr>
                <w:p>
                  <w:pPr>
                    <w:snapToGrid w:val="0"/>
                    <w:jc w:val="center"/>
                    <w:rPr>
                      <w:sz w:val="21"/>
                      <w:szCs w:val="21"/>
                    </w:rPr>
                  </w:pPr>
                  <w:r>
                    <w:rPr>
                      <w:sz w:val="21"/>
                      <w:szCs w:val="21"/>
                    </w:rPr>
                    <w:t>/</w:t>
                  </w:r>
                </w:p>
              </w:tc>
              <w:tc>
                <w:tcPr>
                  <w:tcW w:w="692" w:type="dxa"/>
                  <w:vAlign w:val="center"/>
                </w:tcPr>
                <w:p>
                  <w:pPr>
                    <w:snapToGrid w:val="0"/>
                    <w:jc w:val="center"/>
                    <w:rPr>
                      <w:sz w:val="21"/>
                      <w:szCs w:val="21"/>
                    </w:rPr>
                  </w:pPr>
                  <w:r>
                    <w:rPr>
                      <w:rFonts w:hint="eastAsia"/>
                      <w:sz w:val="21"/>
                      <w:szCs w:val="21"/>
                    </w:rPr>
                    <w:t>85%</w:t>
                  </w:r>
                </w:p>
              </w:tc>
              <w:tc>
                <w:tcPr>
                  <w:tcW w:w="807" w:type="dxa"/>
                  <w:vAlign w:val="center"/>
                </w:tcPr>
                <w:p>
                  <w:pPr>
                    <w:snapToGrid w:val="0"/>
                    <w:jc w:val="center"/>
                    <w:rPr>
                      <w:sz w:val="21"/>
                      <w:szCs w:val="21"/>
                    </w:rPr>
                  </w:pPr>
                  <w:r>
                    <w:rPr>
                      <w:sz w:val="21"/>
                      <w:szCs w:val="21"/>
                    </w:rPr>
                    <w:t>/</w:t>
                  </w:r>
                </w:p>
              </w:tc>
              <w:tc>
                <w:tcPr>
                  <w:tcW w:w="919" w:type="dxa"/>
                  <w:vAlign w:val="center"/>
                </w:tcPr>
                <w:p>
                  <w:pPr>
                    <w:snapToGrid w:val="0"/>
                    <w:jc w:val="center"/>
                    <w:rPr>
                      <w:rFonts w:hint="default" w:eastAsia="宋体"/>
                      <w:sz w:val="21"/>
                      <w:szCs w:val="21"/>
                      <w:lang w:val="en-US" w:eastAsia="zh-CN"/>
                    </w:rPr>
                  </w:pPr>
                  <w:r>
                    <w:rPr>
                      <w:rFonts w:hint="eastAsia"/>
                      <w:sz w:val="21"/>
                      <w:szCs w:val="21"/>
                      <w:lang w:val="en-US" w:eastAsia="zh-CN"/>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vAlign w:val="center"/>
                </w:tcPr>
                <w:p>
                  <w:pPr>
                    <w:snapToGrid w:val="0"/>
                    <w:jc w:val="center"/>
                    <w:rPr>
                      <w:sz w:val="21"/>
                      <w:szCs w:val="21"/>
                    </w:rPr>
                  </w:pPr>
                </w:p>
              </w:tc>
              <w:tc>
                <w:tcPr>
                  <w:tcW w:w="821" w:type="dxa"/>
                  <w:vAlign w:val="center"/>
                </w:tcPr>
                <w:p>
                  <w:pPr>
                    <w:jc w:val="center"/>
                    <w:rPr>
                      <w:rFonts w:hint="eastAsia" w:eastAsia="宋体"/>
                      <w:sz w:val="21"/>
                      <w:szCs w:val="21"/>
                      <w:lang w:eastAsia="zh-CN"/>
                    </w:rPr>
                  </w:pPr>
                  <w:r>
                    <w:rPr>
                      <w:rFonts w:hint="eastAsia"/>
                      <w:sz w:val="21"/>
                      <w:szCs w:val="21"/>
                      <w:lang w:eastAsia="zh-CN"/>
                    </w:rPr>
                    <w:t>打磨粉尘</w:t>
                  </w:r>
                </w:p>
              </w:tc>
              <w:tc>
                <w:tcPr>
                  <w:tcW w:w="829" w:type="dxa"/>
                  <w:vAlign w:val="center"/>
                </w:tcPr>
                <w:p>
                  <w:pPr>
                    <w:snapToGrid w:val="0"/>
                    <w:jc w:val="center"/>
                    <w:rPr>
                      <w:sz w:val="21"/>
                      <w:szCs w:val="21"/>
                    </w:rPr>
                  </w:pPr>
                  <w:r>
                    <w:rPr>
                      <w:rFonts w:hint="eastAsia"/>
                      <w:sz w:val="21"/>
                      <w:szCs w:val="21"/>
                    </w:rPr>
                    <w:t>/</w:t>
                  </w:r>
                </w:p>
              </w:tc>
              <w:tc>
                <w:tcPr>
                  <w:tcW w:w="830" w:type="dxa"/>
                  <w:vAlign w:val="center"/>
                </w:tcPr>
                <w:p>
                  <w:pPr>
                    <w:snapToGrid w:val="0"/>
                    <w:jc w:val="center"/>
                    <w:rPr>
                      <w:sz w:val="21"/>
                      <w:szCs w:val="21"/>
                    </w:rPr>
                  </w:pPr>
                  <w:r>
                    <w:rPr>
                      <w:rFonts w:hint="eastAsia"/>
                      <w:sz w:val="21"/>
                      <w:szCs w:val="21"/>
                    </w:rPr>
                    <w:t>/</w:t>
                  </w:r>
                </w:p>
              </w:tc>
              <w:tc>
                <w:tcPr>
                  <w:tcW w:w="829" w:type="dxa"/>
                  <w:vAlign w:val="center"/>
                </w:tcPr>
                <w:p>
                  <w:pPr>
                    <w:snapToGrid w:val="0"/>
                    <w:jc w:val="center"/>
                    <w:rPr>
                      <w:rFonts w:hint="default" w:eastAsia="宋体"/>
                      <w:sz w:val="21"/>
                      <w:szCs w:val="21"/>
                      <w:lang w:val="en-US" w:eastAsia="zh-CN"/>
                    </w:rPr>
                  </w:pPr>
                  <w:r>
                    <w:rPr>
                      <w:rFonts w:hint="eastAsia"/>
                      <w:sz w:val="21"/>
                      <w:szCs w:val="21"/>
                      <w:lang w:val="en-US" w:eastAsia="zh-CN"/>
                    </w:rPr>
                    <w:t>0.4</w:t>
                  </w:r>
                </w:p>
              </w:tc>
              <w:tc>
                <w:tcPr>
                  <w:tcW w:w="1650" w:type="dxa"/>
                  <w:vAlign w:val="center"/>
                </w:tcPr>
                <w:p>
                  <w:pPr>
                    <w:snapToGrid w:val="0"/>
                    <w:jc w:val="center"/>
                    <w:rPr>
                      <w:sz w:val="21"/>
                      <w:szCs w:val="21"/>
                    </w:rPr>
                  </w:pPr>
                  <w:r>
                    <w:rPr>
                      <w:rFonts w:hint="eastAsia"/>
                      <w:sz w:val="21"/>
                      <w:szCs w:val="21"/>
                    </w:rPr>
                    <w:t>集气罩收集+移动式焊烟净化器</w:t>
                  </w:r>
                </w:p>
              </w:tc>
              <w:tc>
                <w:tcPr>
                  <w:tcW w:w="830" w:type="dxa"/>
                  <w:vAlign w:val="center"/>
                </w:tcPr>
                <w:p>
                  <w:pPr>
                    <w:snapToGrid w:val="0"/>
                    <w:jc w:val="center"/>
                    <w:rPr>
                      <w:sz w:val="21"/>
                      <w:szCs w:val="21"/>
                    </w:rPr>
                  </w:pPr>
                  <w:r>
                    <w:rPr>
                      <w:rFonts w:hint="eastAsia"/>
                      <w:sz w:val="21"/>
                      <w:szCs w:val="21"/>
                    </w:rPr>
                    <w:t>/</w:t>
                  </w:r>
                </w:p>
              </w:tc>
              <w:tc>
                <w:tcPr>
                  <w:tcW w:w="692" w:type="dxa"/>
                  <w:vAlign w:val="center"/>
                </w:tcPr>
                <w:p>
                  <w:pPr>
                    <w:snapToGrid w:val="0"/>
                    <w:jc w:val="center"/>
                    <w:rPr>
                      <w:sz w:val="21"/>
                      <w:szCs w:val="21"/>
                    </w:rPr>
                  </w:pPr>
                  <w:r>
                    <w:rPr>
                      <w:rFonts w:hint="eastAsia"/>
                      <w:sz w:val="21"/>
                      <w:szCs w:val="21"/>
                    </w:rPr>
                    <w:t>85%</w:t>
                  </w:r>
                </w:p>
              </w:tc>
              <w:tc>
                <w:tcPr>
                  <w:tcW w:w="807" w:type="dxa"/>
                  <w:vAlign w:val="center"/>
                </w:tcPr>
                <w:p>
                  <w:pPr>
                    <w:snapToGrid w:val="0"/>
                    <w:jc w:val="center"/>
                    <w:rPr>
                      <w:sz w:val="21"/>
                      <w:szCs w:val="21"/>
                    </w:rPr>
                  </w:pPr>
                  <w:r>
                    <w:rPr>
                      <w:rFonts w:hint="eastAsia"/>
                      <w:sz w:val="21"/>
                      <w:szCs w:val="21"/>
                    </w:rPr>
                    <w:t>/</w:t>
                  </w:r>
                </w:p>
              </w:tc>
              <w:tc>
                <w:tcPr>
                  <w:tcW w:w="919" w:type="dxa"/>
                  <w:vAlign w:val="center"/>
                </w:tcPr>
                <w:p>
                  <w:pPr>
                    <w:snapToGrid w:val="0"/>
                    <w:jc w:val="center"/>
                    <w:rPr>
                      <w:rFonts w:hint="default" w:eastAsia="宋体"/>
                      <w:sz w:val="21"/>
                      <w:szCs w:val="21"/>
                      <w:lang w:val="en-US" w:eastAsia="zh-CN"/>
                    </w:rPr>
                  </w:pPr>
                  <w:r>
                    <w:rPr>
                      <w:rFonts w:hint="eastAsia"/>
                      <w:bCs/>
                      <w:sz w:val="21"/>
                      <w:szCs w:val="21"/>
                      <w:lang w:val="en-US" w:eastAsia="zh-CN"/>
                    </w:rPr>
                    <w:t>0.094</w:t>
                  </w:r>
                </w:p>
              </w:tc>
            </w:tr>
          </w:tbl>
          <w:p>
            <w:pPr>
              <w:spacing w:line="360" w:lineRule="auto"/>
              <w:rPr>
                <w:sz w:val="24"/>
                <w:szCs w:val="24"/>
              </w:rPr>
            </w:pPr>
            <w:r>
              <w:rPr>
                <w:rFonts w:hint="eastAsia"/>
                <w:sz w:val="24"/>
                <w:szCs w:val="24"/>
              </w:rPr>
              <w:t>3、</w:t>
            </w:r>
            <w:r>
              <w:rPr>
                <w:sz w:val="24"/>
                <w:szCs w:val="24"/>
              </w:rPr>
              <w:t>噪声</w:t>
            </w:r>
            <w:r>
              <w:rPr>
                <w:rFonts w:hint="eastAsia"/>
                <w:sz w:val="24"/>
                <w:szCs w:val="24"/>
              </w:rPr>
              <w:t>污染源简析</w:t>
            </w:r>
          </w:p>
          <w:p>
            <w:pPr>
              <w:spacing w:line="360" w:lineRule="auto"/>
              <w:ind w:firstLine="480" w:firstLineChars="200"/>
              <w:rPr>
                <w:sz w:val="24"/>
              </w:rPr>
            </w:pPr>
            <w:r>
              <w:rPr>
                <w:bCs/>
                <w:sz w:val="24"/>
                <w:szCs w:val="24"/>
              </w:rPr>
              <w:t>项目主要噪声</w:t>
            </w:r>
            <w:r>
              <w:rPr>
                <w:rFonts w:hint="eastAsia"/>
                <w:bCs/>
                <w:sz w:val="24"/>
                <w:szCs w:val="24"/>
              </w:rPr>
              <w:t>为各种生产设备运行产生的噪声，</w:t>
            </w:r>
            <w:r>
              <w:rPr>
                <w:sz w:val="24"/>
              </w:rPr>
              <w:t>拟建工程主要噪声源情况见下表：</w:t>
            </w:r>
          </w:p>
          <w:p>
            <w:pPr>
              <w:pStyle w:val="45"/>
              <w:snapToGrid w:val="0"/>
              <w:spacing w:line="240" w:lineRule="auto"/>
              <w:ind w:firstLine="0"/>
              <w:jc w:val="center"/>
              <w:rPr>
                <w:rFonts w:ascii="Times New Roman" w:hAnsi="Times New Roman"/>
                <w:b/>
                <w:kern w:val="0"/>
                <w:sz w:val="21"/>
                <w:szCs w:val="21"/>
              </w:rPr>
            </w:pPr>
            <w:r>
              <w:rPr>
                <w:rFonts w:ascii="Times New Roman" w:hAnsi="Times New Roman"/>
                <w:b/>
                <w:kern w:val="0"/>
                <w:sz w:val="21"/>
                <w:szCs w:val="21"/>
              </w:rPr>
              <w:t>表</w:t>
            </w:r>
            <w:r>
              <w:rPr>
                <w:rFonts w:hint="eastAsia" w:ascii="Times New Roman" w:hAnsi="Times New Roman"/>
                <w:b/>
                <w:kern w:val="0"/>
                <w:sz w:val="21"/>
                <w:szCs w:val="21"/>
              </w:rPr>
              <w:t>20拟建工程主要噪声设备噪声级</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350"/>
              <w:gridCol w:w="2018"/>
              <w:gridCol w:w="204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24" w:type="dxa"/>
                  <w:vAlign w:val="center"/>
                </w:tcPr>
                <w:p>
                  <w:pPr>
                    <w:spacing w:line="360" w:lineRule="exact"/>
                    <w:jc w:val="center"/>
                    <w:rPr>
                      <w:szCs w:val="21"/>
                    </w:rPr>
                  </w:pPr>
                  <w:r>
                    <w:rPr>
                      <w:rFonts w:hAnsi="宋体"/>
                      <w:szCs w:val="21"/>
                    </w:rPr>
                    <w:t>设备</w:t>
                  </w:r>
                </w:p>
              </w:tc>
              <w:tc>
                <w:tcPr>
                  <w:tcW w:w="1350" w:type="dxa"/>
                  <w:vAlign w:val="center"/>
                </w:tcPr>
                <w:p>
                  <w:pPr>
                    <w:spacing w:line="360" w:lineRule="exact"/>
                    <w:jc w:val="center"/>
                    <w:rPr>
                      <w:rFonts w:hAnsi="宋体"/>
                      <w:szCs w:val="21"/>
                    </w:rPr>
                  </w:pPr>
                  <w:r>
                    <w:rPr>
                      <w:rFonts w:hint="eastAsia" w:hAnsi="宋体"/>
                      <w:szCs w:val="21"/>
                    </w:rPr>
                    <w:t>数量（台）</w:t>
                  </w:r>
                </w:p>
              </w:tc>
              <w:tc>
                <w:tcPr>
                  <w:tcW w:w="2018" w:type="dxa"/>
                  <w:vAlign w:val="center"/>
                </w:tcPr>
                <w:p>
                  <w:pPr>
                    <w:spacing w:line="360" w:lineRule="exact"/>
                    <w:jc w:val="center"/>
                    <w:rPr>
                      <w:szCs w:val="21"/>
                    </w:rPr>
                  </w:pPr>
                  <w:r>
                    <w:rPr>
                      <w:rFonts w:hAnsi="宋体"/>
                      <w:szCs w:val="21"/>
                    </w:rPr>
                    <w:t>声级范围</w:t>
                  </w:r>
                  <w:r>
                    <w:rPr>
                      <w:szCs w:val="21"/>
                    </w:rPr>
                    <w:t>dB</w:t>
                  </w:r>
                  <w:r>
                    <w:rPr>
                      <w:rFonts w:hAnsi="宋体"/>
                      <w:szCs w:val="21"/>
                    </w:rPr>
                    <w:t>（</w:t>
                  </w:r>
                  <w:r>
                    <w:rPr>
                      <w:szCs w:val="21"/>
                    </w:rPr>
                    <w:t>A</w:t>
                  </w:r>
                  <w:r>
                    <w:rPr>
                      <w:rFonts w:hAnsi="宋体"/>
                      <w:szCs w:val="21"/>
                    </w:rPr>
                    <w:t>）</w:t>
                  </w:r>
                </w:p>
              </w:tc>
              <w:tc>
                <w:tcPr>
                  <w:tcW w:w="2044" w:type="dxa"/>
                  <w:vAlign w:val="center"/>
                </w:tcPr>
                <w:p>
                  <w:pPr>
                    <w:adjustRightInd w:val="0"/>
                    <w:snapToGrid w:val="0"/>
                    <w:jc w:val="center"/>
                    <w:rPr>
                      <w:szCs w:val="21"/>
                    </w:rPr>
                  </w:pPr>
                  <w:r>
                    <w:rPr>
                      <w:szCs w:val="21"/>
                    </w:rPr>
                    <w:t>防噪措施</w:t>
                  </w:r>
                </w:p>
              </w:tc>
              <w:tc>
                <w:tcPr>
                  <w:tcW w:w="1368" w:type="dxa"/>
                  <w:vAlign w:val="center"/>
                </w:tcPr>
                <w:p>
                  <w:pPr>
                    <w:adjustRightInd w:val="0"/>
                    <w:snapToGrid w:val="0"/>
                    <w:jc w:val="center"/>
                    <w:rPr>
                      <w:szCs w:val="21"/>
                    </w:rPr>
                  </w:pPr>
                  <w:r>
                    <w:rPr>
                      <w:szCs w:val="21"/>
                    </w:rPr>
                    <w:t>降噪效果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2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车床</w:t>
                  </w:r>
                </w:p>
              </w:tc>
              <w:tc>
                <w:tcPr>
                  <w:tcW w:w="1350"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10</w:t>
                  </w:r>
                </w:p>
              </w:tc>
              <w:tc>
                <w:tcPr>
                  <w:tcW w:w="2018" w:type="dxa"/>
                  <w:vAlign w:val="center"/>
                </w:tcPr>
                <w:p>
                  <w:pPr>
                    <w:jc w:val="center"/>
                    <w:rPr>
                      <w:szCs w:val="21"/>
                    </w:rPr>
                  </w:pPr>
                  <w:r>
                    <w:rPr>
                      <w:rFonts w:hint="eastAsia"/>
                      <w:szCs w:val="21"/>
                    </w:rPr>
                    <w:t>75~80</w:t>
                  </w:r>
                </w:p>
              </w:tc>
              <w:tc>
                <w:tcPr>
                  <w:tcW w:w="2044" w:type="dxa"/>
                  <w:vMerge w:val="restart"/>
                  <w:vAlign w:val="center"/>
                </w:tcPr>
                <w:p>
                  <w:pPr>
                    <w:adjustRightInd w:val="0"/>
                    <w:snapToGrid w:val="0"/>
                    <w:jc w:val="center"/>
                    <w:rPr>
                      <w:szCs w:val="21"/>
                    </w:rPr>
                  </w:pPr>
                  <w:r>
                    <w:rPr>
                      <w:szCs w:val="21"/>
                    </w:rPr>
                    <w:t>选用低噪声设备、设置减振基座、厂房隔声</w:t>
                  </w:r>
                </w:p>
              </w:tc>
              <w:tc>
                <w:tcPr>
                  <w:tcW w:w="1368" w:type="dxa"/>
                  <w:vAlign w:val="center"/>
                </w:tcPr>
                <w:p>
                  <w:pPr>
                    <w:adjustRightInd w:val="0"/>
                    <w:snapToGrid w:val="0"/>
                    <w:jc w:val="center"/>
                    <w:rPr>
                      <w:szCs w:val="21"/>
                    </w:rPr>
                  </w:pPr>
                  <w:r>
                    <w:rPr>
                      <w:rFonts w:hint="eastAsia"/>
                      <w:szCs w:val="21"/>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2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铣床</w:t>
                  </w:r>
                </w:p>
              </w:tc>
              <w:tc>
                <w:tcPr>
                  <w:tcW w:w="1350"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10</w:t>
                  </w:r>
                </w:p>
              </w:tc>
              <w:tc>
                <w:tcPr>
                  <w:tcW w:w="2018" w:type="dxa"/>
                  <w:vAlign w:val="center"/>
                </w:tcPr>
                <w:p>
                  <w:pPr>
                    <w:jc w:val="center"/>
                    <w:rPr>
                      <w:szCs w:val="21"/>
                    </w:rPr>
                  </w:pPr>
                  <w:r>
                    <w:rPr>
                      <w:rFonts w:hint="eastAsia"/>
                      <w:szCs w:val="21"/>
                    </w:rPr>
                    <w:t>75~80</w:t>
                  </w:r>
                </w:p>
              </w:tc>
              <w:tc>
                <w:tcPr>
                  <w:tcW w:w="2044" w:type="dxa"/>
                  <w:vMerge w:val="continue"/>
                  <w:vAlign w:val="center"/>
                </w:tcPr>
                <w:p>
                  <w:pPr>
                    <w:adjustRightInd w:val="0"/>
                    <w:snapToGrid w:val="0"/>
                    <w:jc w:val="center"/>
                    <w:rPr>
                      <w:szCs w:val="21"/>
                    </w:rPr>
                  </w:pPr>
                </w:p>
              </w:tc>
              <w:tc>
                <w:tcPr>
                  <w:tcW w:w="1368" w:type="dxa"/>
                  <w:vAlign w:val="center"/>
                </w:tcPr>
                <w:p>
                  <w:pPr>
                    <w:adjustRightInd w:val="0"/>
                    <w:snapToGrid w:val="0"/>
                    <w:jc w:val="center"/>
                    <w:rPr>
                      <w:szCs w:val="21"/>
                    </w:rPr>
                  </w:pPr>
                  <w:r>
                    <w:rPr>
                      <w:rFonts w:hint="eastAsia"/>
                      <w:szCs w:val="21"/>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2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钻床</w:t>
                  </w:r>
                </w:p>
              </w:tc>
              <w:tc>
                <w:tcPr>
                  <w:tcW w:w="1350"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p>
              </w:tc>
              <w:tc>
                <w:tcPr>
                  <w:tcW w:w="2018" w:type="dxa"/>
                  <w:vAlign w:val="center"/>
                </w:tcPr>
                <w:p>
                  <w:pPr>
                    <w:jc w:val="center"/>
                    <w:rPr>
                      <w:szCs w:val="21"/>
                    </w:rPr>
                  </w:pPr>
                  <w:r>
                    <w:rPr>
                      <w:rFonts w:hint="eastAsia"/>
                      <w:szCs w:val="21"/>
                    </w:rPr>
                    <w:t>75~80</w:t>
                  </w:r>
                </w:p>
              </w:tc>
              <w:tc>
                <w:tcPr>
                  <w:tcW w:w="2044" w:type="dxa"/>
                  <w:vMerge w:val="continue"/>
                  <w:vAlign w:val="center"/>
                </w:tcPr>
                <w:p>
                  <w:pPr>
                    <w:adjustRightInd w:val="0"/>
                    <w:snapToGrid w:val="0"/>
                    <w:jc w:val="center"/>
                    <w:rPr>
                      <w:szCs w:val="21"/>
                    </w:rPr>
                  </w:pPr>
                </w:p>
              </w:tc>
              <w:tc>
                <w:tcPr>
                  <w:tcW w:w="1368" w:type="dxa"/>
                  <w:vAlign w:val="center"/>
                </w:tcPr>
                <w:p>
                  <w:pPr>
                    <w:adjustRightInd w:val="0"/>
                    <w:snapToGrid w:val="0"/>
                    <w:jc w:val="center"/>
                    <w:rPr>
                      <w:szCs w:val="21"/>
                    </w:rPr>
                  </w:pPr>
                  <w:r>
                    <w:rPr>
                      <w:rFonts w:hint="eastAsia"/>
                      <w:szCs w:val="21"/>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2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CNC数控加工机床</w:t>
                  </w:r>
                </w:p>
              </w:tc>
              <w:tc>
                <w:tcPr>
                  <w:tcW w:w="1350"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w:t>
                  </w:r>
                  <w:r>
                    <w:rPr>
                      <w:rFonts w:hint="eastAsia"/>
                      <w:szCs w:val="21"/>
                    </w:rPr>
                    <w:t>6</w:t>
                  </w:r>
                </w:p>
              </w:tc>
              <w:tc>
                <w:tcPr>
                  <w:tcW w:w="2018" w:type="dxa"/>
                  <w:vAlign w:val="center"/>
                </w:tcPr>
                <w:p>
                  <w:pPr>
                    <w:jc w:val="center"/>
                    <w:rPr>
                      <w:szCs w:val="21"/>
                    </w:rPr>
                  </w:pPr>
                  <w:r>
                    <w:rPr>
                      <w:rFonts w:hint="eastAsia"/>
                      <w:szCs w:val="21"/>
                    </w:rPr>
                    <w:t>75~80</w:t>
                  </w:r>
                </w:p>
              </w:tc>
              <w:tc>
                <w:tcPr>
                  <w:tcW w:w="2044" w:type="dxa"/>
                  <w:vMerge w:val="continue"/>
                  <w:vAlign w:val="center"/>
                </w:tcPr>
                <w:p>
                  <w:pPr>
                    <w:adjustRightInd w:val="0"/>
                    <w:snapToGrid w:val="0"/>
                    <w:jc w:val="center"/>
                    <w:rPr>
                      <w:szCs w:val="21"/>
                    </w:rPr>
                  </w:pPr>
                </w:p>
              </w:tc>
              <w:tc>
                <w:tcPr>
                  <w:tcW w:w="1368" w:type="dxa"/>
                  <w:vAlign w:val="center"/>
                </w:tcPr>
                <w:p>
                  <w:pPr>
                    <w:adjustRightInd w:val="0"/>
                    <w:snapToGrid w:val="0"/>
                    <w:jc w:val="center"/>
                    <w:rPr>
                      <w:szCs w:val="21"/>
                    </w:rPr>
                  </w:pPr>
                  <w:r>
                    <w:rPr>
                      <w:rFonts w:hint="eastAsia"/>
                      <w:szCs w:val="21"/>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2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空压机</w:t>
                  </w:r>
                </w:p>
              </w:tc>
              <w:tc>
                <w:tcPr>
                  <w:tcW w:w="1350"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7</w:t>
                  </w:r>
                </w:p>
              </w:tc>
              <w:tc>
                <w:tcPr>
                  <w:tcW w:w="2018" w:type="dxa"/>
                  <w:vAlign w:val="center"/>
                </w:tcPr>
                <w:p>
                  <w:pPr>
                    <w:jc w:val="center"/>
                    <w:rPr>
                      <w:rFonts w:hint="default" w:eastAsia="宋体"/>
                      <w:szCs w:val="21"/>
                      <w:lang w:val="en-US" w:eastAsia="zh-CN"/>
                    </w:rPr>
                  </w:pPr>
                  <w:r>
                    <w:rPr>
                      <w:rFonts w:hint="eastAsia"/>
                      <w:szCs w:val="21"/>
                      <w:lang w:val="en-US" w:eastAsia="zh-CN"/>
                    </w:rPr>
                    <w:t>80~95</w:t>
                  </w:r>
                </w:p>
              </w:tc>
              <w:tc>
                <w:tcPr>
                  <w:tcW w:w="2044" w:type="dxa"/>
                  <w:vMerge w:val="continue"/>
                  <w:vAlign w:val="center"/>
                </w:tcPr>
                <w:p>
                  <w:pPr>
                    <w:adjustRightInd w:val="0"/>
                    <w:snapToGrid w:val="0"/>
                    <w:jc w:val="center"/>
                    <w:rPr>
                      <w:szCs w:val="21"/>
                    </w:rPr>
                  </w:pPr>
                </w:p>
              </w:tc>
              <w:tc>
                <w:tcPr>
                  <w:tcW w:w="1368" w:type="dxa"/>
                  <w:vAlign w:val="center"/>
                </w:tcPr>
                <w:p>
                  <w:pPr>
                    <w:adjustRightInd w:val="0"/>
                    <w:snapToGrid w:val="0"/>
                    <w:jc w:val="center"/>
                    <w:rPr>
                      <w:szCs w:val="21"/>
                    </w:rPr>
                  </w:pPr>
                  <w:r>
                    <w:rPr>
                      <w:rFonts w:hint="eastAsia"/>
                      <w:szCs w:val="21"/>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2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雕刻机</w:t>
                  </w:r>
                </w:p>
              </w:tc>
              <w:tc>
                <w:tcPr>
                  <w:tcW w:w="1350"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5</w:t>
                  </w:r>
                </w:p>
              </w:tc>
              <w:tc>
                <w:tcPr>
                  <w:tcW w:w="2018" w:type="dxa"/>
                </w:tcPr>
                <w:p>
                  <w:pPr>
                    <w:jc w:val="center"/>
                    <w:rPr>
                      <w:szCs w:val="21"/>
                    </w:rPr>
                  </w:pPr>
                  <w:r>
                    <w:rPr>
                      <w:rFonts w:hint="eastAsia"/>
                      <w:szCs w:val="21"/>
                    </w:rPr>
                    <w:t>75~80</w:t>
                  </w:r>
                </w:p>
              </w:tc>
              <w:tc>
                <w:tcPr>
                  <w:tcW w:w="2044" w:type="dxa"/>
                  <w:vMerge w:val="continue"/>
                </w:tcPr>
                <w:p>
                  <w:pPr>
                    <w:adjustRightInd w:val="0"/>
                    <w:snapToGrid w:val="0"/>
                    <w:jc w:val="center"/>
                    <w:rPr>
                      <w:szCs w:val="21"/>
                    </w:rPr>
                  </w:pPr>
                </w:p>
              </w:tc>
              <w:tc>
                <w:tcPr>
                  <w:tcW w:w="0" w:type="auto"/>
                </w:tcPr>
                <w:p>
                  <w:pPr>
                    <w:adjustRightInd w:val="0"/>
                    <w:snapToGrid w:val="0"/>
                    <w:jc w:val="center"/>
                    <w:rPr>
                      <w:szCs w:val="21"/>
                    </w:rPr>
                  </w:pPr>
                  <w:r>
                    <w:rPr>
                      <w:rFonts w:hint="eastAsia"/>
                      <w:szCs w:val="21"/>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2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手磨机</w:t>
                  </w:r>
                </w:p>
              </w:tc>
              <w:tc>
                <w:tcPr>
                  <w:tcW w:w="1350"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10</w:t>
                  </w:r>
                </w:p>
              </w:tc>
              <w:tc>
                <w:tcPr>
                  <w:tcW w:w="2018" w:type="dxa"/>
                </w:tcPr>
                <w:p>
                  <w:pPr>
                    <w:jc w:val="center"/>
                    <w:rPr>
                      <w:rFonts w:hint="default" w:eastAsia="宋体"/>
                      <w:szCs w:val="21"/>
                      <w:lang w:val="en-US" w:eastAsia="zh-CN"/>
                    </w:rPr>
                  </w:pPr>
                  <w:r>
                    <w:rPr>
                      <w:rFonts w:hint="eastAsia"/>
                      <w:szCs w:val="21"/>
                      <w:lang w:val="en-US" w:eastAsia="zh-CN"/>
                    </w:rPr>
                    <w:t>80~85</w:t>
                  </w:r>
                </w:p>
              </w:tc>
              <w:tc>
                <w:tcPr>
                  <w:tcW w:w="2044" w:type="dxa"/>
                  <w:vMerge w:val="continue"/>
                </w:tcPr>
                <w:p>
                  <w:pPr>
                    <w:adjustRightInd w:val="0"/>
                    <w:snapToGrid w:val="0"/>
                    <w:jc w:val="center"/>
                    <w:rPr>
                      <w:szCs w:val="21"/>
                    </w:rPr>
                  </w:pPr>
                </w:p>
              </w:tc>
              <w:tc>
                <w:tcPr>
                  <w:tcW w:w="0" w:type="auto"/>
                </w:tcPr>
                <w:p>
                  <w:pPr>
                    <w:adjustRightInd w:val="0"/>
                    <w:snapToGrid w:val="0"/>
                    <w:jc w:val="center"/>
                    <w:rPr>
                      <w:szCs w:val="21"/>
                    </w:rPr>
                  </w:pPr>
                  <w:r>
                    <w:rPr>
                      <w:rFonts w:hint="eastAsia"/>
                      <w:szCs w:val="21"/>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12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切割机</w:t>
                  </w:r>
                </w:p>
              </w:tc>
              <w:tc>
                <w:tcPr>
                  <w:tcW w:w="1350"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w:t>
                  </w:r>
                </w:p>
              </w:tc>
              <w:tc>
                <w:tcPr>
                  <w:tcW w:w="2018" w:type="dxa"/>
                </w:tcPr>
                <w:p>
                  <w:pPr>
                    <w:jc w:val="center"/>
                    <w:rPr>
                      <w:rFonts w:hint="default" w:eastAsia="宋体"/>
                      <w:szCs w:val="21"/>
                      <w:lang w:val="en-US" w:eastAsia="zh-CN"/>
                    </w:rPr>
                  </w:pPr>
                  <w:r>
                    <w:rPr>
                      <w:rFonts w:hint="eastAsia"/>
                      <w:szCs w:val="21"/>
                      <w:lang w:val="en-US" w:eastAsia="zh-CN"/>
                    </w:rPr>
                    <w:t>80~85</w:t>
                  </w:r>
                </w:p>
              </w:tc>
              <w:tc>
                <w:tcPr>
                  <w:tcW w:w="2044" w:type="dxa"/>
                  <w:vMerge w:val="continue"/>
                </w:tcPr>
                <w:p>
                  <w:pPr>
                    <w:adjustRightInd w:val="0"/>
                    <w:snapToGrid w:val="0"/>
                    <w:jc w:val="center"/>
                    <w:rPr>
                      <w:szCs w:val="21"/>
                    </w:rPr>
                  </w:pPr>
                </w:p>
              </w:tc>
              <w:tc>
                <w:tcPr>
                  <w:tcW w:w="0" w:type="auto"/>
                </w:tcPr>
                <w:p>
                  <w:pPr>
                    <w:adjustRightInd w:val="0"/>
                    <w:snapToGrid w:val="0"/>
                    <w:jc w:val="center"/>
                    <w:rPr>
                      <w:szCs w:val="21"/>
                    </w:rPr>
                  </w:pPr>
                  <w:r>
                    <w:rPr>
                      <w:rFonts w:hint="eastAsia"/>
                      <w:szCs w:val="21"/>
                    </w:rPr>
                    <w:t>10~25</w:t>
                  </w:r>
                </w:p>
              </w:tc>
            </w:tr>
          </w:tbl>
          <w:p>
            <w:pPr>
              <w:spacing w:line="360" w:lineRule="auto"/>
              <w:ind w:firstLine="480" w:firstLineChars="200"/>
              <w:rPr>
                <w:rFonts w:hint="eastAsia"/>
                <w:sz w:val="24"/>
                <w:szCs w:val="24"/>
              </w:rPr>
            </w:pPr>
            <w:r>
              <w:rPr>
                <w:sz w:val="24"/>
                <w:szCs w:val="24"/>
              </w:rPr>
              <w:t>4、固体废弃物</w:t>
            </w:r>
          </w:p>
          <w:p>
            <w:pPr>
              <w:spacing w:line="360" w:lineRule="auto"/>
              <w:ind w:firstLine="480" w:firstLineChars="200"/>
              <w:rPr>
                <w:rFonts w:hint="eastAsia"/>
                <w:sz w:val="24"/>
                <w:szCs w:val="24"/>
              </w:rPr>
            </w:pPr>
            <w:r>
              <w:rPr>
                <w:bCs/>
                <w:sz w:val="24"/>
                <w:szCs w:val="24"/>
              </w:rPr>
              <w:t>本项目产生</w:t>
            </w:r>
            <w:r>
              <w:rPr>
                <w:rFonts w:hint="eastAsia"/>
                <w:bCs/>
                <w:sz w:val="24"/>
                <w:szCs w:val="24"/>
              </w:rPr>
              <w:t>的</w:t>
            </w:r>
            <w:r>
              <w:rPr>
                <w:bCs/>
                <w:sz w:val="24"/>
                <w:szCs w:val="24"/>
              </w:rPr>
              <w:t>固废主要为：</w:t>
            </w:r>
            <w:r>
              <w:rPr>
                <w:rFonts w:hint="eastAsia"/>
                <w:sz w:val="24"/>
                <w:szCs w:val="24"/>
              </w:rPr>
              <w:t>生产车间产生边角料、</w:t>
            </w:r>
            <w:r>
              <w:rPr>
                <w:rFonts w:hint="eastAsia"/>
                <w:sz w:val="24"/>
                <w:szCs w:val="24"/>
                <w:lang w:eastAsia="zh-CN"/>
              </w:rPr>
              <w:t>废铝屑</w:t>
            </w:r>
            <w:r>
              <w:rPr>
                <w:rFonts w:hint="eastAsia"/>
                <w:sz w:val="24"/>
                <w:szCs w:val="24"/>
              </w:rPr>
              <w:t>、维修设备产生的含油抹布手套、废乳化液等、职工生活垃圾</w:t>
            </w:r>
            <w:r>
              <w:rPr>
                <w:sz w:val="24"/>
                <w:szCs w:val="24"/>
              </w:rPr>
              <w:t>。</w:t>
            </w:r>
          </w:p>
          <w:p>
            <w:pPr>
              <w:spacing w:line="360" w:lineRule="auto"/>
              <w:rPr>
                <w:rFonts w:hint="eastAsia"/>
                <w:bCs/>
                <w:sz w:val="24"/>
                <w:szCs w:val="24"/>
              </w:rPr>
            </w:pPr>
            <w:r>
              <w:rPr>
                <w:rFonts w:hint="eastAsia"/>
                <w:bCs/>
                <w:sz w:val="24"/>
                <w:szCs w:val="24"/>
              </w:rPr>
              <w:t>（1）生活垃圾和含油抹布、手套</w:t>
            </w:r>
          </w:p>
          <w:p>
            <w:pPr>
              <w:spacing w:line="360" w:lineRule="auto"/>
              <w:ind w:firstLine="480" w:firstLineChars="200"/>
              <w:rPr>
                <w:sz w:val="24"/>
                <w:szCs w:val="24"/>
              </w:rPr>
            </w:pPr>
            <w:r>
              <w:rPr>
                <w:rFonts w:hint="eastAsia"/>
                <w:sz w:val="24"/>
                <w:szCs w:val="24"/>
              </w:rPr>
              <w:t>项目</w:t>
            </w:r>
            <w:r>
              <w:rPr>
                <w:sz w:val="24"/>
                <w:szCs w:val="24"/>
              </w:rPr>
              <w:t>员工人</w:t>
            </w:r>
            <w:r>
              <w:rPr>
                <w:rFonts w:hint="eastAsia"/>
                <w:sz w:val="24"/>
                <w:szCs w:val="24"/>
              </w:rPr>
              <w:t>30</w:t>
            </w:r>
            <w:r>
              <w:rPr>
                <w:sz w:val="24"/>
                <w:szCs w:val="24"/>
              </w:rPr>
              <w:t>人，生活垃圾产生量按0.5kg/d•人计算，则生活垃圾产生量约为</w:t>
            </w:r>
            <w:r>
              <w:rPr>
                <w:rFonts w:hint="eastAsia"/>
                <w:sz w:val="24"/>
                <w:szCs w:val="24"/>
              </w:rPr>
              <w:t>15</w:t>
            </w:r>
            <w:r>
              <w:rPr>
                <w:sz w:val="24"/>
                <w:szCs w:val="24"/>
              </w:rPr>
              <w:t>kg/d，</w:t>
            </w:r>
            <w:r>
              <w:rPr>
                <w:rFonts w:hint="eastAsia"/>
                <w:sz w:val="24"/>
                <w:szCs w:val="24"/>
              </w:rPr>
              <w:t>4.5</w:t>
            </w:r>
            <w:r>
              <w:rPr>
                <w:sz w:val="24"/>
                <w:szCs w:val="24"/>
              </w:rPr>
              <w:t>t/a。生活垃圾袋装化后，由环卫部门统一收集、</w:t>
            </w:r>
            <w:r>
              <w:rPr>
                <w:rFonts w:hint="eastAsia"/>
                <w:sz w:val="24"/>
                <w:szCs w:val="24"/>
              </w:rPr>
              <w:t>处置</w:t>
            </w:r>
            <w:r>
              <w:rPr>
                <w:sz w:val="24"/>
                <w:szCs w:val="24"/>
              </w:rPr>
              <w:t>。根据《危险废物名录》（2016年）</w:t>
            </w:r>
            <w:r>
              <w:rPr>
                <w:rFonts w:hint="eastAsia"/>
                <w:sz w:val="24"/>
                <w:szCs w:val="24"/>
              </w:rPr>
              <w:t>，本项目</w:t>
            </w:r>
            <w:r>
              <w:rPr>
                <w:bCs/>
                <w:sz w:val="24"/>
                <w:szCs w:val="24"/>
              </w:rPr>
              <w:t>含油抹布、手套（</w:t>
            </w:r>
            <w:r>
              <w:rPr>
                <w:sz w:val="24"/>
                <w:szCs w:val="24"/>
              </w:rPr>
              <w:t>900-041-49</w:t>
            </w:r>
            <w:r>
              <w:rPr>
                <w:bCs/>
                <w:sz w:val="24"/>
                <w:szCs w:val="24"/>
              </w:rPr>
              <w:t>）</w:t>
            </w:r>
            <w:r>
              <w:rPr>
                <w:rFonts w:hint="eastAsia"/>
                <w:bCs/>
                <w:sz w:val="24"/>
                <w:szCs w:val="24"/>
              </w:rPr>
              <w:t>满足豁免条件</w:t>
            </w:r>
            <w:r>
              <w:rPr>
                <w:bCs/>
                <w:sz w:val="24"/>
                <w:szCs w:val="24"/>
              </w:rPr>
              <w:t>不属于危险废物</w:t>
            </w:r>
            <w:r>
              <w:rPr>
                <w:rFonts w:hint="eastAsia"/>
                <w:bCs/>
                <w:sz w:val="24"/>
                <w:szCs w:val="24"/>
              </w:rPr>
              <w:t>，产生量约0.2</w:t>
            </w:r>
            <w:r>
              <w:rPr>
                <w:sz w:val="24"/>
                <w:szCs w:val="24"/>
              </w:rPr>
              <w:t xml:space="preserve"> t/a</w:t>
            </w:r>
            <w:r>
              <w:rPr>
                <w:rFonts w:hint="eastAsia"/>
                <w:sz w:val="24"/>
                <w:szCs w:val="24"/>
              </w:rPr>
              <w:t>，收集后与生活垃圾一并</w:t>
            </w:r>
            <w:r>
              <w:rPr>
                <w:sz w:val="24"/>
                <w:szCs w:val="24"/>
              </w:rPr>
              <w:t>由环卫部门统一收集、</w:t>
            </w:r>
            <w:r>
              <w:rPr>
                <w:rFonts w:hint="eastAsia"/>
                <w:sz w:val="24"/>
                <w:szCs w:val="24"/>
              </w:rPr>
              <w:t>处置。</w:t>
            </w:r>
          </w:p>
          <w:p>
            <w:pPr>
              <w:spacing w:line="360" w:lineRule="auto"/>
              <w:rPr>
                <w:rFonts w:hint="eastAsia" w:eastAsia="宋体"/>
                <w:bCs/>
                <w:sz w:val="24"/>
                <w:szCs w:val="24"/>
                <w:lang w:eastAsia="zh-CN"/>
              </w:rPr>
            </w:pPr>
            <w:r>
              <w:rPr>
                <w:rFonts w:hint="eastAsia"/>
                <w:bCs/>
                <w:sz w:val="24"/>
                <w:szCs w:val="24"/>
              </w:rPr>
              <w:t>（2）生产车间产生边角料、</w:t>
            </w:r>
            <w:r>
              <w:rPr>
                <w:rFonts w:hint="eastAsia"/>
                <w:bCs/>
                <w:sz w:val="24"/>
                <w:szCs w:val="24"/>
                <w:lang w:eastAsia="zh-CN"/>
              </w:rPr>
              <w:t>废铝屑</w:t>
            </w:r>
          </w:p>
          <w:p>
            <w:pPr>
              <w:spacing w:line="360" w:lineRule="auto"/>
              <w:ind w:firstLine="480" w:firstLineChars="200"/>
              <w:rPr>
                <w:rFonts w:hint="eastAsia"/>
                <w:sz w:val="24"/>
                <w:szCs w:val="24"/>
              </w:rPr>
            </w:pPr>
            <w:r>
              <w:rPr>
                <w:rFonts w:hint="eastAsia"/>
                <w:sz w:val="24"/>
                <w:szCs w:val="24"/>
              </w:rPr>
              <w:t>项目生产过程中会产生一定量的边角料、</w:t>
            </w:r>
            <w:r>
              <w:rPr>
                <w:rFonts w:hint="eastAsia"/>
                <w:sz w:val="24"/>
                <w:szCs w:val="24"/>
                <w:lang w:eastAsia="zh-CN"/>
              </w:rPr>
              <w:t>废铝屑</w:t>
            </w:r>
            <w:r>
              <w:rPr>
                <w:rFonts w:hint="eastAsia"/>
                <w:sz w:val="24"/>
                <w:szCs w:val="24"/>
              </w:rPr>
              <w:t>，产生量约为1.5t/a，收集后交物资回收公司回收利用。</w:t>
            </w:r>
          </w:p>
          <w:p>
            <w:pPr>
              <w:spacing w:line="360" w:lineRule="auto"/>
              <w:ind w:firstLine="480" w:firstLineChars="200"/>
              <w:rPr>
                <w:rFonts w:hint="eastAsia"/>
                <w:sz w:val="24"/>
                <w:szCs w:val="24"/>
              </w:rPr>
            </w:pPr>
            <w:r>
              <w:rPr>
                <w:rFonts w:hint="eastAsia"/>
                <w:sz w:val="24"/>
                <w:szCs w:val="24"/>
              </w:rPr>
              <w:t>（3）废乳化液</w:t>
            </w:r>
          </w:p>
          <w:p>
            <w:pPr>
              <w:spacing w:line="360" w:lineRule="auto"/>
              <w:ind w:firstLine="480" w:firstLineChars="200"/>
              <w:rPr>
                <w:rFonts w:hint="eastAsia" w:eastAsia="宋体"/>
                <w:bCs/>
                <w:sz w:val="24"/>
                <w:szCs w:val="24"/>
                <w:lang w:eastAsia="zh-CN"/>
              </w:rPr>
            </w:pPr>
            <w:r>
              <w:rPr>
                <w:rFonts w:hint="eastAsia"/>
                <w:sz w:val="24"/>
                <w:szCs w:val="24"/>
              </w:rPr>
              <w:t>项目属于机加工项目，设有车床、铣床、数控机床，在加工过程中会产生一定量的废乳化液，产生量约为</w:t>
            </w:r>
            <w:r>
              <w:rPr>
                <w:rFonts w:hint="eastAsia"/>
                <w:sz w:val="24"/>
                <w:szCs w:val="24"/>
                <w:lang w:val="en-US" w:eastAsia="zh-CN"/>
              </w:rPr>
              <w:t>1.0</w:t>
            </w:r>
            <w:r>
              <w:rPr>
                <w:rFonts w:hint="eastAsia"/>
                <w:sz w:val="24"/>
                <w:szCs w:val="24"/>
              </w:rPr>
              <w:t>t/a。</w:t>
            </w:r>
            <w:r>
              <w:rPr>
                <w:sz w:val="24"/>
                <w:szCs w:val="24"/>
              </w:rPr>
              <w:t>根据《危险废物名录》（2016年）</w:t>
            </w:r>
            <w:r>
              <w:rPr>
                <w:rFonts w:hint="eastAsia"/>
                <w:sz w:val="24"/>
                <w:szCs w:val="24"/>
              </w:rPr>
              <w:t>，产生的废乳化液</w:t>
            </w:r>
            <w:r>
              <w:rPr>
                <w:bCs/>
                <w:sz w:val="24"/>
                <w:szCs w:val="24"/>
              </w:rPr>
              <w:t>属于危险废物</w:t>
            </w:r>
            <w:r>
              <w:rPr>
                <w:rFonts w:hint="eastAsia"/>
                <w:bCs/>
                <w:sz w:val="24"/>
                <w:szCs w:val="24"/>
              </w:rPr>
              <w:t>，属于</w:t>
            </w:r>
            <w:r>
              <w:rPr>
                <w:bCs/>
                <w:sz w:val="24"/>
                <w:szCs w:val="24"/>
              </w:rPr>
              <w:t>HW0</w:t>
            </w:r>
            <w:r>
              <w:rPr>
                <w:rFonts w:hint="eastAsia"/>
                <w:bCs/>
                <w:sz w:val="24"/>
                <w:szCs w:val="24"/>
              </w:rPr>
              <w:t>9油/水、烃/水混合物或乳化液，废物代码为 900-006-09，定期收集后暂存于项目区危险废物临时贮存点，定期交有资质单位处理</w:t>
            </w:r>
            <w:r>
              <w:rPr>
                <w:rFonts w:hint="eastAsia"/>
                <w:bCs/>
                <w:sz w:val="24"/>
                <w:szCs w:val="24"/>
                <w:lang w:eastAsia="zh-CN"/>
              </w:rPr>
              <w:t>。</w:t>
            </w:r>
          </w:p>
          <w:p>
            <w:pPr>
              <w:widowControl w:val="0"/>
              <w:snapToGrid w:val="0"/>
              <w:spacing w:line="240" w:lineRule="auto"/>
              <w:ind w:firstLine="0"/>
              <w:jc w:val="center"/>
              <w:rPr>
                <w:rFonts w:ascii="Times New Roman" w:hAnsi="Times New Roman" w:eastAsia="宋体" w:cs="Times New Roman"/>
                <w:b/>
                <w:kern w:val="0"/>
                <w:sz w:val="21"/>
                <w:szCs w:val="21"/>
                <w:lang w:val="en-US" w:eastAsia="zh-CN" w:bidi="ar-SA"/>
              </w:rPr>
            </w:pPr>
            <w:r>
              <w:rPr>
                <w:rFonts w:ascii="Times New Roman" w:hAnsi="Times New Roman" w:eastAsia="宋体" w:cs="Times New Roman"/>
                <w:b/>
                <w:kern w:val="0"/>
                <w:sz w:val="21"/>
                <w:szCs w:val="21"/>
                <w:lang w:val="en-US" w:eastAsia="zh-CN" w:bidi="ar-SA"/>
              </w:rPr>
              <w:t>表</w:t>
            </w:r>
            <w:r>
              <w:rPr>
                <w:rFonts w:hint="eastAsia" w:ascii="Times New Roman" w:hAnsi="Times New Roman" w:eastAsia="宋体" w:cs="Times New Roman"/>
                <w:b/>
                <w:kern w:val="0"/>
                <w:sz w:val="21"/>
                <w:szCs w:val="21"/>
                <w:lang w:val="en-US" w:eastAsia="zh-CN" w:bidi="ar-SA"/>
              </w:rPr>
              <w:t>21</w:t>
            </w:r>
            <w:r>
              <w:rPr>
                <w:rFonts w:ascii="Times New Roman" w:hAnsi="Times New Roman" w:eastAsia="宋体" w:cs="Times New Roman"/>
                <w:b/>
                <w:kern w:val="0"/>
                <w:sz w:val="21"/>
                <w:szCs w:val="21"/>
                <w:lang w:val="en-US" w:eastAsia="zh-CN" w:bidi="ar-SA"/>
              </w:rPr>
              <w:t xml:space="preserve"> 项目固废排放量及处置情况表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335"/>
              <w:gridCol w:w="1365"/>
              <w:gridCol w:w="1050"/>
              <w:gridCol w:w="750"/>
              <w:gridCol w:w="1170"/>
              <w:gridCol w:w="194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noWrap w:val="0"/>
                  <w:vAlign w:val="center"/>
                </w:tcPr>
                <w:p>
                  <w:pPr>
                    <w:snapToGrid w:val="0"/>
                    <w:rPr>
                      <w:bCs/>
                      <w:szCs w:val="21"/>
                    </w:rPr>
                  </w:pPr>
                  <w:r>
                    <w:rPr>
                      <w:bCs/>
                      <w:szCs w:val="21"/>
                    </w:rPr>
                    <w:t>序号</w:t>
                  </w:r>
                </w:p>
              </w:tc>
              <w:tc>
                <w:tcPr>
                  <w:tcW w:w="1335" w:type="dxa"/>
                  <w:noWrap w:val="0"/>
                  <w:vAlign w:val="center"/>
                </w:tcPr>
                <w:p>
                  <w:pPr>
                    <w:snapToGrid w:val="0"/>
                    <w:rPr>
                      <w:bCs/>
                      <w:szCs w:val="21"/>
                    </w:rPr>
                  </w:pPr>
                  <w:r>
                    <w:rPr>
                      <w:rFonts w:hint="eastAsia"/>
                      <w:bCs/>
                      <w:szCs w:val="21"/>
                    </w:rPr>
                    <w:t>固废</w:t>
                  </w:r>
                  <w:r>
                    <w:rPr>
                      <w:bCs/>
                      <w:szCs w:val="21"/>
                    </w:rPr>
                    <w:t>类别</w:t>
                  </w:r>
                </w:p>
              </w:tc>
              <w:tc>
                <w:tcPr>
                  <w:tcW w:w="1365" w:type="dxa"/>
                  <w:noWrap w:val="0"/>
                  <w:vAlign w:val="center"/>
                </w:tcPr>
                <w:p>
                  <w:pPr>
                    <w:snapToGrid w:val="0"/>
                    <w:rPr>
                      <w:bCs/>
                      <w:szCs w:val="21"/>
                    </w:rPr>
                  </w:pPr>
                  <w:r>
                    <w:rPr>
                      <w:rFonts w:hint="eastAsia"/>
                      <w:bCs/>
                      <w:szCs w:val="21"/>
                    </w:rPr>
                    <w:t>危险废物代码</w:t>
                  </w:r>
                </w:p>
              </w:tc>
              <w:tc>
                <w:tcPr>
                  <w:tcW w:w="1050" w:type="dxa"/>
                  <w:noWrap w:val="0"/>
                  <w:vAlign w:val="center"/>
                </w:tcPr>
                <w:p>
                  <w:pPr>
                    <w:snapToGrid w:val="0"/>
                    <w:rPr>
                      <w:bCs/>
                      <w:szCs w:val="21"/>
                    </w:rPr>
                  </w:pPr>
                  <w:r>
                    <w:rPr>
                      <w:bCs/>
                      <w:szCs w:val="21"/>
                    </w:rPr>
                    <w:t>主要成分</w:t>
                  </w:r>
                </w:p>
              </w:tc>
              <w:tc>
                <w:tcPr>
                  <w:tcW w:w="750" w:type="dxa"/>
                  <w:noWrap w:val="0"/>
                  <w:vAlign w:val="center"/>
                </w:tcPr>
                <w:p>
                  <w:pPr>
                    <w:snapToGrid w:val="0"/>
                    <w:rPr>
                      <w:bCs/>
                      <w:szCs w:val="21"/>
                    </w:rPr>
                  </w:pPr>
                  <w:r>
                    <w:rPr>
                      <w:bCs/>
                      <w:szCs w:val="21"/>
                    </w:rPr>
                    <w:t>性状</w:t>
                  </w:r>
                </w:p>
              </w:tc>
              <w:tc>
                <w:tcPr>
                  <w:tcW w:w="1170" w:type="dxa"/>
                  <w:noWrap w:val="0"/>
                  <w:vAlign w:val="center"/>
                </w:tcPr>
                <w:p>
                  <w:pPr>
                    <w:snapToGrid w:val="0"/>
                    <w:rPr>
                      <w:bCs/>
                      <w:szCs w:val="21"/>
                    </w:rPr>
                  </w:pPr>
                  <w:r>
                    <w:rPr>
                      <w:bCs/>
                      <w:szCs w:val="21"/>
                    </w:rPr>
                    <w:t>产生量(t/a)</w:t>
                  </w:r>
                </w:p>
              </w:tc>
              <w:tc>
                <w:tcPr>
                  <w:tcW w:w="1947" w:type="dxa"/>
                  <w:noWrap w:val="0"/>
                  <w:vAlign w:val="center"/>
                </w:tcPr>
                <w:p>
                  <w:pPr>
                    <w:snapToGrid w:val="0"/>
                    <w:rPr>
                      <w:bCs/>
                      <w:szCs w:val="21"/>
                    </w:rPr>
                  </w:pPr>
                  <w:r>
                    <w:rPr>
                      <w:bCs/>
                      <w:szCs w:val="21"/>
                    </w:rPr>
                    <w:t>处置方式</w:t>
                  </w:r>
                </w:p>
              </w:tc>
              <w:tc>
                <w:tcPr>
                  <w:tcW w:w="899" w:type="dxa"/>
                  <w:noWrap w:val="0"/>
                  <w:vAlign w:val="center"/>
                </w:tcPr>
                <w:p>
                  <w:pPr>
                    <w:snapToGrid w:val="0"/>
                    <w:rPr>
                      <w:bCs/>
                      <w:szCs w:val="21"/>
                    </w:rPr>
                  </w:pPr>
                  <w:r>
                    <w:rPr>
                      <w:bCs/>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noWrap w:val="0"/>
                  <w:vAlign w:val="center"/>
                </w:tcPr>
                <w:p>
                  <w:pPr>
                    <w:snapToGrid w:val="0"/>
                    <w:rPr>
                      <w:bCs/>
                      <w:szCs w:val="21"/>
                    </w:rPr>
                  </w:pPr>
                  <w:r>
                    <w:rPr>
                      <w:bCs/>
                      <w:szCs w:val="21"/>
                    </w:rPr>
                    <w:t>1</w:t>
                  </w:r>
                </w:p>
              </w:tc>
              <w:tc>
                <w:tcPr>
                  <w:tcW w:w="1335" w:type="dxa"/>
                  <w:noWrap w:val="0"/>
                  <w:vAlign w:val="center"/>
                </w:tcPr>
                <w:p>
                  <w:pPr>
                    <w:snapToGrid w:val="0"/>
                    <w:rPr>
                      <w:bCs/>
                      <w:szCs w:val="21"/>
                    </w:rPr>
                  </w:pPr>
                  <w:r>
                    <w:rPr>
                      <w:rFonts w:hint="eastAsia"/>
                      <w:bCs/>
                      <w:szCs w:val="21"/>
                    </w:rPr>
                    <w:t>生活垃圾</w:t>
                  </w:r>
                </w:p>
              </w:tc>
              <w:tc>
                <w:tcPr>
                  <w:tcW w:w="1365" w:type="dxa"/>
                  <w:noWrap w:val="0"/>
                  <w:vAlign w:val="center"/>
                </w:tcPr>
                <w:p>
                  <w:pPr>
                    <w:snapToGrid w:val="0"/>
                    <w:rPr>
                      <w:bCs/>
                      <w:szCs w:val="21"/>
                    </w:rPr>
                  </w:pPr>
                  <w:r>
                    <w:rPr>
                      <w:rFonts w:hint="eastAsia"/>
                      <w:bCs/>
                      <w:szCs w:val="21"/>
                    </w:rPr>
                    <w:t>一般固废</w:t>
                  </w:r>
                </w:p>
              </w:tc>
              <w:tc>
                <w:tcPr>
                  <w:tcW w:w="1050" w:type="dxa"/>
                  <w:noWrap w:val="0"/>
                  <w:vAlign w:val="center"/>
                </w:tcPr>
                <w:p>
                  <w:pPr>
                    <w:snapToGrid w:val="0"/>
                    <w:rPr>
                      <w:bCs/>
                      <w:szCs w:val="21"/>
                    </w:rPr>
                  </w:pPr>
                  <w:r>
                    <w:rPr>
                      <w:rFonts w:hint="eastAsia"/>
                      <w:bCs/>
                      <w:szCs w:val="21"/>
                    </w:rPr>
                    <w:t>生活垃圾</w:t>
                  </w:r>
                </w:p>
              </w:tc>
              <w:tc>
                <w:tcPr>
                  <w:tcW w:w="750" w:type="dxa"/>
                  <w:noWrap w:val="0"/>
                  <w:vAlign w:val="center"/>
                </w:tcPr>
                <w:p>
                  <w:pPr>
                    <w:snapToGrid w:val="0"/>
                    <w:rPr>
                      <w:bCs/>
                      <w:szCs w:val="21"/>
                    </w:rPr>
                  </w:pPr>
                  <w:r>
                    <w:rPr>
                      <w:bCs/>
                      <w:szCs w:val="21"/>
                    </w:rPr>
                    <w:t>固态</w:t>
                  </w:r>
                </w:p>
              </w:tc>
              <w:tc>
                <w:tcPr>
                  <w:tcW w:w="1170" w:type="dxa"/>
                  <w:noWrap w:val="0"/>
                  <w:vAlign w:val="center"/>
                </w:tcPr>
                <w:p>
                  <w:pPr>
                    <w:snapToGrid w:val="0"/>
                    <w:rPr>
                      <w:bCs/>
                      <w:szCs w:val="21"/>
                    </w:rPr>
                  </w:pPr>
                  <w:r>
                    <w:rPr>
                      <w:rFonts w:hint="eastAsia"/>
                      <w:bCs/>
                      <w:szCs w:val="21"/>
                    </w:rPr>
                    <w:t>4.5</w:t>
                  </w:r>
                </w:p>
              </w:tc>
              <w:tc>
                <w:tcPr>
                  <w:tcW w:w="1947" w:type="dxa"/>
                  <w:noWrap w:val="0"/>
                  <w:vAlign w:val="center"/>
                </w:tcPr>
                <w:p>
                  <w:pPr>
                    <w:snapToGrid w:val="0"/>
                    <w:rPr>
                      <w:bCs/>
                      <w:szCs w:val="21"/>
                    </w:rPr>
                  </w:pPr>
                  <w:r>
                    <w:rPr>
                      <w:bCs/>
                      <w:szCs w:val="21"/>
                    </w:rPr>
                    <w:t>环卫部门集中送至垃圾处理场</w:t>
                  </w:r>
                  <w:r>
                    <w:rPr>
                      <w:rFonts w:hint="eastAsia"/>
                      <w:bCs/>
                      <w:szCs w:val="21"/>
                    </w:rPr>
                    <w:t>卫生填埋</w:t>
                  </w:r>
                </w:p>
              </w:tc>
              <w:tc>
                <w:tcPr>
                  <w:tcW w:w="899" w:type="dxa"/>
                  <w:noWrap w:val="0"/>
                  <w:vAlign w:val="center"/>
                </w:tcPr>
                <w:p>
                  <w:pPr>
                    <w:snapToGrid w:val="0"/>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noWrap w:val="0"/>
                  <w:vAlign w:val="center"/>
                </w:tcPr>
                <w:p>
                  <w:pPr>
                    <w:snapToGrid w:val="0"/>
                    <w:rPr>
                      <w:bCs/>
                      <w:szCs w:val="21"/>
                    </w:rPr>
                  </w:pPr>
                  <w:r>
                    <w:rPr>
                      <w:bCs/>
                      <w:szCs w:val="21"/>
                    </w:rPr>
                    <w:t>2</w:t>
                  </w:r>
                </w:p>
              </w:tc>
              <w:tc>
                <w:tcPr>
                  <w:tcW w:w="1335" w:type="dxa"/>
                  <w:noWrap w:val="0"/>
                  <w:vAlign w:val="center"/>
                </w:tcPr>
                <w:p>
                  <w:pPr>
                    <w:snapToGrid w:val="0"/>
                    <w:rPr>
                      <w:rFonts w:hint="eastAsia" w:eastAsia="宋体"/>
                      <w:bCs/>
                      <w:szCs w:val="21"/>
                      <w:lang w:eastAsia="zh-CN"/>
                    </w:rPr>
                  </w:pPr>
                  <w:r>
                    <w:rPr>
                      <w:rFonts w:hint="eastAsia"/>
                      <w:bCs/>
                      <w:szCs w:val="21"/>
                    </w:rPr>
                    <w:t>边角料和</w:t>
                  </w:r>
                  <w:r>
                    <w:rPr>
                      <w:rFonts w:hint="eastAsia"/>
                      <w:bCs/>
                      <w:szCs w:val="21"/>
                      <w:lang w:eastAsia="zh-CN"/>
                    </w:rPr>
                    <w:t>废铝屑</w:t>
                  </w:r>
                </w:p>
              </w:tc>
              <w:tc>
                <w:tcPr>
                  <w:tcW w:w="1365" w:type="dxa"/>
                  <w:noWrap w:val="0"/>
                  <w:vAlign w:val="center"/>
                </w:tcPr>
                <w:p>
                  <w:pPr>
                    <w:snapToGrid w:val="0"/>
                    <w:rPr>
                      <w:bCs/>
                      <w:szCs w:val="21"/>
                    </w:rPr>
                  </w:pPr>
                  <w:r>
                    <w:rPr>
                      <w:rFonts w:hint="eastAsia"/>
                      <w:bCs/>
                      <w:szCs w:val="21"/>
                    </w:rPr>
                    <w:t>一般固废</w:t>
                  </w:r>
                </w:p>
              </w:tc>
              <w:tc>
                <w:tcPr>
                  <w:tcW w:w="1050" w:type="dxa"/>
                  <w:noWrap w:val="0"/>
                  <w:vAlign w:val="center"/>
                </w:tcPr>
                <w:p>
                  <w:pPr>
                    <w:snapToGrid w:val="0"/>
                    <w:rPr>
                      <w:bCs/>
                      <w:szCs w:val="21"/>
                    </w:rPr>
                  </w:pPr>
                  <w:r>
                    <w:rPr>
                      <w:rFonts w:hint="eastAsia"/>
                      <w:bCs/>
                      <w:szCs w:val="21"/>
                    </w:rPr>
                    <w:t>铁</w:t>
                  </w:r>
                </w:p>
              </w:tc>
              <w:tc>
                <w:tcPr>
                  <w:tcW w:w="750" w:type="dxa"/>
                  <w:noWrap w:val="0"/>
                  <w:vAlign w:val="center"/>
                </w:tcPr>
                <w:p>
                  <w:pPr>
                    <w:snapToGrid w:val="0"/>
                    <w:rPr>
                      <w:bCs/>
                      <w:szCs w:val="21"/>
                    </w:rPr>
                  </w:pPr>
                  <w:r>
                    <w:rPr>
                      <w:bCs/>
                      <w:szCs w:val="21"/>
                    </w:rPr>
                    <w:t>固态</w:t>
                  </w:r>
                </w:p>
              </w:tc>
              <w:tc>
                <w:tcPr>
                  <w:tcW w:w="1170" w:type="dxa"/>
                  <w:noWrap w:val="0"/>
                  <w:vAlign w:val="center"/>
                </w:tcPr>
                <w:p>
                  <w:pPr>
                    <w:snapToGrid w:val="0"/>
                    <w:rPr>
                      <w:bCs/>
                      <w:szCs w:val="21"/>
                    </w:rPr>
                  </w:pPr>
                  <w:r>
                    <w:rPr>
                      <w:rFonts w:hint="eastAsia"/>
                      <w:bCs/>
                      <w:szCs w:val="21"/>
                    </w:rPr>
                    <w:t>1.5</w:t>
                  </w:r>
                </w:p>
              </w:tc>
              <w:tc>
                <w:tcPr>
                  <w:tcW w:w="1947" w:type="dxa"/>
                  <w:noWrap w:val="0"/>
                  <w:vAlign w:val="center"/>
                </w:tcPr>
                <w:p>
                  <w:pPr>
                    <w:snapToGrid w:val="0"/>
                    <w:rPr>
                      <w:bCs/>
                      <w:szCs w:val="21"/>
                    </w:rPr>
                  </w:pPr>
                  <w:r>
                    <w:rPr>
                      <w:bCs/>
                      <w:szCs w:val="21"/>
                    </w:rPr>
                    <w:t>外售或综合利用处置</w:t>
                  </w:r>
                </w:p>
              </w:tc>
              <w:tc>
                <w:tcPr>
                  <w:tcW w:w="899" w:type="dxa"/>
                  <w:noWrap w:val="0"/>
                  <w:vAlign w:val="center"/>
                </w:tcPr>
                <w:p>
                  <w:pPr>
                    <w:snapToGrid w:val="0"/>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noWrap w:val="0"/>
                  <w:vAlign w:val="center"/>
                </w:tcPr>
                <w:p>
                  <w:pPr>
                    <w:snapToGrid w:val="0"/>
                    <w:rPr>
                      <w:bCs/>
                      <w:szCs w:val="21"/>
                    </w:rPr>
                  </w:pPr>
                  <w:r>
                    <w:rPr>
                      <w:rFonts w:hint="eastAsia"/>
                      <w:bCs/>
                      <w:szCs w:val="21"/>
                    </w:rPr>
                    <w:t>3</w:t>
                  </w:r>
                </w:p>
              </w:tc>
              <w:tc>
                <w:tcPr>
                  <w:tcW w:w="1335" w:type="dxa"/>
                  <w:noWrap w:val="0"/>
                  <w:vAlign w:val="center"/>
                </w:tcPr>
                <w:p>
                  <w:pPr>
                    <w:snapToGrid w:val="0"/>
                    <w:rPr>
                      <w:bCs/>
                      <w:szCs w:val="21"/>
                    </w:rPr>
                  </w:pPr>
                  <w:r>
                    <w:rPr>
                      <w:rFonts w:hint="eastAsia"/>
                      <w:bCs/>
                      <w:szCs w:val="21"/>
                    </w:rPr>
                    <w:t>含油抹布、手套</w:t>
                  </w:r>
                </w:p>
              </w:tc>
              <w:tc>
                <w:tcPr>
                  <w:tcW w:w="1365" w:type="dxa"/>
                  <w:noWrap w:val="0"/>
                  <w:vAlign w:val="center"/>
                </w:tcPr>
                <w:p>
                  <w:pPr>
                    <w:snapToGrid w:val="0"/>
                    <w:rPr>
                      <w:bCs/>
                      <w:szCs w:val="21"/>
                    </w:rPr>
                  </w:pPr>
                  <w:r>
                    <w:rPr>
                      <w:bCs/>
                      <w:szCs w:val="21"/>
                    </w:rPr>
                    <w:t>900-041-49</w:t>
                  </w:r>
                </w:p>
              </w:tc>
              <w:tc>
                <w:tcPr>
                  <w:tcW w:w="1050" w:type="dxa"/>
                  <w:noWrap w:val="0"/>
                  <w:vAlign w:val="center"/>
                </w:tcPr>
                <w:p>
                  <w:pPr>
                    <w:snapToGrid w:val="0"/>
                    <w:rPr>
                      <w:bCs/>
                      <w:szCs w:val="21"/>
                    </w:rPr>
                  </w:pPr>
                  <w:r>
                    <w:rPr>
                      <w:rFonts w:hint="eastAsia"/>
                      <w:bCs/>
                      <w:szCs w:val="21"/>
                    </w:rPr>
                    <w:t>废矿物油</w:t>
                  </w:r>
                </w:p>
              </w:tc>
              <w:tc>
                <w:tcPr>
                  <w:tcW w:w="750" w:type="dxa"/>
                  <w:noWrap w:val="0"/>
                  <w:vAlign w:val="center"/>
                </w:tcPr>
                <w:p>
                  <w:pPr>
                    <w:snapToGrid w:val="0"/>
                    <w:rPr>
                      <w:bCs/>
                      <w:szCs w:val="21"/>
                    </w:rPr>
                  </w:pPr>
                  <w:r>
                    <w:rPr>
                      <w:bCs/>
                      <w:szCs w:val="21"/>
                    </w:rPr>
                    <w:t>固态</w:t>
                  </w:r>
                </w:p>
              </w:tc>
              <w:tc>
                <w:tcPr>
                  <w:tcW w:w="1170" w:type="dxa"/>
                  <w:noWrap w:val="0"/>
                  <w:vAlign w:val="center"/>
                </w:tcPr>
                <w:p>
                  <w:pPr>
                    <w:snapToGrid w:val="0"/>
                    <w:rPr>
                      <w:bCs/>
                      <w:szCs w:val="21"/>
                    </w:rPr>
                  </w:pPr>
                  <w:r>
                    <w:rPr>
                      <w:rFonts w:hint="eastAsia"/>
                      <w:bCs/>
                      <w:szCs w:val="21"/>
                    </w:rPr>
                    <w:t>0.2</w:t>
                  </w:r>
                  <w:r>
                    <w:rPr>
                      <w:bCs/>
                      <w:szCs w:val="21"/>
                    </w:rPr>
                    <w:t xml:space="preserve"> t/a</w:t>
                  </w:r>
                </w:p>
              </w:tc>
              <w:tc>
                <w:tcPr>
                  <w:tcW w:w="1947" w:type="dxa"/>
                  <w:noWrap w:val="0"/>
                  <w:vAlign w:val="center"/>
                </w:tcPr>
                <w:p>
                  <w:pPr>
                    <w:snapToGrid w:val="0"/>
                    <w:rPr>
                      <w:bCs/>
                      <w:szCs w:val="21"/>
                    </w:rPr>
                  </w:pPr>
                  <w:r>
                    <w:rPr>
                      <w:rFonts w:hint="eastAsia"/>
                      <w:bCs/>
                      <w:szCs w:val="21"/>
                    </w:rPr>
                    <w:t>满足豁免条件，收集后与生活垃圾一并</w:t>
                  </w:r>
                  <w:r>
                    <w:rPr>
                      <w:bCs/>
                      <w:szCs w:val="21"/>
                    </w:rPr>
                    <w:t>由环卫部门统一收集、</w:t>
                  </w:r>
                  <w:r>
                    <w:rPr>
                      <w:rFonts w:hint="eastAsia"/>
                      <w:bCs/>
                      <w:szCs w:val="21"/>
                    </w:rPr>
                    <w:t>处置</w:t>
                  </w:r>
                </w:p>
              </w:tc>
              <w:tc>
                <w:tcPr>
                  <w:tcW w:w="899" w:type="dxa"/>
                  <w:noWrap w:val="0"/>
                  <w:vAlign w:val="center"/>
                </w:tcPr>
                <w:p>
                  <w:pPr>
                    <w:snapToGrid w:val="0"/>
                    <w:rPr>
                      <w:bCs/>
                      <w:szCs w:val="21"/>
                    </w:rPr>
                  </w:pPr>
                  <w:r>
                    <w:rPr>
                      <w:rFonts w:hint="eastAsia"/>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noWrap w:val="0"/>
                  <w:vAlign w:val="center"/>
                </w:tcPr>
                <w:p>
                  <w:pPr>
                    <w:snapToGrid w:val="0"/>
                    <w:rPr>
                      <w:rFonts w:hint="eastAsia"/>
                      <w:bCs/>
                      <w:szCs w:val="21"/>
                    </w:rPr>
                  </w:pPr>
                  <w:r>
                    <w:rPr>
                      <w:rFonts w:hint="eastAsia"/>
                      <w:bCs/>
                      <w:szCs w:val="21"/>
                    </w:rPr>
                    <w:t>4</w:t>
                  </w:r>
                </w:p>
              </w:tc>
              <w:tc>
                <w:tcPr>
                  <w:tcW w:w="1335" w:type="dxa"/>
                  <w:noWrap w:val="0"/>
                  <w:vAlign w:val="center"/>
                </w:tcPr>
                <w:p>
                  <w:pPr>
                    <w:snapToGrid w:val="0"/>
                    <w:rPr>
                      <w:rFonts w:hint="eastAsia"/>
                      <w:bCs/>
                      <w:szCs w:val="21"/>
                    </w:rPr>
                  </w:pPr>
                  <w:r>
                    <w:rPr>
                      <w:rFonts w:hint="eastAsia"/>
                      <w:bCs/>
                      <w:szCs w:val="21"/>
                    </w:rPr>
                    <w:t>废乳化液</w:t>
                  </w:r>
                </w:p>
              </w:tc>
              <w:tc>
                <w:tcPr>
                  <w:tcW w:w="1365" w:type="dxa"/>
                  <w:noWrap w:val="0"/>
                  <w:vAlign w:val="center"/>
                </w:tcPr>
                <w:p>
                  <w:pPr>
                    <w:snapToGrid w:val="0"/>
                    <w:rPr>
                      <w:rFonts w:hint="eastAsia"/>
                      <w:bCs/>
                      <w:szCs w:val="21"/>
                    </w:rPr>
                  </w:pPr>
                  <w:r>
                    <w:rPr>
                      <w:rFonts w:hint="eastAsia"/>
                      <w:bCs/>
                      <w:szCs w:val="21"/>
                    </w:rPr>
                    <w:t>900-006-09</w:t>
                  </w:r>
                </w:p>
              </w:tc>
              <w:tc>
                <w:tcPr>
                  <w:tcW w:w="1050" w:type="dxa"/>
                  <w:noWrap w:val="0"/>
                  <w:vAlign w:val="center"/>
                </w:tcPr>
                <w:p>
                  <w:pPr>
                    <w:snapToGrid w:val="0"/>
                    <w:rPr>
                      <w:rFonts w:hint="eastAsia"/>
                      <w:bCs/>
                      <w:szCs w:val="21"/>
                    </w:rPr>
                  </w:pPr>
                  <w:r>
                    <w:rPr>
                      <w:rFonts w:hint="eastAsia"/>
                      <w:bCs/>
                      <w:szCs w:val="21"/>
                    </w:rPr>
                    <w:t>乳化液</w:t>
                  </w:r>
                </w:p>
              </w:tc>
              <w:tc>
                <w:tcPr>
                  <w:tcW w:w="750" w:type="dxa"/>
                  <w:noWrap w:val="0"/>
                  <w:vAlign w:val="center"/>
                </w:tcPr>
                <w:p>
                  <w:pPr>
                    <w:snapToGrid w:val="0"/>
                    <w:rPr>
                      <w:bCs/>
                      <w:szCs w:val="21"/>
                    </w:rPr>
                  </w:pPr>
                  <w:r>
                    <w:rPr>
                      <w:rFonts w:hint="eastAsia"/>
                      <w:bCs/>
                      <w:szCs w:val="21"/>
                    </w:rPr>
                    <w:t>液态</w:t>
                  </w:r>
                </w:p>
              </w:tc>
              <w:tc>
                <w:tcPr>
                  <w:tcW w:w="1170" w:type="dxa"/>
                  <w:noWrap w:val="0"/>
                  <w:vAlign w:val="center"/>
                </w:tcPr>
                <w:p>
                  <w:pPr>
                    <w:snapToGrid w:val="0"/>
                    <w:rPr>
                      <w:rFonts w:hint="default" w:eastAsia="宋体"/>
                      <w:bCs/>
                      <w:szCs w:val="21"/>
                      <w:lang w:val="en-US" w:eastAsia="zh-CN"/>
                    </w:rPr>
                  </w:pPr>
                  <w:r>
                    <w:rPr>
                      <w:rFonts w:hint="eastAsia"/>
                      <w:bCs/>
                      <w:szCs w:val="21"/>
                      <w:lang w:val="en-US" w:eastAsia="zh-CN"/>
                    </w:rPr>
                    <w:t>1.0</w:t>
                  </w:r>
                </w:p>
              </w:tc>
              <w:tc>
                <w:tcPr>
                  <w:tcW w:w="1947" w:type="dxa"/>
                  <w:noWrap w:val="0"/>
                  <w:vAlign w:val="center"/>
                </w:tcPr>
                <w:p>
                  <w:pPr>
                    <w:snapToGrid w:val="0"/>
                    <w:rPr>
                      <w:rFonts w:hint="eastAsia"/>
                      <w:szCs w:val="21"/>
                    </w:rPr>
                  </w:pPr>
                  <w:r>
                    <w:rPr>
                      <w:rFonts w:hint="eastAsia"/>
                      <w:bCs/>
                      <w:szCs w:val="21"/>
                    </w:rPr>
                    <w:t>定期收集后暂存于项目区危险废物临时贮存点，定期交有资质单位处理</w:t>
                  </w:r>
                </w:p>
              </w:tc>
              <w:tc>
                <w:tcPr>
                  <w:tcW w:w="899" w:type="dxa"/>
                  <w:noWrap w:val="0"/>
                  <w:vAlign w:val="center"/>
                </w:tcPr>
                <w:p>
                  <w:pPr>
                    <w:snapToGrid w:val="0"/>
                    <w:rPr>
                      <w:rFonts w:hint="eastAsia" w:eastAsia="宋体"/>
                      <w:bCs/>
                      <w:szCs w:val="21"/>
                      <w:lang w:val="en-US" w:eastAsia="zh-CN"/>
                    </w:rPr>
                  </w:pPr>
                  <w:r>
                    <w:rPr>
                      <w:rFonts w:hint="eastAsia"/>
                      <w:bCs/>
                      <w:szCs w:val="21"/>
                      <w:lang w:val="en-US" w:eastAsia="zh-CN"/>
                    </w:rPr>
                    <w:t>0</w:t>
                  </w:r>
                </w:p>
              </w:tc>
            </w:tr>
          </w:tbl>
          <w:p>
            <w:pPr>
              <w:spacing w:line="360" w:lineRule="auto"/>
              <w:ind w:firstLine="420" w:firstLineChars="200"/>
              <w:rPr>
                <w:rFonts w:hint="eastAsia"/>
              </w:rPr>
            </w:pPr>
          </w:p>
          <w:p>
            <w:pPr>
              <w:snapToGrid w:val="0"/>
              <w:spacing w:line="360" w:lineRule="auto"/>
              <w:ind w:firstLine="480" w:firstLineChars="200"/>
              <w:rPr>
                <w:sz w:val="24"/>
                <w:szCs w:val="24"/>
              </w:rPr>
            </w:pPr>
          </w:p>
        </w:tc>
      </w:tr>
    </w:tbl>
    <w:p>
      <w:pPr>
        <w:pStyle w:val="18"/>
        <w:spacing w:line="360" w:lineRule="auto"/>
        <w:rPr>
          <w:b/>
          <w:bCs/>
          <w:sz w:val="32"/>
          <w:szCs w:val="32"/>
        </w:rPr>
        <w:sectPr>
          <w:pgSz w:w="11906" w:h="16838"/>
          <w:pgMar w:top="1440" w:right="1286" w:bottom="1440" w:left="1474" w:header="851" w:footer="992" w:gutter="0"/>
          <w:cols w:space="720" w:num="1"/>
          <w:docGrid w:type="lines" w:linePitch="312" w:charSpace="0"/>
        </w:sectPr>
      </w:pPr>
    </w:p>
    <w:p>
      <w:pPr>
        <w:pStyle w:val="18"/>
        <w:spacing w:line="360" w:lineRule="auto"/>
        <w:rPr>
          <w:b/>
          <w:bCs/>
          <w:sz w:val="32"/>
          <w:szCs w:val="32"/>
        </w:rPr>
      </w:pPr>
      <w:r>
        <w:rPr>
          <w:b/>
          <w:bCs/>
          <w:sz w:val="32"/>
          <w:szCs w:val="32"/>
        </w:rPr>
        <w:t>建设项目主要污染物产生及预计排放情况</w:t>
      </w:r>
    </w:p>
    <w:tbl>
      <w:tblPr>
        <w:tblStyle w:val="3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230"/>
        <w:gridCol w:w="15"/>
        <w:gridCol w:w="1245"/>
        <w:gridCol w:w="1513"/>
        <w:gridCol w:w="1727"/>
        <w:gridCol w:w="152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58" w:type="dxa"/>
            <w:vMerge w:val="restart"/>
            <w:tcBorders>
              <w:tl2br w:val="single" w:color="auto" w:sz="4" w:space="0"/>
            </w:tcBorders>
            <w:vAlign w:val="center"/>
          </w:tcPr>
          <w:p>
            <w:pPr>
              <w:spacing w:line="360" w:lineRule="auto"/>
              <w:jc w:val="right"/>
              <w:rPr>
                <w:sz w:val="24"/>
              </w:rPr>
            </w:pPr>
            <w:r>
              <w:rPr>
                <w:sz w:val="24"/>
              </w:rPr>
              <w:t>内容</w:t>
            </w:r>
          </w:p>
          <w:p>
            <w:pPr>
              <w:pStyle w:val="18"/>
              <w:spacing w:line="360" w:lineRule="auto"/>
              <w:rPr>
                <w:sz w:val="24"/>
                <w:szCs w:val="24"/>
              </w:rPr>
            </w:pPr>
            <w:r>
              <w:rPr>
                <w:sz w:val="24"/>
                <w:szCs w:val="24"/>
              </w:rPr>
              <w:t>类型</w:t>
            </w:r>
          </w:p>
        </w:tc>
        <w:tc>
          <w:tcPr>
            <w:tcW w:w="1230" w:type="dxa"/>
            <w:vMerge w:val="restart"/>
            <w:vAlign w:val="center"/>
          </w:tcPr>
          <w:p>
            <w:pPr>
              <w:pStyle w:val="18"/>
              <w:spacing w:line="360" w:lineRule="auto"/>
              <w:jc w:val="center"/>
              <w:rPr>
                <w:sz w:val="24"/>
                <w:szCs w:val="24"/>
              </w:rPr>
            </w:pPr>
            <w:r>
              <w:rPr>
                <w:sz w:val="24"/>
                <w:szCs w:val="24"/>
              </w:rPr>
              <w:t>排放源</w:t>
            </w:r>
          </w:p>
          <w:p>
            <w:r>
              <w:t>（编号）</w:t>
            </w:r>
          </w:p>
        </w:tc>
        <w:tc>
          <w:tcPr>
            <w:tcW w:w="1260" w:type="dxa"/>
            <w:gridSpan w:val="2"/>
            <w:vMerge w:val="restart"/>
            <w:vAlign w:val="center"/>
          </w:tcPr>
          <w:p>
            <w:pPr>
              <w:spacing w:line="360" w:lineRule="auto"/>
              <w:jc w:val="center"/>
              <w:rPr>
                <w:sz w:val="24"/>
              </w:rPr>
            </w:pPr>
            <w:r>
              <w:rPr>
                <w:sz w:val="24"/>
              </w:rPr>
              <w:t>污染物</w:t>
            </w:r>
          </w:p>
          <w:p>
            <w:pPr>
              <w:spacing w:line="360" w:lineRule="auto"/>
              <w:jc w:val="center"/>
              <w:rPr>
                <w:sz w:val="24"/>
              </w:rPr>
            </w:pPr>
            <w:r>
              <w:rPr>
                <w:sz w:val="24"/>
              </w:rPr>
              <w:t>名称</w:t>
            </w:r>
          </w:p>
        </w:tc>
        <w:tc>
          <w:tcPr>
            <w:tcW w:w="3240" w:type="dxa"/>
            <w:gridSpan w:val="2"/>
            <w:vAlign w:val="center"/>
          </w:tcPr>
          <w:p>
            <w:pPr>
              <w:spacing w:line="360" w:lineRule="auto"/>
              <w:jc w:val="center"/>
              <w:rPr>
                <w:sz w:val="24"/>
              </w:rPr>
            </w:pPr>
            <w:r>
              <w:rPr>
                <w:sz w:val="24"/>
              </w:rPr>
              <w:t>处理前产生浓度及产生量（单位）</w:t>
            </w:r>
          </w:p>
        </w:tc>
        <w:tc>
          <w:tcPr>
            <w:tcW w:w="2820" w:type="dxa"/>
            <w:gridSpan w:val="2"/>
            <w:vAlign w:val="center"/>
          </w:tcPr>
          <w:p>
            <w:pPr>
              <w:spacing w:line="360" w:lineRule="auto"/>
              <w:jc w:val="center"/>
              <w:rPr>
                <w:sz w:val="24"/>
              </w:rPr>
            </w:pPr>
            <w:r>
              <w:rPr>
                <w:sz w:val="24"/>
              </w:rPr>
              <w:t>排放浓度及排放量(单位)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58" w:type="dxa"/>
            <w:vMerge w:val="continue"/>
            <w:vAlign w:val="center"/>
          </w:tcPr>
          <w:p>
            <w:pPr>
              <w:spacing w:line="360" w:lineRule="auto"/>
              <w:jc w:val="center"/>
              <w:rPr>
                <w:sz w:val="24"/>
              </w:rPr>
            </w:pPr>
          </w:p>
        </w:tc>
        <w:tc>
          <w:tcPr>
            <w:tcW w:w="1230" w:type="dxa"/>
            <w:vMerge w:val="continue"/>
            <w:vAlign w:val="center"/>
          </w:tcPr>
          <w:p>
            <w:pPr>
              <w:spacing w:line="360" w:lineRule="auto"/>
              <w:rPr>
                <w:sz w:val="24"/>
              </w:rPr>
            </w:pPr>
          </w:p>
        </w:tc>
        <w:tc>
          <w:tcPr>
            <w:tcW w:w="1260" w:type="dxa"/>
            <w:gridSpan w:val="2"/>
            <w:vMerge w:val="continue"/>
            <w:vAlign w:val="center"/>
          </w:tcPr>
          <w:p>
            <w:pPr>
              <w:spacing w:line="360" w:lineRule="auto"/>
              <w:jc w:val="center"/>
              <w:rPr>
                <w:sz w:val="24"/>
              </w:rPr>
            </w:pPr>
          </w:p>
        </w:tc>
        <w:tc>
          <w:tcPr>
            <w:tcW w:w="1513" w:type="dxa"/>
            <w:vAlign w:val="center"/>
          </w:tcPr>
          <w:p>
            <w:pPr>
              <w:spacing w:line="360" w:lineRule="auto"/>
              <w:jc w:val="center"/>
              <w:rPr>
                <w:sz w:val="24"/>
              </w:rPr>
            </w:pPr>
            <w:r>
              <w:rPr>
                <w:sz w:val="24"/>
              </w:rPr>
              <w:t>浓度</w:t>
            </w:r>
          </w:p>
        </w:tc>
        <w:tc>
          <w:tcPr>
            <w:tcW w:w="1727" w:type="dxa"/>
            <w:vAlign w:val="center"/>
          </w:tcPr>
          <w:p>
            <w:pPr>
              <w:spacing w:line="360" w:lineRule="auto"/>
              <w:jc w:val="center"/>
              <w:rPr>
                <w:sz w:val="24"/>
              </w:rPr>
            </w:pPr>
            <w:r>
              <w:rPr>
                <w:sz w:val="24"/>
              </w:rPr>
              <w:t>产生量</w:t>
            </w:r>
          </w:p>
        </w:tc>
        <w:tc>
          <w:tcPr>
            <w:tcW w:w="1525" w:type="dxa"/>
            <w:vAlign w:val="center"/>
          </w:tcPr>
          <w:p>
            <w:pPr>
              <w:spacing w:line="360" w:lineRule="auto"/>
              <w:jc w:val="center"/>
              <w:rPr>
                <w:sz w:val="24"/>
              </w:rPr>
            </w:pPr>
            <w:r>
              <w:rPr>
                <w:sz w:val="24"/>
              </w:rPr>
              <w:t>浓度</w:t>
            </w:r>
          </w:p>
        </w:tc>
        <w:tc>
          <w:tcPr>
            <w:tcW w:w="1295" w:type="dxa"/>
            <w:vAlign w:val="center"/>
          </w:tcPr>
          <w:p>
            <w:pPr>
              <w:spacing w:line="360" w:lineRule="auto"/>
              <w:jc w:val="center"/>
              <w:rPr>
                <w:sz w:val="24"/>
              </w:rPr>
            </w:pPr>
            <w:r>
              <w:rPr>
                <w:sz w:val="24"/>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58" w:type="dxa"/>
            <w:vAlign w:val="center"/>
          </w:tcPr>
          <w:p>
            <w:pPr>
              <w:jc w:val="center"/>
              <w:rPr>
                <w:rFonts w:eastAsia="仿宋_GB2312"/>
                <w:sz w:val="24"/>
              </w:rPr>
            </w:pPr>
            <w:r>
              <w:rPr>
                <w:rFonts w:hint="eastAsia"/>
                <w:sz w:val="24"/>
              </w:rPr>
              <w:t>大气污染物</w:t>
            </w:r>
          </w:p>
        </w:tc>
        <w:tc>
          <w:tcPr>
            <w:tcW w:w="1245"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szCs w:val="24"/>
              </w:rPr>
            </w:pPr>
            <w:r>
              <w:rPr>
                <w:rFonts w:hint="eastAsia"/>
                <w:sz w:val="24"/>
                <w:szCs w:val="24"/>
              </w:rPr>
              <w:t>无组织排放</w:t>
            </w:r>
          </w:p>
        </w:tc>
        <w:tc>
          <w:tcPr>
            <w:tcW w:w="12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宋体"/>
                <w:sz w:val="24"/>
                <w:szCs w:val="24"/>
                <w:lang w:eastAsia="zh-CN"/>
              </w:rPr>
            </w:pPr>
            <w:r>
              <w:rPr>
                <w:rFonts w:hint="eastAsia"/>
                <w:sz w:val="24"/>
                <w:szCs w:val="24"/>
                <w:lang w:eastAsia="zh-CN"/>
              </w:rPr>
              <w:t>烟粉尘</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szCs w:val="24"/>
              </w:rPr>
            </w:pPr>
            <w:r>
              <w:rPr>
                <w:rFonts w:hint="eastAsia"/>
                <w:bCs/>
                <w:sz w:val="24"/>
                <w:szCs w:val="24"/>
                <w:lang w:val="en-US" w:eastAsia="zh-CN"/>
              </w:rPr>
              <w:t>0.48t/a，0.49kg/h</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szCs w:val="24"/>
              </w:rPr>
            </w:pPr>
            <w:r>
              <w:rPr>
                <w:rFonts w:hint="eastAsia"/>
                <w:bCs/>
                <w:sz w:val="24"/>
                <w:szCs w:val="24"/>
                <w:lang w:val="en-US" w:eastAsia="zh-CN"/>
              </w:rPr>
              <w:t>0.113t/a，0.115kg/h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58" w:type="dxa"/>
            <w:vMerge w:val="restart"/>
            <w:vAlign w:val="center"/>
          </w:tcPr>
          <w:p>
            <w:pPr>
              <w:spacing w:line="480" w:lineRule="auto"/>
              <w:rPr>
                <w:sz w:val="24"/>
              </w:rPr>
            </w:pPr>
            <w:r>
              <w:rPr>
                <w:sz w:val="24"/>
              </w:rPr>
              <w:t>水污染物质</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4"/>
              </w:rPr>
            </w:pPr>
            <w:r>
              <w:rPr>
                <w:rFonts w:hint="eastAsia"/>
                <w:sz w:val="24"/>
              </w:rPr>
              <w:t>生活污水</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废水量</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szCs w:val="24"/>
              </w:rPr>
            </w:pPr>
            <w:r>
              <w:rPr>
                <w:rFonts w:hint="eastAsia"/>
                <w:sz w:val="24"/>
                <w:szCs w:val="24"/>
              </w:rPr>
              <w:t>360m</w:t>
            </w:r>
            <w:r>
              <w:rPr>
                <w:rFonts w:hint="eastAsia"/>
                <w:sz w:val="24"/>
                <w:szCs w:val="24"/>
                <w:vertAlign w:val="superscript"/>
              </w:rPr>
              <w:t>3</w:t>
            </w:r>
            <w:r>
              <w:rPr>
                <w:sz w:val="24"/>
                <w:szCs w:val="24"/>
              </w:rPr>
              <w:t>/a</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仿宋_GB2312"/>
                <w:sz w:val="24"/>
              </w:rPr>
            </w:pPr>
            <w:r>
              <w:rPr>
                <w:rFonts w:hint="eastAsia"/>
                <w:sz w:val="24"/>
                <w:szCs w:val="24"/>
              </w:rPr>
              <w:t>360m</w:t>
            </w:r>
            <w:r>
              <w:rPr>
                <w:rFonts w:hint="eastAsia"/>
                <w:sz w:val="24"/>
                <w:szCs w:val="24"/>
                <w:vertAlign w:val="superscript"/>
              </w:rPr>
              <w:t>3</w:t>
            </w:r>
            <w:r>
              <w:rPr>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858" w:type="dxa"/>
            <w:vMerge w:val="continue"/>
            <w:vAlign w:val="center"/>
          </w:tcPr>
          <w:p>
            <w:pPr>
              <w:spacing w:line="480" w:lineRule="auto"/>
              <w:rPr>
                <w:sz w:val="24"/>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COD</w:t>
            </w:r>
            <w:r>
              <w:rPr>
                <w:rFonts w:hint="eastAsia"/>
                <w:sz w:val="24"/>
                <w:vertAlign w:val="subscript"/>
              </w:rPr>
              <w:t>Cr</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350</w:t>
            </w:r>
            <w:r>
              <w:rPr>
                <w:bCs/>
                <w:sz w:val="24"/>
                <w:szCs w:val="24"/>
              </w:rPr>
              <w:t>mg/L</w:t>
            </w:r>
            <w:r>
              <w:rPr>
                <w:rFonts w:hint="eastAsia"/>
                <w:bCs/>
                <w:sz w:val="24"/>
                <w:szCs w:val="24"/>
              </w:rPr>
              <w:t>，0.126</w:t>
            </w:r>
            <w:r>
              <w:rPr>
                <w:sz w:val="24"/>
                <w:szCs w:val="24"/>
              </w:rPr>
              <w:t>t/a</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仿宋_GB2312"/>
                <w:sz w:val="24"/>
              </w:rPr>
            </w:pPr>
            <w:r>
              <w:rPr>
                <w:rFonts w:hint="eastAsia" w:eastAsia="仿宋_GB2312"/>
                <w:sz w:val="24"/>
              </w:rPr>
              <w:t>50</w:t>
            </w:r>
            <w:r>
              <w:rPr>
                <w:bCs/>
                <w:sz w:val="24"/>
                <w:szCs w:val="24"/>
              </w:rPr>
              <w:t>mg/L</w:t>
            </w:r>
            <w:r>
              <w:rPr>
                <w:rFonts w:hint="eastAsia"/>
                <w:bCs/>
                <w:sz w:val="24"/>
                <w:szCs w:val="24"/>
              </w:rPr>
              <w:t>，0.018</w:t>
            </w:r>
            <w:r>
              <w:rPr>
                <w:sz w:val="24"/>
                <w:szCs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858" w:type="dxa"/>
            <w:vMerge w:val="continue"/>
            <w:vAlign w:val="center"/>
          </w:tcPr>
          <w:p>
            <w:pPr>
              <w:spacing w:line="480" w:lineRule="auto"/>
              <w:rPr>
                <w:sz w:val="24"/>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BOD</w:t>
            </w:r>
            <w:r>
              <w:rPr>
                <w:rFonts w:hint="eastAsia"/>
                <w:sz w:val="24"/>
                <w:vertAlign w:val="subscript"/>
              </w:rPr>
              <w:t>5</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250</w:t>
            </w:r>
            <w:r>
              <w:rPr>
                <w:bCs/>
                <w:sz w:val="24"/>
                <w:szCs w:val="24"/>
              </w:rPr>
              <w:t>mg/L</w:t>
            </w:r>
            <w:r>
              <w:rPr>
                <w:rFonts w:hint="eastAsia"/>
                <w:bCs/>
                <w:sz w:val="24"/>
                <w:szCs w:val="24"/>
              </w:rPr>
              <w:t>，0.09</w:t>
            </w:r>
            <w:r>
              <w:rPr>
                <w:sz w:val="24"/>
                <w:szCs w:val="24"/>
              </w:rPr>
              <w:t>t/a</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仿宋_GB2312"/>
                <w:sz w:val="24"/>
              </w:rPr>
            </w:pPr>
            <w:r>
              <w:rPr>
                <w:rFonts w:hint="eastAsia" w:eastAsia="仿宋_GB2312"/>
                <w:sz w:val="24"/>
              </w:rPr>
              <w:t>10</w:t>
            </w:r>
            <w:r>
              <w:rPr>
                <w:bCs/>
                <w:sz w:val="24"/>
                <w:szCs w:val="24"/>
              </w:rPr>
              <w:t>mg/L</w:t>
            </w:r>
            <w:r>
              <w:rPr>
                <w:rFonts w:hint="eastAsia"/>
                <w:bCs/>
                <w:sz w:val="24"/>
                <w:szCs w:val="24"/>
              </w:rPr>
              <w:t>，0.0036</w:t>
            </w:r>
            <w:r>
              <w:rPr>
                <w:sz w:val="24"/>
                <w:szCs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858" w:type="dxa"/>
            <w:vMerge w:val="continue"/>
            <w:vAlign w:val="center"/>
          </w:tcPr>
          <w:p>
            <w:pPr>
              <w:spacing w:line="480" w:lineRule="auto"/>
              <w:rPr>
                <w:sz w:val="24"/>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氨氮</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20</w:t>
            </w:r>
            <w:r>
              <w:rPr>
                <w:bCs/>
                <w:sz w:val="24"/>
                <w:szCs w:val="24"/>
              </w:rPr>
              <w:t>mg/L</w:t>
            </w:r>
            <w:r>
              <w:rPr>
                <w:rFonts w:hint="eastAsia"/>
                <w:bCs/>
                <w:sz w:val="24"/>
                <w:szCs w:val="24"/>
              </w:rPr>
              <w:t>，0.0072</w:t>
            </w:r>
            <w:r>
              <w:rPr>
                <w:sz w:val="24"/>
                <w:szCs w:val="24"/>
              </w:rPr>
              <w:t>t/a</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仿宋_GB2312"/>
                <w:sz w:val="24"/>
              </w:rPr>
            </w:pPr>
            <w:r>
              <w:rPr>
                <w:rFonts w:hint="eastAsia" w:eastAsia="仿宋_GB2312"/>
                <w:sz w:val="24"/>
              </w:rPr>
              <w:t>5</w:t>
            </w:r>
            <w:r>
              <w:rPr>
                <w:bCs/>
                <w:sz w:val="24"/>
                <w:szCs w:val="24"/>
              </w:rPr>
              <w:t>mg/L</w:t>
            </w:r>
            <w:r>
              <w:rPr>
                <w:rFonts w:hint="eastAsia"/>
                <w:bCs/>
                <w:sz w:val="24"/>
                <w:szCs w:val="24"/>
              </w:rPr>
              <w:t>，0.0018</w:t>
            </w:r>
            <w:r>
              <w:rPr>
                <w:sz w:val="24"/>
                <w:szCs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58" w:type="dxa"/>
            <w:vMerge w:val="continue"/>
            <w:vAlign w:val="center"/>
          </w:tcPr>
          <w:p>
            <w:pPr>
              <w:spacing w:line="480" w:lineRule="auto"/>
              <w:rPr>
                <w:sz w:val="24"/>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SS</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200</w:t>
            </w:r>
            <w:r>
              <w:rPr>
                <w:bCs/>
                <w:sz w:val="24"/>
                <w:szCs w:val="24"/>
              </w:rPr>
              <w:t>mg/L</w:t>
            </w:r>
            <w:r>
              <w:rPr>
                <w:rFonts w:hint="eastAsia"/>
                <w:bCs/>
                <w:sz w:val="24"/>
                <w:szCs w:val="24"/>
              </w:rPr>
              <w:t>，0.072</w:t>
            </w:r>
            <w:r>
              <w:rPr>
                <w:sz w:val="24"/>
                <w:szCs w:val="24"/>
              </w:rPr>
              <w:t>/a</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仿宋_GB2312"/>
                <w:sz w:val="24"/>
              </w:rPr>
            </w:pPr>
            <w:r>
              <w:rPr>
                <w:rFonts w:hint="eastAsia" w:eastAsia="仿宋_GB2312"/>
                <w:sz w:val="24"/>
              </w:rPr>
              <w:t>10</w:t>
            </w:r>
            <w:r>
              <w:rPr>
                <w:bCs/>
                <w:sz w:val="24"/>
                <w:szCs w:val="24"/>
              </w:rPr>
              <w:t>mg/L</w:t>
            </w:r>
            <w:r>
              <w:rPr>
                <w:rFonts w:hint="eastAsia"/>
                <w:bCs/>
                <w:sz w:val="24"/>
                <w:szCs w:val="24"/>
              </w:rPr>
              <w:t>，0.0036</w:t>
            </w:r>
            <w:r>
              <w:rPr>
                <w:sz w:val="24"/>
                <w:szCs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8" w:type="dxa"/>
            <w:vMerge w:val="restart"/>
            <w:vAlign w:val="center"/>
          </w:tcPr>
          <w:p>
            <w:pPr>
              <w:jc w:val="center"/>
              <w:rPr>
                <w:sz w:val="24"/>
              </w:rPr>
            </w:pPr>
            <w:r>
              <w:rPr>
                <w:sz w:val="24"/>
              </w:rPr>
              <w:t>固体</w:t>
            </w:r>
          </w:p>
          <w:p>
            <w:pPr>
              <w:jc w:val="center"/>
              <w:rPr>
                <w:sz w:val="24"/>
              </w:rPr>
            </w:pPr>
            <w:r>
              <w:rPr>
                <w:sz w:val="24"/>
              </w:rPr>
              <w:t>废弃</w:t>
            </w:r>
          </w:p>
          <w:p>
            <w:pPr>
              <w:jc w:val="center"/>
              <w:rPr>
                <w:sz w:val="24"/>
              </w:rPr>
            </w:pPr>
            <w:r>
              <w:rPr>
                <w:sz w:val="24"/>
              </w:rPr>
              <w:t>物</w:t>
            </w:r>
          </w:p>
        </w:tc>
        <w:tc>
          <w:tcPr>
            <w:tcW w:w="2490"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宋体"/>
                <w:sz w:val="24"/>
                <w:szCs w:val="22"/>
                <w:lang w:val="en-US" w:eastAsia="zh-CN"/>
              </w:rPr>
            </w:pPr>
            <w:r>
              <w:rPr>
                <w:rFonts w:hint="eastAsia" w:eastAsia="宋体"/>
                <w:sz w:val="24"/>
                <w:szCs w:val="22"/>
              </w:rPr>
              <w:t>生活垃圾</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4.5</w:t>
            </w:r>
            <w:r>
              <w:rPr>
                <w:sz w:val="24"/>
                <w:szCs w:val="24"/>
              </w:rPr>
              <w:t>t/a</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8" w:type="dxa"/>
            <w:vMerge w:val="continue"/>
            <w:vAlign w:val="center"/>
          </w:tcPr>
          <w:p>
            <w:pPr>
              <w:jc w:val="center"/>
              <w:rPr>
                <w:sz w:val="24"/>
              </w:rPr>
            </w:pPr>
          </w:p>
        </w:tc>
        <w:tc>
          <w:tcPr>
            <w:tcW w:w="2490"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宋体"/>
                <w:sz w:val="24"/>
                <w:szCs w:val="22"/>
                <w:lang w:val="en-US" w:eastAsia="zh-CN"/>
              </w:rPr>
            </w:pPr>
            <w:r>
              <w:rPr>
                <w:rFonts w:hint="eastAsia" w:eastAsia="宋体"/>
                <w:sz w:val="24"/>
                <w:szCs w:val="22"/>
              </w:rPr>
              <w:t>边角料和</w:t>
            </w:r>
            <w:r>
              <w:rPr>
                <w:rFonts w:hint="eastAsia" w:eastAsia="宋体"/>
                <w:sz w:val="24"/>
                <w:szCs w:val="22"/>
                <w:lang w:eastAsia="zh-CN"/>
              </w:rPr>
              <w:t>废铝屑</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sz w:val="24"/>
                <w:lang w:val="en-US" w:eastAsia="zh-CN"/>
              </w:rPr>
            </w:pPr>
            <w:r>
              <w:rPr>
                <w:rFonts w:hint="eastAsia"/>
                <w:sz w:val="24"/>
                <w:lang w:val="en-US" w:eastAsia="zh-CN"/>
              </w:rPr>
              <w:t>1.5</w:t>
            </w:r>
            <w:r>
              <w:rPr>
                <w:sz w:val="24"/>
                <w:szCs w:val="24"/>
              </w:rPr>
              <w:t>t/a</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8" w:type="dxa"/>
            <w:vMerge w:val="continue"/>
            <w:vAlign w:val="center"/>
          </w:tcPr>
          <w:p>
            <w:pPr>
              <w:jc w:val="center"/>
              <w:rPr>
                <w:sz w:val="24"/>
              </w:rPr>
            </w:pPr>
          </w:p>
        </w:tc>
        <w:tc>
          <w:tcPr>
            <w:tcW w:w="2490"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宋体"/>
                <w:sz w:val="24"/>
                <w:szCs w:val="22"/>
                <w:lang w:val="en-US" w:eastAsia="zh-CN"/>
              </w:rPr>
            </w:pPr>
            <w:r>
              <w:rPr>
                <w:rFonts w:hint="eastAsia" w:eastAsia="宋体"/>
                <w:sz w:val="24"/>
                <w:szCs w:val="22"/>
              </w:rPr>
              <w:t>含油抹布、手套</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sz w:val="24"/>
                <w:lang w:val="en-US" w:eastAsia="zh-CN"/>
              </w:rPr>
            </w:pPr>
            <w:r>
              <w:rPr>
                <w:rFonts w:hint="eastAsia"/>
                <w:sz w:val="24"/>
                <w:lang w:val="en-US" w:eastAsia="zh-CN"/>
              </w:rPr>
              <w:t>0.2</w:t>
            </w:r>
            <w:r>
              <w:rPr>
                <w:sz w:val="24"/>
                <w:szCs w:val="24"/>
              </w:rPr>
              <w:t>t/a</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8" w:type="dxa"/>
            <w:vMerge w:val="continue"/>
            <w:vAlign w:val="center"/>
          </w:tcPr>
          <w:p>
            <w:pPr>
              <w:jc w:val="center"/>
              <w:rPr>
                <w:sz w:val="24"/>
              </w:rPr>
            </w:pPr>
          </w:p>
        </w:tc>
        <w:tc>
          <w:tcPr>
            <w:tcW w:w="2490"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宋体"/>
                <w:sz w:val="24"/>
                <w:szCs w:val="22"/>
                <w:lang w:val="en-US" w:eastAsia="zh-CN"/>
              </w:rPr>
            </w:pPr>
            <w:r>
              <w:rPr>
                <w:rFonts w:hint="eastAsia" w:eastAsia="宋体"/>
                <w:sz w:val="24"/>
                <w:szCs w:val="22"/>
              </w:rPr>
              <w:t>废乳化液</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lang w:val="en-US" w:eastAsia="zh-CN"/>
              </w:rPr>
              <w:t>1.0</w:t>
            </w:r>
            <w:r>
              <w:rPr>
                <w:sz w:val="24"/>
              </w:rPr>
              <w:t>t/a</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858" w:type="dxa"/>
            <w:vAlign w:val="center"/>
          </w:tcPr>
          <w:p>
            <w:pPr>
              <w:spacing w:line="360" w:lineRule="auto"/>
              <w:jc w:val="center"/>
              <w:rPr>
                <w:sz w:val="24"/>
              </w:rPr>
            </w:pPr>
            <w:r>
              <w:rPr>
                <w:sz w:val="24"/>
              </w:rPr>
              <w:t>噪声</w:t>
            </w:r>
          </w:p>
        </w:tc>
        <w:tc>
          <w:tcPr>
            <w:tcW w:w="8550" w:type="dxa"/>
            <w:gridSpan w:val="7"/>
            <w:vAlign w:val="center"/>
          </w:tcPr>
          <w:p>
            <w:pPr>
              <w:spacing w:line="360" w:lineRule="auto"/>
              <w:ind w:firstLine="360" w:firstLineChars="150"/>
              <w:rPr>
                <w:sz w:val="24"/>
              </w:rPr>
            </w:pPr>
            <w:r>
              <w:rPr>
                <w:rFonts w:hint="eastAsia" w:hAnsi="宋体"/>
                <w:kern w:val="0"/>
                <w:sz w:val="24"/>
              </w:rPr>
              <w:t>生产厂房</w:t>
            </w:r>
            <w:r>
              <w:rPr>
                <w:rFonts w:hint="eastAsia" w:hAnsi="宋体"/>
                <w:kern w:val="0"/>
                <w:sz w:val="24"/>
                <w:lang w:eastAsia="zh-CN"/>
              </w:rPr>
              <w:t>车床、铣床、钻床、雕刻机、切割机、CNC数控加工机床、空压机</w:t>
            </w:r>
            <w:r>
              <w:rPr>
                <w:rFonts w:hint="eastAsia" w:hAnsi="宋体"/>
                <w:kern w:val="0"/>
                <w:sz w:val="24"/>
              </w:rPr>
              <w:t>等设备，其声级值为75~85</w:t>
            </w:r>
            <w:r>
              <w:rPr>
                <w:rFonts w:hAnsi="宋体"/>
                <w:kern w:val="0"/>
                <w:sz w:val="24"/>
              </w:rPr>
              <w:t>dB（A）</w:t>
            </w:r>
            <w:r>
              <w:rPr>
                <w:rFonts w:hint="eastAsia" w:hAnsi="宋体"/>
                <w:kern w:val="0"/>
                <w:sz w:val="24"/>
              </w:rPr>
              <w:t>。</w:t>
            </w:r>
            <w:r>
              <w:rPr>
                <w:rFonts w:hAnsi="宋体"/>
                <w:kern w:val="0"/>
                <w:sz w:val="24"/>
              </w:rPr>
              <w:t>采取有效降噪措施</w:t>
            </w:r>
            <w:r>
              <w:rPr>
                <w:rFonts w:hint="eastAsia" w:hAnsi="宋体"/>
                <w:kern w:val="0"/>
                <w:sz w:val="24"/>
              </w:rPr>
              <w:t>、厂房加装隔声措施</w:t>
            </w:r>
            <w:r>
              <w:rPr>
                <w:rFonts w:hAnsi="宋体"/>
                <w:kern w:val="0"/>
                <w:sz w:val="24"/>
              </w:rPr>
              <w:t>，</w:t>
            </w:r>
            <w:r>
              <w:rPr>
                <w:rFonts w:hint="eastAsia" w:hAnsi="宋体"/>
                <w:kern w:val="0"/>
                <w:sz w:val="24"/>
              </w:rPr>
              <w:t>由于距离居民区较远，经距离衰减后，对居民生活不会产生不良影响。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9408" w:type="dxa"/>
            <w:gridSpan w:val="8"/>
            <w:vAlign w:val="center"/>
          </w:tcPr>
          <w:p>
            <w:pPr>
              <w:spacing w:line="360" w:lineRule="auto"/>
              <w:rPr>
                <w:b/>
                <w:bCs/>
                <w:sz w:val="24"/>
              </w:rPr>
            </w:pPr>
            <w:r>
              <w:rPr>
                <w:b/>
                <w:bCs/>
                <w:sz w:val="24"/>
              </w:rPr>
              <w:t>主要生态影响、保护措施及预期效果：</w:t>
            </w:r>
          </w:p>
          <w:p>
            <w:pPr>
              <w:spacing w:line="360" w:lineRule="auto"/>
              <w:ind w:firstLine="360" w:firstLineChars="150"/>
              <w:rPr>
                <w:rFonts w:hAnsi="宋体"/>
                <w:kern w:val="0"/>
                <w:sz w:val="24"/>
              </w:rPr>
            </w:pPr>
            <w:r>
              <w:rPr>
                <w:rFonts w:hint="eastAsia" w:hAnsi="宋体"/>
                <w:kern w:val="0"/>
                <w:sz w:val="24"/>
              </w:rPr>
              <w:t>本项目对生态环境基本无影响。本项目用地符合有关规定和当地规划，项目实施后，没有改变用地使用功能，不会对区域生态产生负面影响。</w:t>
            </w:r>
          </w:p>
          <w:p>
            <w:pPr>
              <w:spacing w:line="360" w:lineRule="auto"/>
              <w:rPr>
                <w:b/>
                <w:bCs/>
                <w:sz w:val="24"/>
              </w:rPr>
            </w:pPr>
          </w:p>
          <w:p>
            <w:pPr>
              <w:spacing w:line="360" w:lineRule="auto"/>
              <w:rPr>
                <w:b/>
                <w:bCs/>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rPr>
          <w:rFonts w:eastAsia="仿宋_GB2312"/>
          <w:b/>
          <w:bCs/>
          <w:sz w:val="24"/>
        </w:rPr>
        <w:sectPr>
          <w:pgSz w:w="11906" w:h="16838"/>
          <w:pgMar w:top="1440" w:right="1286" w:bottom="1440" w:left="1474" w:header="851" w:footer="992" w:gutter="0"/>
          <w:cols w:space="720" w:num="1"/>
          <w:docGrid w:type="lines" w:linePitch="312" w:charSpace="0"/>
        </w:sectPr>
      </w:pPr>
    </w:p>
    <w:p>
      <w:pPr>
        <w:rPr>
          <w:b/>
          <w:bCs/>
          <w:sz w:val="32"/>
          <w:szCs w:val="32"/>
        </w:rPr>
      </w:pPr>
      <w:r>
        <w:rPr>
          <w:b/>
          <w:bCs/>
          <w:sz w:val="32"/>
          <w:szCs w:val="32"/>
        </w:rPr>
        <w:t>环境影响分析</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spacing w:line="360" w:lineRule="auto"/>
              <w:ind w:right="-1048" w:rightChars="-499"/>
              <w:rPr>
                <w:b/>
                <w:bCs/>
                <w:sz w:val="24"/>
              </w:rPr>
            </w:pPr>
            <w:r>
              <w:rPr>
                <w:b/>
                <w:bCs/>
                <w:sz w:val="24"/>
              </w:rPr>
              <w:t>施工期间环境影响简要分析</w:t>
            </w:r>
          </w:p>
          <w:p>
            <w:pPr>
              <w:spacing w:line="360" w:lineRule="auto"/>
              <w:ind w:firstLine="480" w:firstLineChars="200"/>
              <w:rPr>
                <w:sz w:val="24"/>
                <w:szCs w:val="24"/>
              </w:rPr>
            </w:pPr>
            <w:r>
              <w:rPr>
                <w:sz w:val="24"/>
                <w:szCs w:val="24"/>
              </w:rPr>
              <w:t>本项目位于</w:t>
            </w:r>
            <w:r>
              <w:rPr>
                <w:rFonts w:hint="eastAsia"/>
                <w:sz w:val="24"/>
                <w:szCs w:val="24"/>
              </w:rPr>
              <w:t>淮南市大通区</w:t>
            </w:r>
            <w:r>
              <w:rPr>
                <w:rFonts w:hint="eastAsia"/>
                <w:sz w:val="24"/>
                <w:szCs w:val="24"/>
                <w:lang w:eastAsia="zh-CN"/>
              </w:rPr>
              <w:t>大通区工业新区标准化厂房</w:t>
            </w:r>
            <w:r>
              <w:rPr>
                <w:sz w:val="24"/>
                <w:szCs w:val="24"/>
              </w:rPr>
              <w:t>，无土方开挖、结构、装饰等施工期作业，主要为设备安装时期施工人员产生的少量生活废水和生活垃圾等，本次环评对施工期的环境影响不做分析。</w:t>
            </w:r>
          </w:p>
          <w:p>
            <w:pPr>
              <w:spacing w:line="360" w:lineRule="auto"/>
              <w:rPr>
                <w:b/>
                <w:bCs/>
                <w:sz w:val="24"/>
              </w:rPr>
            </w:pPr>
            <w:r>
              <w:rPr>
                <w:b/>
                <w:bCs/>
                <w:sz w:val="24"/>
              </w:rPr>
              <w:t>营运期环境影响分析：</w:t>
            </w:r>
          </w:p>
          <w:p>
            <w:pPr>
              <w:numPr>
                <w:ilvl w:val="0"/>
                <w:numId w:val="2"/>
              </w:numPr>
              <w:autoSpaceDE w:val="0"/>
              <w:autoSpaceDN w:val="0"/>
              <w:adjustRightInd w:val="0"/>
              <w:spacing w:line="360" w:lineRule="auto"/>
              <w:rPr>
                <w:b/>
                <w:bCs/>
                <w:kern w:val="0"/>
                <w:sz w:val="24"/>
              </w:rPr>
            </w:pPr>
            <w:r>
              <w:rPr>
                <w:b/>
                <w:bCs/>
                <w:kern w:val="0"/>
                <w:sz w:val="24"/>
              </w:rPr>
              <w:t>水环境影响分析</w:t>
            </w:r>
          </w:p>
          <w:p>
            <w:pPr>
              <w:snapToGrid w:val="0"/>
              <w:spacing w:line="360" w:lineRule="auto"/>
              <w:ind w:firstLine="480" w:firstLineChars="200"/>
              <w:rPr>
                <w:rStyle w:val="221"/>
                <w:rFonts w:hint="default"/>
                <w:color w:val="auto"/>
              </w:rPr>
            </w:pPr>
            <w:r>
              <w:rPr>
                <w:rFonts w:hint="eastAsia"/>
                <w:sz w:val="24"/>
              </w:rPr>
              <w:t>项目产生的废水主要为</w:t>
            </w:r>
            <w:r>
              <w:rPr>
                <w:rFonts w:hint="eastAsia"/>
                <w:bCs/>
                <w:sz w:val="24"/>
              </w:rPr>
              <w:t>生活污水，污水量为1.2</w:t>
            </w:r>
            <w:r>
              <w:rPr>
                <w:rFonts w:hint="eastAsia"/>
                <w:sz w:val="24"/>
                <w:szCs w:val="24"/>
              </w:rPr>
              <w:t>m</w:t>
            </w:r>
            <w:r>
              <w:rPr>
                <w:rFonts w:hint="eastAsia"/>
                <w:sz w:val="24"/>
                <w:szCs w:val="24"/>
                <w:vertAlign w:val="superscript"/>
              </w:rPr>
              <w:t>3</w:t>
            </w:r>
            <w:r>
              <w:rPr>
                <w:rFonts w:hint="eastAsia"/>
                <w:sz w:val="24"/>
                <w:szCs w:val="24"/>
              </w:rPr>
              <w:t>/d</w:t>
            </w:r>
            <w:r>
              <w:rPr>
                <w:sz w:val="24"/>
                <w:szCs w:val="24"/>
              </w:rPr>
              <w:t>。</w:t>
            </w:r>
            <w:r>
              <w:rPr>
                <w:bCs/>
                <w:sz w:val="24"/>
                <w:szCs w:val="24"/>
              </w:rPr>
              <w:t>项目</w:t>
            </w:r>
            <w:r>
              <w:rPr>
                <w:rFonts w:hint="eastAsia"/>
                <w:bCs/>
                <w:sz w:val="24"/>
                <w:szCs w:val="24"/>
              </w:rPr>
              <w:t>产生的生活污水</w:t>
            </w:r>
            <w:r>
              <w:rPr>
                <w:bCs/>
                <w:sz w:val="24"/>
                <w:szCs w:val="24"/>
              </w:rPr>
              <w:t>经</w:t>
            </w:r>
            <w:r>
              <w:rPr>
                <w:rFonts w:hint="eastAsia"/>
                <w:bCs/>
                <w:sz w:val="24"/>
                <w:szCs w:val="24"/>
              </w:rPr>
              <w:t>化粪池</w:t>
            </w:r>
            <w:r>
              <w:rPr>
                <w:bCs/>
                <w:sz w:val="24"/>
                <w:szCs w:val="24"/>
              </w:rPr>
              <w:t>处理后</w:t>
            </w:r>
            <w:r>
              <w:rPr>
                <w:rFonts w:hint="eastAsia"/>
                <w:bCs/>
                <w:sz w:val="24"/>
                <w:szCs w:val="24"/>
                <w:lang w:eastAsia="zh-CN"/>
              </w:rPr>
              <w:t>进入园区污水处理站</w:t>
            </w:r>
            <w:r>
              <w:rPr>
                <w:rFonts w:hint="eastAsia"/>
                <w:bCs/>
                <w:sz w:val="24"/>
                <w:szCs w:val="24"/>
              </w:rPr>
              <w:t>，项目废水排放浓度能</w:t>
            </w:r>
            <w:r>
              <w:rPr>
                <w:sz w:val="24"/>
                <w:szCs w:val="24"/>
              </w:rPr>
              <w:t>达到</w:t>
            </w:r>
            <w:r>
              <w:rPr>
                <w:rFonts w:hint="eastAsia"/>
                <w:sz w:val="24"/>
                <w:szCs w:val="24"/>
              </w:rPr>
              <w:t>《污水排入城市下水道水质标准》（GB/T 31962-2015）B级标准，排入淮南首创第一污水处理厂处理，</w:t>
            </w:r>
            <w:r>
              <w:rPr>
                <w:sz w:val="24"/>
                <w:szCs w:val="24"/>
              </w:rPr>
              <w:t>出水水质达到《城镇污水处理厂污染物排放标准》(GB18918-2002)中的一级A标准，排入</w:t>
            </w:r>
            <w:r>
              <w:rPr>
                <w:rFonts w:hint="eastAsia"/>
                <w:sz w:val="24"/>
                <w:szCs w:val="24"/>
              </w:rPr>
              <w:t>淮河</w:t>
            </w:r>
            <w:r>
              <w:rPr>
                <w:sz w:val="24"/>
                <w:szCs w:val="24"/>
              </w:rPr>
              <w:t>，</w:t>
            </w:r>
            <w:r>
              <w:rPr>
                <w:rFonts w:hint="eastAsia"/>
                <w:sz w:val="24"/>
                <w:szCs w:val="24"/>
              </w:rPr>
              <w:t>淮河</w:t>
            </w:r>
            <w:r>
              <w:rPr>
                <w:sz w:val="24"/>
                <w:szCs w:val="24"/>
              </w:rPr>
              <w:t>水体功能为</w:t>
            </w:r>
            <w:r>
              <w:rPr>
                <w:rFonts w:hint="eastAsia"/>
                <w:color w:val="000000" w:themeColor="text1"/>
                <w:sz w:val="24"/>
                <w:szCs w:val="24"/>
                <w14:textFill>
                  <w14:solidFill>
                    <w14:schemeClr w14:val="tx1"/>
                  </w14:solidFill>
                </w14:textFill>
              </w:rPr>
              <w:t>Ⅲ类</w:t>
            </w:r>
            <w:r>
              <w:rPr>
                <w:sz w:val="24"/>
                <w:szCs w:val="24"/>
              </w:rPr>
              <w:t>，本项目外排废水中主要污染物为COD</w:t>
            </w:r>
            <w:r>
              <w:rPr>
                <w:rFonts w:hint="eastAsia"/>
                <w:sz w:val="24"/>
                <w:szCs w:val="24"/>
                <w:vertAlign w:val="subscript"/>
              </w:rPr>
              <w:t>Cr</w:t>
            </w:r>
            <w:r>
              <w:rPr>
                <w:rFonts w:hint="eastAsia"/>
                <w:sz w:val="24"/>
                <w:szCs w:val="24"/>
              </w:rPr>
              <w:t>、NH</w:t>
            </w:r>
            <w:r>
              <w:rPr>
                <w:rFonts w:hint="eastAsia"/>
                <w:sz w:val="24"/>
                <w:szCs w:val="24"/>
                <w:vertAlign w:val="subscript"/>
              </w:rPr>
              <w:t>3</w:t>
            </w:r>
            <w:r>
              <w:rPr>
                <w:rFonts w:hint="eastAsia"/>
                <w:sz w:val="24"/>
                <w:szCs w:val="24"/>
              </w:rPr>
              <w:t>-N</w:t>
            </w:r>
            <w:r>
              <w:rPr>
                <w:sz w:val="24"/>
                <w:szCs w:val="24"/>
              </w:rPr>
              <w:t>，废水排放</w:t>
            </w:r>
            <w:r>
              <w:rPr>
                <w:rFonts w:hint="eastAsia"/>
                <w:sz w:val="24"/>
                <w:szCs w:val="24"/>
              </w:rPr>
              <w:t>形式</w:t>
            </w:r>
            <w:r>
              <w:rPr>
                <w:sz w:val="24"/>
                <w:szCs w:val="24"/>
              </w:rPr>
              <w:t>为</w:t>
            </w:r>
            <w:r>
              <w:rPr>
                <w:rFonts w:hint="eastAsia"/>
                <w:sz w:val="24"/>
                <w:szCs w:val="24"/>
              </w:rPr>
              <w:t>连续</w:t>
            </w:r>
            <w:r>
              <w:rPr>
                <w:sz w:val="24"/>
                <w:szCs w:val="24"/>
              </w:rPr>
              <w:t>排放。</w:t>
            </w:r>
            <w:r>
              <w:rPr>
                <w:rFonts w:hint="eastAsia"/>
                <w:sz w:val="24"/>
                <w:szCs w:val="24"/>
              </w:rPr>
              <w:t>根据《环境影响评价技术导则</w:t>
            </w:r>
            <w:r>
              <w:rPr>
                <w:sz w:val="24"/>
                <w:szCs w:val="24"/>
              </w:rPr>
              <w:t>·</w:t>
            </w:r>
            <w:r>
              <w:rPr>
                <w:rFonts w:hint="eastAsia"/>
                <w:sz w:val="24"/>
                <w:szCs w:val="24"/>
              </w:rPr>
              <w:t>地面水环境》（</w:t>
            </w:r>
            <w:r>
              <w:rPr>
                <w:sz w:val="24"/>
                <w:szCs w:val="24"/>
              </w:rPr>
              <w:t>HJ/T2.3-2018</w:t>
            </w:r>
            <w:r>
              <w:rPr>
                <w:rFonts w:hint="eastAsia"/>
                <w:sz w:val="24"/>
                <w:szCs w:val="24"/>
              </w:rPr>
              <w:t>）地面水环境影响评价工作分级判据规定，确定拟建项目地表水环境影响评价工作级别为</w:t>
            </w:r>
            <w:r>
              <w:rPr>
                <w:sz w:val="24"/>
                <w:szCs w:val="24"/>
              </w:rPr>
              <w:t>“</w:t>
            </w:r>
            <w:r>
              <w:rPr>
                <w:rFonts w:hint="eastAsia"/>
                <w:sz w:val="24"/>
                <w:szCs w:val="24"/>
              </w:rPr>
              <w:t>三级</w:t>
            </w:r>
            <w:r>
              <w:rPr>
                <w:sz w:val="24"/>
                <w:szCs w:val="24"/>
              </w:rPr>
              <w:t>B”</w:t>
            </w:r>
            <w:r>
              <w:rPr>
                <w:rStyle w:val="221"/>
                <w:rFonts w:hint="default"/>
                <w:color w:val="auto"/>
              </w:rPr>
              <w:t>。</w:t>
            </w:r>
          </w:p>
          <w:p>
            <w:pPr>
              <w:autoSpaceDE w:val="0"/>
              <w:autoSpaceDN w:val="0"/>
              <w:adjustRightInd w:val="0"/>
              <w:snapToGrid w:val="0"/>
              <w:spacing w:line="360" w:lineRule="auto"/>
              <w:ind w:firstLine="480" w:firstLineChars="200"/>
              <w:rPr>
                <w:bCs/>
                <w:sz w:val="24"/>
              </w:rPr>
            </w:pPr>
            <w:r>
              <w:rPr>
                <w:bCs/>
                <w:sz w:val="24"/>
              </w:rPr>
              <w:t>依据《环境影响评价技术导则-地表水环境》（HJ2.3-2018），本项目地表水环境评价等级为三级B，根据导则要求进行废水污染源排放量核算。具体见下表。</w:t>
            </w:r>
          </w:p>
          <w:p>
            <w:pPr>
              <w:autoSpaceDE w:val="0"/>
              <w:autoSpaceDN w:val="0"/>
              <w:adjustRightInd w:val="0"/>
              <w:snapToGrid w:val="0"/>
              <w:jc w:val="center"/>
              <w:rPr>
                <w:b/>
                <w:bCs/>
                <w:kern w:val="0"/>
                <w:szCs w:val="21"/>
              </w:rPr>
            </w:pPr>
            <w:r>
              <w:rPr>
                <w:b/>
                <w:bCs/>
                <w:kern w:val="0"/>
                <w:szCs w:val="21"/>
              </w:rPr>
              <w:t>表</w:t>
            </w:r>
            <w:r>
              <w:rPr>
                <w:rFonts w:hint="eastAsia"/>
                <w:b/>
                <w:bCs/>
                <w:kern w:val="0"/>
                <w:szCs w:val="21"/>
              </w:rPr>
              <w:t>22</w:t>
            </w:r>
            <w:r>
              <w:rPr>
                <w:b/>
                <w:bCs/>
                <w:kern w:val="0"/>
                <w:szCs w:val="21"/>
              </w:rPr>
              <w:t xml:space="preserve"> 建设项目废水污染物排放信息表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618"/>
              <w:gridCol w:w="680"/>
              <w:gridCol w:w="915"/>
              <w:gridCol w:w="738"/>
              <w:gridCol w:w="811"/>
              <w:gridCol w:w="861"/>
              <w:gridCol w:w="689"/>
              <w:gridCol w:w="689"/>
              <w:gridCol w:w="1009"/>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Merge w:val="restart"/>
                  <w:vAlign w:val="center"/>
                </w:tcPr>
                <w:p>
                  <w:pPr>
                    <w:pStyle w:val="12"/>
                    <w:jc w:val="center"/>
                    <w:rPr>
                      <w:sz w:val="18"/>
                      <w:szCs w:val="18"/>
                    </w:rPr>
                  </w:pPr>
                  <w:r>
                    <w:rPr>
                      <w:sz w:val="18"/>
                      <w:szCs w:val="18"/>
                    </w:rPr>
                    <w:t>序号</w:t>
                  </w:r>
                </w:p>
              </w:tc>
              <w:tc>
                <w:tcPr>
                  <w:tcW w:w="338" w:type="pct"/>
                  <w:vMerge w:val="restart"/>
                  <w:vAlign w:val="center"/>
                </w:tcPr>
                <w:p>
                  <w:pPr>
                    <w:pStyle w:val="12"/>
                    <w:jc w:val="center"/>
                    <w:rPr>
                      <w:sz w:val="18"/>
                      <w:szCs w:val="18"/>
                    </w:rPr>
                  </w:pPr>
                  <w:r>
                    <w:rPr>
                      <w:sz w:val="18"/>
                      <w:szCs w:val="18"/>
                    </w:rPr>
                    <w:t>废水类别</w:t>
                  </w:r>
                </w:p>
              </w:tc>
              <w:tc>
                <w:tcPr>
                  <w:tcW w:w="372" w:type="pct"/>
                  <w:vMerge w:val="restart"/>
                  <w:vAlign w:val="center"/>
                </w:tcPr>
                <w:p>
                  <w:pPr>
                    <w:pStyle w:val="12"/>
                    <w:jc w:val="center"/>
                    <w:rPr>
                      <w:sz w:val="18"/>
                      <w:szCs w:val="18"/>
                    </w:rPr>
                  </w:pPr>
                  <w:r>
                    <w:rPr>
                      <w:sz w:val="18"/>
                      <w:szCs w:val="18"/>
                    </w:rPr>
                    <w:t>污染物种类</w:t>
                  </w:r>
                </w:p>
              </w:tc>
              <w:tc>
                <w:tcPr>
                  <w:tcW w:w="501" w:type="pct"/>
                  <w:vMerge w:val="restart"/>
                  <w:vAlign w:val="center"/>
                </w:tcPr>
                <w:p>
                  <w:pPr>
                    <w:pStyle w:val="12"/>
                    <w:jc w:val="center"/>
                    <w:rPr>
                      <w:sz w:val="18"/>
                      <w:szCs w:val="18"/>
                    </w:rPr>
                  </w:pPr>
                  <w:r>
                    <w:rPr>
                      <w:sz w:val="18"/>
                      <w:szCs w:val="18"/>
                    </w:rPr>
                    <w:t>排放去向</w:t>
                  </w:r>
                </w:p>
              </w:tc>
              <w:tc>
                <w:tcPr>
                  <w:tcW w:w="404" w:type="pct"/>
                  <w:vMerge w:val="restart"/>
                  <w:vAlign w:val="center"/>
                </w:tcPr>
                <w:p>
                  <w:pPr>
                    <w:pStyle w:val="12"/>
                    <w:jc w:val="center"/>
                    <w:rPr>
                      <w:sz w:val="18"/>
                      <w:szCs w:val="18"/>
                    </w:rPr>
                  </w:pPr>
                  <w:r>
                    <w:rPr>
                      <w:sz w:val="18"/>
                      <w:szCs w:val="18"/>
                    </w:rPr>
                    <w:t>排放规律</w:t>
                  </w:r>
                </w:p>
              </w:tc>
              <w:tc>
                <w:tcPr>
                  <w:tcW w:w="1292" w:type="pct"/>
                  <w:gridSpan w:val="3"/>
                  <w:vAlign w:val="center"/>
                </w:tcPr>
                <w:p>
                  <w:pPr>
                    <w:pStyle w:val="12"/>
                    <w:jc w:val="center"/>
                    <w:rPr>
                      <w:sz w:val="18"/>
                      <w:szCs w:val="18"/>
                    </w:rPr>
                  </w:pPr>
                  <w:r>
                    <w:rPr>
                      <w:sz w:val="18"/>
                      <w:szCs w:val="18"/>
                    </w:rPr>
                    <w:t>污染治理设施</w:t>
                  </w:r>
                </w:p>
              </w:tc>
              <w:tc>
                <w:tcPr>
                  <w:tcW w:w="377" w:type="pct"/>
                  <w:vMerge w:val="restart"/>
                  <w:vAlign w:val="center"/>
                </w:tcPr>
                <w:p>
                  <w:pPr>
                    <w:pStyle w:val="12"/>
                    <w:jc w:val="center"/>
                    <w:rPr>
                      <w:sz w:val="18"/>
                      <w:szCs w:val="18"/>
                    </w:rPr>
                  </w:pPr>
                  <w:r>
                    <w:rPr>
                      <w:sz w:val="18"/>
                      <w:szCs w:val="18"/>
                    </w:rPr>
                    <w:t>排放口编号</w:t>
                  </w:r>
                </w:p>
              </w:tc>
              <w:tc>
                <w:tcPr>
                  <w:tcW w:w="552" w:type="pct"/>
                  <w:vMerge w:val="restart"/>
                  <w:vAlign w:val="center"/>
                </w:tcPr>
                <w:p>
                  <w:pPr>
                    <w:pStyle w:val="12"/>
                    <w:jc w:val="center"/>
                    <w:rPr>
                      <w:sz w:val="18"/>
                      <w:szCs w:val="18"/>
                    </w:rPr>
                  </w:pPr>
                  <w:r>
                    <w:rPr>
                      <w:sz w:val="18"/>
                      <w:szCs w:val="18"/>
                    </w:rPr>
                    <w:t>排放口设置是否符合要求</w:t>
                  </w:r>
                </w:p>
              </w:tc>
              <w:tc>
                <w:tcPr>
                  <w:tcW w:w="884" w:type="pct"/>
                  <w:vMerge w:val="restart"/>
                  <w:vAlign w:val="center"/>
                </w:tcPr>
                <w:p>
                  <w:pPr>
                    <w:pStyle w:val="12"/>
                    <w:jc w:val="center"/>
                    <w:rPr>
                      <w:sz w:val="18"/>
                      <w:szCs w:val="18"/>
                    </w:rPr>
                  </w:pPr>
                  <w:r>
                    <w:rPr>
                      <w:sz w:val="18"/>
                      <w:szCs w:val="18"/>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Merge w:val="continue"/>
                  <w:vAlign w:val="center"/>
                </w:tcPr>
                <w:p>
                  <w:pPr>
                    <w:pStyle w:val="12"/>
                    <w:jc w:val="center"/>
                    <w:rPr>
                      <w:sz w:val="18"/>
                      <w:szCs w:val="18"/>
                    </w:rPr>
                  </w:pPr>
                </w:p>
              </w:tc>
              <w:tc>
                <w:tcPr>
                  <w:tcW w:w="338" w:type="pct"/>
                  <w:vMerge w:val="continue"/>
                  <w:vAlign w:val="center"/>
                </w:tcPr>
                <w:p>
                  <w:pPr>
                    <w:pStyle w:val="12"/>
                    <w:jc w:val="center"/>
                    <w:rPr>
                      <w:sz w:val="18"/>
                      <w:szCs w:val="18"/>
                    </w:rPr>
                  </w:pPr>
                </w:p>
              </w:tc>
              <w:tc>
                <w:tcPr>
                  <w:tcW w:w="372" w:type="pct"/>
                  <w:vMerge w:val="continue"/>
                  <w:vAlign w:val="center"/>
                </w:tcPr>
                <w:p>
                  <w:pPr>
                    <w:pStyle w:val="12"/>
                    <w:jc w:val="center"/>
                    <w:rPr>
                      <w:sz w:val="18"/>
                      <w:szCs w:val="18"/>
                    </w:rPr>
                  </w:pPr>
                </w:p>
              </w:tc>
              <w:tc>
                <w:tcPr>
                  <w:tcW w:w="501" w:type="pct"/>
                  <w:vMerge w:val="continue"/>
                  <w:vAlign w:val="center"/>
                </w:tcPr>
                <w:p>
                  <w:pPr>
                    <w:pStyle w:val="12"/>
                    <w:jc w:val="center"/>
                    <w:rPr>
                      <w:sz w:val="18"/>
                      <w:szCs w:val="18"/>
                    </w:rPr>
                  </w:pPr>
                </w:p>
              </w:tc>
              <w:tc>
                <w:tcPr>
                  <w:tcW w:w="404" w:type="pct"/>
                  <w:vMerge w:val="continue"/>
                  <w:vAlign w:val="center"/>
                </w:tcPr>
                <w:p>
                  <w:pPr>
                    <w:pStyle w:val="12"/>
                    <w:jc w:val="center"/>
                    <w:rPr>
                      <w:sz w:val="18"/>
                      <w:szCs w:val="18"/>
                    </w:rPr>
                  </w:pPr>
                </w:p>
              </w:tc>
              <w:tc>
                <w:tcPr>
                  <w:tcW w:w="444" w:type="pct"/>
                  <w:vAlign w:val="center"/>
                </w:tcPr>
                <w:p>
                  <w:pPr>
                    <w:pStyle w:val="12"/>
                    <w:jc w:val="center"/>
                    <w:rPr>
                      <w:sz w:val="18"/>
                      <w:szCs w:val="18"/>
                    </w:rPr>
                  </w:pPr>
                  <w:r>
                    <w:rPr>
                      <w:sz w:val="18"/>
                      <w:szCs w:val="18"/>
                    </w:rPr>
                    <w:t>污染治理设施编号</w:t>
                  </w:r>
                </w:p>
              </w:tc>
              <w:tc>
                <w:tcPr>
                  <w:tcW w:w="471" w:type="pct"/>
                  <w:vAlign w:val="center"/>
                </w:tcPr>
                <w:p>
                  <w:pPr>
                    <w:pStyle w:val="12"/>
                    <w:jc w:val="center"/>
                    <w:rPr>
                      <w:sz w:val="18"/>
                      <w:szCs w:val="18"/>
                    </w:rPr>
                  </w:pPr>
                  <w:r>
                    <w:rPr>
                      <w:sz w:val="18"/>
                      <w:szCs w:val="18"/>
                    </w:rPr>
                    <w:t>污染治理设施名称</w:t>
                  </w:r>
                </w:p>
              </w:tc>
              <w:tc>
                <w:tcPr>
                  <w:tcW w:w="377" w:type="pct"/>
                  <w:vAlign w:val="center"/>
                </w:tcPr>
                <w:p>
                  <w:pPr>
                    <w:pStyle w:val="12"/>
                    <w:jc w:val="center"/>
                    <w:rPr>
                      <w:sz w:val="18"/>
                      <w:szCs w:val="18"/>
                    </w:rPr>
                  </w:pPr>
                  <w:r>
                    <w:rPr>
                      <w:sz w:val="18"/>
                      <w:szCs w:val="18"/>
                    </w:rPr>
                    <w:t>污染治理设施工艺</w:t>
                  </w:r>
                </w:p>
              </w:tc>
              <w:tc>
                <w:tcPr>
                  <w:tcW w:w="377" w:type="pct"/>
                  <w:vMerge w:val="continue"/>
                  <w:vAlign w:val="center"/>
                </w:tcPr>
                <w:p>
                  <w:pPr>
                    <w:pStyle w:val="12"/>
                    <w:jc w:val="center"/>
                    <w:rPr>
                      <w:sz w:val="18"/>
                      <w:szCs w:val="18"/>
                    </w:rPr>
                  </w:pPr>
                </w:p>
              </w:tc>
              <w:tc>
                <w:tcPr>
                  <w:tcW w:w="552" w:type="pct"/>
                  <w:vMerge w:val="continue"/>
                  <w:vAlign w:val="center"/>
                </w:tcPr>
                <w:p>
                  <w:pPr>
                    <w:pStyle w:val="12"/>
                    <w:jc w:val="center"/>
                    <w:rPr>
                      <w:sz w:val="18"/>
                      <w:szCs w:val="18"/>
                    </w:rPr>
                  </w:pPr>
                </w:p>
              </w:tc>
              <w:tc>
                <w:tcPr>
                  <w:tcW w:w="884" w:type="pct"/>
                  <w:vMerge w:val="continue"/>
                  <w:vAlign w:val="center"/>
                </w:tcPr>
                <w:p>
                  <w:pPr>
                    <w:pStyle w:val="1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0" w:type="pct"/>
                  <w:vMerge w:val="restart"/>
                  <w:vAlign w:val="center"/>
                </w:tcPr>
                <w:p>
                  <w:pPr>
                    <w:pStyle w:val="12"/>
                    <w:jc w:val="center"/>
                    <w:rPr>
                      <w:sz w:val="18"/>
                      <w:szCs w:val="18"/>
                    </w:rPr>
                  </w:pPr>
                  <w:r>
                    <w:rPr>
                      <w:sz w:val="18"/>
                      <w:szCs w:val="18"/>
                    </w:rPr>
                    <w:t>1</w:t>
                  </w:r>
                </w:p>
              </w:tc>
              <w:tc>
                <w:tcPr>
                  <w:tcW w:w="338" w:type="pct"/>
                  <w:vMerge w:val="restart"/>
                  <w:vAlign w:val="center"/>
                </w:tcPr>
                <w:p>
                  <w:pPr>
                    <w:pStyle w:val="12"/>
                    <w:jc w:val="center"/>
                    <w:rPr>
                      <w:sz w:val="18"/>
                      <w:szCs w:val="18"/>
                    </w:rPr>
                  </w:pPr>
                  <w:r>
                    <w:rPr>
                      <w:rFonts w:hint="eastAsia"/>
                      <w:sz w:val="18"/>
                      <w:szCs w:val="18"/>
                    </w:rPr>
                    <w:t>生活污水</w:t>
                  </w:r>
                </w:p>
              </w:tc>
              <w:tc>
                <w:tcPr>
                  <w:tcW w:w="372" w:type="pct"/>
                  <w:vAlign w:val="center"/>
                </w:tcPr>
                <w:p>
                  <w:pPr>
                    <w:pStyle w:val="12"/>
                    <w:jc w:val="center"/>
                    <w:rPr>
                      <w:sz w:val="18"/>
                      <w:szCs w:val="18"/>
                    </w:rPr>
                  </w:pPr>
                  <w:r>
                    <w:rPr>
                      <w:sz w:val="18"/>
                      <w:szCs w:val="18"/>
                    </w:rPr>
                    <w:t>COD</w:t>
                  </w:r>
                </w:p>
              </w:tc>
              <w:tc>
                <w:tcPr>
                  <w:tcW w:w="501" w:type="pct"/>
                  <w:vMerge w:val="restart"/>
                  <w:vAlign w:val="center"/>
                </w:tcPr>
                <w:p>
                  <w:pPr>
                    <w:pStyle w:val="12"/>
                    <w:jc w:val="center"/>
                    <w:rPr>
                      <w:sz w:val="18"/>
                      <w:szCs w:val="18"/>
                    </w:rPr>
                  </w:pPr>
                  <w:r>
                    <w:rPr>
                      <w:rFonts w:hint="eastAsia"/>
                      <w:sz w:val="18"/>
                      <w:szCs w:val="18"/>
                    </w:rPr>
                    <w:t>排入</w:t>
                  </w:r>
                  <w:r>
                    <w:rPr>
                      <w:sz w:val="18"/>
                      <w:szCs w:val="18"/>
                    </w:rPr>
                    <w:t>淮南首创第一污水处理厂</w:t>
                  </w:r>
                </w:p>
              </w:tc>
              <w:tc>
                <w:tcPr>
                  <w:tcW w:w="404" w:type="pct"/>
                  <w:vMerge w:val="restart"/>
                  <w:vAlign w:val="center"/>
                </w:tcPr>
                <w:p>
                  <w:pPr>
                    <w:pStyle w:val="12"/>
                    <w:jc w:val="center"/>
                    <w:rPr>
                      <w:sz w:val="18"/>
                      <w:szCs w:val="18"/>
                    </w:rPr>
                  </w:pPr>
                  <w:r>
                    <w:rPr>
                      <w:sz w:val="18"/>
                      <w:szCs w:val="18"/>
                    </w:rPr>
                    <w:t>每日</w:t>
                  </w:r>
                </w:p>
              </w:tc>
              <w:tc>
                <w:tcPr>
                  <w:tcW w:w="444" w:type="pct"/>
                  <w:vMerge w:val="restart"/>
                  <w:vAlign w:val="center"/>
                </w:tcPr>
                <w:p>
                  <w:pPr>
                    <w:pStyle w:val="12"/>
                    <w:jc w:val="center"/>
                    <w:rPr>
                      <w:sz w:val="18"/>
                      <w:szCs w:val="18"/>
                    </w:rPr>
                  </w:pPr>
                  <w:r>
                    <w:rPr>
                      <w:sz w:val="18"/>
                      <w:szCs w:val="18"/>
                    </w:rPr>
                    <w:t>FS1</w:t>
                  </w:r>
                </w:p>
              </w:tc>
              <w:tc>
                <w:tcPr>
                  <w:tcW w:w="471" w:type="pct"/>
                  <w:vMerge w:val="restart"/>
                  <w:vAlign w:val="center"/>
                </w:tcPr>
                <w:p>
                  <w:pPr>
                    <w:pStyle w:val="12"/>
                    <w:jc w:val="center"/>
                    <w:rPr>
                      <w:sz w:val="18"/>
                      <w:szCs w:val="18"/>
                    </w:rPr>
                  </w:pPr>
                  <w:r>
                    <w:rPr>
                      <w:rFonts w:hint="eastAsia"/>
                      <w:sz w:val="18"/>
                      <w:szCs w:val="18"/>
                    </w:rPr>
                    <w:t>化粪池</w:t>
                  </w:r>
                </w:p>
              </w:tc>
              <w:tc>
                <w:tcPr>
                  <w:tcW w:w="377" w:type="pct"/>
                  <w:vMerge w:val="restart"/>
                  <w:vAlign w:val="center"/>
                </w:tcPr>
                <w:p>
                  <w:pPr>
                    <w:pStyle w:val="12"/>
                    <w:jc w:val="center"/>
                    <w:rPr>
                      <w:sz w:val="18"/>
                      <w:szCs w:val="18"/>
                    </w:rPr>
                  </w:pPr>
                  <w:r>
                    <w:rPr>
                      <w:rFonts w:hint="eastAsia"/>
                      <w:sz w:val="18"/>
                      <w:szCs w:val="18"/>
                    </w:rPr>
                    <w:t>/</w:t>
                  </w:r>
                </w:p>
              </w:tc>
              <w:tc>
                <w:tcPr>
                  <w:tcW w:w="377" w:type="pct"/>
                  <w:vMerge w:val="restart"/>
                  <w:vAlign w:val="center"/>
                </w:tcPr>
                <w:p>
                  <w:pPr>
                    <w:pStyle w:val="12"/>
                    <w:jc w:val="center"/>
                    <w:rPr>
                      <w:sz w:val="18"/>
                      <w:szCs w:val="18"/>
                    </w:rPr>
                  </w:pPr>
                  <w:r>
                    <w:rPr>
                      <w:sz w:val="18"/>
                      <w:szCs w:val="18"/>
                    </w:rPr>
                    <w:t>废水排放口1</w:t>
                  </w:r>
                </w:p>
              </w:tc>
              <w:tc>
                <w:tcPr>
                  <w:tcW w:w="552" w:type="pct"/>
                  <w:vMerge w:val="restart"/>
                  <w:vAlign w:val="center"/>
                </w:tcPr>
                <w:p>
                  <w:pPr>
                    <w:pStyle w:val="12"/>
                    <w:jc w:val="center"/>
                    <w:rPr>
                      <w:sz w:val="18"/>
                      <w:szCs w:val="18"/>
                    </w:rPr>
                  </w:pPr>
                  <w:r>
                    <w:rPr>
                      <w:sz w:val="18"/>
                      <w:szCs w:val="18"/>
                    </w:rPr>
                    <w:sym w:font="Wingdings 2" w:char="0052"/>
                  </w:r>
                  <w:r>
                    <w:rPr>
                      <w:sz w:val="18"/>
                      <w:szCs w:val="18"/>
                    </w:rPr>
                    <w:t>是</w:t>
                  </w:r>
                </w:p>
                <w:p>
                  <w:pPr>
                    <w:pStyle w:val="12"/>
                    <w:jc w:val="center"/>
                    <w:rPr>
                      <w:sz w:val="18"/>
                      <w:szCs w:val="18"/>
                    </w:rPr>
                  </w:pPr>
                  <w:r>
                    <w:rPr>
                      <w:sz w:val="18"/>
                      <w:szCs w:val="18"/>
                    </w:rPr>
                    <w:sym w:font="Wingdings 2" w:char="00A3"/>
                  </w:r>
                  <w:r>
                    <w:rPr>
                      <w:sz w:val="18"/>
                      <w:szCs w:val="18"/>
                    </w:rPr>
                    <w:t>否</w:t>
                  </w:r>
                </w:p>
              </w:tc>
              <w:tc>
                <w:tcPr>
                  <w:tcW w:w="884" w:type="pct"/>
                  <w:vMerge w:val="restart"/>
                  <w:vAlign w:val="center"/>
                </w:tcPr>
                <w:p>
                  <w:pPr>
                    <w:pStyle w:val="12"/>
                    <w:jc w:val="center"/>
                    <w:rPr>
                      <w:sz w:val="18"/>
                      <w:szCs w:val="18"/>
                    </w:rPr>
                  </w:pPr>
                  <w:r>
                    <w:rPr>
                      <w:sz w:val="18"/>
                      <w:szCs w:val="18"/>
                    </w:rPr>
                    <w:sym w:font="Wingdings 2" w:char="0052"/>
                  </w:r>
                  <w:r>
                    <w:rPr>
                      <w:sz w:val="18"/>
                      <w:szCs w:val="18"/>
                    </w:rPr>
                    <w:t>企业总排</w:t>
                  </w:r>
                </w:p>
                <w:p>
                  <w:pPr>
                    <w:pStyle w:val="12"/>
                    <w:jc w:val="center"/>
                    <w:rPr>
                      <w:sz w:val="18"/>
                      <w:szCs w:val="18"/>
                    </w:rPr>
                  </w:pPr>
                  <w:r>
                    <w:rPr>
                      <w:sz w:val="18"/>
                      <w:szCs w:val="18"/>
                    </w:rPr>
                    <w:t>口雨水排放</w:t>
                  </w:r>
                </w:p>
                <w:p>
                  <w:pPr>
                    <w:pStyle w:val="12"/>
                    <w:jc w:val="center"/>
                    <w:rPr>
                      <w:sz w:val="18"/>
                      <w:szCs w:val="18"/>
                    </w:rPr>
                  </w:pPr>
                  <w:r>
                    <w:rPr>
                      <w:sz w:val="18"/>
                      <w:szCs w:val="18"/>
                    </w:rPr>
                    <w:t>口清净下水排放</w:t>
                  </w:r>
                </w:p>
                <w:p>
                  <w:pPr>
                    <w:pStyle w:val="12"/>
                    <w:jc w:val="center"/>
                    <w:rPr>
                      <w:sz w:val="18"/>
                      <w:szCs w:val="18"/>
                    </w:rPr>
                  </w:pPr>
                  <w:r>
                    <w:rPr>
                      <w:sz w:val="18"/>
                      <w:szCs w:val="18"/>
                    </w:rPr>
                    <w:t>口温排水排放</w:t>
                  </w:r>
                </w:p>
                <w:p>
                  <w:pPr>
                    <w:pStyle w:val="12"/>
                    <w:jc w:val="center"/>
                    <w:rPr>
                      <w:sz w:val="18"/>
                      <w:szCs w:val="18"/>
                    </w:rPr>
                  </w:pPr>
                  <w:r>
                    <w:rPr>
                      <w:sz w:val="18"/>
                      <w:szCs w:val="18"/>
                    </w:rPr>
                    <w:t>口车间或车间处理设施排放量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0" w:type="pct"/>
                  <w:vMerge w:val="continue"/>
                  <w:vAlign w:val="center"/>
                </w:tcPr>
                <w:p>
                  <w:pPr>
                    <w:pStyle w:val="12"/>
                    <w:jc w:val="center"/>
                    <w:rPr>
                      <w:sz w:val="18"/>
                      <w:szCs w:val="18"/>
                    </w:rPr>
                  </w:pPr>
                </w:p>
              </w:tc>
              <w:tc>
                <w:tcPr>
                  <w:tcW w:w="338" w:type="pct"/>
                  <w:vMerge w:val="continue"/>
                  <w:vAlign w:val="center"/>
                </w:tcPr>
                <w:p>
                  <w:pPr>
                    <w:pStyle w:val="12"/>
                    <w:jc w:val="center"/>
                    <w:rPr>
                      <w:sz w:val="18"/>
                      <w:szCs w:val="18"/>
                    </w:rPr>
                  </w:pPr>
                </w:p>
              </w:tc>
              <w:tc>
                <w:tcPr>
                  <w:tcW w:w="372" w:type="pct"/>
                  <w:vAlign w:val="center"/>
                </w:tcPr>
                <w:p>
                  <w:pPr>
                    <w:pStyle w:val="12"/>
                    <w:jc w:val="center"/>
                    <w:rPr>
                      <w:sz w:val="18"/>
                      <w:szCs w:val="18"/>
                    </w:rPr>
                  </w:pPr>
                  <w:r>
                    <w:rPr>
                      <w:sz w:val="18"/>
                      <w:szCs w:val="18"/>
                    </w:rPr>
                    <w:t>SS</w:t>
                  </w:r>
                </w:p>
              </w:tc>
              <w:tc>
                <w:tcPr>
                  <w:tcW w:w="501" w:type="pct"/>
                  <w:vMerge w:val="continue"/>
                  <w:vAlign w:val="center"/>
                </w:tcPr>
                <w:p>
                  <w:pPr>
                    <w:pStyle w:val="12"/>
                    <w:jc w:val="center"/>
                    <w:rPr>
                      <w:sz w:val="18"/>
                      <w:szCs w:val="18"/>
                    </w:rPr>
                  </w:pPr>
                </w:p>
              </w:tc>
              <w:tc>
                <w:tcPr>
                  <w:tcW w:w="404" w:type="pct"/>
                  <w:vMerge w:val="continue"/>
                  <w:vAlign w:val="center"/>
                </w:tcPr>
                <w:p>
                  <w:pPr>
                    <w:pStyle w:val="12"/>
                    <w:jc w:val="center"/>
                    <w:rPr>
                      <w:sz w:val="18"/>
                      <w:szCs w:val="18"/>
                    </w:rPr>
                  </w:pPr>
                </w:p>
              </w:tc>
              <w:tc>
                <w:tcPr>
                  <w:tcW w:w="444" w:type="pct"/>
                  <w:vMerge w:val="continue"/>
                  <w:vAlign w:val="center"/>
                </w:tcPr>
                <w:p>
                  <w:pPr>
                    <w:pStyle w:val="12"/>
                    <w:jc w:val="center"/>
                    <w:rPr>
                      <w:sz w:val="18"/>
                      <w:szCs w:val="18"/>
                    </w:rPr>
                  </w:pPr>
                </w:p>
              </w:tc>
              <w:tc>
                <w:tcPr>
                  <w:tcW w:w="471" w:type="pct"/>
                  <w:vMerge w:val="continue"/>
                  <w:vAlign w:val="center"/>
                </w:tcPr>
                <w:p>
                  <w:pPr>
                    <w:pStyle w:val="12"/>
                    <w:jc w:val="center"/>
                    <w:rPr>
                      <w:sz w:val="18"/>
                      <w:szCs w:val="18"/>
                    </w:rPr>
                  </w:pPr>
                </w:p>
              </w:tc>
              <w:tc>
                <w:tcPr>
                  <w:tcW w:w="377" w:type="pct"/>
                  <w:vMerge w:val="continue"/>
                  <w:vAlign w:val="center"/>
                </w:tcPr>
                <w:p>
                  <w:pPr>
                    <w:pStyle w:val="12"/>
                    <w:jc w:val="center"/>
                    <w:rPr>
                      <w:sz w:val="18"/>
                      <w:szCs w:val="18"/>
                    </w:rPr>
                  </w:pPr>
                </w:p>
              </w:tc>
              <w:tc>
                <w:tcPr>
                  <w:tcW w:w="377" w:type="pct"/>
                  <w:vMerge w:val="continue"/>
                  <w:vAlign w:val="center"/>
                </w:tcPr>
                <w:p>
                  <w:pPr>
                    <w:pStyle w:val="12"/>
                    <w:jc w:val="center"/>
                    <w:rPr>
                      <w:sz w:val="18"/>
                      <w:szCs w:val="18"/>
                    </w:rPr>
                  </w:pPr>
                </w:p>
              </w:tc>
              <w:tc>
                <w:tcPr>
                  <w:tcW w:w="552" w:type="pct"/>
                  <w:vMerge w:val="continue"/>
                  <w:vAlign w:val="center"/>
                </w:tcPr>
                <w:p>
                  <w:pPr>
                    <w:pStyle w:val="12"/>
                    <w:jc w:val="center"/>
                    <w:rPr>
                      <w:sz w:val="18"/>
                      <w:szCs w:val="18"/>
                    </w:rPr>
                  </w:pPr>
                </w:p>
              </w:tc>
              <w:tc>
                <w:tcPr>
                  <w:tcW w:w="884" w:type="pct"/>
                  <w:vMerge w:val="continue"/>
                  <w:vAlign w:val="center"/>
                </w:tcPr>
                <w:p>
                  <w:pPr>
                    <w:pStyle w:val="1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0" w:type="pct"/>
                  <w:vMerge w:val="continue"/>
                  <w:vAlign w:val="center"/>
                </w:tcPr>
                <w:p>
                  <w:pPr>
                    <w:pStyle w:val="12"/>
                    <w:jc w:val="center"/>
                    <w:rPr>
                      <w:sz w:val="18"/>
                      <w:szCs w:val="18"/>
                    </w:rPr>
                  </w:pPr>
                </w:p>
              </w:tc>
              <w:tc>
                <w:tcPr>
                  <w:tcW w:w="338" w:type="pct"/>
                  <w:vMerge w:val="continue"/>
                  <w:vAlign w:val="center"/>
                </w:tcPr>
                <w:p>
                  <w:pPr>
                    <w:pStyle w:val="12"/>
                    <w:jc w:val="center"/>
                    <w:rPr>
                      <w:sz w:val="18"/>
                      <w:szCs w:val="18"/>
                    </w:rPr>
                  </w:pPr>
                </w:p>
              </w:tc>
              <w:tc>
                <w:tcPr>
                  <w:tcW w:w="372" w:type="pct"/>
                  <w:vAlign w:val="center"/>
                </w:tcPr>
                <w:p>
                  <w:pPr>
                    <w:pStyle w:val="12"/>
                    <w:jc w:val="center"/>
                    <w:rPr>
                      <w:sz w:val="18"/>
                      <w:szCs w:val="18"/>
                    </w:rPr>
                  </w:pPr>
                  <w:r>
                    <w:rPr>
                      <w:sz w:val="18"/>
                      <w:szCs w:val="18"/>
                    </w:rPr>
                    <w:t>BOD</w:t>
                  </w:r>
                  <w:r>
                    <w:rPr>
                      <w:sz w:val="18"/>
                      <w:szCs w:val="18"/>
                      <w:vertAlign w:val="subscript"/>
                    </w:rPr>
                    <w:t>5</w:t>
                  </w:r>
                </w:p>
              </w:tc>
              <w:tc>
                <w:tcPr>
                  <w:tcW w:w="501" w:type="pct"/>
                  <w:vMerge w:val="continue"/>
                  <w:vAlign w:val="center"/>
                </w:tcPr>
                <w:p>
                  <w:pPr>
                    <w:pStyle w:val="12"/>
                    <w:jc w:val="center"/>
                    <w:rPr>
                      <w:sz w:val="18"/>
                      <w:szCs w:val="18"/>
                    </w:rPr>
                  </w:pPr>
                </w:p>
              </w:tc>
              <w:tc>
                <w:tcPr>
                  <w:tcW w:w="404" w:type="pct"/>
                  <w:vMerge w:val="continue"/>
                  <w:vAlign w:val="center"/>
                </w:tcPr>
                <w:p>
                  <w:pPr>
                    <w:pStyle w:val="12"/>
                    <w:jc w:val="center"/>
                    <w:rPr>
                      <w:sz w:val="18"/>
                      <w:szCs w:val="18"/>
                    </w:rPr>
                  </w:pPr>
                </w:p>
              </w:tc>
              <w:tc>
                <w:tcPr>
                  <w:tcW w:w="444" w:type="pct"/>
                  <w:vMerge w:val="continue"/>
                  <w:vAlign w:val="center"/>
                </w:tcPr>
                <w:p>
                  <w:pPr>
                    <w:pStyle w:val="12"/>
                    <w:jc w:val="center"/>
                    <w:rPr>
                      <w:sz w:val="18"/>
                      <w:szCs w:val="18"/>
                    </w:rPr>
                  </w:pPr>
                </w:p>
              </w:tc>
              <w:tc>
                <w:tcPr>
                  <w:tcW w:w="471" w:type="pct"/>
                  <w:vMerge w:val="continue"/>
                  <w:vAlign w:val="center"/>
                </w:tcPr>
                <w:p>
                  <w:pPr>
                    <w:pStyle w:val="12"/>
                    <w:jc w:val="center"/>
                    <w:rPr>
                      <w:sz w:val="18"/>
                      <w:szCs w:val="18"/>
                    </w:rPr>
                  </w:pPr>
                </w:p>
              </w:tc>
              <w:tc>
                <w:tcPr>
                  <w:tcW w:w="377" w:type="pct"/>
                  <w:vMerge w:val="continue"/>
                  <w:vAlign w:val="center"/>
                </w:tcPr>
                <w:p>
                  <w:pPr>
                    <w:pStyle w:val="12"/>
                    <w:jc w:val="center"/>
                    <w:rPr>
                      <w:sz w:val="18"/>
                      <w:szCs w:val="18"/>
                    </w:rPr>
                  </w:pPr>
                </w:p>
              </w:tc>
              <w:tc>
                <w:tcPr>
                  <w:tcW w:w="377" w:type="pct"/>
                  <w:vMerge w:val="continue"/>
                  <w:vAlign w:val="center"/>
                </w:tcPr>
                <w:p>
                  <w:pPr>
                    <w:pStyle w:val="12"/>
                    <w:jc w:val="center"/>
                    <w:rPr>
                      <w:sz w:val="18"/>
                      <w:szCs w:val="18"/>
                    </w:rPr>
                  </w:pPr>
                </w:p>
              </w:tc>
              <w:tc>
                <w:tcPr>
                  <w:tcW w:w="552" w:type="pct"/>
                  <w:vMerge w:val="continue"/>
                  <w:vAlign w:val="center"/>
                </w:tcPr>
                <w:p>
                  <w:pPr>
                    <w:pStyle w:val="12"/>
                    <w:jc w:val="center"/>
                    <w:rPr>
                      <w:sz w:val="18"/>
                      <w:szCs w:val="18"/>
                    </w:rPr>
                  </w:pPr>
                </w:p>
              </w:tc>
              <w:tc>
                <w:tcPr>
                  <w:tcW w:w="884" w:type="pct"/>
                  <w:vMerge w:val="continue"/>
                  <w:vAlign w:val="center"/>
                </w:tcPr>
                <w:p>
                  <w:pPr>
                    <w:pStyle w:val="1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80" w:type="pct"/>
                  <w:vMerge w:val="continue"/>
                  <w:vAlign w:val="center"/>
                </w:tcPr>
                <w:p>
                  <w:pPr>
                    <w:pStyle w:val="12"/>
                    <w:jc w:val="center"/>
                    <w:rPr>
                      <w:sz w:val="18"/>
                      <w:szCs w:val="18"/>
                    </w:rPr>
                  </w:pPr>
                </w:p>
              </w:tc>
              <w:tc>
                <w:tcPr>
                  <w:tcW w:w="338" w:type="pct"/>
                  <w:vMerge w:val="continue"/>
                  <w:vAlign w:val="center"/>
                </w:tcPr>
                <w:p>
                  <w:pPr>
                    <w:pStyle w:val="12"/>
                    <w:jc w:val="center"/>
                    <w:rPr>
                      <w:sz w:val="18"/>
                      <w:szCs w:val="18"/>
                    </w:rPr>
                  </w:pPr>
                </w:p>
              </w:tc>
              <w:tc>
                <w:tcPr>
                  <w:tcW w:w="372" w:type="pct"/>
                  <w:vAlign w:val="center"/>
                </w:tcPr>
                <w:p>
                  <w:pPr>
                    <w:pStyle w:val="12"/>
                    <w:jc w:val="center"/>
                    <w:rPr>
                      <w:sz w:val="18"/>
                      <w:szCs w:val="18"/>
                    </w:rPr>
                  </w:pPr>
                  <w:r>
                    <w:rPr>
                      <w:sz w:val="18"/>
                      <w:szCs w:val="18"/>
                    </w:rPr>
                    <w:t>NH</w:t>
                  </w:r>
                  <w:r>
                    <w:rPr>
                      <w:sz w:val="18"/>
                      <w:szCs w:val="18"/>
                      <w:vertAlign w:val="subscript"/>
                    </w:rPr>
                    <w:t>3</w:t>
                  </w:r>
                  <w:r>
                    <w:rPr>
                      <w:sz w:val="18"/>
                      <w:szCs w:val="18"/>
                    </w:rPr>
                    <w:t>-N</w:t>
                  </w:r>
                </w:p>
              </w:tc>
              <w:tc>
                <w:tcPr>
                  <w:tcW w:w="501" w:type="pct"/>
                  <w:vMerge w:val="continue"/>
                  <w:vAlign w:val="center"/>
                </w:tcPr>
                <w:p>
                  <w:pPr>
                    <w:pStyle w:val="12"/>
                    <w:jc w:val="center"/>
                    <w:rPr>
                      <w:sz w:val="18"/>
                      <w:szCs w:val="18"/>
                    </w:rPr>
                  </w:pPr>
                </w:p>
              </w:tc>
              <w:tc>
                <w:tcPr>
                  <w:tcW w:w="404" w:type="pct"/>
                  <w:vMerge w:val="continue"/>
                  <w:vAlign w:val="center"/>
                </w:tcPr>
                <w:p>
                  <w:pPr>
                    <w:pStyle w:val="12"/>
                    <w:jc w:val="center"/>
                    <w:rPr>
                      <w:sz w:val="18"/>
                      <w:szCs w:val="18"/>
                    </w:rPr>
                  </w:pPr>
                </w:p>
              </w:tc>
              <w:tc>
                <w:tcPr>
                  <w:tcW w:w="444" w:type="pct"/>
                  <w:vMerge w:val="continue"/>
                  <w:vAlign w:val="center"/>
                </w:tcPr>
                <w:p>
                  <w:pPr>
                    <w:pStyle w:val="12"/>
                    <w:jc w:val="center"/>
                    <w:rPr>
                      <w:sz w:val="18"/>
                      <w:szCs w:val="18"/>
                    </w:rPr>
                  </w:pPr>
                </w:p>
              </w:tc>
              <w:tc>
                <w:tcPr>
                  <w:tcW w:w="471" w:type="pct"/>
                  <w:vMerge w:val="continue"/>
                  <w:vAlign w:val="center"/>
                </w:tcPr>
                <w:p>
                  <w:pPr>
                    <w:pStyle w:val="12"/>
                    <w:jc w:val="center"/>
                    <w:rPr>
                      <w:sz w:val="18"/>
                      <w:szCs w:val="18"/>
                    </w:rPr>
                  </w:pPr>
                </w:p>
              </w:tc>
              <w:tc>
                <w:tcPr>
                  <w:tcW w:w="377" w:type="pct"/>
                  <w:vMerge w:val="continue"/>
                  <w:vAlign w:val="center"/>
                </w:tcPr>
                <w:p>
                  <w:pPr>
                    <w:pStyle w:val="12"/>
                    <w:jc w:val="center"/>
                    <w:rPr>
                      <w:sz w:val="18"/>
                      <w:szCs w:val="18"/>
                    </w:rPr>
                  </w:pPr>
                </w:p>
              </w:tc>
              <w:tc>
                <w:tcPr>
                  <w:tcW w:w="377" w:type="pct"/>
                  <w:vMerge w:val="continue"/>
                  <w:vAlign w:val="center"/>
                </w:tcPr>
                <w:p>
                  <w:pPr>
                    <w:pStyle w:val="12"/>
                    <w:jc w:val="center"/>
                    <w:rPr>
                      <w:sz w:val="18"/>
                      <w:szCs w:val="18"/>
                    </w:rPr>
                  </w:pPr>
                </w:p>
              </w:tc>
              <w:tc>
                <w:tcPr>
                  <w:tcW w:w="552" w:type="pct"/>
                  <w:vMerge w:val="continue"/>
                  <w:vAlign w:val="center"/>
                </w:tcPr>
                <w:p>
                  <w:pPr>
                    <w:pStyle w:val="12"/>
                    <w:jc w:val="center"/>
                    <w:rPr>
                      <w:sz w:val="18"/>
                      <w:szCs w:val="18"/>
                    </w:rPr>
                  </w:pPr>
                </w:p>
              </w:tc>
              <w:tc>
                <w:tcPr>
                  <w:tcW w:w="884" w:type="pct"/>
                  <w:vMerge w:val="continue"/>
                  <w:vAlign w:val="center"/>
                </w:tcPr>
                <w:p>
                  <w:pPr>
                    <w:pStyle w:val="12"/>
                    <w:jc w:val="center"/>
                    <w:rPr>
                      <w:sz w:val="18"/>
                      <w:szCs w:val="18"/>
                    </w:rPr>
                  </w:pPr>
                </w:p>
              </w:tc>
            </w:tr>
          </w:tbl>
          <w:p>
            <w:pPr>
              <w:autoSpaceDE w:val="0"/>
              <w:autoSpaceDN w:val="0"/>
              <w:adjustRightInd w:val="0"/>
              <w:snapToGrid w:val="0"/>
              <w:jc w:val="center"/>
              <w:rPr>
                <w:b/>
                <w:bCs/>
                <w:kern w:val="0"/>
                <w:szCs w:val="21"/>
              </w:rPr>
            </w:pPr>
            <w:r>
              <w:rPr>
                <w:b/>
                <w:bCs/>
                <w:kern w:val="0"/>
                <w:szCs w:val="21"/>
              </w:rPr>
              <w:t>表</w:t>
            </w:r>
            <w:r>
              <w:rPr>
                <w:rFonts w:hint="eastAsia"/>
                <w:b/>
                <w:bCs/>
                <w:kern w:val="0"/>
                <w:szCs w:val="21"/>
              </w:rPr>
              <w:t>23</w:t>
            </w:r>
            <w:r>
              <w:rPr>
                <w:b/>
                <w:bCs/>
                <w:kern w:val="0"/>
                <w:szCs w:val="21"/>
              </w:rPr>
              <w:t>废水排放口（间接）基本情况表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13"/>
              <w:gridCol w:w="749"/>
              <w:gridCol w:w="751"/>
              <w:gridCol w:w="738"/>
              <w:gridCol w:w="1025"/>
              <w:gridCol w:w="647"/>
              <w:gridCol w:w="689"/>
              <w:gridCol w:w="665"/>
              <w:gridCol w:w="70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Merge w:val="restart"/>
                  <w:vAlign w:val="center"/>
                </w:tcPr>
                <w:p>
                  <w:pPr>
                    <w:jc w:val="center"/>
                    <w:rPr>
                      <w:sz w:val="18"/>
                      <w:szCs w:val="18"/>
                    </w:rPr>
                  </w:pPr>
                  <w:r>
                    <w:rPr>
                      <w:sz w:val="18"/>
                      <w:szCs w:val="18"/>
                    </w:rPr>
                    <w:t>序号</w:t>
                  </w:r>
                </w:p>
              </w:tc>
              <w:tc>
                <w:tcPr>
                  <w:tcW w:w="390" w:type="pct"/>
                  <w:vMerge w:val="restart"/>
                  <w:vAlign w:val="center"/>
                </w:tcPr>
                <w:p>
                  <w:pPr>
                    <w:jc w:val="center"/>
                    <w:rPr>
                      <w:sz w:val="18"/>
                      <w:szCs w:val="18"/>
                    </w:rPr>
                  </w:pPr>
                  <w:r>
                    <w:rPr>
                      <w:sz w:val="18"/>
                      <w:szCs w:val="18"/>
                    </w:rPr>
                    <w:t>排放口编号</w:t>
                  </w:r>
                </w:p>
              </w:tc>
              <w:tc>
                <w:tcPr>
                  <w:tcW w:w="821" w:type="pct"/>
                  <w:gridSpan w:val="2"/>
                  <w:vAlign w:val="center"/>
                </w:tcPr>
                <w:p>
                  <w:pPr>
                    <w:jc w:val="center"/>
                    <w:rPr>
                      <w:sz w:val="18"/>
                      <w:szCs w:val="18"/>
                    </w:rPr>
                  </w:pPr>
                  <w:r>
                    <w:rPr>
                      <w:sz w:val="18"/>
                      <w:szCs w:val="18"/>
                    </w:rPr>
                    <w:t>排放口坐标</w:t>
                  </w:r>
                </w:p>
              </w:tc>
              <w:tc>
                <w:tcPr>
                  <w:tcW w:w="404" w:type="pct"/>
                  <w:vMerge w:val="restart"/>
                  <w:vAlign w:val="center"/>
                </w:tcPr>
                <w:p>
                  <w:pPr>
                    <w:jc w:val="center"/>
                    <w:rPr>
                      <w:sz w:val="18"/>
                      <w:szCs w:val="18"/>
                    </w:rPr>
                  </w:pPr>
                  <w:r>
                    <w:rPr>
                      <w:sz w:val="18"/>
                      <w:szCs w:val="18"/>
                    </w:rPr>
                    <w:t>废水排放量（万t/a）</w:t>
                  </w:r>
                </w:p>
              </w:tc>
              <w:tc>
                <w:tcPr>
                  <w:tcW w:w="561" w:type="pct"/>
                  <w:vMerge w:val="restart"/>
                  <w:vAlign w:val="center"/>
                </w:tcPr>
                <w:p>
                  <w:pPr>
                    <w:jc w:val="center"/>
                    <w:rPr>
                      <w:sz w:val="18"/>
                      <w:szCs w:val="18"/>
                    </w:rPr>
                  </w:pPr>
                  <w:r>
                    <w:rPr>
                      <w:sz w:val="18"/>
                      <w:szCs w:val="18"/>
                    </w:rPr>
                    <w:t>排放去向</w:t>
                  </w:r>
                </w:p>
              </w:tc>
              <w:tc>
                <w:tcPr>
                  <w:tcW w:w="354" w:type="pct"/>
                  <w:vMerge w:val="restart"/>
                  <w:vAlign w:val="center"/>
                </w:tcPr>
                <w:p>
                  <w:pPr>
                    <w:jc w:val="center"/>
                    <w:rPr>
                      <w:sz w:val="18"/>
                      <w:szCs w:val="18"/>
                    </w:rPr>
                  </w:pPr>
                  <w:r>
                    <w:rPr>
                      <w:sz w:val="18"/>
                      <w:szCs w:val="18"/>
                    </w:rPr>
                    <w:t>排放规律</w:t>
                  </w:r>
                </w:p>
              </w:tc>
              <w:tc>
                <w:tcPr>
                  <w:tcW w:w="377" w:type="pct"/>
                  <w:vMerge w:val="restart"/>
                  <w:vAlign w:val="center"/>
                </w:tcPr>
                <w:p>
                  <w:pPr>
                    <w:jc w:val="center"/>
                    <w:rPr>
                      <w:sz w:val="18"/>
                      <w:szCs w:val="18"/>
                    </w:rPr>
                  </w:pPr>
                  <w:r>
                    <w:rPr>
                      <w:sz w:val="18"/>
                      <w:szCs w:val="18"/>
                    </w:rPr>
                    <w:t>间歇排放时段</w:t>
                  </w:r>
                </w:p>
              </w:tc>
              <w:tc>
                <w:tcPr>
                  <w:tcW w:w="1813" w:type="pct"/>
                  <w:gridSpan w:val="3"/>
                  <w:vAlign w:val="center"/>
                </w:tcPr>
                <w:p>
                  <w:pPr>
                    <w:jc w:val="center"/>
                    <w:rPr>
                      <w:sz w:val="18"/>
                      <w:szCs w:val="18"/>
                    </w:rPr>
                  </w:pPr>
                  <w:r>
                    <w:rPr>
                      <w:sz w:val="18"/>
                      <w:szCs w:val="18"/>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Merge w:val="continue"/>
                  <w:vAlign w:val="center"/>
                </w:tcPr>
                <w:p>
                  <w:pPr>
                    <w:jc w:val="center"/>
                    <w:rPr>
                      <w:sz w:val="18"/>
                      <w:szCs w:val="18"/>
                    </w:rPr>
                  </w:pPr>
                </w:p>
              </w:tc>
              <w:tc>
                <w:tcPr>
                  <w:tcW w:w="390" w:type="pct"/>
                  <w:vMerge w:val="continue"/>
                  <w:vAlign w:val="center"/>
                </w:tcPr>
                <w:p>
                  <w:pPr>
                    <w:jc w:val="center"/>
                    <w:rPr>
                      <w:sz w:val="18"/>
                      <w:szCs w:val="18"/>
                    </w:rPr>
                  </w:pPr>
                </w:p>
              </w:tc>
              <w:tc>
                <w:tcPr>
                  <w:tcW w:w="410" w:type="pct"/>
                  <w:vAlign w:val="center"/>
                </w:tcPr>
                <w:p>
                  <w:pPr>
                    <w:jc w:val="center"/>
                    <w:rPr>
                      <w:sz w:val="18"/>
                      <w:szCs w:val="18"/>
                    </w:rPr>
                  </w:pPr>
                  <w:r>
                    <w:rPr>
                      <w:sz w:val="18"/>
                      <w:szCs w:val="18"/>
                    </w:rPr>
                    <w:t>经度</w:t>
                  </w:r>
                </w:p>
              </w:tc>
              <w:tc>
                <w:tcPr>
                  <w:tcW w:w="411" w:type="pct"/>
                  <w:vAlign w:val="center"/>
                </w:tcPr>
                <w:p>
                  <w:pPr>
                    <w:jc w:val="center"/>
                    <w:rPr>
                      <w:sz w:val="18"/>
                      <w:szCs w:val="18"/>
                    </w:rPr>
                  </w:pPr>
                  <w:r>
                    <w:rPr>
                      <w:sz w:val="18"/>
                      <w:szCs w:val="18"/>
                    </w:rPr>
                    <w:t>纬度</w:t>
                  </w:r>
                </w:p>
              </w:tc>
              <w:tc>
                <w:tcPr>
                  <w:tcW w:w="404" w:type="pct"/>
                  <w:vMerge w:val="continue"/>
                  <w:vAlign w:val="center"/>
                </w:tcPr>
                <w:p>
                  <w:pPr>
                    <w:jc w:val="center"/>
                    <w:rPr>
                      <w:sz w:val="18"/>
                      <w:szCs w:val="18"/>
                    </w:rPr>
                  </w:pPr>
                </w:p>
              </w:tc>
              <w:tc>
                <w:tcPr>
                  <w:tcW w:w="561" w:type="pct"/>
                  <w:vMerge w:val="continue"/>
                  <w:vAlign w:val="center"/>
                </w:tcPr>
                <w:p>
                  <w:pPr>
                    <w:jc w:val="center"/>
                    <w:rPr>
                      <w:sz w:val="18"/>
                      <w:szCs w:val="18"/>
                    </w:rPr>
                  </w:pPr>
                </w:p>
              </w:tc>
              <w:tc>
                <w:tcPr>
                  <w:tcW w:w="354" w:type="pct"/>
                  <w:vMerge w:val="continue"/>
                  <w:vAlign w:val="center"/>
                </w:tcPr>
                <w:p>
                  <w:pPr>
                    <w:jc w:val="center"/>
                    <w:rPr>
                      <w:sz w:val="18"/>
                      <w:szCs w:val="18"/>
                    </w:rPr>
                  </w:pPr>
                </w:p>
              </w:tc>
              <w:tc>
                <w:tcPr>
                  <w:tcW w:w="377" w:type="pct"/>
                  <w:vMerge w:val="continue"/>
                  <w:vAlign w:val="center"/>
                </w:tcPr>
                <w:p>
                  <w:pPr>
                    <w:jc w:val="center"/>
                    <w:rPr>
                      <w:sz w:val="18"/>
                      <w:szCs w:val="18"/>
                    </w:rPr>
                  </w:pPr>
                </w:p>
              </w:tc>
              <w:tc>
                <w:tcPr>
                  <w:tcW w:w="364" w:type="pct"/>
                  <w:vAlign w:val="center"/>
                </w:tcPr>
                <w:p>
                  <w:pPr>
                    <w:jc w:val="center"/>
                    <w:rPr>
                      <w:sz w:val="18"/>
                      <w:szCs w:val="18"/>
                    </w:rPr>
                  </w:pPr>
                  <w:r>
                    <w:rPr>
                      <w:sz w:val="18"/>
                      <w:szCs w:val="18"/>
                    </w:rPr>
                    <w:t>名称</w:t>
                  </w:r>
                </w:p>
              </w:tc>
              <w:tc>
                <w:tcPr>
                  <w:tcW w:w="383" w:type="pct"/>
                  <w:vAlign w:val="center"/>
                </w:tcPr>
                <w:p>
                  <w:pPr>
                    <w:jc w:val="center"/>
                    <w:rPr>
                      <w:sz w:val="18"/>
                      <w:szCs w:val="18"/>
                    </w:rPr>
                  </w:pPr>
                  <w:r>
                    <w:rPr>
                      <w:sz w:val="18"/>
                      <w:szCs w:val="18"/>
                    </w:rPr>
                    <w:t>污染物种类</w:t>
                  </w:r>
                </w:p>
              </w:tc>
              <w:tc>
                <w:tcPr>
                  <w:tcW w:w="1066" w:type="pct"/>
                  <w:vAlign w:val="center"/>
                </w:tcPr>
                <w:p>
                  <w:pPr>
                    <w:jc w:val="center"/>
                    <w:rPr>
                      <w:sz w:val="18"/>
                      <w:szCs w:val="18"/>
                    </w:rPr>
                  </w:pPr>
                  <w:r>
                    <w:rPr>
                      <w:sz w:val="18"/>
                      <w:szCs w:val="18"/>
                    </w:rPr>
                    <w:t>《城镇污水处理厂污染物排放标准》(GB18918-2002)中的一级A标准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Merge w:val="restart"/>
                  <w:vAlign w:val="center"/>
                </w:tcPr>
                <w:p>
                  <w:pPr>
                    <w:jc w:val="center"/>
                    <w:rPr>
                      <w:sz w:val="18"/>
                      <w:szCs w:val="18"/>
                    </w:rPr>
                  </w:pPr>
                  <w:r>
                    <w:rPr>
                      <w:sz w:val="18"/>
                      <w:szCs w:val="18"/>
                    </w:rPr>
                    <w:t>1</w:t>
                  </w:r>
                </w:p>
              </w:tc>
              <w:tc>
                <w:tcPr>
                  <w:tcW w:w="390" w:type="pct"/>
                  <w:vMerge w:val="restart"/>
                  <w:vAlign w:val="center"/>
                </w:tcPr>
                <w:p>
                  <w:pPr>
                    <w:jc w:val="center"/>
                    <w:rPr>
                      <w:sz w:val="18"/>
                      <w:szCs w:val="18"/>
                    </w:rPr>
                  </w:pPr>
                  <w:r>
                    <w:rPr>
                      <w:sz w:val="18"/>
                      <w:szCs w:val="18"/>
                    </w:rPr>
                    <w:t>废水排放口1</w:t>
                  </w:r>
                </w:p>
              </w:tc>
              <w:tc>
                <w:tcPr>
                  <w:tcW w:w="410" w:type="pct"/>
                  <w:vMerge w:val="restart"/>
                  <w:vAlign w:val="center"/>
                </w:tcPr>
                <w:p>
                  <w:pPr>
                    <w:pStyle w:val="12"/>
                    <w:jc w:val="center"/>
                    <w:rPr>
                      <w:sz w:val="18"/>
                      <w:szCs w:val="18"/>
                    </w:rPr>
                  </w:pPr>
                  <w:r>
                    <w:rPr>
                      <w:sz w:val="18"/>
                      <w:szCs w:val="18"/>
                    </w:rPr>
                    <w:t>东经</w:t>
                  </w:r>
                  <w:r>
                    <w:rPr>
                      <w:rFonts w:hint="eastAsia"/>
                      <w:sz w:val="18"/>
                      <w:szCs w:val="18"/>
                    </w:rPr>
                    <w:t>117.108188592</w:t>
                  </w:r>
                </w:p>
              </w:tc>
              <w:tc>
                <w:tcPr>
                  <w:tcW w:w="411" w:type="pct"/>
                  <w:vMerge w:val="restart"/>
                  <w:vAlign w:val="center"/>
                </w:tcPr>
                <w:p>
                  <w:pPr>
                    <w:pStyle w:val="12"/>
                    <w:jc w:val="center"/>
                    <w:rPr>
                      <w:sz w:val="18"/>
                      <w:szCs w:val="18"/>
                    </w:rPr>
                  </w:pPr>
                  <w:r>
                    <w:rPr>
                      <w:sz w:val="18"/>
                      <w:szCs w:val="18"/>
                    </w:rPr>
                    <w:t>北纬</w:t>
                  </w:r>
                  <w:r>
                    <w:rPr>
                      <w:rFonts w:hint="eastAsia"/>
                      <w:sz w:val="18"/>
                      <w:szCs w:val="18"/>
                    </w:rPr>
                    <w:t>32.618929218</w:t>
                  </w:r>
                </w:p>
              </w:tc>
              <w:tc>
                <w:tcPr>
                  <w:tcW w:w="404" w:type="pct"/>
                  <w:vMerge w:val="restart"/>
                  <w:vAlign w:val="center"/>
                </w:tcPr>
                <w:p>
                  <w:pPr>
                    <w:jc w:val="center"/>
                    <w:rPr>
                      <w:sz w:val="18"/>
                      <w:szCs w:val="18"/>
                    </w:rPr>
                  </w:pPr>
                  <w:r>
                    <w:rPr>
                      <w:rFonts w:hint="eastAsia"/>
                      <w:sz w:val="18"/>
                      <w:szCs w:val="18"/>
                    </w:rPr>
                    <w:t>0.036</w:t>
                  </w:r>
                </w:p>
              </w:tc>
              <w:tc>
                <w:tcPr>
                  <w:tcW w:w="561" w:type="pct"/>
                  <w:vMerge w:val="restart"/>
                  <w:vAlign w:val="center"/>
                </w:tcPr>
                <w:p>
                  <w:pPr>
                    <w:jc w:val="center"/>
                    <w:rPr>
                      <w:sz w:val="18"/>
                      <w:szCs w:val="18"/>
                    </w:rPr>
                  </w:pPr>
                  <w:r>
                    <w:rPr>
                      <w:rFonts w:hint="eastAsia"/>
                      <w:sz w:val="18"/>
                      <w:szCs w:val="18"/>
                    </w:rPr>
                    <w:t>经化粪池预处理后排入</w:t>
                  </w:r>
                  <w:r>
                    <w:rPr>
                      <w:sz w:val="18"/>
                      <w:szCs w:val="18"/>
                    </w:rPr>
                    <w:t>淮南首创第一污水处理厂</w:t>
                  </w:r>
                </w:p>
              </w:tc>
              <w:tc>
                <w:tcPr>
                  <w:tcW w:w="354" w:type="pct"/>
                  <w:vMerge w:val="restart"/>
                  <w:vAlign w:val="center"/>
                </w:tcPr>
                <w:p>
                  <w:pPr>
                    <w:jc w:val="center"/>
                    <w:rPr>
                      <w:sz w:val="18"/>
                      <w:szCs w:val="18"/>
                    </w:rPr>
                  </w:pPr>
                  <w:r>
                    <w:rPr>
                      <w:sz w:val="18"/>
                      <w:szCs w:val="18"/>
                    </w:rPr>
                    <w:t>连续排放</w:t>
                  </w:r>
                </w:p>
              </w:tc>
              <w:tc>
                <w:tcPr>
                  <w:tcW w:w="377" w:type="pct"/>
                  <w:vMerge w:val="restart"/>
                  <w:vAlign w:val="center"/>
                </w:tcPr>
                <w:p>
                  <w:pPr>
                    <w:jc w:val="center"/>
                    <w:rPr>
                      <w:sz w:val="18"/>
                      <w:szCs w:val="18"/>
                    </w:rPr>
                  </w:pPr>
                  <w:r>
                    <w:rPr>
                      <w:sz w:val="18"/>
                      <w:szCs w:val="18"/>
                    </w:rPr>
                    <w:t>/</w:t>
                  </w:r>
                </w:p>
              </w:tc>
              <w:tc>
                <w:tcPr>
                  <w:tcW w:w="364" w:type="pct"/>
                  <w:vMerge w:val="restart"/>
                  <w:vAlign w:val="center"/>
                </w:tcPr>
                <w:p>
                  <w:pPr>
                    <w:jc w:val="center"/>
                    <w:rPr>
                      <w:sz w:val="18"/>
                      <w:szCs w:val="18"/>
                    </w:rPr>
                  </w:pPr>
                  <w:r>
                    <w:rPr>
                      <w:sz w:val="18"/>
                      <w:szCs w:val="18"/>
                    </w:rPr>
                    <w:t>淮南首创第一污水处理厂</w:t>
                  </w:r>
                </w:p>
              </w:tc>
              <w:tc>
                <w:tcPr>
                  <w:tcW w:w="383" w:type="pct"/>
                  <w:vAlign w:val="center"/>
                </w:tcPr>
                <w:p>
                  <w:pPr>
                    <w:jc w:val="center"/>
                    <w:rPr>
                      <w:sz w:val="18"/>
                      <w:szCs w:val="18"/>
                    </w:rPr>
                  </w:pPr>
                  <w:r>
                    <w:rPr>
                      <w:sz w:val="18"/>
                      <w:szCs w:val="18"/>
                    </w:rPr>
                    <w:t>COD</w:t>
                  </w:r>
                </w:p>
              </w:tc>
              <w:tc>
                <w:tcPr>
                  <w:tcW w:w="1066" w:type="pct"/>
                  <w:vAlign w:val="center"/>
                </w:tcPr>
                <w:p>
                  <w:pPr>
                    <w:jc w:val="center"/>
                    <w:rPr>
                      <w:sz w:val="18"/>
                      <w:szCs w:val="18"/>
                    </w:rPr>
                  </w:pPr>
                  <w:r>
                    <w:rPr>
                      <w:rFonts w:hint="eastAsia"/>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Merge w:val="continue"/>
                  <w:vAlign w:val="center"/>
                </w:tcPr>
                <w:p>
                  <w:pPr>
                    <w:rPr>
                      <w:sz w:val="18"/>
                      <w:szCs w:val="18"/>
                    </w:rPr>
                  </w:pPr>
                </w:p>
              </w:tc>
              <w:tc>
                <w:tcPr>
                  <w:tcW w:w="390" w:type="pct"/>
                  <w:vMerge w:val="continue"/>
                  <w:vAlign w:val="center"/>
                </w:tcPr>
                <w:p>
                  <w:pPr>
                    <w:rPr>
                      <w:sz w:val="18"/>
                      <w:szCs w:val="18"/>
                    </w:rPr>
                  </w:pPr>
                </w:p>
              </w:tc>
              <w:tc>
                <w:tcPr>
                  <w:tcW w:w="410" w:type="pct"/>
                  <w:vMerge w:val="continue"/>
                  <w:vAlign w:val="center"/>
                </w:tcPr>
                <w:p>
                  <w:pPr>
                    <w:rPr>
                      <w:sz w:val="18"/>
                      <w:szCs w:val="18"/>
                    </w:rPr>
                  </w:pPr>
                </w:p>
              </w:tc>
              <w:tc>
                <w:tcPr>
                  <w:tcW w:w="411" w:type="pct"/>
                  <w:vMerge w:val="continue"/>
                  <w:vAlign w:val="center"/>
                </w:tcPr>
                <w:p>
                  <w:pPr>
                    <w:rPr>
                      <w:sz w:val="18"/>
                      <w:szCs w:val="18"/>
                    </w:rPr>
                  </w:pPr>
                </w:p>
              </w:tc>
              <w:tc>
                <w:tcPr>
                  <w:tcW w:w="404" w:type="pct"/>
                  <w:vMerge w:val="continue"/>
                  <w:vAlign w:val="center"/>
                </w:tcPr>
                <w:p>
                  <w:pPr>
                    <w:rPr>
                      <w:sz w:val="18"/>
                      <w:szCs w:val="18"/>
                    </w:rPr>
                  </w:pPr>
                </w:p>
              </w:tc>
              <w:tc>
                <w:tcPr>
                  <w:tcW w:w="561" w:type="pct"/>
                  <w:vMerge w:val="continue"/>
                  <w:vAlign w:val="center"/>
                </w:tcPr>
                <w:p>
                  <w:pPr>
                    <w:rPr>
                      <w:sz w:val="18"/>
                      <w:szCs w:val="18"/>
                    </w:rPr>
                  </w:pPr>
                </w:p>
              </w:tc>
              <w:tc>
                <w:tcPr>
                  <w:tcW w:w="354" w:type="pct"/>
                  <w:vMerge w:val="continue"/>
                  <w:vAlign w:val="center"/>
                </w:tcPr>
                <w:p>
                  <w:pPr>
                    <w:rPr>
                      <w:sz w:val="18"/>
                      <w:szCs w:val="18"/>
                    </w:rPr>
                  </w:pPr>
                </w:p>
              </w:tc>
              <w:tc>
                <w:tcPr>
                  <w:tcW w:w="377" w:type="pct"/>
                  <w:vMerge w:val="continue"/>
                  <w:vAlign w:val="center"/>
                </w:tcPr>
                <w:p>
                  <w:pPr>
                    <w:rPr>
                      <w:sz w:val="18"/>
                      <w:szCs w:val="18"/>
                    </w:rPr>
                  </w:pPr>
                </w:p>
              </w:tc>
              <w:tc>
                <w:tcPr>
                  <w:tcW w:w="364" w:type="pct"/>
                  <w:vMerge w:val="continue"/>
                  <w:vAlign w:val="center"/>
                </w:tcPr>
                <w:p>
                  <w:pPr>
                    <w:rPr>
                      <w:sz w:val="18"/>
                      <w:szCs w:val="18"/>
                    </w:rPr>
                  </w:pPr>
                </w:p>
              </w:tc>
              <w:tc>
                <w:tcPr>
                  <w:tcW w:w="383" w:type="pct"/>
                  <w:vAlign w:val="center"/>
                </w:tcPr>
                <w:p>
                  <w:pPr>
                    <w:jc w:val="center"/>
                    <w:rPr>
                      <w:sz w:val="18"/>
                      <w:szCs w:val="18"/>
                    </w:rPr>
                  </w:pPr>
                  <w:r>
                    <w:rPr>
                      <w:sz w:val="18"/>
                      <w:szCs w:val="18"/>
                    </w:rPr>
                    <w:t>SS</w:t>
                  </w:r>
                </w:p>
              </w:tc>
              <w:tc>
                <w:tcPr>
                  <w:tcW w:w="1066" w:type="pct"/>
                  <w:vAlign w:val="center"/>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 w:type="pct"/>
                  <w:vMerge w:val="continue"/>
                  <w:vAlign w:val="center"/>
                </w:tcPr>
                <w:p>
                  <w:pPr>
                    <w:rPr>
                      <w:sz w:val="18"/>
                      <w:szCs w:val="18"/>
                    </w:rPr>
                  </w:pPr>
                </w:p>
              </w:tc>
              <w:tc>
                <w:tcPr>
                  <w:tcW w:w="390" w:type="pct"/>
                  <w:vMerge w:val="continue"/>
                  <w:vAlign w:val="center"/>
                </w:tcPr>
                <w:p>
                  <w:pPr>
                    <w:rPr>
                      <w:sz w:val="18"/>
                      <w:szCs w:val="18"/>
                    </w:rPr>
                  </w:pPr>
                </w:p>
              </w:tc>
              <w:tc>
                <w:tcPr>
                  <w:tcW w:w="410" w:type="pct"/>
                  <w:vMerge w:val="continue"/>
                  <w:vAlign w:val="center"/>
                </w:tcPr>
                <w:p>
                  <w:pPr>
                    <w:rPr>
                      <w:sz w:val="18"/>
                      <w:szCs w:val="18"/>
                    </w:rPr>
                  </w:pPr>
                </w:p>
              </w:tc>
              <w:tc>
                <w:tcPr>
                  <w:tcW w:w="411" w:type="pct"/>
                  <w:vMerge w:val="continue"/>
                  <w:vAlign w:val="center"/>
                </w:tcPr>
                <w:p>
                  <w:pPr>
                    <w:rPr>
                      <w:sz w:val="18"/>
                      <w:szCs w:val="18"/>
                    </w:rPr>
                  </w:pPr>
                </w:p>
              </w:tc>
              <w:tc>
                <w:tcPr>
                  <w:tcW w:w="404" w:type="pct"/>
                  <w:vMerge w:val="continue"/>
                  <w:vAlign w:val="center"/>
                </w:tcPr>
                <w:p>
                  <w:pPr>
                    <w:rPr>
                      <w:sz w:val="18"/>
                      <w:szCs w:val="18"/>
                    </w:rPr>
                  </w:pPr>
                </w:p>
              </w:tc>
              <w:tc>
                <w:tcPr>
                  <w:tcW w:w="561" w:type="pct"/>
                  <w:vMerge w:val="continue"/>
                  <w:vAlign w:val="center"/>
                </w:tcPr>
                <w:p>
                  <w:pPr>
                    <w:rPr>
                      <w:sz w:val="18"/>
                      <w:szCs w:val="18"/>
                    </w:rPr>
                  </w:pPr>
                </w:p>
              </w:tc>
              <w:tc>
                <w:tcPr>
                  <w:tcW w:w="354" w:type="pct"/>
                  <w:vMerge w:val="continue"/>
                  <w:vAlign w:val="center"/>
                </w:tcPr>
                <w:p>
                  <w:pPr>
                    <w:rPr>
                      <w:sz w:val="18"/>
                      <w:szCs w:val="18"/>
                    </w:rPr>
                  </w:pPr>
                </w:p>
              </w:tc>
              <w:tc>
                <w:tcPr>
                  <w:tcW w:w="377" w:type="pct"/>
                  <w:vMerge w:val="continue"/>
                  <w:vAlign w:val="center"/>
                </w:tcPr>
                <w:p>
                  <w:pPr>
                    <w:rPr>
                      <w:sz w:val="18"/>
                      <w:szCs w:val="18"/>
                    </w:rPr>
                  </w:pPr>
                </w:p>
              </w:tc>
              <w:tc>
                <w:tcPr>
                  <w:tcW w:w="364" w:type="pct"/>
                  <w:vMerge w:val="continue"/>
                  <w:vAlign w:val="center"/>
                </w:tcPr>
                <w:p>
                  <w:pPr>
                    <w:rPr>
                      <w:sz w:val="18"/>
                      <w:szCs w:val="18"/>
                    </w:rPr>
                  </w:pPr>
                </w:p>
              </w:tc>
              <w:tc>
                <w:tcPr>
                  <w:tcW w:w="383" w:type="pct"/>
                  <w:vAlign w:val="center"/>
                </w:tcPr>
                <w:p>
                  <w:pPr>
                    <w:pStyle w:val="12"/>
                    <w:jc w:val="center"/>
                    <w:rPr>
                      <w:sz w:val="18"/>
                      <w:szCs w:val="18"/>
                    </w:rPr>
                  </w:pPr>
                  <w:r>
                    <w:rPr>
                      <w:sz w:val="18"/>
                      <w:szCs w:val="18"/>
                    </w:rPr>
                    <w:t>BOD</w:t>
                  </w:r>
                  <w:r>
                    <w:rPr>
                      <w:sz w:val="18"/>
                      <w:szCs w:val="18"/>
                      <w:vertAlign w:val="subscript"/>
                    </w:rPr>
                    <w:t>5</w:t>
                  </w:r>
                </w:p>
              </w:tc>
              <w:tc>
                <w:tcPr>
                  <w:tcW w:w="1066" w:type="pct"/>
                  <w:vAlign w:val="center"/>
                </w:tcPr>
                <w:p>
                  <w:pPr>
                    <w:jc w:val="cente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80" w:type="pct"/>
                  <w:vMerge w:val="continue"/>
                  <w:vAlign w:val="center"/>
                </w:tcPr>
                <w:p>
                  <w:pPr>
                    <w:rPr>
                      <w:sz w:val="18"/>
                      <w:szCs w:val="18"/>
                    </w:rPr>
                  </w:pPr>
                </w:p>
              </w:tc>
              <w:tc>
                <w:tcPr>
                  <w:tcW w:w="390" w:type="pct"/>
                  <w:vMerge w:val="continue"/>
                  <w:vAlign w:val="center"/>
                </w:tcPr>
                <w:p>
                  <w:pPr>
                    <w:rPr>
                      <w:sz w:val="18"/>
                      <w:szCs w:val="18"/>
                    </w:rPr>
                  </w:pPr>
                </w:p>
              </w:tc>
              <w:tc>
                <w:tcPr>
                  <w:tcW w:w="410" w:type="pct"/>
                  <w:vMerge w:val="continue"/>
                  <w:vAlign w:val="center"/>
                </w:tcPr>
                <w:p>
                  <w:pPr>
                    <w:rPr>
                      <w:sz w:val="18"/>
                      <w:szCs w:val="18"/>
                    </w:rPr>
                  </w:pPr>
                </w:p>
              </w:tc>
              <w:tc>
                <w:tcPr>
                  <w:tcW w:w="411" w:type="pct"/>
                  <w:vMerge w:val="continue"/>
                  <w:vAlign w:val="center"/>
                </w:tcPr>
                <w:p>
                  <w:pPr>
                    <w:rPr>
                      <w:sz w:val="18"/>
                      <w:szCs w:val="18"/>
                    </w:rPr>
                  </w:pPr>
                </w:p>
              </w:tc>
              <w:tc>
                <w:tcPr>
                  <w:tcW w:w="404" w:type="pct"/>
                  <w:vMerge w:val="continue"/>
                  <w:vAlign w:val="center"/>
                </w:tcPr>
                <w:p>
                  <w:pPr>
                    <w:rPr>
                      <w:sz w:val="18"/>
                      <w:szCs w:val="18"/>
                    </w:rPr>
                  </w:pPr>
                </w:p>
              </w:tc>
              <w:tc>
                <w:tcPr>
                  <w:tcW w:w="561" w:type="pct"/>
                  <w:vMerge w:val="continue"/>
                  <w:vAlign w:val="center"/>
                </w:tcPr>
                <w:p>
                  <w:pPr>
                    <w:rPr>
                      <w:sz w:val="18"/>
                      <w:szCs w:val="18"/>
                    </w:rPr>
                  </w:pPr>
                </w:p>
              </w:tc>
              <w:tc>
                <w:tcPr>
                  <w:tcW w:w="354" w:type="pct"/>
                  <w:vMerge w:val="continue"/>
                  <w:vAlign w:val="center"/>
                </w:tcPr>
                <w:p>
                  <w:pPr>
                    <w:rPr>
                      <w:sz w:val="18"/>
                      <w:szCs w:val="18"/>
                    </w:rPr>
                  </w:pPr>
                </w:p>
              </w:tc>
              <w:tc>
                <w:tcPr>
                  <w:tcW w:w="377" w:type="pct"/>
                  <w:vMerge w:val="continue"/>
                  <w:vAlign w:val="center"/>
                </w:tcPr>
                <w:p>
                  <w:pPr>
                    <w:rPr>
                      <w:sz w:val="18"/>
                      <w:szCs w:val="18"/>
                    </w:rPr>
                  </w:pPr>
                </w:p>
              </w:tc>
              <w:tc>
                <w:tcPr>
                  <w:tcW w:w="364" w:type="pct"/>
                  <w:vMerge w:val="continue"/>
                  <w:vAlign w:val="center"/>
                </w:tcPr>
                <w:p>
                  <w:pPr>
                    <w:rPr>
                      <w:sz w:val="18"/>
                      <w:szCs w:val="18"/>
                    </w:rPr>
                  </w:pPr>
                </w:p>
              </w:tc>
              <w:tc>
                <w:tcPr>
                  <w:tcW w:w="383" w:type="pct"/>
                  <w:vAlign w:val="center"/>
                </w:tcPr>
                <w:p>
                  <w:pPr>
                    <w:jc w:val="center"/>
                    <w:rPr>
                      <w:sz w:val="18"/>
                      <w:szCs w:val="18"/>
                    </w:rPr>
                  </w:pPr>
                  <w:r>
                    <w:rPr>
                      <w:sz w:val="18"/>
                      <w:szCs w:val="18"/>
                    </w:rPr>
                    <w:t>NH</w:t>
                  </w:r>
                  <w:r>
                    <w:rPr>
                      <w:sz w:val="18"/>
                      <w:szCs w:val="18"/>
                      <w:vertAlign w:val="subscript"/>
                    </w:rPr>
                    <w:t>3</w:t>
                  </w:r>
                  <w:r>
                    <w:rPr>
                      <w:sz w:val="18"/>
                      <w:szCs w:val="18"/>
                    </w:rPr>
                    <w:t>-N</w:t>
                  </w:r>
                </w:p>
              </w:tc>
              <w:tc>
                <w:tcPr>
                  <w:tcW w:w="1066" w:type="pct"/>
                  <w:vAlign w:val="center"/>
                </w:tcPr>
                <w:p>
                  <w:pPr>
                    <w:jc w:val="center"/>
                    <w:rPr>
                      <w:sz w:val="18"/>
                      <w:szCs w:val="18"/>
                    </w:rPr>
                  </w:pPr>
                  <w:r>
                    <w:rPr>
                      <w:rFonts w:hint="eastAsia"/>
                      <w:sz w:val="18"/>
                      <w:szCs w:val="18"/>
                    </w:rPr>
                    <w:t>5</w:t>
                  </w:r>
                </w:p>
              </w:tc>
            </w:tr>
          </w:tbl>
          <w:p>
            <w:pPr>
              <w:autoSpaceDE w:val="0"/>
              <w:autoSpaceDN w:val="0"/>
              <w:adjustRightInd w:val="0"/>
              <w:snapToGrid w:val="0"/>
              <w:jc w:val="center"/>
              <w:rPr>
                <w:b/>
                <w:bCs/>
                <w:kern w:val="0"/>
                <w:szCs w:val="21"/>
              </w:rPr>
            </w:pPr>
            <w:r>
              <w:rPr>
                <w:b/>
                <w:bCs/>
                <w:kern w:val="0"/>
                <w:szCs w:val="21"/>
              </w:rPr>
              <w:t>表</w:t>
            </w:r>
            <w:r>
              <w:rPr>
                <w:rFonts w:hint="eastAsia"/>
                <w:b/>
                <w:bCs/>
                <w:kern w:val="0"/>
                <w:szCs w:val="21"/>
              </w:rPr>
              <w:t>24</w:t>
            </w:r>
            <w:r>
              <w:rPr>
                <w:b/>
                <w:bCs/>
                <w:kern w:val="0"/>
                <w:szCs w:val="21"/>
              </w:rPr>
              <w:t>废水污染物排放信息表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23"/>
              <w:gridCol w:w="1523"/>
              <w:gridCol w:w="1523"/>
              <w:gridCol w:w="152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center"/>
                </w:tcPr>
                <w:p>
                  <w:pPr>
                    <w:pStyle w:val="12"/>
                    <w:snapToGrid w:val="0"/>
                    <w:spacing w:after="0"/>
                    <w:jc w:val="center"/>
                    <w:rPr>
                      <w:szCs w:val="21"/>
                    </w:rPr>
                  </w:pPr>
                  <w:r>
                    <w:rPr>
                      <w:szCs w:val="21"/>
                    </w:rPr>
                    <w:t>序号</w:t>
                  </w:r>
                </w:p>
              </w:tc>
              <w:tc>
                <w:tcPr>
                  <w:tcW w:w="1523" w:type="dxa"/>
                  <w:vAlign w:val="center"/>
                </w:tcPr>
                <w:p>
                  <w:pPr>
                    <w:pStyle w:val="12"/>
                    <w:snapToGrid w:val="0"/>
                    <w:spacing w:after="0"/>
                    <w:jc w:val="center"/>
                    <w:rPr>
                      <w:szCs w:val="21"/>
                    </w:rPr>
                  </w:pPr>
                  <w:r>
                    <w:rPr>
                      <w:szCs w:val="21"/>
                    </w:rPr>
                    <w:t>排放口编号</w:t>
                  </w:r>
                </w:p>
              </w:tc>
              <w:tc>
                <w:tcPr>
                  <w:tcW w:w="1523" w:type="dxa"/>
                  <w:vAlign w:val="center"/>
                </w:tcPr>
                <w:p>
                  <w:pPr>
                    <w:pStyle w:val="12"/>
                    <w:snapToGrid w:val="0"/>
                    <w:spacing w:after="0"/>
                    <w:jc w:val="center"/>
                    <w:rPr>
                      <w:szCs w:val="21"/>
                    </w:rPr>
                  </w:pPr>
                  <w:r>
                    <w:rPr>
                      <w:szCs w:val="21"/>
                    </w:rPr>
                    <w:t>污染物种类</w:t>
                  </w:r>
                </w:p>
              </w:tc>
              <w:tc>
                <w:tcPr>
                  <w:tcW w:w="1523" w:type="dxa"/>
                  <w:vAlign w:val="center"/>
                </w:tcPr>
                <w:p>
                  <w:pPr>
                    <w:pStyle w:val="12"/>
                    <w:snapToGrid w:val="0"/>
                    <w:spacing w:after="0"/>
                    <w:jc w:val="center"/>
                    <w:rPr>
                      <w:szCs w:val="21"/>
                    </w:rPr>
                  </w:pPr>
                  <w:r>
                    <w:rPr>
                      <w:szCs w:val="21"/>
                    </w:rPr>
                    <w:t>排放浓度（mg/L）</w:t>
                  </w:r>
                </w:p>
              </w:tc>
              <w:tc>
                <w:tcPr>
                  <w:tcW w:w="1523" w:type="dxa"/>
                  <w:vAlign w:val="center"/>
                </w:tcPr>
                <w:p>
                  <w:pPr>
                    <w:pStyle w:val="12"/>
                    <w:snapToGrid w:val="0"/>
                    <w:spacing w:after="0"/>
                    <w:jc w:val="center"/>
                    <w:rPr>
                      <w:szCs w:val="21"/>
                    </w:rPr>
                  </w:pPr>
                  <w:r>
                    <w:rPr>
                      <w:szCs w:val="21"/>
                    </w:rPr>
                    <w:t>日排放量（kg/d）</w:t>
                  </w:r>
                </w:p>
              </w:tc>
              <w:tc>
                <w:tcPr>
                  <w:tcW w:w="1523" w:type="dxa"/>
                  <w:vAlign w:val="center"/>
                </w:tcPr>
                <w:p>
                  <w:pPr>
                    <w:pStyle w:val="12"/>
                    <w:snapToGrid w:val="0"/>
                    <w:spacing w:after="0"/>
                    <w:jc w:val="center"/>
                    <w:rPr>
                      <w:szCs w:val="21"/>
                    </w:rPr>
                  </w:pPr>
                  <w:r>
                    <w:rPr>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pPr>
                    <w:pStyle w:val="12"/>
                    <w:snapToGrid w:val="0"/>
                    <w:spacing w:after="0"/>
                    <w:jc w:val="center"/>
                    <w:rPr>
                      <w:szCs w:val="21"/>
                    </w:rPr>
                  </w:pPr>
                  <w:r>
                    <w:rPr>
                      <w:szCs w:val="21"/>
                    </w:rPr>
                    <w:t>1</w:t>
                  </w:r>
                </w:p>
              </w:tc>
              <w:tc>
                <w:tcPr>
                  <w:tcW w:w="1523" w:type="dxa"/>
                  <w:vMerge w:val="restart"/>
                  <w:vAlign w:val="center"/>
                </w:tcPr>
                <w:p>
                  <w:pPr>
                    <w:pStyle w:val="12"/>
                    <w:snapToGrid w:val="0"/>
                    <w:spacing w:after="0"/>
                    <w:jc w:val="center"/>
                    <w:rPr>
                      <w:szCs w:val="21"/>
                    </w:rPr>
                  </w:pPr>
                  <w:r>
                    <w:rPr>
                      <w:szCs w:val="21"/>
                    </w:rPr>
                    <w:t>废水排放口1</w:t>
                  </w:r>
                </w:p>
              </w:tc>
              <w:tc>
                <w:tcPr>
                  <w:tcW w:w="1523" w:type="dxa"/>
                  <w:vAlign w:val="center"/>
                </w:tcPr>
                <w:p>
                  <w:pPr>
                    <w:pStyle w:val="12"/>
                    <w:snapToGrid w:val="0"/>
                    <w:spacing w:after="0"/>
                    <w:jc w:val="center"/>
                    <w:rPr>
                      <w:szCs w:val="21"/>
                    </w:rPr>
                  </w:pPr>
                  <w:r>
                    <w:rPr>
                      <w:szCs w:val="21"/>
                    </w:rPr>
                    <w:t>COD</w:t>
                  </w:r>
                </w:p>
              </w:tc>
              <w:tc>
                <w:tcPr>
                  <w:tcW w:w="1523" w:type="dxa"/>
                  <w:vAlign w:val="center"/>
                </w:tcPr>
                <w:p>
                  <w:pPr>
                    <w:pStyle w:val="12"/>
                    <w:snapToGrid w:val="0"/>
                    <w:spacing w:after="0"/>
                    <w:jc w:val="center"/>
                    <w:rPr>
                      <w:szCs w:val="21"/>
                    </w:rPr>
                  </w:pPr>
                  <w:r>
                    <w:rPr>
                      <w:rFonts w:hint="eastAsia"/>
                      <w:szCs w:val="21"/>
                    </w:rPr>
                    <w:t>296</w:t>
                  </w:r>
                </w:p>
              </w:tc>
              <w:tc>
                <w:tcPr>
                  <w:tcW w:w="1523" w:type="dxa"/>
                  <w:vAlign w:val="center"/>
                </w:tcPr>
                <w:p>
                  <w:pPr>
                    <w:pStyle w:val="12"/>
                    <w:snapToGrid w:val="0"/>
                    <w:spacing w:after="0"/>
                    <w:jc w:val="center"/>
                    <w:rPr>
                      <w:szCs w:val="21"/>
                    </w:rPr>
                  </w:pPr>
                  <w:r>
                    <w:rPr>
                      <w:rFonts w:hint="eastAsia"/>
                      <w:szCs w:val="21"/>
                    </w:rPr>
                    <w:t>0.357</w:t>
                  </w:r>
                </w:p>
              </w:tc>
              <w:tc>
                <w:tcPr>
                  <w:tcW w:w="1523" w:type="dxa"/>
                  <w:vAlign w:val="center"/>
                </w:tcPr>
                <w:p>
                  <w:pPr>
                    <w:pStyle w:val="12"/>
                    <w:snapToGrid w:val="0"/>
                    <w:spacing w:after="0"/>
                    <w:jc w:val="center"/>
                    <w:rPr>
                      <w:szCs w:val="21"/>
                    </w:rPr>
                  </w:pPr>
                  <w:r>
                    <w:rPr>
                      <w:rFonts w:hint="eastAsia"/>
                      <w:szCs w:val="21"/>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center"/>
                </w:tcPr>
                <w:p>
                  <w:pPr>
                    <w:pStyle w:val="12"/>
                    <w:snapToGrid w:val="0"/>
                    <w:spacing w:after="0"/>
                    <w:jc w:val="center"/>
                    <w:rPr>
                      <w:szCs w:val="21"/>
                    </w:rPr>
                  </w:pPr>
                </w:p>
              </w:tc>
              <w:tc>
                <w:tcPr>
                  <w:tcW w:w="1523" w:type="dxa"/>
                  <w:vMerge w:val="continue"/>
                  <w:vAlign w:val="center"/>
                </w:tcPr>
                <w:p>
                  <w:pPr>
                    <w:pStyle w:val="12"/>
                    <w:snapToGrid w:val="0"/>
                    <w:spacing w:after="0"/>
                    <w:jc w:val="center"/>
                    <w:rPr>
                      <w:szCs w:val="21"/>
                    </w:rPr>
                  </w:pPr>
                </w:p>
              </w:tc>
              <w:tc>
                <w:tcPr>
                  <w:tcW w:w="1523" w:type="dxa"/>
                  <w:vAlign w:val="center"/>
                </w:tcPr>
                <w:p>
                  <w:pPr>
                    <w:pStyle w:val="12"/>
                    <w:snapToGrid w:val="0"/>
                    <w:spacing w:after="0"/>
                    <w:jc w:val="center"/>
                    <w:rPr>
                      <w:szCs w:val="21"/>
                    </w:rPr>
                  </w:pPr>
                  <w:r>
                    <w:rPr>
                      <w:szCs w:val="21"/>
                    </w:rPr>
                    <w:t>BOD</w:t>
                  </w:r>
                  <w:r>
                    <w:rPr>
                      <w:szCs w:val="21"/>
                      <w:vertAlign w:val="subscript"/>
                    </w:rPr>
                    <w:t>5</w:t>
                  </w:r>
                </w:p>
              </w:tc>
              <w:tc>
                <w:tcPr>
                  <w:tcW w:w="1523" w:type="dxa"/>
                  <w:vAlign w:val="center"/>
                </w:tcPr>
                <w:p>
                  <w:pPr>
                    <w:pStyle w:val="12"/>
                    <w:snapToGrid w:val="0"/>
                    <w:spacing w:after="0"/>
                    <w:jc w:val="center"/>
                    <w:rPr>
                      <w:szCs w:val="21"/>
                    </w:rPr>
                  </w:pPr>
                  <w:r>
                    <w:rPr>
                      <w:rFonts w:hint="eastAsia"/>
                      <w:szCs w:val="21"/>
                    </w:rPr>
                    <w:t>185</w:t>
                  </w:r>
                </w:p>
              </w:tc>
              <w:tc>
                <w:tcPr>
                  <w:tcW w:w="1523" w:type="dxa"/>
                  <w:vAlign w:val="center"/>
                </w:tcPr>
                <w:p>
                  <w:pPr>
                    <w:pStyle w:val="12"/>
                    <w:snapToGrid w:val="0"/>
                    <w:spacing w:after="0"/>
                    <w:jc w:val="center"/>
                    <w:rPr>
                      <w:szCs w:val="21"/>
                    </w:rPr>
                  </w:pPr>
                  <w:r>
                    <w:rPr>
                      <w:rFonts w:hint="eastAsia"/>
                      <w:szCs w:val="21"/>
                    </w:rPr>
                    <w:t>0.223</w:t>
                  </w:r>
                </w:p>
              </w:tc>
              <w:tc>
                <w:tcPr>
                  <w:tcW w:w="1523" w:type="dxa"/>
                  <w:vAlign w:val="center"/>
                </w:tcPr>
                <w:p>
                  <w:pPr>
                    <w:pStyle w:val="12"/>
                    <w:snapToGrid w:val="0"/>
                    <w:spacing w:after="0"/>
                    <w:jc w:val="center"/>
                    <w:rPr>
                      <w:szCs w:val="21"/>
                    </w:rPr>
                  </w:pPr>
                  <w:r>
                    <w:rPr>
                      <w:rFonts w:hint="eastAsia"/>
                      <w:szCs w:val="21"/>
                    </w:rPr>
                    <w:t>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21" w:type="dxa"/>
                  <w:vMerge w:val="continue"/>
                  <w:vAlign w:val="center"/>
                </w:tcPr>
                <w:p>
                  <w:pPr>
                    <w:pStyle w:val="12"/>
                    <w:snapToGrid w:val="0"/>
                    <w:spacing w:after="0"/>
                    <w:jc w:val="center"/>
                    <w:rPr>
                      <w:szCs w:val="21"/>
                    </w:rPr>
                  </w:pPr>
                </w:p>
              </w:tc>
              <w:tc>
                <w:tcPr>
                  <w:tcW w:w="1523" w:type="dxa"/>
                  <w:vMerge w:val="continue"/>
                  <w:vAlign w:val="center"/>
                </w:tcPr>
                <w:p>
                  <w:pPr>
                    <w:pStyle w:val="12"/>
                    <w:snapToGrid w:val="0"/>
                    <w:spacing w:after="0"/>
                    <w:jc w:val="center"/>
                    <w:rPr>
                      <w:szCs w:val="21"/>
                    </w:rPr>
                  </w:pPr>
                </w:p>
              </w:tc>
              <w:tc>
                <w:tcPr>
                  <w:tcW w:w="1523" w:type="dxa"/>
                  <w:vAlign w:val="center"/>
                </w:tcPr>
                <w:p>
                  <w:pPr>
                    <w:pStyle w:val="12"/>
                    <w:snapToGrid w:val="0"/>
                    <w:spacing w:after="0"/>
                    <w:jc w:val="center"/>
                    <w:rPr>
                      <w:szCs w:val="21"/>
                    </w:rPr>
                  </w:pPr>
                  <w:r>
                    <w:rPr>
                      <w:szCs w:val="21"/>
                    </w:rPr>
                    <w:t>SS</w:t>
                  </w:r>
                </w:p>
              </w:tc>
              <w:tc>
                <w:tcPr>
                  <w:tcW w:w="1523" w:type="dxa"/>
                  <w:vAlign w:val="center"/>
                </w:tcPr>
                <w:p>
                  <w:pPr>
                    <w:pStyle w:val="12"/>
                    <w:snapToGrid w:val="0"/>
                    <w:spacing w:after="0"/>
                    <w:jc w:val="center"/>
                    <w:rPr>
                      <w:szCs w:val="21"/>
                    </w:rPr>
                  </w:pPr>
                  <w:r>
                    <w:rPr>
                      <w:rFonts w:hint="eastAsia"/>
                      <w:szCs w:val="21"/>
                    </w:rPr>
                    <w:t>180</w:t>
                  </w:r>
                </w:p>
              </w:tc>
              <w:tc>
                <w:tcPr>
                  <w:tcW w:w="1523" w:type="dxa"/>
                  <w:vAlign w:val="center"/>
                </w:tcPr>
                <w:p>
                  <w:pPr>
                    <w:pStyle w:val="12"/>
                    <w:snapToGrid w:val="0"/>
                    <w:spacing w:after="0"/>
                    <w:jc w:val="center"/>
                    <w:rPr>
                      <w:szCs w:val="21"/>
                    </w:rPr>
                  </w:pPr>
                  <w:r>
                    <w:rPr>
                      <w:rFonts w:hint="eastAsia"/>
                      <w:szCs w:val="21"/>
                    </w:rPr>
                    <w:t>0.217</w:t>
                  </w:r>
                </w:p>
              </w:tc>
              <w:tc>
                <w:tcPr>
                  <w:tcW w:w="1523" w:type="dxa"/>
                  <w:vAlign w:val="center"/>
                </w:tcPr>
                <w:p>
                  <w:pPr>
                    <w:pStyle w:val="12"/>
                    <w:snapToGrid w:val="0"/>
                    <w:spacing w:after="0"/>
                    <w:jc w:val="center"/>
                    <w:rPr>
                      <w:szCs w:val="21"/>
                    </w:rPr>
                  </w:pPr>
                  <w:r>
                    <w:rPr>
                      <w:rFonts w:hint="eastAsia"/>
                      <w:szCs w:val="21"/>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center"/>
                </w:tcPr>
                <w:p>
                  <w:pPr>
                    <w:pStyle w:val="12"/>
                    <w:snapToGrid w:val="0"/>
                    <w:spacing w:after="0"/>
                    <w:jc w:val="center"/>
                    <w:rPr>
                      <w:szCs w:val="21"/>
                    </w:rPr>
                  </w:pPr>
                </w:p>
              </w:tc>
              <w:tc>
                <w:tcPr>
                  <w:tcW w:w="1523" w:type="dxa"/>
                  <w:vMerge w:val="continue"/>
                  <w:vAlign w:val="center"/>
                </w:tcPr>
                <w:p>
                  <w:pPr>
                    <w:pStyle w:val="12"/>
                    <w:snapToGrid w:val="0"/>
                    <w:spacing w:after="0"/>
                    <w:jc w:val="center"/>
                    <w:rPr>
                      <w:szCs w:val="21"/>
                    </w:rPr>
                  </w:pPr>
                </w:p>
              </w:tc>
              <w:tc>
                <w:tcPr>
                  <w:tcW w:w="1523" w:type="dxa"/>
                  <w:vAlign w:val="center"/>
                </w:tcPr>
                <w:p>
                  <w:pPr>
                    <w:snapToGrid w:val="0"/>
                    <w:jc w:val="center"/>
                    <w:rPr>
                      <w:szCs w:val="21"/>
                    </w:rPr>
                  </w:pPr>
                  <w:r>
                    <w:rPr>
                      <w:szCs w:val="21"/>
                    </w:rPr>
                    <w:t>NH</w:t>
                  </w:r>
                  <w:r>
                    <w:rPr>
                      <w:szCs w:val="21"/>
                      <w:vertAlign w:val="subscript"/>
                    </w:rPr>
                    <w:t>3</w:t>
                  </w:r>
                  <w:r>
                    <w:rPr>
                      <w:szCs w:val="21"/>
                    </w:rPr>
                    <w:t>-N</w:t>
                  </w:r>
                </w:p>
              </w:tc>
              <w:tc>
                <w:tcPr>
                  <w:tcW w:w="1523" w:type="dxa"/>
                  <w:vAlign w:val="center"/>
                </w:tcPr>
                <w:p>
                  <w:pPr>
                    <w:pStyle w:val="12"/>
                    <w:snapToGrid w:val="0"/>
                    <w:spacing w:after="0"/>
                    <w:jc w:val="center"/>
                    <w:rPr>
                      <w:szCs w:val="21"/>
                    </w:rPr>
                  </w:pPr>
                  <w:r>
                    <w:rPr>
                      <w:rFonts w:hint="eastAsia"/>
                      <w:szCs w:val="21"/>
                    </w:rPr>
                    <w:t>20</w:t>
                  </w:r>
                </w:p>
              </w:tc>
              <w:tc>
                <w:tcPr>
                  <w:tcW w:w="1523" w:type="dxa"/>
                  <w:vAlign w:val="center"/>
                </w:tcPr>
                <w:p>
                  <w:pPr>
                    <w:pStyle w:val="12"/>
                    <w:snapToGrid w:val="0"/>
                    <w:spacing w:after="0"/>
                    <w:jc w:val="center"/>
                    <w:rPr>
                      <w:szCs w:val="21"/>
                    </w:rPr>
                  </w:pPr>
                  <w:r>
                    <w:rPr>
                      <w:rFonts w:hint="eastAsia"/>
                      <w:szCs w:val="21"/>
                    </w:rPr>
                    <w:t>0.024</w:t>
                  </w:r>
                </w:p>
              </w:tc>
              <w:tc>
                <w:tcPr>
                  <w:tcW w:w="1523" w:type="dxa"/>
                  <w:vAlign w:val="center"/>
                </w:tcPr>
                <w:p>
                  <w:pPr>
                    <w:pStyle w:val="12"/>
                    <w:snapToGrid w:val="0"/>
                    <w:spacing w:after="0"/>
                    <w:jc w:val="center"/>
                    <w:rPr>
                      <w:szCs w:val="21"/>
                    </w:rPr>
                  </w:pPr>
                  <w:r>
                    <w:rPr>
                      <w:rFonts w:hint="eastAsia"/>
                      <w:szCs w:val="21"/>
                    </w:rPr>
                    <w:t>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4" w:type="dxa"/>
                  <w:gridSpan w:val="2"/>
                  <w:vMerge w:val="restart"/>
                  <w:vAlign w:val="center"/>
                </w:tcPr>
                <w:p>
                  <w:pPr>
                    <w:pStyle w:val="12"/>
                    <w:snapToGrid w:val="0"/>
                    <w:spacing w:after="0"/>
                    <w:jc w:val="center"/>
                    <w:rPr>
                      <w:szCs w:val="21"/>
                    </w:rPr>
                  </w:pPr>
                  <w:r>
                    <w:rPr>
                      <w:szCs w:val="21"/>
                    </w:rPr>
                    <w:t>全厂排放口统计</w:t>
                  </w:r>
                </w:p>
              </w:tc>
              <w:tc>
                <w:tcPr>
                  <w:tcW w:w="4569" w:type="dxa"/>
                  <w:gridSpan w:val="3"/>
                  <w:vAlign w:val="center"/>
                </w:tcPr>
                <w:p>
                  <w:pPr>
                    <w:pStyle w:val="12"/>
                    <w:snapToGrid w:val="0"/>
                    <w:spacing w:after="0"/>
                    <w:jc w:val="center"/>
                    <w:rPr>
                      <w:szCs w:val="21"/>
                    </w:rPr>
                  </w:pPr>
                  <w:r>
                    <w:rPr>
                      <w:szCs w:val="21"/>
                    </w:rPr>
                    <w:t>COD</w:t>
                  </w:r>
                </w:p>
              </w:tc>
              <w:tc>
                <w:tcPr>
                  <w:tcW w:w="1523" w:type="dxa"/>
                  <w:vAlign w:val="center"/>
                </w:tcPr>
                <w:p>
                  <w:pPr>
                    <w:pStyle w:val="12"/>
                    <w:snapToGrid w:val="0"/>
                    <w:spacing w:after="0"/>
                    <w:jc w:val="center"/>
                    <w:rPr>
                      <w:szCs w:val="21"/>
                    </w:rPr>
                  </w:pPr>
                  <w:r>
                    <w:rPr>
                      <w:rFonts w:hint="eastAsia"/>
                      <w:szCs w:val="21"/>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4" w:type="dxa"/>
                  <w:gridSpan w:val="2"/>
                  <w:vMerge w:val="continue"/>
                  <w:vAlign w:val="center"/>
                </w:tcPr>
                <w:p>
                  <w:pPr>
                    <w:pStyle w:val="12"/>
                    <w:snapToGrid w:val="0"/>
                    <w:spacing w:after="0"/>
                    <w:jc w:val="center"/>
                    <w:rPr>
                      <w:szCs w:val="21"/>
                    </w:rPr>
                  </w:pPr>
                </w:p>
              </w:tc>
              <w:tc>
                <w:tcPr>
                  <w:tcW w:w="4569" w:type="dxa"/>
                  <w:gridSpan w:val="3"/>
                  <w:vAlign w:val="center"/>
                </w:tcPr>
                <w:p>
                  <w:pPr>
                    <w:pStyle w:val="12"/>
                    <w:snapToGrid w:val="0"/>
                    <w:spacing w:after="0"/>
                    <w:jc w:val="center"/>
                    <w:rPr>
                      <w:szCs w:val="21"/>
                    </w:rPr>
                  </w:pPr>
                  <w:r>
                    <w:rPr>
                      <w:szCs w:val="21"/>
                    </w:rPr>
                    <w:t>SS</w:t>
                  </w:r>
                </w:p>
              </w:tc>
              <w:tc>
                <w:tcPr>
                  <w:tcW w:w="1523" w:type="dxa"/>
                  <w:vAlign w:val="center"/>
                </w:tcPr>
                <w:p>
                  <w:pPr>
                    <w:pStyle w:val="12"/>
                    <w:snapToGrid w:val="0"/>
                    <w:spacing w:after="0"/>
                    <w:jc w:val="center"/>
                    <w:rPr>
                      <w:szCs w:val="21"/>
                    </w:rPr>
                  </w:pPr>
                  <w:r>
                    <w:rPr>
                      <w:rFonts w:hint="eastAsia"/>
                      <w:szCs w:val="21"/>
                    </w:rPr>
                    <w:t>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4" w:type="dxa"/>
                  <w:gridSpan w:val="2"/>
                  <w:vMerge w:val="continue"/>
                  <w:vAlign w:val="center"/>
                </w:tcPr>
                <w:p>
                  <w:pPr>
                    <w:pStyle w:val="12"/>
                    <w:snapToGrid w:val="0"/>
                    <w:spacing w:after="0"/>
                    <w:jc w:val="center"/>
                    <w:rPr>
                      <w:szCs w:val="21"/>
                    </w:rPr>
                  </w:pPr>
                </w:p>
              </w:tc>
              <w:tc>
                <w:tcPr>
                  <w:tcW w:w="4569" w:type="dxa"/>
                  <w:gridSpan w:val="3"/>
                  <w:vAlign w:val="center"/>
                </w:tcPr>
                <w:p>
                  <w:pPr>
                    <w:pStyle w:val="12"/>
                    <w:snapToGrid w:val="0"/>
                    <w:spacing w:after="0"/>
                    <w:jc w:val="center"/>
                    <w:rPr>
                      <w:szCs w:val="21"/>
                    </w:rPr>
                  </w:pPr>
                  <w:r>
                    <w:rPr>
                      <w:szCs w:val="21"/>
                    </w:rPr>
                    <w:t>BOD</w:t>
                  </w:r>
                  <w:r>
                    <w:rPr>
                      <w:szCs w:val="21"/>
                      <w:vertAlign w:val="subscript"/>
                    </w:rPr>
                    <w:t>5</w:t>
                  </w:r>
                </w:p>
              </w:tc>
              <w:tc>
                <w:tcPr>
                  <w:tcW w:w="1523" w:type="dxa"/>
                  <w:vAlign w:val="center"/>
                </w:tcPr>
                <w:p>
                  <w:pPr>
                    <w:pStyle w:val="12"/>
                    <w:snapToGrid w:val="0"/>
                    <w:spacing w:after="0"/>
                    <w:jc w:val="center"/>
                    <w:rPr>
                      <w:szCs w:val="21"/>
                    </w:rPr>
                  </w:pPr>
                  <w:r>
                    <w:rPr>
                      <w:rFonts w:hint="eastAsia"/>
                      <w:szCs w:val="21"/>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4" w:type="dxa"/>
                  <w:gridSpan w:val="2"/>
                  <w:vMerge w:val="continue"/>
                  <w:vAlign w:val="center"/>
                </w:tcPr>
                <w:p>
                  <w:pPr>
                    <w:pStyle w:val="12"/>
                    <w:snapToGrid w:val="0"/>
                    <w:spacing w:after="0"/>
                    <w:jc w:val="center"/>
                    <w:rPr>
                      <w:szCs w:val="21"/>
                    </w:rPr>
                  </w:pPr>
                </w:p>
              </w:tc>
              <w:tc>
                <w:tcPr>
                  <w:tcW w:w="4569" w:type="dxa"/>
                  <w:gridSpan w:val="3"/>
                  <w:vAlign w:val="center"/>
                </w:tcPr>
                <w:p>
                  <w:pPr>
                    <w:snapToGrid w:val="0"/>
                    <w:jc w:val="center"/>
                    <w:rPr>
                      <w:szCs w:val="21"/>
                    </w:rPr>
                  </w:pPr>
                  <w:r>
                    <w:rPr>
                      <w:szCs w:val="21"/>
                    </w:rPr>
                    <w:t>NH</w:t>
                  </w:r>
                  <w:r>
                    <w:rPr>
                      <w:szCs w:val="21"/>
                      <w:vertAlign w:val="subscript"/>
                    </w:rPr>
                    <w:t>3</w:t>
                  </w:r>
                  <w:r>
                    <w:rPr>
                      <w:szCs w:val="21"/>
                    </w:rPr>
                    <w:t>-N</w:t>
                  </w:r>
                </w:p>
              </w:tc>
              <w:tc>
                <w:tcPr>
                  <w:tcW w:w="1523" w:type="dxa"/>
                  <w:vAlign w:val="center"/>
                </w:tcPr>
                <w:p>
                  <w:pPr>
                    <w:pStyle w:val="12"/>
                    <w:snapToGrid w:val="0"/>
                    <w:spacing w:after="0"/>
                    <w:jc w:val="center"/>
                    <w:rPr>
                      <w:szCs w:val="21"/>
                    </w:rPr>
                  </w:pPr>
                  <w:r>
                    <w:rPr>
                      <w:rFonts w:hint="eastAsia"/>
                      <w:szCs w:val="21"/>
                    </w:rPr>
                    <w:t>0.0072</w:t>
                  </w:r>
                </w:p>
              </w:tc>
            </w:tr>
          </w:tbl>
          <w:p>
            <w:pPr>
              <w:autoSpaceDE w:val="0"/>
              <w:autoSpaceDN w:val="0"/>
              <w:adjustRightInd w:val="0"/>
              <w:snapToGrid w:val="0"/>
              <w:jc w:val="center"/>
              <w:rPr>
                <w:b/>
                <w:bCs/>
                <w:kern w:val="0"/>
                <w:szCs w:val="21"/>
              </w:rPr>
            </w:pPr>
            <w:r>
              <w:rPr>
                <w:rFonts w:hint="eastAsia"/>
                <w:b/>
                <w:bCs/>
                <w:kern w:val="0"/>
                <w:szCs w:val="21"/>
              </w:rPr>
              <w:t>表25</w:t>
            </w:r>
            <w:r>
              <w:rPr>
                <w:b/>
                <w:bCs/>
                <w:kern w:val="0"/>
                <w:szCs w:val="21"/>
              </w:rPr>
              <w:t xml:space="preserve"> </w:t>
            </w:r>
            <w:r>
              <w:rPr>
                <w:rFonts w:hint="eastAsia"/>
                <w:b/>
                <w:bCs/>
                <w:kern w:val="0"/>
                <w:szCs w:val="21"/>
              </w:rPr>
              <w:t>地表水环境影响评价自查表</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628"/>
              <w:gridCol w:w="644"/>
              <w:gridCol w:w="636"/>
              <w:gridCol w:w="626"/>
              <w:gridCol w:w="625"/>
              <w:gridCol w:w="620"/>
              <w:gridCol w:w="628"/>
              <w:gridCol w:w="627"/>
              <w:gridCol w:w="623"/>
              <w:gridCol w:w="622"/>
              <w:gridCol w:w="622"/>
              <w:gridCol w:w="609"/>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2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工作内容</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自查项目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kern w:val="0"/>
                      <w:sz w:val="18"/>
                      <w:szCs w:val="18"/>
                    </w:rPr>
                  </w:pPr>
                  <w:r>
                    <w:rPr>
                      <w:rFonts w:hAnsi="宋体"/>
                      <w:kern w:val="0"/>
                      <w:sz w:val="18"/>
                      <w:szCs w:val="18"/>
                    </w:rPr>
                    <w:t>影</w:t>
                  </w:r>
                </w:p>
                <w:p>
                  <w:pPr>
                    <w:widowControl/>
                    <w:snapToGrid w:val="0"/>
                    <w:jc w:val="center"/>
                    <w:textAlignment w:val="center"/>
                    <w:rPr>
                      <w:sz w:val="18"/>
                      <w:szCs w:val="18"/>
                    </w:rPr>
                  </w:pPr>
                  <w:r>
                    <w:rPr>
                      <w:rFonts w:hAnsi="宋体"/>
                      <w:kern w:val="0"/>
                      <w:sz w:val="18"/>
                      <w:szCs w:val="18"/>
                    </w:rPr>
                    <w:t>响</w:t>
                  </w:r>
                </w:p>
                <w:p>
                  <w:pPr>
                    <w:widowControl/>
                    <w:snapToGrid w:val="0"/>
                    <w:jc w:val="center"/>
                    <w:textAlignment w:val="center"/>
                    <w:rPr>
                      <w:sz w:val="18"/>
                      <w:szCs w:val="18"/>
                    </w:rPr>
                  </w:pPr>
                  <w:r>
                    <w:rPr>
                      <w:rFonts w:hAnsi="宋体"/>
                      <w:kern w:val="0"/>
                      <w:sz w:val="18"/>
                      <w:szCs w:val="18"/>
                    </w:rPr>
                    <w:t>识</w:t>
                  </w:r>
                </w:p>
                <w:p>
                  <w:pPr>
                    <w:widowControl/>
                    <w:snapToGrid w:val="0"/>
                    <w:jc w:val="center"/>
                    <w:textAlignment w:val="center"/>
                    <w:rPr>
                      <w:sz w:val="18"/>
                      <w:szCs w:val="18"/>
                    </w:rPr>
                  </w:pPr>
                  <w:r>
                    <w:rPr>
                      <w:rFonts w:hAnsi="宋体"/>
                      <w:kern w:val="0"/>
                      <w:sz w:val="18"/>
                      <w:szCs w:val="18"/>
                    </w:rPr>
                    <w:t>别</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影响类型</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水污染影响型</w:t>
                  </w:r>
                  <w:r>
                    <w:rPr>
                      <w:kern w:val="0"/>
                      <w:sz w:val="18"/>
                      <w:szCs w:val="18"/>
                    </w:rPr>
                    <w:t xml:space="preserve"> </w:t>
                  </w:r>
                  <w:r>
                    <w:rPr>
                      <w:rStyle w:val="222"/>
                      <w:color w:val="auto"/>
                    </w:rPr>
                    <w:sym w:font="Wingdings 2" w:char="0052"/>
                  </w:r>
                  <w:r>
                    <w:rPr>
                      <w:rStyle w:val="222"/>
                      <w:rFonts w:hAnsi="宋体"/>
                      <w:color w:val="auto"/>
                    </w:rPr>
                    <w:t>；水文要素影响型</w:t>
                  </w:r>
                  <w:r>
                    <w:rPr>
                      <w:rStyle w:val="222"/>
                      <w:color w:val="auto"/>
                    </w:rPr>
                    <w:t xml:space="preserve"> </w:t>
                  </w:r>
                  <w:r>
                    <w:rPr>
                      <w:rStyle w:val="222"/>
                      <w:color w:val="auto"/>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水环境保护目标</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饮用水水源保护区</w:t>
                  </w:r>
                  <w:r>
                    <w:rPr>
                      <w:kern w:val="0"/>
                      <w:sz w:val="18"/>
                      <w:szCs w:val="18"/>
                    </w:rPr>
                    <w:t xml:space="preserve"> □</w:t>
                  </w:r>
                  <w:r>
                    <w:rPr>
                      <w:rFonts w:hAnsi="宋体"/>
                      <w:kern w:val="0"/>
                      <w:sz w:val="18"/>
                      <w:szCs w:val="18"/>
                    </w:rPr>
                    <w:t>；饮用水取水口</w:t>
                  </w:r>
                  <w:r>
                    <w:rPr>
                      <w:kern w:val="0"/>
                      <w:sz w:val="18"/>
                      <w:szCs w:val="18"/>
                    </w:rPr>
                    <w:t xml:space="preserve"> □</w:t>
                  </w:r>
                  <w:r>
                    <w:rPr>
                      <w:rFonts w:hAnsi="宋体"/>
                      <w:kern w:val="0"/>
                      <w:sz w:val="18"/>
                      <w:szCs w:val="18"/>
                    </w:rPr>
                    <w:t>；涉水的自然保护区</w:t>
                  </w:r>
                  <w:r>
                    <w:rPr>
                      <w:kern w:val="0"/>
                      <w:sz w:val="18"/>
                      <w:szCs w:val="18"/>
                    </w:rPr>
                    <w:t xml:space="preserve"> </w:t>
                  </w:r>
                  <w:r>
                    <w:rPr>
                      <w:kern w:val="0"/>
                      <w:sz w:val="18"/>
                      <w:szCs w:val="18"/>
                    </w:rPr>
                    <w:sym w:font="Wingdings 2" w:char="00A3"/>
                  </w:r>
                  <w:r>
                    <w:rPr>
                      <w:rFonts w:hAnsi="宋体"/>
                      <w:kern w:val="0"/>
                      <w:sz w:val="18"/>
                      <w:szCs w:val="18"/>
                    </w:rPr>
                    <w:t>；重要湿地</w:t>
                  </w:r>
                  <w:r>
                    <w:rPr>
                      <w:kern w:val="0"/>
                      <w:sz w:val="18"/>
                      <w:szCs w:val="18"/>
                    </w:rPr>
                    <w:t xml:space="preserve"> □</w:t>
                  </w:r>
                  <w:r>
                    <w:rPr>
                      <w:rFonts w:hAns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重点保护与珍稀水生生物的栖息地</w:t>
                  </w:r>
                  <w:r>
                    <w:rPr>
                      <w:kern w:val="0"/>
                      <w:sz w:val="18"/>
                      <w:szCs w:val="18"/>
                    </w:rPr>
                    <w:t xml:space="preserve"> □</w:t>
                  </w:r>
                  <w:r>
                    <w:rPr>
                      <w:rFonts w:hAnsi="宋体"/>
                      <w:kern w:val="0"/>
                      <w:sz w:val="18"/>
                      <w:szCs w:val="18"/>
                    </w:rPr>
                    <w:t>；重要水生生物的自然产卵场及索饵场、越冬场和洄游通道、天然渔场等渔业水体</w:t>
                  </w:r>
                  <w:r>
                    <w:rPr>
                      <w:kern w:val="0"/>
                      <w:sz w:val="18"/>
                      <w:szCs w:val="18"/>
                    </w:rPr>
                    <w:t xml:space="preserve"> □</w:t>
                  </w:r>
                  <w:r>
                    <w:rPr>
                      <w:rFonts w:hAnsi="宋体"/>
                      <w:kern w:val="0"/>
                      <w:sz w:val="18"/>
                      <w:szCs w:val="18"/>
                    </w:rPr>
                    <w:t>；涉水的风景名胜区</w:t>
                  </w:r>
                  <w:r>
                    <w:rPr>
                      <w:kern w:val="0"/>
                      <w:sz w:val="18"/>
                      <w:szCs w:val="18"/>
                    </w:rPr>
                    <w:t xml:space="preserve"> □</w:t>
                  </w:r>
                  <w:r>
                    <w:rPr>
                      <w:rFonts w:hAnsi="宋体"/>
                      <w:kern w:val="0"/>
                      <w:sz w:val="18"/>
                      <w:szCs w:val="18"/>
                    </w:rPr>
                    <w:t>；其他</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影响途径</w:t>
                  </w: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水污染影响型</w:t>
                  </w:r>
                </w:p>
              </w:tc>
              <w:tc>
                <w:tcPr>
                  <w:tcW w:w="4114"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水文要素影响型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直接排放</w:t>
                  </w:r>
                  <w:r>
                    <w:rPr>
                      <w:kern w:val="0"/>
                      <w:sz w:val="18"/>
                      <w:szCs w:val="18"/>
                    </w:rPr>
                    <w:t>□</w:t>
                  </w:r>
                  <w:r>
                    <w:rPr>
                      <w:rFonts w:hAnsi="宋体"/>
                      <w:kern w:val="0"/>
                      <w:sz w:val="18"/>
                      <w:szCs w:val="18"/>
                    </w:rPr>
                    <w:t>；间接排放</w:t>
                  </w:r>
                  <w:r>
                    <w:rPr>
                      <w:rFonts w:hAnsi="宋体"/>
                      <w:kern w:val="0"/>
                      <w:sz w:val="18"/>
                      <w:szCs w:val="18"/>
                    </w:rPr>
                    <w:sym w:font="Wingdings 2" w:char="0052"/>
                  </w:r>
                  <w:r>
                    <w:rPr>
                      <w:rStyle w:val="222"/>
                      <w:rFonts w:hAnsi="宋体"/>
                      <w:color w:val="auto"/>
                    </w:rPr>
                    <w:t>；其他</w:t>
                  </w:r>
                  <w:r>
                    <w:rPr>
                      <w:rStyle w:val="222"/>
                      <w:color w:val="auto"/>
                    </w:rPr>
                    <w:t xml:space="preserve"> □</w:t>
                  </w:r>
                </w:p>
              </w:tc>
              <w:tc>
                <w:tcPr>
                  <w:tcW w:w="4114"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水温</w:t>
                  </w:r>
                  <w:r>
                    <w:rPr>
                      <w:kern w:val="0"/>
                      <w:sz w:val="18"/>
                      <w:szCs w:val="18"/>
                    </w:rPr>
                    <w:t xml:space="preserve"> □</w:t>
                  </w:r>
                  <w:r>
                    <w:rPr>
                      <w:rFonts w:hAnsi="宋体"/>
                      <w:kern w:val="0"/>
                      <w:sz w:val="18"/>
                      <w:szCs w:val="18"/>
                    </w:rPr>
                    <w:t>；径流</w:t>
                  </w:r>
                  <w:r>
                    <w:rPr>
                      <w:kern w:val="0"/>
                      <w:sz w:val="18"/>
                      <w:szCs w:val="18"/>
                    </w:rPr>
                    <w:t xml:space="preserve"> □</w:t>
                  </w:r>
                  <w:r>
                    <w:rPr>
                      <w:rFonts w:hAnsi="宋体"/>
                      <w:kern w:val="0"/>
                      <w:sz w:val="18"/>
                      <w:szCs w:val="18"/>
                    </w:rPr>
                    <w:t>；水域面积</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影响因子</w:t>
                  </w: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持久性污染物</w:t>
                  </w:r>
                  <w:r>
                    <w:rPr>
                      <w:kern w:val="0"/>
                      <w:sz w:val="18"/>
                      <w:szCs w:val="18"/>
                    </w:rPr>
                    <w:t xml:space="preserve"> □</w:t>
                  </w:r>
                  <w:r>
                    <w:rPr>
                      <w:rFonts w:hAnsi="宋体"/>
                      <w:kern w:val="0"/>
                      <w:sz w:val="18"/>
                      <w:szCs w:val="18"/>
                    </w:rPr>
                    <w:t>；有毒有害污染物</w:t>
                  </w:r>
                  <w:r>
                    <w:rPr>
                      <w:kern w:val="0"/>
                      <w:sz w:val="18"/>
                      <w:szCs w:val="18"/>
                    </w:rPr>
                    <w:t xml:space="preserve"> □</w:t>
                  </w:r>
                  <w:r>
                    <w:rPr>
                      <w:rFonts w:hAnsi="宋体"/>
                      <w:kern w:val="0"/>
                      <w:sz w:val="18"/>
                      <w:szCs w:val="18"/>
                    </w:rPr>
                    <w:t>；非持久性污染物</w:t>
                  </w:r>
                  <w:r>
                    <w:rPr>
                      <w:kern w:val="0"/>
                      <w:sz w:val="18"/>
                      <w:szCs w:val="18"/>
                    </w:rPr>
                    <w:t xml:space="preserve"> </w:t>
                  </w:r>
                  <w:r>
                    <w:rPr>
                      <w:kern w:val="0"/>
                      <w:sz w:val="18"/>
                      <w:szCs w:val="18"/>
                    </w:rPr>
                    <w:sym w:font="Wingdings 2" w:char="0052"/>
                  </w:r>
                  <w:r>
                    <w:rPr>
                      <w:rFonts w:hAnsi="宋体"/>
                      <w:kern w:val="0"/>
                      <w:sz w:val="18"/>
                      <w:szCs w:val="18"/>
                    </w:rPr>
                    <w:t>；</w:t>
                  </w:r>
                </w:p>
              </w:tc>
              <w:tc>
                <w:tcPr>
                  <w:tcW w:w="4114" w:type="dxa"/>
                  <w:gridSpan w:val="6"/>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水温</w:t>
                  </w:r>
                  <w:r>
                    <w:rPr>
                      <w:kern w:val="0"/>
                      <w:sz w:val="18"/>
                      <w:szCs w:val="18"/>
                    </w:rPr>
                    <w:t xml:space="preserve"> □</w:t>
                  </w:r>
                  <w:r>
                    <w:rPr>
                      <w:rFonts w:hAnsi="宋体"/>
                      <w:kern w:val="0"/>
                      <w:sz w:val="18"/>
                      <w:szCs w:val="18"/>
                    </w:rPr>
                    <w:t>；水位（水深）</w:t>
                  </w:r>
                  <w:r>
                    <w:rPr>
                      <w:kern w:val="0"/>
                      <w:sz w:val="18"/>
                      <w:szCs w:val="18"/>
                    </w:rPr>
                    <w:t xml:space="preserve"> □</w:t>
                  </w:r>
                  <w:r>
                    <w:rPr>
                      <w:rFonts w:hAnsi="宋体"/>
                      <w:kern w:val="0"/>
                      <w:sz w:val="18"/>
                      <w:szCs w:val="18"/>
                    </w:rPr>
                    <w:t>；流速</w:t>
                  </w:r>
                  <w:r>
                    <w:rPr>
                      <w:kern w:val="0"/>
                      <w:sz w:val="18"/>
                      <w:szCs w:val="18"/>
                    </w:rPr>
                    <w:t xml:space="preserve"> □</w:t>
                  </w:r>
                  <w:r>
                    <w:rPr>
                      <w:rFonts w:hAnsi="宋体"/>
                      <w:kern w:val="0"/>
                      <w:sz w:val="18"/>
                      <w:szCs w:val="18"/>
                    </w:rPr>
                    <w:t>；流量</w:t>
                  </w:r>
                  <w:r>
                    <w:rPr>
                      <w:kern w:val="0"/>
                      <w:sz w:val="18"/>
                      <w:szCs w:val="18"/>
                    </w:rPr>
                    <w:t xml:space="preserve"> □</w:t>
                  </w:r>
                  <w:r>
                    <w:rPr>
                      <w:rFonts w:hAnsi="宋体"/>
                      <w:kern w:val="0"/>
                      <w:sz w:val="18"/>
                      <w:szCs w:val="18"/>
                    </w:rPr>
                    <w:t>；其他</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kern w:val="0"/>
                      <w:sz w:val="18"/>
                      <w:szCs w:val="18"/>
                    </w:rPr>
                    <w:t>pH</w:t>
                  </w:r>
                  <w:r>
                    <w:rPr>
                      <w:rFonts w:hAnsi="宋体"/>
                      <w:kern w:val="0"/>
                      <w:sz w:val="18"/>
                      <w:szCs w:val="18"/>
                    </w:rPr>
                    <w:t>值</w:t>
                  </w:r>
                  <w:r>
                    <w:rPr>
                      <w:kern w:val="0"/>
                      <w:sz w:val="18"/>
                      <w:szCs w:val="18"/>
                    </w:rPr>
                    <w:t xml:space="preserve"> □</w:t>
                  </w:r>
                  <w:r>
                    <w:rPr>
                      <w:rFonts w:hAnsi="宋体"/>
                      <w:kern w:val="0"/>
                      <w:sz w:val="18"/>
                      <w:szCs w:val="18"/>
                    </w:rPr>
                    <w:t>；热污染</w:t>
                  </w:r>
                  <w:r>
                    <w:rPr>
                      <w:kern w:val="0"/>
                      <w:sz w:val="18"/>
                      <w:szCs w:val="18"/>
                    </w:rPr>
                    <w:t xml:space="preserve"> □</w:t>
                  </w:r>
                  <w:r>
                    <w:rPr>
                      <w:rFonts w:hAnsi="宋体"/>
                      <w:kern w:val="0"/>
                      <w:sz w:val="18"/>
                      <w:szCs w:val="18"/>
                    </w:rPr>
                    <w:t>；富营养化</w:t>
                  </w:r>
                  <w:r>
                    <w:rPr>
                      <w:kern w:val="0"/>
                      <w:sz w:val="18"/>
                      <w:szCs w:val="18"/>
                    </w:rPr>
                    <w:t xml:space="preserve"> □</w:t>
                  </w:r>
                  <w:r>
                    <w:rPr>
                      <w:rFonts w:hAnsi="宋体"/>
                      <w:kern w:val="0"/>
                      <w:sz w:val="18"/>
                      <w:szCs w:val="18"/>
                    </w:rPr>
                    <w:t>；其他</w:t>
                  </w:r>
                  <w:r>
                    <w:rPr>
                      <w:kern w:val="0"/>
                      <w:sz w:val="18"/>
                      <w:szCs w:val="18"/>
                    </w:rPr>
                    <w:t xml:space="preserve"> </w:t>
                  </w:r>
                  <w:r>
                    <w:rPr>
                      <w:rStyle w:val="222"/>
                      <w:color w:val="auto"/>
                    </w:rPr>
                    <w:sym w:font="Wingdings 2" w:char="00A3"/>
                  </w:r>
                </w:p>
              </w:tc>
              <w:tc>
                <w:tcPr>
                  <w:tcW w:w="14607"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25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评价等级</w:t>
                  </w: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水污染影响型</w:t>
                  </w:r>
                </w:p>
              </w:tc>
              <w:tc>
                <w:tcPr>
                  <w:tcW w:w="4114"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水文要素影响型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一级</w:t>
                  </w:r>
                  <w:r>
                    <w:rPr>
                      <w:kern w:val="0"/>
                      <w:sz w:val="18"/>
                      <w:szCs w:val="18"/>
                    </w:rPr>
                    <w:t xml:space="preserve"> □</w:t>
                  </w:r>
                  <w:r>
                    <w:rPr>
                      <w:rFonts w:hAnsi="宋体"/>
                      <w:kern w:val="0"/>
                      <w:sz w:val="18"/>
                      <w:szCs w:val="18"/>
                    </w:rPr>
                    <w:t>；二级</w:t>
                  </w:r>
                  <w:r>
                    <w:rPr>
                      <w:kern w:val="0"/>
                      <w:sz w:val="18"/>
                      <w:szCs w:val="18"/>
                    </w:rPr>
                    <w:t xml:space="preserve"> □</w:t>
                  </w:r>
                  <w:r>
                    <w:rPr>
                      <w:rFonts w:hAnsi="宋体"/>
                      <w:kern w:val="0"/>
                      <w:sz w:val="18"/>
                      <w:szCs w:val="18"/>
                    </w:rPr>
                    <w:t>；三级</w:t>
                  </w:r>
                  <w:r>
                    <w:rPr>
                      <w:rStyle w:val="223"/>
                      <w:color w:val="auto"/>
                      <w:sz w:val="18"/>
                      <w:szCs w:val="18"/>
                    </w:rPr>
                    <w:t xml:space="preserve">A </w:t>
                  </w:r>
                  <w:r>
                    <w:rPr>
                      <w:rStyle w:val="222"/>
                      <w:color w:val="auto"/>
                    </w:rPr>
                    <w:t>□</w:t>
                  </w:r>
                  <w:r>
                    <w:rPr>
                      <w:rStyle w:val="222"/>
                      <w:rFonts w:hAnsi="宋体"/>
                      <w:color w:val="auto"/>
                    </w:rPr>
                    <w:t>；三级</w:t>
                  </w:r>
                  <w:r>
                    <w:rPr>
                      <w:rStyle w:val="223"/>
                      <w:color w:val="auto"/>
                      <w:sz w:val="18"/>
                      <w:szCs w:val="18"/>
                    </w:rPr>
                    <w:t xml:space="preserve">B </w:t>
                  </w:r>
                  <w:r>
                    <w:rPr>
                      <w:rStyle w:val="222"/>
                      <w:color w:val="auto"/>
                    </w:rPr>
                    <w:sym w:font="Wingdings 2" w:char="0052"/>
                  </w:r>
                </w:p>
              </w:tc>
              <w:tc>
                <w:tcPr>
                  <w:tcW w:w="4114"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一级</w:t>
                  </w:r>
                  <w:r>
                    <w:rPr>
                      <w:kern w:val="0"/>
                      <w:sz w:val="18"/>
                      <w:szCs w:val="18"/>
                    </w:rPr>
                    <w:t xml:space="preserve"> □</w:t>
                  </w:r>
                  <w:r>
                    <w:rPr>
                      <w:rFonts w:hAnsi="宋体"/>
                      <w:kern w:val="0"/>
                      <w:sz w:val="18"/>
                      <w:szCs w:val="18"/>
                    </w:rPr>
                    <w:t>；二级</w:t>
                  </w:r>
                  <w:r>
                    <w:rPr>
                      <w:kern w:val="0"/>
                      <w:sz w:val="18"/>
                      <w:szCs w:val="18"/>
                    </w:rPr>
                    <w:t xml:space="preserve"> □</w:t>
                  </w:r>
                  <w:r>
                    <w:rPr>
                      <w:rFonts w:hAnsi="宋体"/>
                      <w:kern w:val="0"/>
                      <w:sz w:val="18"/>
                      <w:szCs w:val="18"/>
                    </w:rPr>
                    <w:t>；三级</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kern w:val="0"/>
                      <w:sz w:val="18"/>
                      <w:szCs w:val="18"/>
                    </w:rPr>
                  </w:pPr>
                  <w:r>
                    <w:rPr>
                      <w:rFonts w:hAnsi="宋体"/>
                      <w:kern w:val="0"/>
                      <w:sz w:val="18"/>
                      <w:szCs w:val="18"/>
                    </w:rPr>
                    <w:t>现</w:t>
                  </w:r>
                </w:p>
                <w:p>
                  <w:pPr>
                    <w:widowControl/>
                    <w:snapToGrid w:val="0"/>
                    <w:jc w:val="center"/>
                    <w:textAlignment w:val="center"/>
                    <w:rPr>
                      <w:sz w:val="18"/>
                      <w:szCs w:val="18"/>
                    </w:rPr>
                  </w:pPr>
                  <w:r>
                    <w:rPr>
                      <w:rFonts w:hAnsi="宋体"/>
                      <w:kern w:val="0"/>
                      <w:sz w:val="18"/>
                      <w:szCs w:val="18"/>
                    </w:rPr>
                    <w:t>状</w:t>
                  </w:r>
                </w:p>
                <w:p>
                  <w:pPr>
                    <w:widowControl/>
                    <w:snapToGrid w:val="0"/>
                    <w:jc w:val="center"/>
                    <w:textAlignment w:val="center"/>
                    <w:rPr>
                      <w:sz w:val="18"/>
                      <w:szCs w:val="18"/>
                    </w:rPr>
                  </w:pPr>
                  <w:r>
                    <w:rPr>
                      <w:rFonts w:hAnsi="宋体"/>
                      <w:kern w:val="0"/>
                      <w:sz w:val="18"/>
                      <w:szCs w:val="18"/>
                    </w:rPr>
                    <w:t>调</w:t>
                  </w:r>
                </w:p>
                <w:p>
                  <w:pPr>
                    <w:widowControl/>
                    <w:snapToGrid w:val="0"/>
                    <w:jc w:val="center"/>
                    <w:textAlignment w:val="center"/>
                    <w:rPr>
                      <w:sz w:val="18"/>
                      <w:szCs w:val="18"/>
                    </w:rPr>
                  </w:pPr>
                  <w:r>
                    <w:rPr>
                      <w:rFonts w:hAnsi="宋体"/>
                      <w:kern w:val="0"/>
                      <w:sz w:val="18"/>
                      <w:szCs w:val="18"/>
                    </w:rPr>
                    <w:t>查</w:t>
                  </w: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区域污染源</w:t>
                  </w: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调查项目</w:t>
                  </w:r>
                </w:p>
              </w:tc>
              <w:tc>
                <w:tcPr>
                  <w:tcW w:w="4114"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12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已建</w:t>
                  </w:r>
                  <w:r>
                    <w:rPr>
                      <w:kern w:val="0"/>
                      <w:sz w:val="18"/>
                      <w:szCs w:val="18"/>
                    </w:rPr>
                    <w:t xml:space="preserve"> □</w:t>
                  </w:r>
                  <w:r>
                    <w:rPr>
                      <w:rFonts w:hAnsi="宋体"/>
                      <w:kern w:val="0"/>
                      <w:sz w:val="18"/>
                      <w:szCs w:val="18"/>
                    </w:rPr>
                    <w:t>；在建</w:t>
                  </w:r>
                  <w:r>
                    <w:rPr>
                      <w:kern w:val="0"/>
                      <w:sz w:val="18"/>
                      <w:szCs w:val="18"/>
                    </w:rPr>
                    <w:t xml:space="preserve"> □</w:t>
                  </w:r>
                  <w:r>
                    <w:rPr>
                      <w:rFonts w:hAnsi="宋体"/>
                      <w:kern w:val="0"/>
                      <w:sz w:val="18"/>
                      <w:szCs w:val="18"/>
                    </w:rPr>
                    <w:t>；拟建</w:t>
                  </w:r>
                  <w:r>
                    <w:rPr>
                      <w:kern w:val="0"/>
                      <w:sz w:val="18"/>
                      <w:szCs w:val="18"/>
                    </w:rPr>
                    <w:t xml:space="preserve"> □</w:t>
                  </w:r>
                  <w:r>
                    <w:rPr>
                      <w:rFonts w:hAnsi="宋体"/>
                      <w:kern w:val="0"/>
                      <w:sz w:val="18"/>
                      <w:szCs w:val="18"/>
                    </w:rPr>
                    <w:t>；其他</w:t>
                  </w:r>
                  <w:r>
                    <w:rPr>
                      <w:kern w:val="0"/>
                      <w:sz w:val="18"/>
                      <w:szCs w:val="18"/>
                    </w:rPr>
                    <w:t xml:space="preserve"> □</w:t>
                  </w:r>
                </w:p>
              </w:tc>
              <w:tc>
                <w:tcPr>
                  <w:tcW w:w="25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拟替代的污染源</w:t>
                  </w:r>
                  <w:r>
                    <w:rPr>
                      <w:kern w:val="0"/>
                      <w:sz w:val="18"/>
                      <w:szCs w:val="18"/>
                    </w:rPr>
                    <w:t>□</w:t>
                  </w:r>
                </w:p>
              </w:tc>
              <w:tc>
                <w:tcPr>
                  <w:tcW w:w="4114"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排污许可证</w:t>
                  </w:r>
                  <w:r>
                    <w:rPr>
                      <w:kern w:val="0"/>
                      <w:sz w:val="18"/>
                      <w:szCs w:val="18"/>
                    </w:rPr>
                    <w:t xml:space="preserve"> □</w:t>
                  </w:r>
                  <w:r>
                    <w:rPr>
                      <w:rFonts w:hAnsi="宋体"/>
                      <w:kern w:val="0"/>
                      <w:sz w:val="18"/>
                      <w:szCs w:val="18"/>
                    </w:rPr>
                    <w:t>；环评</w:t>
                  </w:r>
                  <w:r>
                    <w:rPr>
                      <w:kern w:val="0"/>
                      <w:sz w:val="18"/>
                      <w:szCs w:val="18"/>
                    </w:rPr>
                    <w:t xml:space="preserve"> □</w:t>
                  </w:r>
                  <w:r>
                    <w:rPr>
                      <w:rFonts w:hAnsi="宋体"/>
                      <w:kern w:val="0"/>
                      <w:sz w:val="18"/>
                      <w:szCs w:val="18"/>
                    </w:rPr>
                    <w:t>；环保验收</w:t>
                  </w:r>
                  <w:r>
                    <w:rPr>
                      <w:kern w:val="0"/>
                      <w:sz w:val="18"/>
                      <w:szCs w:val="18"/>
                    </w:rPr>
                    <w:t xml:space="preserve"> □</w:t>
                  </w:r>
                  <w:r>
                    <w:rPr>
                      <w:rFonts w:hAnsi="宋体"/>
                      <w:kern w:val="0"/>
                      <w:sz w:val="18"/>
                      <w:szCs w:val="18"/>
                    </w:rPr>
                    <w:t>；既有实测</w:t>
                  </w:r>
                  <w:r>
                    <w:rPr>
                      <w:kern w:val="0"/>
                      <w:sz w:val="18"/>
                      <w:szCs w:val="18"/>
                    </w:rPr>
                    <w:t xml:space="preserve"> □</w:t>
                  </w:r>
                  <w:r>
                    <w:rPr>
                      <w:rFonts w:hAnsi="宋体"/>
                      <w:kern w:val="0"/>
                      <w:sz w:val="18"/>
                      <w:szCs w:val="18"/>
                    </w:rPr>
                    <w:t>；现场监测</w:t>
                  </w:r>
                  <w:r>
                    <w:rPr>
                      <w:kern w:val="0"/>
                      <w:sz w:val="18"/>
                      <w:szCs w:val="18"/>
                    </w:rPr>
                    <w:t xml:space="preserve"> □</w:t>
                  </w:r>
                  <w:r>
                    <w:rPr>
                      <w:rFonts w:hAnsi="宋体"/>
                      <w:kern w:val="0"/>
                      <w:sz w:val="18"/>
                      <w:szCs w:val="18"/>
                    </w:rPr>
                    <w:t>；入河排放口数据</w:t>
                  </w:r>
                  <w:r>
                    <w:rPr>
                      <w:kern w:val="0"/>
                      <w:sz w:val="18"/>
                      <w:szCs w:val="18"/>
                    </w:rPr>
                    <w:t xml:space="preserve"> □</w:t>
                  </w:r>
                  <w:r>
                    <w:rPr>
                      <w:rFonts w:hAnsi="宋体"/>
                      <w:kern w:val="0"/>
                      <w:sz w:val="18"/>
                      <w:szCs w:val="18"/>
                    </w:rPr>
                    <w:t>；其他</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受影响水体水环境质量</w:t>
                  </w: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调查时期</w:t>
                  </w:r>
                </w:p>
              </w:tc>
              <w:tc>
                <w:tcPr>
                  <w:tcW w:w="4114"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丰水期</w:t>
                  </w:r>
                  <w:r>
                    <w:rPr>
                      <w:kern w:val="0"/>
                      <w:sz w:val="18"/>
                      <w:szCs w:val="18"/>
                    </w:rPr>
                    <w:t xml:space="preserve"> □</w:t>
                  </w:r>
                  <w:r>
                    <w:rPr>
                      <w:rFonts w:hAnsi="宋体"/>
                      <w:kern w:val="0"/>
                      <w:sz w:val="18"/>
                      <w:szCs w:val="18"/>
                    </w:rPr>
                    <w:t>；平水期</w:t>
                  </w:r>
                  <w:r>
                    <w:rPr>
                      <w:kern w:val="0"/>
                      <w:sz w:val="18"/>
                      <w:szCs w:val="18"/>
                    </w:rPr>
                    <w:t xml:space="preserve"> □</w:t>
                  </w:r>
                  <w:r>
                    <w:rPr>
                      <w:rFonts w:hAnsi="宋体"/>
                      <w:kern w:val="0"/>
                      <w:sz w:val="18"/>
                      <w:szCs w:val="18"/>
                    </w:rPr>
                    <w:t>；枯水期</w:t>
                  </w:r>
                  <w:r>
                    <w:rPr>
                      <w:kern w:val="0"/>
                      <w:sz w:val="18"/>
                      <w:szCs w:val="18"/>
                    </w:rPr>
                    <w:t xml:space="preserve"> □</w:t>
                  </w:r>
                  <w:r>
                    <w:rPr>
                      <w:rFonts w:hAnsi="宋体"/>
                      <w:kern w:val="0"/>
                      <w:sz w:val="18"/>
                      <w:szCs w:val="18"/>
                    </w:rPr>
                    <w:t>；冰封期</w:t>
                  </w:r>
                  <w:r>
                    <w:rPr>
                      <w:kern w:val="0"/>
                      <w:sz w:val="18"/>
                      <w:szCs w:val="18"/>
                    </w:rPr>
                    <w:t xml:space="preserve"> □</w:t>
                  </w:r>
                </w:p>
              </w:tc>
              <w:tc>
                <w:tcPr>
                  <w:tcW w:w="4114" w:type="dxa"/>
                  <w:gridSpan w:val="6"/>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生态环境保护主管部门</w:t>
                  </w:r>
                  <w:r>
                    <w:rPr>
                      <w:kern w:val="0"/>
                      <w:sz w:val="18"/>
                      <w:szCs w:val="18"/>
                    </w:rPr>
                    <w:t xml:space="preserve"> □</w:t>
                  </w:r>
                  <w:r>
                    <w:rPr>
                      <w:rFonts w:hAnsi="宋体"/>
                      <w:kern w:val="0"/>
                      <w:sz w:val="18"/>
                      <w:szCs w:val="18"/>
                    </w:rPr>
                    <w:t>；补充监测</w:t>
                  </w:r>
                  <w:r>
                    <w:rPr>
                      <w:kern w:val="0"/>
                      <w:sz w:val="18"/>
                      <w:szCs w:val="18"/>
                    </w:rPr>
                    <w:t xml:space="preserve"> □</w:t>
                  </w:r>
                  <w:r>
                    <w:rPr>
                      <w:rFonts w:hAnsi="宋体"/>
                      <w:kern w:val="0"/>
                      <w:sz w:val="18"/>
                      <w:szCs w:val="18"/>
                    </w:rPr>
                    <w:t>；其他</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春季</w:t>
                  </w:r>
                  <w:r>
                    <w:rPr>
                      <w:kern w:val="0"/>
                      <w:sz w:val="18"/>
                      <w:szCs w:val="18"/>
                    </w:rPr>
                    <w:t xml:space="preserve"> □</w:t>
                  </w:r>
                  <w:r>
                    <w:rPr>
                      <w:rFonts w:hAnsi="宋体"/>
                      <w:kern w:val="0"/>
                      <w:sz w:val="18"/>
                      <w:szCs w:val="18"/>
                    </w:rPr>
                    <w:t>；夏季</w:t>
                  </w:r>
                  <w:r>
                    <w:rPr>
                      <w:kern w:val="0"/>
                      <w:sz w:val="18"/>
                      <w:szCs w:val="18"/>
                    </w:rPr>
                    <w:t xml:space="preserve"> □</w:t>
                  </w:r>
                  <w:r>
                    <w:rPr>
                      <w:rFonts w:hAnsi="宋体"/>
                      <w:kern w:val="0"/>
                      <w:sz w:val="18"/>
                      <w:szCs w:val="18"/>
                    </w:rPr>
                    <w:t>；秋季</w:t>
                  </w:r>
                  <w:r>
                    <w:rPr>
                      <w:kern w:val="0"/>
                      <w:sz w:val="18"/>
                      <w:szCs w:val="18"/>
                    </w:rPr>
                    <w:t xml:space="preserve"> □</w:t>
                  </w:r>
                  <w:r>
                    <w:rPr>
                      <w:rFonts w:hAnsi="宋体"/>
                      <w:kern w:val="0"/>
                      <w:sz w:val="18"/>
                      <w:szCs w:val="18"/>
                    </w:rPr>
                    <w:t>；冬季</w:t>
                  </w:r>
                  <w:r>
                    <w:rPr>
                      <w:kern w:val="0"/>
                      <w:sz w:val="18"/>
                      <w:szCs w:val="18"/>
                    </w:rPr>
                    <w:t xml:space="preserve"> □</w:t>
                  </w:r>
                </w:p>
              </w:tc>
              <w:tc>
                <w:tcPr>
                  <w:tcW w:w="14607"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区域水资源开发利用状况</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未开发</w:t>
                  </w:r>
                  <w:r>
                    <w:rPr>
                      <w:kern w:val="0"/>
                      <w:sz w:val="18"/>
                      <w:szCs w:val="18"/>
                    </w:rPr>
                    <w:t xml:space="preserve"> □</w:t>
                  </w:r>
                  <w:r>
                    <w:rPr>
                      <w:rFonts w:hAnsi="宋体"/>
                      <w:kern w:val="0"/>
                      <w:sz w:val="18"/>
                      <w:szCs w:val="18"/>
                    </w:rPr>
                    <w:t>；开发量</w:t>
                  </w:r>
                  <w:r>
                    <w:rPr>
                      <w:kern w:val="0"/>
                      <w:sz w:val="18"/>
                      <w:szCs w:val="18"/>
                    </w:rPr>
                    <w:t xml:space="preserve"> </w:t>
                  </w:r>
                  <w:r>
                    <w:rPr>
                      <w:rStyle w:val="223"/>
                      <w:color w:val="auto"/>
                      <w:sz w:val="18"/>
                      <w:szCs w:val="18"/>
                    </w:rPr>
                    <w:t>40%</w:t>
                  </w:r>
                  <w:r>
                    <w:rPr>
                      <w:rStyle w:val="222"/>
                      <w:rFonts w:hAnsi="宋体"/>
                      <w:color w:val="auto"/>
                    </w:rPr>
                    <w:t>以下</w:t>
                  </w:r>
                  <w:r>
                    <w:rPr>
                      <w:rStyle w:val="222"/>
                      <w:color w:val="auto"/>
                    </w:rPr>
                    <w:t xml:space="preserve"> □</w:t>
                  </w:r>
                  <w:r>
                    <w:rPr>
                      <w:rStyle w:val="222"/>
                      <w:rFonts w:hAnsi="宋体"/>
                      <w:color w:val="auto"/>
                    </w:rPr>
                    <w:t>；开发量</w:t>
                  </w:r>
                  <w:r>
                    <w:rPr>
                      <w:rStyle w:val="222"/>
                      <w:color w:val="auto"/>
                    </w:rPr>
                    <w:t xml:space="preserve"> </w:t>
                  </w:r>
                  <w:r>
                    <w:rPr>
                      <w:rStyle w:val="223"/>
                      <w:color w:val="auto"/>
                      <w:sz w:val="18"/>
                      <w:szCs w:val="18"/>
                    </w:rPr>
                    <w:t>40%</w:t>
                  </w:r>
                  <w:r>
                    <w:rPr>
                      <w:rStyle w:val="222"/>
                      <w:rFonts w:hAnsi="宋体"/>
                      <w:color w:val="auto"/>
                    </w:rPr>
                    <w:t>以上</w:t>
                  </w:r>
                  <w:r>
                    <w:rPr>
                      <w:rStyle w:val="222"/>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水文情势调查</w:t>
                  </w: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调查时期</w:t>
                  </w:r>
                </w:p>
              </w:tc>
              <w:tc>
                <w:tcPr>
                  <w:tcW w:w="4114"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丰水期</w:t>
                  </w:r>
                  <w:r>
                    <w:rPr>
                      <w:kern w:val="0"/>
                      <w:sz w:val="18"/>
                      <w:szCs w:val="18"/>
                    </w:rPr>
                    <w:t xml:space="preserve"> □</w:t>
                  </w:r>
                  <w:r>
                    <w:rPr>
                      <w:rFonts w:hAnsi="宋体"/>
                      <w:kern w:val="0"/>
                      <w:sz w:val="18"/>
                      <w:szCs w:val="18"/>
                    </w:rPr>
                    <w:t>；平水期</w:t>
                  </w:r>
                  <w:r>
                    <w:rPr>
                      <w:kern w:val="0"/>
                      <w:sz w:val="18"/>
                      <w:szCs w:val="18"/>
                    </w:rPr>
                    <w:t xml:space="preserve"> □</w:t>
                  </w:r>
                  <w:r>
                    <w:rPr>
                      <w:rFonts w:hAnsi="宋体"/>
                      <w:kern w:val="0"/>
                      <w:sz w:val="18"/>
                      <w:szCs w:val="18"/>
                    </w:rPr>
                    <w:t>；枯水期</w:t>
                  </w:r>
                  <w:r>
                    <w:rPr>
                      <w:kern w:val="0"/>
                      <w:sz w:val="18"/>
                      <w:szCs w:val="18"/>
                    </w:rPr>
                    <w:t xml:space="preserve"> □</w:t>
                  </w:r>
                  <w:r>
                    <w:rPr>
                      <w:rFonts w:hAnsi="宋体"/>
                      <w:kern w:val="0"/>
                      <w:sz w:val="18"/>
                      <w:szCs w:val="18"/>
                    </w:rPr>
                    <w:t>；冰封期</w:t>
                  </w:r>
                </w:p>
              </w:tc>
              <w:tc>
                <w:tcPr>
                  <w:tcW w:w="4114" w:type="dxa"/>
                  <w:gridSpan w:val="6"/>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水行政主管部门</w:t>
                  </w:r>
                  <w:r>
                    <w:rPr>
                      <w:kern w:val="0"/>
                      <w:sz w:val="18"/>
                      <w:szCs w:val="18"/>
                    </w:rPr>
                    <w:t xml:space="preserve"> □</w:t>
                  </w:r>
                  <w:r>
                    <w:rPr>
                      <w:rFonts w:hAnsi="宋体"/>
                      <w:kern w:val="0"/>
                      <w:sz w:val="18"/>
                      <w:szCs w:val="18"/>
                    </w:rPr>
                    <w:t>；补充监测</w:t>
                  </w:r>
                  <w:r>
                    <w:rPr>
                      <w:kern w:val="0"/>
                      <w:sz w:val="18"/>
                      <w:szCs w:val="18"/>
                    </w:rPr>
                    <w:t xml:space="preserve"> □</w:t>
                  </w:r>
                  <w:r>
                    <w:rPr>
                      <w:rStyle w:val="222"/>
                      <w:rFonts w:hAnsi="宋体"/>
                      <w:color w:val="auto"/>
                    </w:rPr>
                    <w:t>；其他</w:t>
                  </w:r>
                  <w:r>
                    <w:rPr>
                      <w:rStyle w:val="222"/>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788"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春季</w:t>
                  </w:r>
                  <w:r>
                    <w:rPr>
                      <w:kern w:val="0"/>
                      <w:sz w:val="18"/>
                      <w:szCs w:val="18"/>
                    </w:rPr>
                    <w:t xml:space="preserve"> □</w:t>
                  </w:r>
                  <w:r>
                    <w:rPr>
                      <w:rStyle w:val="222"/>
                      <w:rFonts w:hAnsi="宋体"/>
                      <w:color w:val="auto"/>
                    </w:rPr>
                    <w:t>；夏季</w:t>
                  </w:r>
                  <w:r>
                    <w:rPr>
                      <w:rStyle w:val="222"/>
                      <w:color w:val="auto"/>
                    </w:rPr>
                    <w:t xml:space="preserve"> □</w:t>
                  </w:r>
                  <w:r>
                    <w:rPr>
                      <w:rStyle w:val="222"/>
                      <w:rFonts w:hAnsi="宋体"/>
                      <w:color w:val="auto"/>
                    </w:rPr>
                    <w:t>；秋季</w:t>
                  </w:r>
                  <w:r>
                    <w:rPr>
                      <w:rStyle w:val="222"/>
                      <w:color w:val="auto"/>
                    </w:rPr>
                    <w:t xml:space="preserve"> □</w:t>
                  </w:r>
                  <w:r>
                    <w:rPr>
                      <w:rStyle w:val="222"/>
                      <w:rFonts w:hAnsi="宋体"/>
                      <w:color w:val="auto"/>
                    </w:rPr>
                    <w:t>；冬季</w:t>
                  </w:r>
                  <w:r>
                    <w:rPr>
                      <w:rStyle w:val="222"/>
                      <w:color w:val="auto"/>
                    </w:rPr>
                    <w:t xml:space="preserve"> □</w:t>
                  </w:r>
                </w:p>
              </w:tc>
              <w:tc>
                <w:tcPr>
                  <w:tcW w:w="14607"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补充监测</w:t>
                  </w:r>
                </w:p>
              </w:tc>
              <w:tc>
                <w:tcPr>
                  <w:tcW w:w="25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监测时期</w:t>
                  </w:r>
                </w:p>
              </w:tc>
              <w:tc>
                <w:tcPr>
                  <w:tcW w:w="313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监测因子</w:t>
                  </w:r>
                </w:p>
              </w:tc>
              <w:tc>
                <w:tcPr>
                  <w:tcW w:w="2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监测断面或点位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25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丰水期</w:t>
                  </w:r>
                  <w:r>
                    <w:rPr>
                      <w:kern w:val="0"/>
                      <w:sz w:val="18"/>
                      <w:szCs w:val="18"/>
                    </w:rPr>
                    <w:t xml:space="preserve"> □</w:t>
                  </w:r>
                  <w:r>
                    <w:rPr>
                      <w:rFonts w:hAnsi="宋体"/>
                      <w:kern w:val="0"/>
                      <w:sz w:val="18"/>
                      <w:szCs w:val="18"/>
                    </w:rPr>
                    <w:t>；平水期</w:t>
                  </w:r>
                  <w:r>
                    <w:rPr>
                      <w:kern w:val="0"/>
                      <w:sz w:val="18"/>
                      <w:szCs w:val="18"/>
                    </w:rPr>
                    <w:t xml:space="preserve"> □</w:t>
                  </w:r>
                  <w:r>
                    <w:rPr>
                      <w:rFonts w:hAnsi="宋体"/>
                      <w:kern w:val="0"/>
                      <w:sz w:val="18"/>
                      <w:szCs w:val="18"/>
                    </w:rPr>
                    <w:t>；枯水期</w:t>
                  </w:r>
                  <w:r>
                    <w:rPr>
                      <w:kern w:val="0"/>
                      <w:sz w:val="18"/>
                      <w:szCs w:val="18"/>
                    </w:rPr>
                    <w:t xml:space="preserve"> □</w:t>
                  </w:r>
                  <w:r>
                    <w:rPr>
                      <w:rFonts w:hAnsi="宋体"/>
                      <w:kern w:val="0"/>
                      <w:sz w:val="18"/>
                      <w:szCs w:val="18"/>
                    </w:rPr>
                    <w:t>；冰封期</w:t>
                  </w:r>
                  <w:r>
                    <w:rPr>
                      <w:kern w:val="0"/>
                      <w:sz w:val="18"/>
                      <w:szCs w:val="18"/>
                    </w:rPr>
                    <w:t xml:space="preserve"> □</w:t>
                  </w:r>
                </w:p>
              </w:tc>
              <w:tc>
                <w:tcPr>
                  <w:tcW w:w="3130"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sz w:val="18"/>
                      <w:szCs w:val="18"/>
                    </w:rPr>
                  </w:pPr>
                </w:p>
              </w:tc>
              <w:tc>
                <w:tcPr>
                  <w:tcW w:w="2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监测断面或点位个数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25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春季</w:t>
                  </w:r>
                  <w:r>
                    <w:rPr>
                      <w:kern w:val="0"/>
                      <w:sz w:val="18"/>
                      <w:szCs w:val="18"/>
                    </w:rPr>
                    <w:t>□</w:t>
                  </w:r>
                  <w:r>
                    <w:rPr>
                      <w:rFonts w:hAnsi="宋体"/>
                      <w:kern w:val="0"/>
                      <w:sz w:val="18"/>
                      <w:szCs w:val="18"/>
                    </w:rPr>
                    <w:t>；夏季</w:t>
                  </w:r>
                  <w:r>
                    <w:rPr>
                      <w:kern w:val="0"/>
                      <w:sz w:val="18"/>
                      <w:szCs w:val="18"/>
                    </w:rPr>
                    <w:t xml:space="preserve"> □</w:t>
                  </w:r>
                  <w:r>
                    <w:rPr>
                      <w:rFonts w:hAnsi="宋体"/>
                      <w:kern w:val="0"/>
                      <w:sz w:val="18"/>
                      <w:szCs w:val="18"/>
                    </w:rPr>
                    <w:t>；秋季</w:t>
                  </w:r>
                  <w:r>
                    <w:rPr>
                      <w:kern w:val="0"/>
                      <w:sz w:val="18"/>
                      <w:szCs w:val="18"/>
                    </w:rPr>
                    <w:t xml:space="preserve"> □</w:t>
                  </w:r>
                  <w:r>
                    <w:rPr>
                      <w:rFonts w:hAnsi="宋体"/>
                      <w:kern w:val="0"/>
                      <w:sz w:val="18"/>
                      <w:szCs w:val="18"/>
                    </w:rPr>
                    <w:t>；冬季</w:t>
                  </w:r>
                  <w:r>
                    <w:rPr>
                      <w:kern w:val="0"/>
                      <w:sz w:val="18"/>
                      <w:szCs w:val="18"/>
                    </w:rPr>
                    <w:t xml:space="preserve"> □</w:t>
                  </w:r>
                </w:p>
              </w:tc>
              <w:tc>
                <w:tcPr>
                  <w:tcW w:w="10358"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2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0</w:t>
                  </w:r>
                  <w:r>
                    <w:rPr>
                      <w:rStyle w:val="222"/>
                      <w:rFonts w:hAnsi="宋体"/>
                      <w:color w:val="auto"/>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kern w:val="0"/>
                      <w:sz w:val="18"/>
                      <w:szCs w:val="18"/>
                    </w:rPr>
                  </w:pPr>
                  <w:r>
                    <w:rPr>
                      <w:rFonts w:hAnsi="宋体"/>
                      <w:kern w:val="0"/>
                      <w:sz w:val="18"/>
                      <w:szCs w:val="18"/>
                    </w:rPr>
                    <w:t>现</w:t>
                  </w:r>
                </w:p>
                <w:p>
                  <w:pPr>
                    <w:widowControl/>
                    <w:snapToGrid w:val="0"/>
                    <w:jc w:val="center"/>
                    <w:textAlignment w:val="center"/>
                    <w:rPr>
                      <w:sz w:val="18"/>
                      <w:szCs w:val="18"/>
                    </w:rPr>
                  </w:pPr>
                  <w:r>
                    <w:rPr>
                      <w:rFonts w:hAnsi="宋体"/>
                      <w:kern w:val="0"/>
                      <w:sz w:val="18"/>
                      <w:szCs w:val="18"/>
                    </w:rPr>
                    <w:t>状</w:t>
                  </w:r>
                </w:p>
                <w:p>
                  <w:pPr>
                    <w:widowControl/>
                    <w:snapToGrid w:val="0"/>
                    <w:jc w:val="center"/>
                    <w:textAlignment w:val="center"/>
                    <w:rPr>
                      <w:sz w:val="18"/>
                      <w:szCs w:val="18"/>
                    </w:rPr>
                  </w:pPr>
                  <w:r>
                    <w:rPr>
                      <w:rFonts w:hAnsi="宋体"/>
                      <w:kern w:val="0"/>
                      <w:sz w:val="18"/>
                      <w:szCs w:val="18"/>
                    </w:rPr>
                    <w:t>评</w:t>
                  </w:r>
                </w:p>
                <w:p>
                  <w:pPr>
                    <w:widowControl/>
                    <w:snapToGrid w:val="0"/>
                    <w:jc w:val="center"/>
                    <w:textAlignment w:val="center"/>
                    <w:rPr>
                      <w:sz w:val="18"/>
                      <w:szCs w:val="18"/>
                    </w:rPr>
                  </w:pPr>
                  <w:r>
                    <w:rPr>
                      <w:rFonts w:hAnsi="宋体"/>
                      <w:kern w:val="0"/>
                      <w:sz w:val="18"/>
                      <w:szCs w:val="18"/>
                    </w:rPr>
                    <w:t>价</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评价范围</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河流：长度（</w:t>
                  </w:r>
                  <w:r>
                    <w:rPr>
                      <w:rStyle w:val="223"/>
                      <w:color w:val="auto"/>
                      <w:sz w:val="18"/>
                      <w:szCs w:val="18"/>
                    </w:rPr>
                    <w:t>2.5</w:t>
                  </w:r>
                  <w:r>
                    <w:rPr>
                      <w:rStyle w:val="222"/>
                      <w:rFonts w:hAnsi="宋体"/>
                      <w:color w:val="auto"/>
                    </w:rPr>
                    <w:t>）</w:t>
                  </w:r>
                  <w:r>
                    <w:rPr>
                      <w:rStyle w:val="223"/>
                      <w:color w:val="auto"/>
                      <w:sz w:val="18"/>
                      <w:szCs w:val="18"/>
                    </w:rPr>
                    <w:t>km</w:t>
                  </w:r>
                  <w:r>
                    <w:rPr>
                      <w:rStyle w:val="222"/>
                      <w:rFonts w:hAnsi="宋体"/>
                      <w:color w:val="auto"/>
                    </w:rPr>
                    <w:t>；湖库、河口及近岸海域：面积（</w:t>
                  </w:r>
                  <w:r>
                    <w:rPr>
                      <w:rStyle w:val="223"/>
                      <w:color w:val="auto"/>
                      <w:sz w:val="18"/>
                      <w:szCs w:val="18"/>
                    </w:rPr>
                    <w:t>/</w:t>
                  </w:r>
                  <w:r>
                    <w:rPr>
                      <w:rStyle w:val="222"/>
                      <w:rFonts w:hAnsi="宋体"/>
                      <w:color w:val="auto"/>
                    </w:rPr>
                    <w:t>）</w:t>
                  </w:r>
                  <w:r>
                    <w:rPr>
                      <w:rStyle w:val="223"/>
                      <w:color w:val="auto"/>
                      <w:sz w:val="18"/>
                      <w:szCs w:val="18"/>
                    </w:rPr>
                    <w:t>km</w:t>
                  </w:r>
                  <w:r>
                    <w:rPr>
                      <w:rStyle w:val="224"/>
                      <w:color w:val="auto"/>
                      <w:sz w:val="18"/>
                      <w:szCs w:val="18"/>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评价因子</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评价标准</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河流、湖库、河口：Ⅰ类</w:t>
                  </w:r>
                  <w:r>
                    <w:rPr>
                      <w:kern w:val="0"/>
                      <w:sz w:val="18"/>
                      <w:szCs w:val="18"/>
                    </w:rPr>
                    <w:t xml:space="preserve"> □</w:t>
                  </w:r>
                  <w:r>
                    <w:rPr>
                      <w:rFonts w:hAnsi="宋体"/>
                      <w:kern w:val="0"/>
                      <w:sz w:val="18"/>
                      <w:szCs w:val="18"/>
                    </w:rPr>
                    <w:t>；Ⅱ类</w:t>
                  </w:r>
                  <w:r>
                    <w:rPr>
                      <w:kern w:val="0"/>
                      <w:sz w:val="18"/>
                      <w:szCs w:val="18"/>
                    </w:rPr>
                    <w:t xml:space="preserve"> □</w:t>
                  </w:r>
                  <w:r>
                    <w:rPr>
                      <w:rFonts w:hAnsi="宋体"/>
                      <w:kern w:val="0"/>
                      <w:sz w:val="18"/>
                      <w:szCs w:val="18"/>
                    </w:rPr>
                    <w:t>；Ⅲ类</w:t>
                  </w:r>
                  <w:r>
                    <w:rPr>
                      <w:kern w:val="0"/>
                      <w:sz w:val="18"/>
                      <w:szCs w:val="18"/>
                    </w:rPr>
                    <w:sym w:font="Wingdings 2" w:char="0052"/>
                  </w:r>
                  <w:r>
                    <w:rPr>
                      <w:rStyle w:val="222"/>
                      <w:rFonts w:hAnsi="宋体"/>
                      <w:color w:val="auto"/>
                    </w:rPr>
                    <w:t>；Ⅳ类</w:t>
                  </w:r>
                  <w:r>
                    <w:rPr>
                      <w:rStyle w:val="222"/>
                      <w:color w:val="auto"/>
                    </w:rPr>
                    <w:t xml:space="preserve"> □</w:t>
                  </w:r>
                  <w:r>
                    <w:rPr>
                      <w:rStyle w:val="222"/>
                      <w:rFonts w:hAnsi="宋体"/>
                      <w:color w:val="auto"/>
                    </w:rPr>
                    <w:t>；Ⅴ类</w:t>
                  </w:r>
                  <w:r>
                    <w:rPr>
                      <w:rStyle w:val="222"/>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近岸海域：第一类</w:t>
                  </w:r>
                  <w:r>
                    <w:rPr>
                      <w:kern w:val="0"/>
                      <w:sz w:val="18"/>
                      <w:szCs w:val="18"/>
                    </w:rPr>
                    <w:t xml:space="preserve"> □</w:t>
                  </w:r>
                  <w:r>
                    <w:rPr>
                      <w:rFonts w:hAnsi="宋体"/>
                      <w:kern w:val="0"/>
                      <w:sz w:val="18"/>
                      <w:szCs w:val="18"/>
                    </w:rPr>
                    <w:t>；第二类</w:t>
                  </w:r>
                  <w:r>
                    <w:rPr>
                      <w:kern w:val="0"/>
                      <w:sz w:val="18"/>
                      <w:szCs w:val="18"/>
                    </w:rPr>
                    <w:t xml:space="preserve"> □</w:t>
                  </w:r>
                  <w:r>
                    <w:rPr>
                      <w:rFonts w:hAnsi="宋体"/>
                      <w:kern w:val="0"/>
                      <w:sz w:val="18"/>
                      <w:szCs w:val="18"/>
                    </w:rPr>
                    <w:t>；第三类</w:t>
                  </w:r>
                  <w:r>
                    <w:rPr>
                      <w:kern w:val="0"/>
                      <w:sz w:val="18"/>
                      <w:szCs w:val="18"/>
                    </w:rPr>
                    <w:t xml:space="preserve"> □</w:t>
                  </w:r>
                  <w:r>
                    <w:rPr>
                      <w:rFonts w:hAnsi="宋体"/>
                      <w:kern w:val="0"/>
                      <w:sz w:val="18"/>
                      <w:szCs w:val="18"/>
                    </w:rPr>
                    <w:t>；第四类</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规划年评价标准（</w:t>
                  </w:r>
                  <w:r>
                    <w:rPr>
                      <w:rStyle w:val="223"/>
                      <w:color w:val="auto"/>
                      <w:sz w:val="18"/>
                      <w:szCs w:val="18"/>
                    </w:rPr>
                    <w:t>/</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评价时期</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丰水期</w:t>
                  </w:r>
                  <w:r>
                    <w:rPr>
                      <w:kern w:val="0"/>
                      <w:sz w:val="18"/>
                      <w:szCs w:val="18"/>
                    </w:rPr>
                    <w:t xml:space="preserve"> □</w:t>
                  </w:r>
                  <w:r>
                    <w:rPr>
                      <w:rFonts w:hAnsi="宋体"/>
                      <w:kern w:val="0"/>
                      <w:sz w:val="18"/>
                      <w:szCs w:val="18"/>
                    </w:rPr>
                    <w:t>；平水期</w:t>
                  </w:r>
                  <w:r>
                    <w:rPr>
                      <w:kern w:val="0"/>
                      <w:sz w:val="18"/>
                      <w:szCs w:val="18"/>
                    </w:rPr>
                    <w:t xml:space="preserve"> □</w:t>
                  </w:r>
                  <w:r>
                    <w:rPr>
                      <w:rFonts w:hAnsi="宋体"/>
                      <w:kern w:val="0"/>
                      <w:sz w:val="18"/>
                      <w:szCs w:val="18"/>
                    </w:rPr>
                    <w:t>；枯水期</w:t>
                  </w:r>
                  <w:r>
                    <w:rPr>
                      <w:kern w:val="0"/>
                      <w:sz w:val="18"/>
                      <w:szCs w:val="18"/>
                    </w:rPr>
                    <w:t xml:space="preserve"> □</w:t>
                  </w:r>
                  <w:r>
                    <w:rPr>
                      <w:rFonts w:hAnsi="宋体"/>
                      <w:kern w:val="0"/>
                      <w:sz w:val="18"/>
                      <w:szCs w:val="18"/>
                    </w:rPr>
                    <w:t>；冰封期</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春季</w:t>
                  </w:r>
                  <w:r>
                    <w:rPr>
                      <w:kern w:val="0"/>
                      <w:sz w:val="18"/>
                      <w:szCs w:val="18"/>
                    </w:rPr>
                    <w:t xml:space="preserve"> □</w:t>
                  </w:r>
                  <w:r>
                    <w:rPr>
                      <w:rStyle w:val="222"/>
                      <w:rFonts w:hAnsi="宋体"/>
                      <w:color w:val="auto"/>
                    </w:rPr>
                    <w:t>；夏季</w:t>
                  </w:r>
                  <w:r>
                    <w:rPr>
                      <w:rStyle w:val="222"/>
                      <w:color w:val="auto"/>
                    </w:rPr>
                    <w:t xml:space="preserve"> □</w:t>
                  </w:r>
                  <w:r>
                    <w:rPr>
                      <w:rStyle w:val="222"/>
                      <w:rFonts w:hAnsi="宋体"/>
                      <w:color w:val="auto"/>
                    </w:rPr>
                    <w:t>；秋季</w:t>
                  </w:r>
                  <w:r>
                    <w:rPr>
                      <w:rStyle w:val="222"/>
                      <w:color w:val="auto"/>
                    </w:rPr>
                    <w:t xml:space="preserve"> □</w:t>
                  </w:r>
                  <w:r>
                    <w:rPr>
                      <w:rStyle w:val="222"/>
                      <w:rFonts w:hAnsi="宋体"/>
                      <w:color w:val="auto"/>
                    </w:rPr>
                    <w:t>；冬季</w:t>
                  </w:r>
                  <w:r>
                    <w:rPr>
                      <w:rStyle w:val="222"/>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评价结论</w:t>
                  </w:r>
                </w:p>
              </w:tc>
              <w:tc>
                <w:tcPr>
                  <w:tcW w:w="6290"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水环境功能区或水功能区、近岸海域环境功能区水质达标状况</w:t>
                  </w:r>
                  <w:r>
                    <w:rPr>
                      <w:kern w:val="0"/>
                      <w:sz w:val="18"/>
                      <w:szCs w:val="18"/>
                    </w:rPr>
                    <w:t xml:space="preserve"> □</w:t>
                  </w:r>
                  <w:r>
                    <w:rPr>
                      <w:rFonts w:hAnsi="宋体"/>
                      <w:kern w:val="0"/>
                      <w:sz w:val="18"/>
                      <w:szCs w:val="18"/>
                    </w:rPr>
                    <w:t>：达标</w:t>
                  </w:r>
                  <w:r>
                    <w:rPr>
                      <w:kern w:val="0"/>
                      <w:sz w:val="18"/>
                      <w:szCs w:val="18"/>
                    </w:rPr>
                    <w:sym w:font="Wingdings 2" w:char="0052"/>
                  </w:r>
                  <w:r>
                    <w:rPr>
                      <w:rStyle w:val="222"/>
                      <w:rFonts w:hAnsi="宋体"/>
                      <w:color w:val="auto"/>
                    </w:rPr>
                    <w:t>；不达标</w:t>
                  </w:r>
                  <w:r>
                    <w:rPr>
                      <w:rStyle w:val="222"/>
                      <w:color w:val="auto"/>
                    </w:rPr>
                    <w:t>□</w:t>
                  </w:r>
                </w:p>
              </w:tc>
              <w:tc>
                <w:tcPr>
                  <w:tcW w:w="16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达标区</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0"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水环境控制单元或断面水质达标状况</w:t>
                  </w:r>
                  <w:r>
                    <w:rPr>
                      <w:kern w:val="0"/>
                      <w:sz w:val="18"/>
                      <w:szCs w:val="18"/>
                    </w:rPr>
                    <w:t xml:space="preserve"> □</w:t>
                  </w:r>
                  <w:r>
                    <w:rPr>
                      <w:rFonts w:hAnsi="宋体"/>
                      <w:kern w:val="0"/>
                      <w:sz w:val="18"/>
                      <w:szCs w:val="18"/>
                    </w:rPr>
                    <w:t>：达标</w:t>
                  </w:r>
                  <w:r>
                    <w:rPr>
                      <w:kern w:val="0"/>
                      <w:sz w:val="18"/>
                      <w:szCs w:val="18"/>
                    </w:rPr>
                    <w:sym w:font="Wingdings 2" w:char="0052"/>
                  </w:r>
                  <w:r>
                    <w:rPr>
                      <w:rStyle w:val="222"/>
                      <w:rFonts w:hAnsi="宋体"/>
                      <w:color w:val="auto"/>
                    </w:rPr>
                    <w:t>；不达标</w:t>
                  </w:r>
                  <w:r>
                    <w:rPr>
                      <w:rStyle w:val="222"/>
                      <w:color w:val="auto"/>
                    </w:rPr>
                    <w:t>□</w:t>
                  </w:r>
                </w:p>
              </w:tc>
              <w:tc>
                <w:tcPr>
                  <w:tcW w:w="16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不达标区</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0"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水环境保护目标质量状况</w:t>
                  </w:r>
                  <w:r>
                    <w:rPr>
                      <w:kern w:val="0"/>
                      <w:sz w:val="18"/>
                      <w:szCs w:val="18"/>
                    </w:rPr>
                    <w:t xml:space="preserve"> □</w:t>
                  </w:r>
                  <w:r>
                    <w:rPr>
                      <w:rFonts w:hAnsi="宋体"/>
                      <w:kern w:val="0"/>
                      <w:sz w:val="18"/>
                      <w:szCs w:val="18"/>
                    </w:rPr>
                    <w:t>：达标</w:t>
                  </w:r>
                  <w:r>
                    <w:rPr>
                      <w:kern w:val="0"/>
                      <w:sz w:val="18"/>
                      <w:szCs w:val="18"/>
                    </w:rPr>
                    <w:sym w:font="Wingdings 2" w:char="0052"/>
                  </w:r>
                  <w:r>
                    <w:rPr>
                      <w:rFonts w:hAnsi="宋体"/>
                      <w:kern w:val="0"/>
                      <w:sz w:val="18"/>
                      <w:szCs w:val="18"/>
                    </w:rPr>
                    <w:t>；不达标</w:t>
                  </w:r>
                  <w:r>
                    <w:rPr>
                      <w:kern w:val="0"/>
                      <w:sz w:val="18"/>
                      <w:szCs w:val="18"/>
                    </w:rPr>
                    <w:t xml:space="preserve"> □</w:t>
                  </w:r>
                </w:p>
              </w:tc>
              <w:tc>
                <w:tcPr>
                  <w:tcW w:w="16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0"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对照断面、控制断面等代表性断面的水质状况</w:t>
                  </w:r>
                  <w:r>
                    <w:rPr>
                      <w:kern w:val="0"/>
                      <w:sz w:val="18"/>
                      <w:szCs w:val="18"/>
                    </w:rPr>
                    <w:t xml:space="preserve"> □</w:t>
                  </w:r>
                  <w:r>
                    <w:rPr>
                      <w:rFonts w:hAnsi="宋体"/>
                      <w:kern w:val="0"/>
                      <w:sz w:val="18"/>
                      <w:szCs w:val="18"/>
                    </w:rPr>
                    <w:t>：达标</w:t>
                  </w:r>
                  <w:r>
                    <w:rPr>
                      <w:kern w:val="0"/>
                      <w:sz w:val="18"/>
                      <w:szCs w:val="18"/>
                    </w:rPr>
                    <w:sym w:font="Wingdings 2" w:char="0052"/>
                  </w:r>
                  <w:r>
                    <w:rPr>
                      <w:rStyle w:val="222"/>
                      <w:rFonts w:hAnsi="宋体"/>
                      <w:color w:val="auto"/>
                    </w:rPr>
                    <w:t>；不达标</w:t>
                  </w:r>
                  <w:r>
                    <w:rPr>
                      <w:rStyle w:val="222"/>
                      <w:color w:val="auto"/>
                    </w:rPr>
                    <w:t xml:space="preserve"> □</w:t>
                  </w:r>
                </w:p>
              </w:tc>
              <w:tc>
                <w:tcPr>
                  <w:tcW w:w="16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0"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底泥污染评价</w:t>
                  </w:r>
                  <w:r>
                    <w:rPr>
                      <w:kern w:val="0"/>
                      <w:sz w:val="18"/>
                      <w:szCs w:val="18"/>
                    </w:rPr>
                    <w:t xml:space="preserve"> □</w:t>
                  </w:r>
                </w:p>
              </w:tc>
              <w:tc>
                <w:tcPr>
                  <w:tcW w:w="16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0"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水资源与开发利用程度及其水文情势评价</w:t>
                  </w:r>
                  <w:r>
                    <w:rPr>
                      <w:kern w:val="0"/>
                      <w:sz w:val="18"/>
                      <w:szCs w:val="18"/>
                    </w:rPr>
                    <w:t xml:space="preserve"> □</w:t>
                  </w:r>
                </w:p>
              </w:tc>
              <w:tc>
                <w:tcPr>
                  <w:tcW w:w="16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0"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水环境质量回顾评价</w:t>
                  </w:r>
                  <w:r>
                    <w:rPr>
                      <w:kern w:val="0"/>
                      <w:sz w:val="18"/>
                      <w:szCs w:val="18"/>
                    </w:rPr>
                    <w:t xml:space="preserve"> □</w:t>
                  </w:r>
                </w:p>
              </w:tc>
              <w:tc>
                <w:tcPr>
                  <w:tcW w:w="16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0"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流域（区域）水资源（包括水能资源）与开发利用总体状况、生态流量管理要求与现状满足程度、建设项目占用水域空间的水流状况与河湖演变状况</w:t>
                  </w:r>
                  <w:r>
                    <w:rPr>
                      <w:kern w:val="0"/>
                      <w:sz w:val="18"/>
                      <w:szCs w:val="18"/>
                    </w:rPr>
                    <w:t xml:space="preserve"> □</w:t>
                  </w:r>
                </w:p>
              </w:tc>
              <w:tc>
                <w:tcPr>
                  <w:tcW w:w="16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kern w:val="0"/>
                      <w:sz w:val="18"/>
                      <w:szCs w:val="18"/>
                    </w:rPr>
                  </w:pPr>
                  <w:r>
                    <w:rPr>
                      <w:rFonts w:hAnsi="宋体"/>
                      <w:kern w:val="0"/>
                      <w:sz w:val="18"/>
                      <w:szCs w:val="18"/>
                    </w:rPr>
                    <w:t>影</w:t>
                  </w:r>
                </w:p>
                <w:p>
                  <w:pPr>
                    <w:widowControl/>
                    <w:snapToGrid w:val="0"/>
                    <w:jc w:val="center"/>
                    <w:textAlignment w:val="center"/>
                    <w:rPr>
                      <w:sz w:val="18"/>
                      <w:szCs w:val="18"/>
                    </w:rPr>
                  </w:pPr>
                  <w:r>
                    <w:rPr>
                      <w:rFonts w:hAnsi="宋体"/>
                      <w:kern w:val="0"/>
                      <w:sz w:val="18"/>
                      <w:szCs w:val="18"/>
                    </w:rPr>
                    <w:t>响</w:t>
                  </w:r>
                </w:p>
                <w:p>
                  <w:pPr>
                    <w:widowControl/>
                    <w:snapToGrid w:val="0"/>
                    <w:jc w:val="center"/>
                    <w:textAlignment w:val="center"/>
                    <w:rPr>
                      <w:sz w:val="18"/>
                      <w:szCs w:val="18"/>
                    </w:rPr>
                  </w:pPr>
                  <w:r>
                    <w:rPr>
                      <w:rFonts w:hAnsi="宋体"/>
                      <w:kern w:val="0"/>
                      <w:sz w:val="18"/>
                      <w:szCs w:val="18"/>
                    </w:rPr>
                    <w:t>预</w:t>
                  </w:r>
                </w:p>
                <w:p>
                  <w:pPr>
                    <w:widowControl/>
                    <w:snapToGrid w:val="0"/>
                    <w:jc w:val="center"/>
                    <w:textAlignment w:val="center"/>
                    <w:rPr>
                      <w:sz w:val="18"/>
                      <w:szCs w:val="18"/>
                    </w:rPr>
                  </w:pPr>
                  <w:r>
                    <w:rPr>
                      <w:rFonts w:hAnsi="宋体"/>
                      <w:kern w:val="0"/>
                      <w:sz w:val="18"/>
                      <w:szCs w:val="18"/>
                    </w:rPr>
                    <w:t>测</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预测范围</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河流：长度（</w:t>
                  </w:r>
                  <w:r>
                    <w:rPr>
                      <w:rStyle w:val="223"/>
                      <w:color w:val="auto"/>
                      <w:sz w:val="18"/>
                      <w:szCs w:val="18"/>
                    </w:rPr>
                    <w:t>/</w:t>
                  </w:r>
                  <w:r>
                    <w:rPr>
                      <w:rStyle w:val="222"/>
                      <w:rFonts w:hAnsi="宋体"/>
                      <w:color w:val="auto"/>
                    </w:rPr>
                    <w:t>）</w:t>
                  </w:r>
                  <w:r>
                    <w:rPr>
                      <w:rStyle w:val="223"/>
                      <w:color w:val="auto"/>
                      <w:sz w:val="18"/>
                      <w:szCs w:val="18"/>
                    </w:rPr>
                    <w:t>km</w:t>
                  </w:r>
                  <w:r>
                    <w:rPr>
                      <w:rStyle w:val="222"/>
                      <w:rFonts w:hAnsi="宋体"/>
                      <w:color w:val="auto"/>
                    </w:rPr>
                    <w:t>；湖库、河口及近岸海域：面积（</w:t>
                  </w:r>
                  <w:r>
                    <w:rPr>
                      <w:rStyle w:val="223"/>
                      <w:color w:val="auto"/>
                      <w:sz w:val="18"/>
                      <w:szCs w:val="18"/>
                    </w:rPr>
                    <w:t>/</w:t>
                  </w:r>
                  <w:r>
                    <w:rPr>
                      <w:rStyle w:val="222"/>
                      <w:rFonts w:hAnsi="宋体"/>
                      <w:color w:val="auto"/>
                    </w:rPr>
                    <w:t>）</w:t>
                  </w:r>
                  <w:r>
                    <w:rPr>
                      <w:rStyle w:val="223"/>
                      <w:color w:val="auto"/>
                      <w:sz w:val="18"/>
                      <w:szCs w:val="18"/>
                    </w:rPr>
                    <w:t>km</w:t>
                  </w:r>
                  <w:r>
                    <w:rPr>
                      <w:rStyle w:val="224"/>
                      <w:color w:val="auto"/>
                      <w:sz w:val="18"/>
                      <w:szCs w:val="18"/>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预测因子</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预测时期</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丰水期</w:t>
                  </w:r>
                  <w:r>
                    <w:rPr>
                      <w:kern w:val="0"/>
                      <w:sz w:val="18"/>
                      <w:szCs w:val="18"/>
                    </w:rPr>
                    <w:t xml:space="preserve"> □</w:t>
                  </w:r>
                  <w:r>
                    <w:rPr>
                      <w:rFonts w:hAnsi="宋体"/>
                      <w:kern w:val="0"/>
                      <w:sz w:val="18"/>
                      <w:szCs w:val="18"/>
                    </w:rPr>
                    <w:t>；平水期</w:t>
                  </w:r>
                  <w:r>
                    <w:rPr>
                      <w:kern w:val="0"/>
                      <w:sz w:val="18"/>
                      <w:szCs w:val="18"/>
                    </w:rPr>
                    <w:t xml:space="preserve"> □</w:t>
                  </w:r>
                  <w:r>
                    <w:rPr>
                      <w:rFonts w:hAnsi="宋体"/>
                      <w:kern w:val="0"/>
                      <w:sz w:val="18"/>
                      <w:szCs w:val="18"/>
                    </w:rPr>
                    <w:t>；枯水期</w:t>
                  </w:r>
                  <w:r>
                    <w:rPr>
                      <w:kern w:val="0"/>
                      <w:sz w:val="18"/>
                      <w:szCs w:val="18"/>
                    </w:rPr>
                    <w:t xml:space="preserve"> □</w:t>
                  </w:r>
                  <w:r>
                    <w:rPr>
                      <w:rFonts w:hAnsi="宋体"/>
                      <w:kern w:val="0"/>
                      <w:sz w:val="18"/>
                      <w:szCs w:val="18"/>
                    </w:rPr>
                    <w:t>；冰封期</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春季</w:t>
                  </w:r>
                  <w:r>
                    <w:rPr>
                      <w:kern w:val="0"/>
                      <w:sz w:val="18"/>
                      <w:szCs w:val="18"/>
                    </w:rPr>
                    <w:t xml:space="preserve"> □</w:t>
                  </w:r>
                  <w:r>
                    <w:rPr>
                      <w:rFonts w:hAnsi="宋体"/>
                      <w:kern w:val="0"/>
                      <w:sz w:val="18"/>
                      <w:szCs w:val="18"/>
                    </w:rPr>
                    <w:t>；夏季</w:t>
                  </w:r>
                  <w:r>
                    <w:rPr>
                      <w:kern w:val="0"/>
                      <w:sz w:val="18"/>
                      <w:szCs w:val="18"/>
                    </w:rPr>
                    <w:t xml:space="preserve"> □</w:t>
                  </w:r>
                  <w:r>
                    <w:rPr>
                      <w:rFonts w:hAnsi="宋体"/>
                      <w:kern w:val="0"/>
                      <w:sz w:val="18"/>
                      <w:szCs w:val="18"/>
                    </w:rPr>
                    <w:t>；秋季</w:t>
                  </w:r>
                  <w:r>
                    <w:rPr>
                      <w:kern w:val="0"/>
                      <w:sz w:val="18"/>
                      <w:szCs w:val="18"/>
                    </w:rPr>
                    <w:t xml:space="preserve"> □</w:t>
                  </w:r>
                  <w:r>
                    <w:rPr>
                      <w:rFonts w:hAnsi="宋体"/>
                      <w:kern w:val="0"/>
                      <w:sz w:val="18"/>
                      <w:szCs w:val="18"/>
                    </w:rPr>
                    <w:t>；冬季</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设计水文条件</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预测情景</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建设期</w:t>
                  </w:r>
                  <w:r>
                    <w:rPr>
                      <w:kern w:val="0"/>
                      <w:sz w:val="18"/>
                      <w:szCs w:val="18"/>
                    </w:rPr>
                    <w:t xml:space="preserve"> □</w:t>
                  </w:r>
                  <w:r>
                    <w:rPr>
                      <w:rFonts w:hAnsi="宋体"/>
                      <w:kern w:val="0"/>
                      <w:sz w:val="18"/>
                      <w:szCs w:val="18"/>
                    </w:rPr>
                    <w:t>；生产运行期</w:t>
                  </w:r>
                  <w:r>
                    <w:rPr>
                      <w:kern w:val="0"/>
                      <w:sz w:val="18"/>
                      <w:szCs w:val="18"/>
                    </w:rPr>
                    <w:t xml:space="preserve"> □</w:t>
                  </w:r>
                  <w:r>
                    <w:rPr>
                      <w:rFonts w:hAnsi="宋体"/>
                      <w:kern w:val="0"/>
                      <w:sz w:val="18"/>
                      <w:szCs w:val="18"/>
                    </w:rPr>
                    <w:t>；服务期满后</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正常工况</w:t>
                  </w:r>
                  <w:r>
                    <w:rPr>
                      <w:kern w:val="0"/>
                      <w:sz w:val="18"/>
                      <w:szCs w:val="18"/>
                    </w:rPr>
                    <w:t xml:space="preserve"> □</w:t>
                  </w:r>
                  <w:r>
                    <w:rPr>
                      <w:rFonts w:hAnsi="宋体"/>
                      <w:kern w:val="0"/>
                      <w:sz w:val="18"/>
                      <w:szCs w:val="18"/>
                    </w:rPr>
                    <w:t>；非正常工况</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污染控制和减缓措施方案</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区（流）域环境质量改善目标要求情景</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预测方法</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数值解</w:t>
                  </w:r>
                  <w:r>
                    <w:rPr>
                      <w:kern w:val="0"/>
                      <w:sz w:val="18"/>
                      <w:szCs w:val="18"/>
                    </w:rPr>
                    <w:t xml:space="preserve"> □</w:t>
                  </w:r>
                  <w:r>
                    <w:rPr>
                      <w:rFonts w:hAnsi="宋体"/>
                      <w:kern w:val="0"/>
                      <w:sz w:val="18"/>
                      <w:szCs w:val="18"/>
                    </w:rPr>
                    <w:t>：解析解</w:t>
                  </w:r>
                  <w:r>
                    <w:rPr>
                      <w:kern w:val="0"/>
                      <w:sz w:val="18"/>
                      <w:szCs w:val="18"/>
                    </w:rPr>
                    <w:t xml:space="preserve"> □</w:t>
                  </w:r>
                  <w:r>
                    <w:rPr>
                      <w:rFonts w:hAnsi="宋体"/>
                      <w:kern w:val="0"/>
                      <w:sz w:val="18"/>
                      <w:szCs w:val="18"/>
                    </w:rPr>
                    <w:t>；其他</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导则推荐模式</w:t>
                  </w:r>
                  <w:r>
                    <w:rPr>
                      <w:kern w:val="0"/>
                      <w:sz w:val="18"/>
                      <w:szCs w:val="18"/>
                    </w:rPr>
                    <w:t xml:space="preserve"> □</w:t>
                  </w:r>
                  <w:r>
                    <w:rPr>
                      <w:rFonts w:hAnsi="宋体"/>
                      <w:kern w:val="0"/>
                      <w:sz w:val="18"/>
                      <w:szCs w:val="18"/>
                    </w:rPr>
                    <w:t>：其他</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kern w:val="0"/>
                      <w:sz w:val="18"/>
                      <w:szCs w:val="18"/>
                    </w:rPr>
                  </w:pPr>
                  <w:r>
                    <w:rPr>
                      <w:rFonts w:hAnsi="宋体"/>
                      <w:kern w:val="0"/>
                      <w:sz w:val="18"/>
                      <w:szCs w:val="18"/>
                    </w:rPr>
                    <w:t>影</w:t>
                  </w:r>
                </w:p>
                <w:p>
                  <w:pPr>
                    <w:widowControl/>
                    <w:snapToGrid w:val="0"/>
                    <w:jc w:val="center"/>
                    <w:textAlignment w:val="center"/>
                    <w:rPr>
                      <w:sz w:val="18"/>
                      <w:szCs w:val="18"/>
                    </w:rPr>
                  </w:pPr>
                  <w:r>
                    <w:rPr>
                      <w:rFonts w:hAnsi="宋体"/>
                      <w:kern w:val="0"/>
                      <w:sz w:val="18"/>
                      <w:szCs w:val="18"/>
                    </w:rPr>
                    <w:t>响</w:t>
                  </w:r>
                </w:p>
                <w:p>
                  <w:pPr>
                    <w:widowControl/>
                    <w:snapToGrid w:val="0"/>
                    <w:jc w:val="center"/>
                    <w:textAlignment w:val="center"/>
                    <w:rPr>
                      <w:sz w:val="18"/>
                      <w:szCs w:val="18"/>
                    </w:rPr>
                  </w:pPr>
                  <w:r>
                    <w:rPr>
                      <w:rFonts w:hAnsi="宋体"/>
                      <w:kern w:val="0"/>
                      <w:sz w:val="18"/>
                      <w:szCs w:val="18"/>
                    </w:rPr>
                    <w:t>评</w:t>
                  </w:r>
                </w:p>
                <w:p>
                  <w:pPr>
                    <w:widowControl/>
                    <w:snapToGrid w:val="0"/>
                    <w:jc w:val="center"/>
                    <w:textAlignment w:val="center"/>
                    <w:rPr>
                      <w:sz w:val="18"/>
                      <w:szCs w:val="18"/>
                    </w:rPr>
                  </w:pPr>
                  <w:r>
                    <w:rPr>
                      <w:rFonts w:hAnsi="宋体"/>
                      <w:kern w:val="0"/>
                      <w:sz w:val="18"/>
                      <w:szCs w:val="18"/>
                    </w:rPr>
                    <w:t>价</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水污染控制和水环境影响减缓措</w:t>
                  </w:r>
                </w:p>
              </w:tc>
              <w:tc>
                <w:tcPr>
                  <w:tcW w:w="7902" w:type="dxa"/>
                  <w:gridSpan w:val="1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区（流）域水环境质量改善目标</w:t>
                  </w:r>
                  <w:r>
                    <w:rPr>
                      <w:kern w:val="0"/>
                      <w:sz w:val="18"/>
                      <w:szCs w:val="18"/>
                    </w:rPr>
                    <w:t xml:space="preserve"> □</w:t>
                  </w:r>
                  <w:r>
                    <w:rPr>
                      <w:rFonts w:hAnsi="宋体"/>
                      <w:kern w:val="0"/>
                      <w:sz w:val="18"/>
                      <w:szCs w:val="18"/>
                    </w:rPr>
                    <w:t>；替代削减源</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施有效性评价</w:t>
                  </w:r>
                </w:p>
              </w:tc>
              <w:tc>
                <w:tcPr>
                  <w:tcW w:w="16407" w:type="dxa"/>
                  <w:gridSpan w:val="1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水环境影响评价</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排放口混合区外满足水环境管理要求</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水环境功能区或水功能区、近岸海域环境功能区水质达标</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满足水环境保护目标水域水环境质量要求</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水环境控制单元或断面水质达标</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满足重点水污染物排放总量控制指标要求，重点行业建设项目，</w:t>
                  </w:r>
                  <w:r>
                    <w:rPr>
                      <w:kern w:val="0"/>
                      <w:sz w:val="18"/>
                      <w:szCs w:val="18"/>
                    </w:rPr>
                    <w:t xml:space="preserve"> </w:t>
                  </w:r>
                  <w:r>
                    <w:rPr>
                      <w:rFonts w:hAnsi="宋体"/>
                      <w:kern w:val="0"/>
                      <w:sz w:val="18"/>
                      <w:szCs w:val="18"/>
                    </w:rPr>
                    <w:t>主要污染物排放满足等量或减量替代要求</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满足区（流）域水环境质量改善目标要求</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水文要素影响型建设项目同时应包括水文情势变化评价、主要水文特征值影响评价、生态流量符合性评价</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对于新设或调整入河（湖库、近岸海域）排放口的建设项目，应包括排放口设置的环境合理性评价</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满足生态保护红线、水环境质量底线、资源利用上线和环境准入清单管理要求</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污染源排放量核算</w:t>
                  </w:r>
                </w:p>
              </w:tc>
              <w:tc>
                <w:tcPr>
                  <w:tcW w:w="25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污染物名称</w:t>
                  </w:r>
                </w:p>
              </w:tc>
              <w:tc>
                <w:tcPr>
                  <w:tcW w:w="313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排放量</w:t>
                  </w:r>
                  <w:r>
                    <w:rPr>
                      <w:rStyle w:val="223"/>
                      <w:color w:val="auto"/>
                      <w:sz w:val="18"/>
                      <w:szCs w:val="18"/>
                    </w:rPr>
                    <w:t>/</w:t>
                  </w:r>
                  <w:r>
                    <w:rPr>
                      <w:rStyle w:val="222"/>
                      <w:rFonts w:hAnsi="宋体"/>
                      <w:color w:val="auto"/>
                    </w:rPr>
                    <w:t>（</w:t>
                  </w:r>
                  <w:r>
                    <w:rPr>
                      <w:rStyle w:val="223"/>
                      <w:color w:val="auto"/>
                      <w:sz w:val="18"/>
                      <w:szCs w:val="18"/>
                    </w:rPr>
                    <w:t>t/a</w:t>
                  </w:r>
                  <w:r>
                    <w:rPr>
                      <w:rStyle w:val="222"/>
                      <w:rFonts w:hAnsi="宋体"/>
                      <w:color w:val="auto"/>
                    </w:rPr>
                    <w:t>）</w:t>
                  </w:r>
                </w:p>
              </w:tc>
              <w:tc>
                <w:tcPr>
                  <w:tcW w:w="2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排放浓度</w:t>
                  </w:r>
                  <w:r>
                    <w:rPr>
                      <w:rStyle w:val="223"/>
                      <w:color w:val="auto"/>
                      <w:sz w:val="18"/>
                      <w:szCs w:val="18"/>
                    </w:rPr>
                    <w:t>/</w:t>
                  </w:r>
                  <w:r>
                    <w:rPr>
                      <w:rStyle w:val="222"/>
                      <w:rFonts w:hAnsi="宋体"/>
                      <w:color w:val="auto"/>
                    </w:rPr>
                    <w:t>（</w:t>
                  </w:r>
                  <w:r>
                    <w:rPr>
                      <w:rStyle w:val="223"/>
                      <w:color w:val="auto"/>
                      <w:sz w:val="18"/>
                      <w:szCs w:val="18"/>
                    </w:rPr>
                    <w:t>mg/L</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25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COD</w:t>
                  </w:r>
                  <w:r>
                    <w:rPr>
                      <w:rStyle w:val="222"/>
                      <w:rFonts w:hAnsi="宋体"/>
                      <w:color w:val="auto"/>
                    </w:rPr>
                    <w:t>）</w:t>
                  </w:r>
                </w:p>
              </w:tc>
              <w:tc>
                <w:tcPr>
                  <w:tcW w:w="313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int="eastAsia"/>
                      <w:kern w:val="0"/>
                      <w:sz w:val="18"/>
                      <w:szCs w:val="18"/>
                    </w:rPr>
                    <w:t>0.018</w:t>
                  </w:r>
                </w:p>
              </w:tc>
              <w:tc>
                <w:tcPr>
                  <w:tcW w:w="2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rFonts w:hint="eastAsia"/>
                      <w:color w:val="auto"/>
                      <w:sz w:val="18"/>
                      <w:szCs w:val="18"/>
                    </w:rPr>
                    <w:t>50</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25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NH</w:t>
                  </w:r>
                  <w:r>
                    <w:rPr>
                      <w:rStyle w:val="225"/>
                      <w:szCs w:val="18"/>
                      <w:vertAlign w:val="subscript"/>
                    </w:rPr>
                    <w:t>3</w:t>
                  </w:r>
                  <w:r>
                    <w:rPr>
                      <w:rStyle w:val="223"/>
                      <w:color w:val="auto"/>
                      <w:sz w:val="18"/>
                      <w:szCs w:val="18"/>
                    </w:rPr>
                    <w:t>-N</w:t>
                  </w:r>
                  <w:r>
                    <w:rPr>
                      <w:rStyle w:val="222"/>
                      <w:rFonts w:hAnsi="宋体"/>
                      <w:color w:val="auto"/>
                    </w:rPr>
                    <w:t>）</w:t>
                  </w:r>
                </w:p>
              </w:tc>
              <w:tc>
                <w:tcPr>
                  <w:tcW w:w="313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int="eastAsia"/>
                      <w:kern w:val="0"/>
                      <w:sz w:val="18"/>
                      <w:szCs w:val="18"/>
                    </w:rPr>
                    <w:t>0.0018</w:t>
                  </w:r>
                </w:p>
              </w:tc>
              <w:tc>
                <w:tcPr>
                  <w:tcW w:w="2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rFonts w:hint="eastAsia"/>
                      <w:color w:val="auto"/>
                      <w:sz w:val="18"/>
                      <w:szCs w:val="18"/>
                    </w:rPr>
                    <w:t>5</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替代源排放情况</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污染源名称</w:t>
                  </w:r>
                </w:p>
              </w:tc>
              <w:tc>
                <w:tcPr>
                  <w:tcW w:w="2513"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排污许可证编号</w:t>
                  </w:r>
                </w:p>
              </w:tc>
              <w:tc>
                <w:tcPr>
                  <w:tcW w:w="12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污染物名称</w:t>
                  </w:r>
                </w:p>
              </w:tc>
              <w:tc>
                <w:tcPr>
                  <w:tcW w:w="24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排放量</w:t>
                  </w:r>
                  <w:r>
                    <w:rPr>
                      <w:rStyle w:val="223"/>
                      <w:color w:val="auto"/>
                      <w:sz w:val="18"/>
                      <w:szCs w:val="18"/>
                    </w:rPr>
                    <w:t>/</w:t>
                  </w:r>
                  <w:r>
                    <w:rPr>
                      <w:rStyle w:val="222"/>
                      <w:rFonts w:hAnsi="宋体"/>
                      <w:color w:val="auto"/>
                    </w:rPr>
                    <w:t>（</w:t>
                  </w:r>
                  <w:r>
                    <w:rPr>
                      <w:rStyle w:val="223"/>
                      <w:color w:val="auto"/>
                      <w:sz w:val="18"/>
                      <w:szCs w:val="18"/>
                    </w:rPr>
                    <w:t>t/a</w:t>
                  </w:r>
                  <w:r>
                    <w:rPr>
                      <w:rStyle w:val="222"/>
                      <w:rFonts w:hAnsi="宋体"/>
                      <w:color w:val="auto"/>
                    </w:rPr>
                    <w:t>）</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排放浓度</w:t>
                  </w:r>
                  <w:r>
                    <w:rPr>
                      <w:rStyle w:val="223"/>
                      <w:color w:val="auto"/>
                      <w:sz w:val="18"/>
                      <w:szCs w:val="18"/>
                    </w:rPr>
                    <w:t>/</w:t>
                  </w:r>
                  <w:r>
                    <w:rPr>
                      <w:rStyle w:val="222"/>
                      <w:rFonts w:hAnsi="宋体"/>
                      <w:color w:val="auto"/>
                    </w:rPr>
                    <w:t>（</w:t>
                  </w:r>
                  <w:r>
                    <w:rPr>
                      <w:rStyle w:val="223"/>
                      <w:color w:val="auto"/>
                      <w:sz w:val="18"/>
                      <w:szCs w:val="18"/>
                    </w:rPr>
                    <w:t>mg/L</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c>
                <w:tcPr>
                  <w:tcW w:w="2513"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c>
                <w:tcPr>
                  <w:tcW w:w="12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c>
                <w:tcPr>
                  <w:tcW w:w="24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生态流量确定</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生态流量：一般水期（</w:t>
                  </w:r>
                  <w:r>
                    <w:rPr>
                      <w:rStyle w:val="223"/>
                      <w:color w:val="auto"/>
                      <w:sz w:val="18"/>
                      <w:szCs w:val="18"/>
                    </w:rPr>
                    <w:t>/</w:t>
                  </w:r>
                  <w:r>
                    <w:rPr>
                      <w:rStyle w:val="222"/>
                      <w:rFonts w:hAnsi="宋体"/>
                      <w:color w:val="auto"/>
                    </w:rPr>
                    <w:t>）</w:t>
                  </w:r>
                  <w:r>
                    <w:rPr>
                      <w:rStyle w:val="223"/>
                      <w:color w:val="auto"/>
                      <w:sz w:val="18"/>
                      <w:szCs w:val="18"/>
                    </w:rPr>
                    <w:t>m</w:t>
                  </w:r>
                  <w:r>
                    <w:rPr>
                      <w:rStyle w:val="224"/>
                      <w:color w:val="auto"/>
                      <w:sz w:val="18"/>
                      <w:szCs w:val="18"/>
                      <w:vertAlign w:val="superscript"/>
                    </w:rPr>
                    <w:t>3</w:t>
                  </w:r>
                  <w:r>
                    <w:rPr>
                      <w:rStyle w:val="222"/>
                      <w:color w:val="auto"/>
                    </w:rPr>
                    <w:t>/s</w:t>
                  </w:r>
                  <w:r>
                    <w:rPr>
                      <w:rStyle w:val="222"/>
                      <w:rFonts w:hAnsi="宋体"/>
                      <w:color w:val="auto"/>
                    </w:rPr>
                    <w:t>；鱼类繁殖期（</w:t>
                  </w:r>
                  <w:r>
                    <w:rPr>
                      <w:rStyle w:val="223"/>
                      <w:color w:val="auto"/>
                      <w:sz w:val="18"/>
                      <w:szCs w:val="18"/>
                    </w:rPr>
                    <w:t>/</w:t>
                  </w:r>
                  <w:r>
                    <w:rPr>
                      <w:rStyle w:val="222"/>
                      <w:rFonts w:hAnsi="宋体"/>
                      <w:color w:val="auto"/>
                    </w:rPr>
                    <w:t>）</w:t>
                  </w:r>
                  <w:r>
                    <w:rPr>
                      <w:rStyle w:val="223"/>
                      <w:color w:val="auto"/>
                      <w:sz w:val="18"/>
                      <w:szCs w:val="18"/>
                    </w:rPr>
                    <w:t>m</w:t>
                  </w:r>
                  <w:r>
                    <w:rPr>
                      <w:rStyle w:val="224"/>
                      <w:color w:val="auto"/>
                      <w:sz w:val="18"/>
                      <w:szCs w:val="18"/>
                      <w:vertAlign w:val="superscript"/>
                    </w:rPr>
                    <w:t>3</w:t>
                  </w:r>
                  <w:r>
                    <w:rPr>
                      <w:rStyle w:val="222"/>
                      <w:color w:val="auto"/>
                    </w:rPr>
                    <w:t>/s</w:t>
                  </w:r>
                  <w:r>
                    <w:rPr>
                      <w:rStyle w:val="222"/>
                      <w:rFonts w:hAnsi="宋体"/>
                      <w:color w:val="auto"/>
                    </w:rPr>
                    <w:t>；其他（</w:t>
                  </w:r>
                  <w:r>
                    <w:rPr>
                      <w:rStyle w:val="223"/>
                      <w:color w:val="auto"/>
                      <w:sz w:val="18"/>
                      <w:szCs w:val="18"/>
                    </w:rPr>
                    <w:t>/</w:t>
                  </w:r>
                  <w:r>
                    <w:rPr>
                      <w:rStyle w:val="222"/>
                      <w:rFonts w:hAnsi="宋体"/>
                      <w:color w:val="auto"/>
                    </w:rPr>
                    <w:t>）</w:t>
                  </w:r>
                  <w:r>
                    <w:rPr>
                      <w:rStyle w:val="223"/>
                      <w:color w:val="auto"/>
                      <w:sz w:val="18"/>
                      <w:szCs w:val="18"/>
                    </w:rPr>
                    <w:t>m</w:t>
                  </w:r>
                  <w:r>
                    <w:rPr>
                      <w:rStyle w:val="224"/>
                      <w:color w:val="auto"/>
                      <w:sz w:val="18"/>
                      <w:szCs w:val="18"/>
                      <w:vertAlign w:val="superscript"/>
                    </w:rPr>
                    <w:t>3</w:t>
                  </w:r>
                  <w:r>
                    <w:rPr>
                      <w:rStyle w:val="222"/>
                      <w:color w:val="auto"/>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生态水位：一般水期（</w:t>
                  </w:r>
                  <w:r>
                    <w:rPr>
                      <w:rStyle w:val="223"/>
                      <w:color w:val="auto"/>
                      <w:sz w:val="18"/>
                      <w:szCs w:val="18"/>
                    </w:rPr>
                    <w:t>/</w:t>
                  </w:r>
                  <w:r>
                    <w:rPr>
                      <w:rStyle w:val="222"/>
                      <w:rFonts w:hAnsi="宋体"/>
                      <w:color w:val="auto"/>
                    </w:rPr>
                    <w:t>）</w:t>
                  </w:r>
                  <w:r>
                    <w:rPr>
                      <w:rStyle w:val="223"/>
                      <w:color w:val="auto"/>
                      <w:sz w:val="18"/>
                      <w:szCs w:val="18"/>
                    </w:rPr>
                    <w:t>m</w:t>
                  </w:r>
                  <w:r>
                    <w:rPr>
                      <w:rStyle w:val="222"/>
                      <w:rFonts w:hAnsi="宋体"/>
                      <w:color w:val="auto"/>
                    </w:rPr>
                    <w:t>；鱼类繁殖期（</w:t>
                  </w:r>
                  <w:r>
                    <w:rPr>
                      <w:rStyle w:val="223"/>
                      <w:color w:val="auto"/>
                      <w:sz w:val="18"/>
                      <w:szCs w:val="18"/>
                    </w:rPr>
                    <w:t>/</w:t>
                  </w:r>
                  <w:r>
                    <w:rPr>
                      <w:rStyle w:val="222"/>
                      <w:rFonts w:hAnsi="宋体"/>
                      <w:color w:val="auto"/>
                    </w:rPr>
                    <w:t>）</w:t>
                  </w:r>
                  <w:r>
                    <w:rPr>
                      <w:rStyle w:val="223"/>
                      <w:color w:val="auto"/>
                      <w:sz w:val="18"/>
                      <w:szCs w:val="18"/>
                    </w:rPr>
                    <w:t>m</w:t>
                  </w:r>
                  <w:r>
                    <w:rPr>
                      <w:rStyle w:val="222"/>
                      <w:rFonts w:hAnsi="宋体"/>
                      <w:color w:val="auto"/>
                    </w:rPr>
                    <w:t>；其他（</w:t>
                  </w:r>
                  <w:r>
                    <w:rPr>
                      <w:rStyle w:val="223"/>
                      <w:color w:val="auto"/>
                      <w:sz w:val="18"/>
                      <w:szCs w:val="18"/>
                    </w:rPr>
                    <w:t>/</w:t>
                  </w:r>
                  <w:r>
                    <w:rPr>
                      <w:rStyle w:val="222"/>
                      <w:rFonts w:hAnsi="宋体"/>
                      <w:color w:val="auto"/>
                    </w:rPr>
                    <w:t>）</w:t>
                  </w:r>
                  <w:r>
                    <w:rPr>
                      <w:rStyle w:val="223"/>
                      <w:color w:val="auto"/>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kern w:val="0"/>
                      <w:sz w:val="18"/>
                      <w:szCs w:val="18"/>
                    </w:rPr>
                  </w:pPr>
                  <w:r>
                    <w:rPr>
                      <w:rFonts w:hAnsi="宋体"/>
                      <w:kern w:val="0"/>
                      <w:sz w:val="18"/>
                      <w:szCs w:val="18"/>
                    </w:rPr>
                    <w:t>防</w:t>
                  </w:r>
                </w:p>
                <w:p>
                  <w:pPr>
                    <w:widowControl/>
                    <w:snapToGrid w:val="0"/>
                    <w:jc w:val="center"/>
                    <w:textAlignment w:val="center"/>
                    <w:rPr>
                      <w:sz w:val="18"/>
                      <w:szCs w:val="18"/>
                    </w:rPr>
                  </w:pPr>
                  <w:r>
                    <w:rPr>
                      <w:rFonts w:hAnsi="宋体"/>
                      <w:kern w:val="0"/>
                      <w:sz w:val="18"/>
                      <w:szCs w:val="18"/>
                    </w:rPr>
                    <w:t>治</w:t>
                  </w:r>
                </w:p>
                <w:p>
                  <w:pPr>
                    <w:widowControl/>
                    <w:snapToGrid w:val="0"/>
                    <w:jc w:val="center"/>
                    <w:textAlignment w:val="center"/>
                    <w:rPr>
                      <w:sz w:val="18"/>
                      <w:szCs w:val="18"/>
                    </w:rPr>
                  </w:pPr>
                  <w:r>
                    <w:rPr>
                      <w:rFonts w:hAnsi="宋体"/>
                      <w:kern w:val="0"/>
                      <w:sz w:val="18"/>
                      <w:szCs w:val="18"/>
                    </w:rPr>
                    <w:t>措</w:t>
                  </w:r>
                </w:p>
                <w:p>
                  <w:pPr>
                    <w:widowControl/>
                    <w:snapToGrid w:val="0"/>
                    <w:jc w:val="center"/>
                    <w:textAlignment w:val="center"/>
                    <w:rPr>
                      <w:sz w:val="18"/>
                      <w:szCs w:val="18"/>
                    </w:rPr>
                  </w:pPr>
                  <w:r>
                    <w:rPr>
                      <w:rFonts w:hAnsi="宋体"/>
                      <w:kern w:val="0"/>
                      <w:sz w:val="18"/>
                      <w:szCs w:val="18"/>
                    </w:rPr>
                    <w:t>施</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环保措施</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污水处理设施</w:t>
                  </w:r>
                  <w:r>
                    <w:rPr>
                      <w:kern w:val="0"/>
                      <w:sz w:val="18"/>
                      <w:szCs w:val="18"/>
                    </w:rPr>
                    <w:t xml:space="preserve"> □</w:t>
                  </w:r>
                  <w:r>
                    <w:rPr>
                      <w:rFonts w:hAnsi="宋体"/>
                      <w:kern w:val="0"/>
                      <w:sz w:val="18"/>
                      <w:szCs w:val="18"/>
                    </w:rPr>
                    <w:t>；水文减缓设施</w:t>
                  </w:r>
                  <w:r>
                    <w:rPr>
                      <w:kern w:val="0"/>
                      <w:sz w:val="18"/>
                      <w:szCs w:val="18"/>
                    </w:rPr>
                    <w:t xml:space="preserve"> □</w:t>
                  </w:r>
                  <w:r>
                    <w:rPr>
                      <w:rFonts w:hAnsi="宋体"/>
                      <w:kern w:val="0"/>
                      <w:sz w:val="18"/>
                      <w:szCs w:val="18"/>
                    </w:rPr>
                    <w:t>；生态流量保障设施</w:t>
                  </w:r>
                  <w:r>
                    <w:rPr>
                      <w:kern w:val="0"/>
                      <w:sz w:val="18"/>
                      <w:szCs w:val="18"/>
                    </w:rPr>
                    <w:t xml:space="preserve"> □</w:t>
                  </w:r>
                  <w:r>
                    <w:rPr>
                      <w:rFonts w:hAnsi="宋体"/>
                      <w:kern w:val="0"/>
                      <w:sz w:val="18"/>
                      <w:szCs w:val="18"/>
                    </w:rPr>
                    <w:t>；区域削减</w:t>
                  </w:r>
                  <w:r>
                    <w:rPr>
                      <w:kern w:val="0"/>
                      <w:sz w:val="18"/>
                      <w:szCs w:val="18"/>
                    </w:rPr>
                    <w:t xml:space="preserve"> □</w:t>
                  </w:r>
                  <w:r>
                    <w:rPr>
                      <w:rFonts w:hAnsi="宋体"/>
                      <w:kern w:val="0"/>
                      <w:sz w:val="18"/>
                      <w:szCs w:val="18"/>
                    </w:rPr>
                    <w:t>；依托其他工程措施</w:t>
                  </w:r>
                  <w:r>
                    <w:rPr>
                      <w:kern w:val="0"/>
                      <w:sz w:val="18"/>
                      <w:szCs w:val="18"/>
                    </w:rPr>
                    <w:t xml:space="preserve"> </w:t>
                  </w:r>
                  <w:r>
                    <w:rPr>
                      <w:kern w:val="0"/>
                      <w:sz w:val="18"/>
                      <w:szCs w:val="18"/>
                    </w:rPr>
                    <w:sym w:font="Wingdings 2" w:char="0052"/>
                  </w:r>
                  <w:r>
                    <w:rPr>
                      <w:rFonts w:hAnsi="宋体"/>
                      <w:kern w:val="0"/>
                      <w:sz w:val="18"/>
                      <w:szCs w:val="18"/>
                    </w:rPr>
                    <w:t>；其他</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监测计划</w:t>
                  </w:r>
                </w:p>
              </w:tc>
              <w:tc>
                <w:tcPr>
                  <w:tcW w:w="19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sz w:val="18"/>
                      <w:szCs w:val="18"/>
                    </w:rPr>
                  </w:pPr>
                </w:p>
              </w:tc>
              <w:tc>
                <w:tcPr>
                  <w:tcW w:w="3133"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环境质量</w:t>
                  </w:r>
                </w:p>
              </w:tc>
              <w:tc>
                <w:tcPr>
                  <w:tcW w:w="286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污染源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19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监测方式</w:t>
                  </w:r>
                </w:p>
              </w:tc>
              <w:tc>
                <w:tcPr>
                  <w:tcW w:w="3133"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手动</w:t>
                  </w:r>
                  <w:r>
                    <w:rPr>
                      <w:kern w:val="0"/>
                      <w:sz w:val="18"/>
                      <w:szCs w:val="18"/>
                    </w:rPr>
                    <w:t xml:space="preserve"> □</w:t>
                  </w:r>
                  <w:r>
                    <w:rPr>
                      <w:rFonts w:hAnsi="宋体"/>
                      <w:kern w:val="0"/>
                      <w:sz w:val="18"/>
                      <w:szCs w:val="18"/>
                    </w:rPr>
                    <w:t>；自动</w:t>
                  </w:r>
                  <w:r>
                    <w:rPr>
                      <w:kern w:val="0"/>
                      <w:sz w:val="18"/>
                      <w:szCs w:val="18"/>
                    </w:rPr>
                    <w:t xml:space="preserve"> □</w:t>
                  </w:r>
                  <w:r>
                    <w:rPr>
                      <w:rFonts w:hAnsi="宋体"/>
                      <w:kern w:val="0"/>
                      <w:sz w:val="18"/>
                      <w:szCs w:val="18"/>
                    </w:rPr>
                    <w:t>；无监测</w:t>
                  </w:r>
                  <w:r>
                    <w:rPr>
                      <w:kern w:val="0"/>
                      <w:sz w:val="18"/>
                      <w:szCs w:val="18"/>
                    </w:rPr>
                    <w:t xml:space="preserve"> </w:t>
                  </w:r>
                  <w:r>
                    <w:rPr>
                      <w:kern w:val="0"/>
                      <w:sz w:val="18"/>
                      <w:szCs w:val="18"/>
                    </w:rPr>
                    <w:sym w:font="Wingdings 2" w:char="0052"/>
                  </w:r>
                </w:p>
              </w:tc>
              <w:tc>
                <w:tcPr>
                  <w:tcW w:w="286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手动</w:t>
                  </w:r>
                  <w:r>
                    <w:rPr>
                      <w:kern w:val="0"/>
                      <w:sz w:val="18"/>
                      <w:szCs w:val="18"/>
                    </w:rPr>
                    <w:t xml:space="preserve"> □</w:t>
                  </w:r>
                  <w:r>
                    <w:rPr>
                      <w:rFonts w:hAnsi="宋体"/>
                      <w:kern w:val="0"/>
                      <w:sz w:val="18"/>
                      <w:szCs w:val="18"/>
                    </w:rPr>
                    <w:t>；自动</w:t>
                  </w:r>
                  <w:r>
                    <w:rPr>
                      <w:kern w:val="0"/>
                      <w:sz w:val="18"/>
                      <w:szCs w:val="18"/>
                    </w:rPr>
                    <w:t xml:space="preserve"> □</w:t>
                  </w:r>
                  <w:r>
                    <w:rPr>
                      <w:rFonts w:hAnsi="宋体"/>
                      <w:kern w:val="0"/>
                      <w:sz w:val="18"/>
                      <w:szCs w:val="18"/>
                    </w:rPr>
                    <w:t>；无监测</w:t>
                  </w:r>
                  <w:r>
                    <w:rPr>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19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监测点位</w:t>
                  </w:r>
                </w:p>
              </w:tc>
              <w:tc>
                <w:tcPr>
                  <w:tcW w:w="3133"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c>
                <w:tcPr>
                  <w:tcW w:w="286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19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监测因子</w:t>
                  </w:r>
                </w:p>
              </w:tc>
              <w:tc>
                <w:tcPr>
                  <w:tcW w:w="3133"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c>
                <w:tcPr>
                  <w:tcW w:w="286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w:t>
                  </w:r>
                  <w:r>
                    <w:rPr>
                      <w:rStyle w:val="223"/>
                      <w:color w:val="auto"/>
                      <w:sz w:val="18"/>
                      <w:szCs w:val="18"/>
                    </w:rPr>
                    <w:t>/</w:t>
                  </w:r>
                  <w:r>
                    <w:rPr>
                      <w:rStyle w:val="222"/>
                      <w:rFonts w:hAnsi="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sz w:val="18"/>
                      <w:szCs w:val="18"/>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污染物排放清单</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2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评价结论</w:t>
                  </w:r>
                </w:p>
              </w:tc>
              <w:tc>
                <w:tcPr>
                  <w:tcW w:w="7902"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可以接受</w:t>
                  </w:r>
                  <w:r>
                    <w:rPr>
                      <w:kern w:val="0"/>
                      <w:sz w:val="18"/>
                      <w:szCs w:val="18"/>
                    </w:rPr>
                    <w:t xml:space="preserve"> </w:t>
                  </w:r>
                  <w:r>
                    <w:rPr>
                      <w:kern w:val="0"/>
                      <w:sz w:val="18"/>
                      <w:szCs w:val="18"/>
                    </w:rPr>
                    <w:sym w:font="Wingdings 2" w:char="0052"/>
                  </w:r>
                  <w:r>
                    <w:rPr>
                      <w:rStyle w:val="222"/>
                      <w:rFonts w:hAnsi="宋体"/>
                      <w:color w:val="auto"/>
                    </w:rPr>
                    <w:t>；不可以接受</w:t>
                  </w:r>
                  <w:r>
                    <w:rPr>
                      <w:rStyle w:val="222"/>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9160" w:type="dxa"/>
                  <w:gridSpan w:val="1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sz w:val="18"/>
                      <w:szCs w:val="18"/>
                    </w:rPr>
                  </w:pPr>
                  <w:r>
                    <w:rPr>
                      <w:rFonts w:hAnsi="宋体"/>
                      <w:kern w:val="0"/>
                      <w:sz w:val="18"/>
                      <w:szCs w:val="18"/>
                    </w:rPr>
                    <w:t>注：</w:t>
                  </w:r>
                  <w:r>
                    <w:rPr>
                      <w:kern w:val="0"/>
                      <w:sz w:val="18"/>
                      <w:szCs w:val="18"/>
                    </w:rPr>
                    <w:t>“□”</w:t>
                  </w:r>
                  <w:r>
                    <w:rPr>
                      <w:rFonts w:hAnsi="宋体"/>
                      <w:kern w:val="0"/>
                      <w:sz w:val="18"/>
                      <w:szCs w:val="18"/>
                    </w:rPr>
                    <w:t>为勾选项，可</w:t>
                  </w:r>
                  <w:r>
                    <w:rPr>
                      <w:kern w:val="0"/>
                      <w:sz w:val="18"/>
                      <w:szCs w:val="18"/>
                    </w:rPr>
                    <w:t>√</w:t>
                  </w:r>
                  <w:r>
                    <w:rPr>
                      <w:rFonts w:hAnsi="宋体"/>
                      <w:kern w:val="0"/>
                      <w:sz w:val="18"/>
                      <w:szCs w:val="18"/>
                    </w:rPr>
                    <w:t>；</w:t>
                  </w:r>
                  <w:r>
                    <w:rPr>
                      <w:kern w:val="0"/>
                      <w:sz w:val="18"/>
                      <w:szCs w:val="18"/>
                    </w:rPr>
                    <w:t>“</w:t>
                  </w:r>
                  <w:r>
                    <w:rPr>
                      <w:rFonts w:hAnsi="宋体"/>
                      <w:kern w:val="0"/>
                      <w:sz w:val="18"/>
                      <w:szCs w:val="18"/>
                    </w:rPr>
                    <w:t>（</w:t>
                  </w:r>
                  <w:r>
                    <w:rPr>
                      <w:kern w:val="0"/>
                      <w:sz w:val="18"/>
                      <w:szCs w:val="18"/>
                    </w:rPr>
                    <w:t xml:space="preserve"> </w:t>
                  </w:r>
                  <w:r>
                    <w:rPr>
                      <w:rFonts w:hAnsi="宋体"/>
                      <w:kern w:val="0"/>
                      <w:sz w:val="18"/>
                      <w:szCs w:val="18"/>
                    </w:rPr>
                    <w:t>）</w:t>
                  </w:r>
                  <w:r>
                    <w:rPr>
                      <w:kern w:val="0"/>
                      <w:sz w:val="18"/>
                      <w:szCs w:val="18"/>
                    </w:rPr>
                    <w:t>”</w:t>
                  </w:r>
                  <w:r>
                    <w:rPr>
                      <w:rFonts w:hAnsi="宋体"/>
                      <w:kern w:val="0"/>
                      <w:sz w:val="18"/>
                      <w:szCs w:val="18"/>
                    </w:rPr>
                    <w:t>为内容填写项；</w:t>
                  </w:r>
                  <w:r>
                    <w:rPr>
                      <w:kern w:val="0"/>
                      <w:sz w:val="18"/>
                      <w:szCs w:val="18"/>
                    </w:rPr>
                    <w:t>“</w:t>
                  </w:r>
                  <w:r>
                    <w:rPr>
                      <w:rFonts w:hAnsi="宋体"/>
                      <w:kern w:val="0"/>
                      <w:sz w:val="18"/>
                      <w:szCs w:val="18"/>
                    </w:rPr>
                    <w:t>备注</w:t>
                  </w:r>
                  <w:r>
                    <w:rPr>
                      <w:kern w:val="0"/>
                      <w:sz w:val="18"/>
                      <w:szCs w:val="18"/>
                    </w:rPr>
                    <w:t>”</w:t>
                  </w:r>
                  <w:r>
                    <w:rPr>
                      <w:rFonts w:hAnsi="宋体"/>
                      <w:kern w:val="0"/>
                      <w:sz w:val="18"/>
                      <w:szCs w:val="18"/>
                    </w:rPr>
                    <w:t>为其他补充内容。</w:t>
                  </w:r>
                </w:p>
              </w:tc>
            </w:tr>
          </w:tbl>
          <w:p>
            <w:pPr>
              <w:snapToGrid w:val="0"/>
              <w:spacing w:line="360" w:lineRule="auto"/>
              <w:ind w:firstLine="482" w:firstLineChars="200"/>
              <w:rPr>
                <w:sz w:val="24"/>
                <w:szCs w:val="24"/>
              </w:rPr>
            </w:pPr>
            <w:r>
              <w:rPr>
                <w:b/>
                <w:bCs/>
                <w:sz w:val="24"/>
                <w:szCs w:val="24"/>
              </w:rPr>
              <w:t>接管可行性分析及影响分析</w:t>
            </w:r>
            <w:r>
              <w:rPr>
                <w:rFonts w:hint="eastAsia"/>
                <w:b/>
                <w:bCs/>
                <w:sz w:val="24"/>
                <w:szCs w:val="24"/>
              </w:rPr>
              <w:t>：</w:t>
            </w:r>
            <w:r>
              <w:rPr>
                <w:bCs/>
                <w:sz w:val="24"/>
                <w:szCs w:val="24"/>
              </w:rPr>
              <w:t>项目</w:t>
            </w:r>
            <w:r>
              <w:rPr>
                <w:rFonts w:hint="eastAsia"/>
                <w:bCs/>
                <w:sz w:val="24"/>
                <w:szCs w:val="24"/>
              </w:rPr>
              <w:t>产生的生活污水</w:t>
            </w:r>
            <w:r>
              <w:rPr>
                <w:bCs/>
                <w:sz w:val="24"/>
                <w:szCs w:val="24"/>
              </w:rPr>
              <w:t>经</w:t>
            </w:r>
            <w:r>
              <w:rPr>
                <w:rFonts w:hint="eastAsia"/>
                <w:bCs/>
                <w:sz w:val="24"/>
                <w:szCs w:val="24"/>
              </w:rPr>
              <w:t>化粪池</w:t>
            </w:r>
            <w:r>
              <w:rPr>
                <w:bCs/>
                <w:sz w:val="24"/>
                <w:szCs w:val="24"/>
              </w:rPr>
              <w:t>处理后</w:t>
            </w:r>
            <w:r>
              <w:rPr>
                <w:rFonts w:hint="eastAsia"/>
                <w:bCs/>
                <w:sz w:val="24"/>
                <w:szCs w:val="24"/>
              </w:rPr>
              <w:t>，项目废水排放浓度能</w:t>
            </w:r>
            <w:r>
              <w:rPr>
                <w:sz w:val="24"/>
                <w:szCs w:val="24"/>
              </w:rPr>
              <w:t>达到</w:t>
            </w:r>
            <w:r>
              <w:rPr>
                <w:rFonts w:hint="eastAsia"/>
                <w:sz w:val="24"/>
                <w:szCs w:val="24"/>
              </w:rPr>
              <w:t>《污水排入城市下水道水质标准》（GB/T 31962-2015）B级标准，排入淮南首创第一污水处理厂处理，</w:t>
            </w:r>
            <w:r>
              <w:rPr>
                <w:sz w:val="24"/>
                <w:szCs w:val="24"/>
              </w:rPr>
              <w:t>出水水质达到《城镇污水处理厂污染物排放标准》(GB18918-2002)中的一级A标准，排入</w:t>
            </w:r>
            <w:r>
              <w:rPr>
                <w:rFonts w:hint="eastAsia"/>
                <w:sz w:val="24"/>
                <w:szCs w:val="24"/>
                <w:lang w:eastAsia="zh-CN"/>
              </w:rPr>
              <w:t>淮河</w:t>
            </w:r>
            <w:r>
              <w:rPr>
                <w:sz w:val="24"/>
                <w:szCs w:val="24"/>
              </w:rPr>
              <w:t>，主要污染物排放量为</w:t>
            </w:r>
            <w:r>
              <w:rPr>
                <w:bCs/>
                <w:sz w:val="24"/>
                <w:szCs w:val="24"/>
              </w:rPr>
              <w:t>COD：</w:t>
            </w:r>
            <w:r>
              <w:rPr>
                <w:rFonts w:hint="eastAsia"/>
                <w:bCs/>
                <w:sz w:val="24"/>
                <w:szCs w:val="24"/>
              </w:rPr>
              <w:t>5</w:t>
            </w:r>
            <w:r>
              <w:rPr>
                <w:bCs/>
                <w:sz w:val="24"/>
                <w:szCs w:val="24"/>
              </w:rPr>
              <w:t>0mg/L、0.</w:t>
            </w:r>
            <w:r>
              <w:rPr>
                <w:rFonts w:hint="eastAsia"/>
                <w:bCs/>
                <w:sz w:val="24"/>
                <w:szCs w:val="24"/>
              </w:rPr>
              <w:t>018</w:t>
            </w:r>
            <w:r>
              <w:rPr>
                <w:bCs/>
                <w:sz w:val="24"/>
                <w:szCs w:val="24"/>
              </w:rPr>
              <w:t>t/a，BOD</w:t>
            </w:r>
            <w:r>
              <w:rPr>
                <w:bCs/>
                <w:sz w:val="24"/>
                <w:szCs w:val="24"/>
                <w:vertAlign w:val="subscript"/>
              </w:rPr>
              <w:t>5</w:t>
            </w:r>
            <w:r>
              <w:rPr>
                <w:bCs/>
                <w:sz w:val="24"/>
                <w:szCs w:val="24"/>
              </w:rPr>
              <w:t>：10mg/L、0.</w:t>
            </w:r>
            <w:r>
              <w:rPr>
                <w:rFonts w:hint="eastAsia"/>
                <w:bCs/>
                <w:sz w:val="24"/>
                <w:szCs w:val="24"/>
              </w:rPr>
              <w:t>0</w:t>
            </w:r>
            <w:r>
              <w:rPr>
                <w:bCs/>
                <w:sz w:val="24"/>
                <w:szCs w:val="24"/>
              </w:rPr>
              <w:t>0</w:t>
            </w:r>
            <w:r>
              <w:rPr>
                <w:rFonts w:hint="eastAsia"/>
                <w:bCs/>
                <w:sz w:val="24"/>
                <w:szCs w:val="24"/>
              </w:rPr>
              <w:t>36</w:t>
            </w:r>
            <w:r>
              <w:rPr>
                <w:bCs/>
                <w:sz w:val="24"/>
                <w:szCs w:val="24"/>
              </w:rPr>
              <w:t>t/a，SS：10mg/L、0.0</w:t>
            </w:r>
            <w:r>
              <w:rPr>
                <w:rFonts w:hint="eastAsia"/>
                <w:bCs/>
                <w:sz w:val="24"/>
                <w:szCs w:val="24"/>
              </w:rPr>
              <w:t>036</w:t>
            </w:r>
            <w:r>
              <w:rPr>
                <w:bCs/>
                <w:sz w:val="24"/>
                <w:szCs w:val="24"/>
              </w:rPr>
              <w:t>t/a，NH</w:t>
            </w:r>
            <w:r>
              <w:rPr>
                <w:bCs/>
                <w:sz w:val="24"/>
                <w:szCs w:val="24"/>
                <w:vertAlign w:val="subscript"/>
              </w:rPr>
              <w:t>3</w:t>
            </w:r>
            <w:r>
              <w:rPr>
                <w:bCs/>
                <w:sz w:val="24"/>
                <w:szCs w:val="24"/>
              </w:rPr>
              <w:t>-N：</w:t>
            </w:r>
            <w:r>
              <w:rPr>
                <w:rFonts w:hint="eastAsia"/>
                <w:bCs/>
                <w:sz w:val="24"/>
                <w:szCs w:val="24"/>
              </w:rPr>
              <w:t>5</w:t>
            </w:r>
            <w:r>
              <w:rPr>
                <w:bCs/>
                <w:sz w:val="24"/>
                <w:szCs w:val="24"/>
              </w:rPr>
              <w:t>mg/L，0.00</w:t>
            </w:r>
            <w:r>
              <w:rPr>
                <w:rFonts w:hint="eastAsia"/>
                <w:bCs/>
                <w:sz w:val="24"/>
                <w:szCs w:val="24"/>
              </w:rPr>
              <w:t>18</w:t>
            </w:r>
            <w:r>
              <w:rPr>
                <w:bCs/>
                <w:sz w:val="24"/>
                <w:szCs w:val="24"/>
              </w:rPr>
              <w:t>t/a，对环境影响较小。</w:t>
            </w:r>
            <w:r>
              <w:rPr>
                <w:rFonts w:hint="eastAsia"/>
                <w:bCs/>
                <w:sz w:val="24"/>
                <w:szCs w:val="24"/>
              </w:rPr>
              <w:t>最终排入淮河，</w:t>
            </w:r>
            <w:r>
              <w:rPr>
                <w:rFonts w:hint="eastAsia"/>
                <w:bCs/>
                <w:sz w:val="24"/>
                <w:szCs w:val="24"/>
                <w:lang w:val="en-GB"/>
              </w:rPr>
              <w:t>不会降低项目区现有水环境功能。</w:t>
            </w:r>
          </w:p>
          <w:p>
            <w:pPr>
              <w:snapToGrid w:val="0"/>
              <w:spacing w:line="360" w:lineRule="auto"/>
              <w:ind w:firstLine="480" w:firstLineChars="200"/>
              <w:rPr>
                <w:rFonts w:hAnsi="宋体"/>
                <w:sz w:val="24"/>
                <w:szCs w:val="24"/>
              </w:rPr>
            </w:pPr>
            <w:r>
              <w:rPr>
                <w:rFonts w:hint="eastAsia" w:hAnsi="宋体"/>
                <w:sz w:val="24"/>
                <w:szCs w:val="24"/>
              </w:rPr>
              <w:t>淮南首创第一污水处理厂位于田家庵区下陶路北淮河岸边，占地面积105亩。设计污水处理10万m</w:t>
            </w:r>
            <w:r>
              <w:rPr>
                <w:rFonts w:hint="eastAsia" w:hAnsi="宋体"/>
                <w:sz w:val="24"/>
                <w:szCs w:val="24"/>
                <w:vertAlign w:val="superscript"/>
              </w:rPr>
              <w:t>3</w:t>
            </w:r>
            <w:r>
              <w:rPr>
                <w:rFonts w:hint="eastAsia" w:hAnsi="宋体"/>
                <w:sz w:val="24"/>
                <w:szCs w:val="24"/>
              </w:rPr>
              <w:t>/d。采用二级生化处理（卡鲁塞尔2000氧化沟工艺）。原设计排放水质符合一级B标准，2013年底提标改造，现处理量达9-10万m</w:t>
            </w:r>
            <w:r>
              <w:rPr>
                <w:rFonts w:hint="eastAsia" w:hAnsi="宋体"/>
                <w:sz w:val="24"/>
                <w:szCs w:val="24"/>
                <w:vertAlign w:val="superscript"/>
              </w:rPr>
              <w:t>3</w:t>
            </w:r>
            <w:r>
              <w:rPr>
                <w:rFonts w:hint="eastAsia" w:hAnsi="宋体"/>
                <w:sz w:val="24"/>
                <w:szCs w:val="24"/>
              </w:rPr>
              <w:t>/d，基本满负荷运行，处理后排放水质符合设计一级A标准。 项目概况：二期扩建厂址位于一期工程的东边，扩建规模为：2015年5万m</w:t>
            </w:r>
            <w:r>
              <w:rPr>
                <w:rFonts w:hint="eastAsia" w:hAnsi="宋体"/>
                <w:sz w:val="24"/>
                <w:szCs w:val="24"/>
                <w:vertAlign w:val="superscript"/>
              </w:rPr>
              <w:t>3</w:t>
            </w:r>
            <w:r>
              <w:rPr>
                <w:rFonts w:hint="eastAsia" w:hAnsi="宋体"/>
                <w:sz w:val="24"/>
                <w:szCs w:val="24"/>
              </w:rPr>
              <w:t>/d，2020年5万m</w:t>
            </w:r>
            <w:r>
              <w:rPr>
                <w:rFonts w:hint="eastAsia" w:hAnsi="宋体"/>
                <w:sz w:val="24"/>
                <w:szCs w:val="24"/>
                <w:vertAlign w:val="superscript"/>
              </w:rPr>
              <w:t>3</w:t>
            </w:r>
            <w:r>
              <w:rPr>
                <w:rFonts w:hint="eastAsia" w:hAnsi="宋体"/>
                <w:sz w:val="24"/>
                <w:szCs w:val="24"/>
              </w:rPr>
              <w:t>/d。平面布置按10万m</w:t>
            </w:r>
            <w:r>
              <w:rPr>
                <w:rFonts w:hint="eastAsia" w:hAnsi="宋体"/>
                <w:sz w:val="24"/>
                <w:szCs w:val="24"/>
                <w:vertAlign w:val="superscript"/>
              </w:rPr>
              <w:t>3</w:t>
            </w:r>
            <w:r>
              <w:rPr>
                <w:rFonts w:hint="eastAsia" w:hAnsi="宋体"/>
                <w:sz w:val="24"/>
                <w:szCs w:val="24"/>
              </w:rPr>
              <w:t>/d一次设计，分期实施。二期扩建工程新建的建、构筑物有：细格栅站及旋流沉砂池、生物池及回流泵池、深度处理综合池、鼓风机房、变电站、机修、仓库、加氯加药间、储泥池、脱水机房。 污水厂处理工艺：预处理+多模式A</w:t>
            </w:r>
            <w:r>
              <w:rPr>
                <w:rFonts w:hint="eastAsia" w:hAnsi="宋体"/>
                <w:sz w:val="24"/>
                <w:szCs w:val="24"/>
                <w:vertAlign w:val="superscript"/>
              </w:rPr>
              <w:t>2</w:t>
            </w:r>
            <w:r>
              <w:rPr>
                <w:rFonts w:hint="eastAsia" w:hAnsi="宋体"/>
                <w:sz w:val="24"/>
                <w:szCs w:val="24"/>
              </w:rPr>
              <w:t>/O强化除磷脱氮生物处理+混凝沉淀过滤+消毒;污泥处理工艺为“污泥浓缩池+板框深度脱水”。 出水标准：出水受纳水体为淮河，污水出口所处的河段为III类水体，污水厂出水水质按《城镇污水处理厂污染物排放标准》(GB18918-2006)中一级A标准执行。</w:t>
            </w:r>
          </w:p>
          <w:p>
            <w:pPr>
              <w:snapToGrid w:val="0"/>
              <w:spacing w:line="360" w:lineRule="auto"/>
              <w:ind w:firstLine="480" w:firstLineChars="200"/>
              <w:rPr>
                <w:rFonts w:hAnsi="宋体"/>
                <w:sz w:val="24"/>
                <w:szCs w:val="24"/>
              </w:rPr>
            </w:pPr>
            <w:r>
              <w:rPr>
                <w:rFonts w:hint="eastAsia" w:hAnsi="宋体"/>
                <w:sz w:val="24"/>
                <w:szCs w:val="24"/>
              </w:rPr>
              <w:t>项目所在区属淮南首创第一污水处理厂收水范围内，且项目区市政雨、污管网已配套完善，因此项目废水经处理后进入淮南首创第一污水处理厂是可行的。</w:t>
            </w:r>
          </w:p>
          <w:p>
            <w:pPr>
              <w:snapToGrid w:val="0"/>
              <w:spacing w:line="360" w:lineRule="auto"/>
              <w:ind w:firstLine="480" w:firstLineChars="200"/>
              <w:rPr>
                <w:rFonts w:hAnsi="宋体"/>
                <w:sz w:val="24"/>
                <w:szCs w:val="24"/>
              </w:rPr>
            </w:pPr>
            <w:r>
              <w:rPr>
                <w:rFonts w:hint="eastAsia" w:hAnsi="宋体"/>
                <w:sz w:val="24"/>
                <w:szCs w:val="24"/>
              </w:rPr>
              <w:t>项目所在区属淮南首创第一污水处理厂收水范围内，且项目区市政雨、污管网已配套完善。项目运营后接入污水处理厂的废水量为1.2m</w:t>
            </w:r>
            <w:r>
              <w:rPr>
                <w:rFonts w:hint="eastAsia" w:hAnsi="宋体"/>
                <w:sz w:val="24"/>
                <w:szCs w:val="24"/>
                <w:vertAlign w:val="superscript"/>
              </w:rPr>
              <w:t>3</w:t>
            </w:r>
            <w:r>
              <w:rPr>
                <w:rFonts w:hint="eastAsia" w:hAnsi="宋体"/>
                <w:sz w:val="24"/>
                <w:szCs w:val="24"/>
              </w:rPr>
              <w:t>/d，各污染因子均满足《污水排入城市下水道水质标准》（GB/T 31962-2015）B级标准，对淮南首创第一污水处理厂的影响很小。因此，项目废水可接管纳入淮南首创第一污水处理厂，不会对淮南首创第一污水处理厂正常运行造成影响。</w:t>
            </w:r>
          </w:p>
          <w:p>
            <w:pPr>
              <w:snapToGrid w:val="0"/>
              <w:spacing w:line="360" w:lineRule="auto"/>
              <w:ind w:firstLine="480" w:firstLineChars="200"/>
              <w:rPr>
                <w:rFonts w:hAnsi="宋体"/>
                <w:sz w:val="24"/>
                <w:szCs w:val="24"/>
              </w:rPr>
            </w:pPr>
            <w:r>
              <w:rPr>
                <w:rFonts w:hint="eastAsia" w:hAnsi="宋体"/>
                <w:sz w:val="24"/>
                <w:szCs w:val="24"/>
              </w:rPr>
              <w:t>综上，项目废水接入淮南首创第一污水处理厂是可行的，经上述处理措施后，项目废水能做到达标排放，对</w:t>
            </w:r>
            <w:r>
              <w:rPr>
                <w:rFonts w:hint="eastAsia" w:hAnsi="宋体"/>
                <w:sz w:val="24"/>
                <w:szCs w:val="24"/>
                <w:lang w:eastAsia="zh-CN"/>
              </w:rPr>
              <w:t>淮河</w:t>
            </w:r>
            <w:r>
              <w:rPr>
                <w:rFonts w:hint="eastAsia" w:hAnsi="宋体"/>
                <w:sz w:val="24"/>
                <w:szCs w:val="24"/>
              </w:rPr>
              <w:t>水环境影响较小，不会降低</w:t>
            </w:r>
            <w:r>
              <w:rPr>
                <w:rFonts w:hint="eastAsia" w:hAnsi="宋体"/>
                <w:sz w:val="24"/>
                <w:szCs w:val="24"/>
                <w:lang w:eastAsia="zh-CN"/>
              </w:rPr>
              <w:t>淮河</w:t>
            </w:r>
            <w:r>
              <w:rPr>
                <w:rFonts w:hint="eastAsia" w:hAnsi="宋体"/>
                <w:sz w:val="24"/>
                <w:szCs w:val="24"/>
              </w:rPr>
              <w:t>水环境现有功能。</w:t>
            </w:r>
          </w:p>
          <w:p>
            <w:pPr>
              <w:numPr>
                <w:ilvl w:val="0"/>
                <w:numId w:val="2"/>
              </w:numPr>
              <w:spacing w:line="360" w:lineRule="auto"/>
              <w:rPr>
                <w:b/>
                <w:bCs/>
                <w:kern w:val="0"/>
                <w:sz w:val="24"/>
              </w:rPr>
            </w:pPr>
            <w:r>
              <w:rPr>
                <w:b/>
                <w:bCs/>
                <w:kern w:val="0"/>
                <w:sz w:val="24"/>
              </w:rPr>
              <w:t>大气环境影响分析</w:t>
            </w:r>
          </w:p>
          <w:p>
            <w:pPr>
              <w:spacing w:line="360" w:lineRule="auto"/>
              <w:ind w:firstLine="480"/>
              <w:rPr>
                <w:rFonts w:hint="eastAsia" w:hAnsi="宋体" w:eastAsia="宋体"/>
                <w:sz w:val="24"/>
                <w:lang w:eastAsia="zh-CN"/>
              </w:rPr>
            </w:pPr>
            <w:r>
              <w:rPr>
                <w:sz w:val="24"/>
                <w:szCs w:val="24"/>
              </w:rPr>
              <w:t>本项目营运期</w:t>
            </w:r>
            <w:r>
              <w:rPr>
                <w:rFonts w:hint="eastAsia"/>
                <w:sz w:val="24"/>
                <w:szCs w:val="24"/>
              </w:rPr>
              <w:t>产生的废气主要为切割机切割过程中产生的切割烟尘、</w:t>
            </w:r>
            <w:r>
              <w:rPr>
                <w:rFonts w:hint="eastAsia"/>
                <w:sz w:val="24"/>
                <w:szCs w:val="24"/>
                <w:lang w:eastAsia="zh-CN"/>
              </w:rPr>
              <w:t>打磨过程中产生的粉尘</w:t>
            </w:r>
            <w:r>
              <w:rPr>
                <w:rFonts w:hint="eastAsia"/>
                <w:sz w:val="24"/>
                <w:szCs w:val="24"/>
              </w:rPr>
              <w:t>。</w:t>
            </w:r>
            <w:r>
              <w:rPr>
                <w:rFonts w:hint="eastAsia"/>
                <w:bCs/>
                <w:sz w:val="24"/>
                <w:szCs w:val="24"/>
              </w:rPr>
              <w:t>项目产生的切割烟尘</w:t>
            </w:r>
            <w:r>
              <w:rPr>
                <w:rFonts w:hint="eastAsia"/>
                <w:bCs/>
                <w:sz w:val="24"/>
                <w:szCs w:val="24"/>
                <w:lang w:eastAsia="zh-CN"/>
              </w:rPr>
              <w:t>、打磨粉尘</w:t>
            </w:r>
            <w:r>
              <w:rPr>
                <w:rFonts w:hint="eastAsia"/>
                <w:bCs/>
                <w:sz w:val="24"/>
                <w:szCs w:val="24"/>
              </w:rPr>
              <w:t>经移动焊烟净化器处理后以无组织形式排放。项目烟尘无组织排放量为</w:t>
            </w:r>
            <w:r>
              <w:rPr>
                <w:rFonts w:hint="eastAsia"/>
                <w:bCs/>
                <w:sz w:val="24"/>
                <w:szCs w:val="24"/>
                <w:lang w:val="en-US" w:eastAsia="zh-CN"/>
              </w:rPr>
              <w:t>0.113t/a，0.115kg/h</w:t>
            </w:r>
            <w:r>
              <w:rPr>
                <w:rFonts w:hint="eastAsia"/>
                <w:bCs/>
                <w:sz w:val="24"/>
                <w:szCs w:val="24"/>
                <w:lang w:eastAsia="zh-CN"/>
              </w:rPr>
              <w:t>。</w:t>
            </w:r>
          </w:p>
          <w:p>
            <w:pPr>
              <w:snapToGrid w:val="0"/>
              <w:spacing w:line="360" w:lineRule="auto"/>
              <w:ind w:firstLine="482" w:firstLineChars="200"/>
              <w:jc w:val="left"/>
              <w:rPr>
                <w:b/>
                <w:snapToGrid w:val="0"/>
                <w:kern w:val="0"/>
                <w:sz w:val="24"/>
                <w:szCs w:val="24"/>
              </w:rPr>
            </w:pPr>
            <w:r>
              <w:rPr>
                <w:rFonts w:hAnsi="宋体"/>
                <w:b/>
                <w:snapToGrid w:val="0"/>
                <w:kern w:val="0"/>
                <w:sz w:val="24"/>
                <w:szCs w:val="24"/>
              </w:rPr>
              <w:t>A</w:t>
            </w:r>
            <w:r>
              <w:rPr>
                <w:rFonts w:hint="eastAsia" w:hAnsi="宋体"/>
                <w:b/>
                <w:snapToGrid w:val="0"/>
                <w:kern w:val="0"/>
                <w:sz w:val="24"/>
                <w:szCs w:val="24"/>
              </w:rPr>
              <w:t>、预测因子、内容、评价标准</w:t>
            </w:r>
          </w:p>
          <w:p>
            <w:pPr>
              <w:snapToGrid w:val="0"/>
              <w:spacing w:line="360" w:lineRule="auto"/>
              <w:ind w:firstLine="480" w:firstLineChars="200"/>
              <w:jc w:val="left"/>
              <w:rPr>
                <w:snapToGrid w:val="0"/>
                <w:kern w:val="0"/>
                <w:sz w:val="24"/>
                <w:szCs w:val="24"/>
              </w:rPr>
            </w:pPr>
            <w:r>
              <w:rPr>
                <w:rFonts w:hint="eastAsia"/>
                <w:snapToGrid w:val="0"/>
                <w:kern w:val="0"/>
                <w:sz w:val="24"/>
                <w:szCs w:val="24"/>
              </w:rPr>
              <w:t>①预测因子</w:t>
            </w:r>
          </w:p>
          <w:p>
            <w:pPr>
              <w:snapToGrid w:val="0"/>
              <w:spacing w:line="360" w:lineRule="auto"/>
              <w:ind w:firstLine="480" w:firstLineChars="200"/>
              <w:jc w:val="left"/>
              <w:rPr>
                <w:snapToGrid w:val="0"/>
                <w:kern w:val="0"/>
                <w:sz w:val="24"/>
                <w:szCs w:val="24"/>
                <w:vertAlign w:val="subscript"/>
              </w:rPr>
            </w:pPr>
            <w:r>
              <w:rPr>
                <w:rFonts w:hint="eastAsia"/>
                <w:snapToGrid w:val="0"/>
                <w:kern w:val="0"/>
                <w:sz w:val="24"/>
                <w:szCs w:val="24"/>
              </w:rPr>
              <w:t>根据工程分析，本项目的预测因子确定为颗粒物。</w:t>
            </w:r>
          </w:p>
          <w:p>
            <w:pPr>
              <w:snapToGrid w:val="0"/>
              <w:spacing w:line="360" w:lineRule="auto"/>
              <w:ind w:firstLine="450"/>
              <w:rPr>
                <w:sz w:val="24"/>
                <w:szCs w:val="24"/>
              </w:rPr>
            </w:pPr>
            <w:r>
              <w:rPr>
                <w:rFonts w:hAnsi="宋体"/>
                <w:sz w:val="24"/>
                <w:szCs w:val="24"/>
              </w:rPr>
              <w:t>②</w:t>
            </w:r>
            <w:r>
              <w:rPr>
                <w:sz w:val="24"/>
                <w:szCs w:val="24"/>
              </w:rPr>
              <w:t>预测范围</w:t>
            </w:r>
          </w:p>
          <w:p>
            <w:pPr>
              <w:snapToGrid w:val="0"/>
              <w:spacing w:line="360" w:lineRule="auto"/>
              <w:ind w:firstLine="450"/>
              <w:rPr>
                <w:sz w:val="24"/>
                <w:szCs w:val="24"/>
              </w:rPr>
            </w:pPr>
            <w:r>
              <w:rPr>
                <w:rFonts w:hAnsi="宋体"/>
                <w:sz w:val="24"/>
                <w:szCs w:val="24"/>
              </w:rPr>
              <w:t>本项目预测范围：本项目大气环境影响评价等级为二级，大气评价范围以项目厂址为中心，边长</w:t>
            </w:r>
            <w:r>
              <w:rPr>
                <w:sz w:val="24"/>
                <w:szCs w:val="24"/>
              </w:rPr>
              <w:t>5km</w:t>
            </w:r>
            <w:r>
              <w:rPr>
                <w:rFonts w:hAnsi="宋体"/>
                <w:sz w:val="24"/>
                <w:szCs w:val="24"/>
              </w:rPr>
              <w:t>的矩形区域。</w:t>
            </w:r>
          </w:p>
          <w:p>
            <w:pPr>
              <w:snapToGrid w:val="0"/>
              <w:spacing w:line="360" w:lineRule="auto"/>
              <w:ind w:firstLine="450"/>
              <w:rPr>
                <w:sz w:val="24"/>
                <w:szCs w:val="24"/>
              </w:rPr>
            </w:pPr>
            <w:r>
              <w:rPr>
                <w:rFonts w:hAnsi="宋体"/>
                <w:sz w:val="24"/>
                <w:szCs w:val="24"/>
              </w:rPr>
              <w:t>③、预测模式的选取</w:t>
            </w:r>
          </w:p>
          <w:p>
            <w:pPr>
              <w:snapToGrid w:val="0"/>
              <w:spacing w:line="360" w:lineRule="auto"/>
              <w:ind w:firstLine="450"/>
              <w:rPr>
                <w:sz w:val="24"/>
                <w:szCs w:val="24"/>
              </w:rPr>
            </w:pPr>
            <w:r>
              <w:rPr>
                <w:rFonts w:hAnsi="宋体"/>
                <w:sz w:val="24"/>
                <w:szCs w:val="24"/>
              </w:rPr>
              <w:t>本项目大气环境影响评价等级为二级，根据《环境影响评价技术导则</w:t>
            </w:r>
            <w:r>
              <w:rPr>
                <w:sz w:val="24"/>
                <w:szCs w:val="24"/>
              </w:rPr>
              <w:t>-</w:t>
            </w:r>
            <w:r>
              <w:rPr>
                <w:rFonts w:hAnsi="宋体"/>
                <w:sz w:val="24"/>
                <w:szCs w:val="24"/>
              </w:rPr>
              <w:t>大气环境》（</w:t>
            </w:r>
            <w:r>
              <w:rPr>
                <w:sz w:val="24"/>
                <w:szCs w:val="24"/>
              </w:rPr>
              <w:t>HJ2.2-2018</w:t>
            </w:r>
            <w:r>
              <w:rPr>
                <w:rFonts w:hAnsi="宋体"/>
                <w:sz w:val="24"/>
                <w:szCs w:val="24"/>
              </w:rPr>
              <w:t>），仅对污染物排放量进行核算。</w:t>
            </w:r>
          </w:p>
          <w:p>
            <w:pPr>
              <w:snapToGrid w:val="0"/>
              <w:spacing w:line="360" w:lineRule="auto"/>
              <w:ind w:firstLine="480" w:firstLineChars="200"/>
              <w:jc w:val="left"/>
              <w:rPr>
                <w:snapToGrid w:val="0"/>
                <w:kern w:val="0"/>
                <w:sz w:val="24"/>
                <w:szCs w:val="24"/>
              </w:rPr>
            </w:pPr>
            <w:r>
              <w:rPr>
                <w:rFonts w:hint="eastAsia" w:ascii="宋体" w:hAnsi="宋体" w:cs="宋体"/>
                <w:snapToGrid w:val="0"/>
                <w:kern w:val="0"/>
                <w:sz w:val="24"/>
                <w:szCs w:val="24"/>
              </w:rPr>
              <w:t>④</w:t>
            </w:r>
            <w:r>
              <w:rPr>
                <w:rFonts w:hint="eastAsia"/>
                <w:snapToGrid w:val="0"/>
                <w:kern w:val="0"/>
                <w:sz w:val="24"/>
                <w:szCs w:val="24"/>
              </w:rPr>
              <w:t>、评价标准</w:t>
            </w:r>
          </w:p>
          <w:p>
            <w:pPr>
              <w:snapToGrid w:val="0"/>
              <w:jc w:val="center"/>
              <w:rPr>
                <w:rFonts w:hAnsi="宋体"/>
                <w:b/>
                <w:szCs w:val="21"/>
              </w:rPr>
            </w:pPr>
            <w:r>
              <w:rPr>
                <w:rFonts w:hint="eastAsia" w:hAnsi="宋体"/>
                <w:b/>
                <w:szCs w:val="21"/>
              </w:rPr>
              <w:t>表26评价因子和评价标准表</w:t>
            </w:r>
          </w:p>
          <w:tbl>
            <w:tblPr>
              <w:tblStyle w:val="30"/>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7"/>
              <w:gridCol w:w="1941"/>
              <w:gridCol w:w="1977"/>
              <w:gridCol w:w="3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57" w:type="dxa"/>
                  <w:vAlign w:val="center"/>
                </w:tcPr>
                <w:p>
                  <w:pPr>
                    <w:widowControl/>
                    <w:snapToGrid w:val="0"/>
                    <w:jc w:val="center"/>
                    <w:rPr>
                      <w:kern w:val="0"/>
                      <w:szCs w:val="24"/>
                    </w:rPr>
                  </w:pPr>
                  <w:r>
                    <w:rPr>
                      <w:rFonts w:hint="eastAsia" w:hAnsi="宋体"/>
                      <w:kern w:val="0"/>
                      <w:szCs w:val="24"/>
                    </w:rPr>
                    <w:t>评价因子</w:t>
                  </w:r>
                </w:p>
              </w:tc>
              <w:tc>
                <w:tcPr>
                  <w:tcW w:w="1941" w:type="dxa"/>
                  <w:vAlign w:val="center"/>
                </w:tcPr>
                <w:p>
                  <w:pPr>
                    <w:widowControl/>
                    <w:snapToGrid w:val="0"/>
                    <w:jc w:val="center"/>
                    <w:rPr>
                      <w:kern w:val="0"/>
                      <w:szCs w:val="24"/>
                    </w:rPr>
                  </w:pPr>
                  <w:r>
                    <w:rPr>
                      <w:rFonts w:hint="eastAsia" w:hAnsi="宋体"/>
                      <w:kern w:val="0"/>
                      <w:szCs w:val="24"/>
                    </w:rPr>
                    <w:t>平均时段</w:t>
                  </w:r>
                </w:p>
              </w:tc>
              <w:tc>
                <w:tcPr>
                  <w:tcW w:w="1977" w:type="dxa"/>
                  <w:vAlign w:val="center"/>
                </w:tcPr>
                <w:p>
                  <w:pPr>
                    <w:widowControl/>
                    <w:snapToGrid w:val="0"/>
                    <w:jc w:val="center"/>
                    <w:rPr>
                      <w:kern w:val="0"/>
                      <w:szCs w:val="24"/>
                    </w:rPr>
                  </w:pPr>
                  <w:r>
                    <w:rPr>
                      <w:rFonts w:hint="eastAsia" w:hAnsi="宋体"/>
                      <w:kern w:val="0"/>
                      <w:szCs w:val="24"/>
                    </w:rPr>
                    <w:t>标准值</w:t>
                  </w:r>
                  <w:r>
                    <w:rPr>
                      <w:kern w:val="0"/>
                      <w:szCs w:val="24"/>
                    </w:rPr>
                    <w:t>/</w:t>
                  </w:r>
                  <w:r>
                    <w:rPr>
                      <w:rFonts w:hint="eastAsia" w:hAnsi="宋体"/>
                      <w:kern w:val="0"/>
                      <w:szCs w:val="24"/>
                    </w:rPr>
                    <w:t>（</w:t>
                  </w:r>
                  <w:r>
                    <w:rPr>
                      <w:szCs w:val="21"/>
                    </w:rPr>
                    <w:t>μg</w:t>
                  </w:r>
                  <w:r>
                    <w:rPr>
                      <w:kern w:val="0"/>
                      <w:szCs w:val="24"/>
                    </w:rPr>
                    <w:t xml:space="preserve"> /m</w:t>
                  </w:r>
                  <w:r>
                    <w:rPr>
                      <w:kern w:val="0"/>
                      <w:szCs w:val="24"/>
                      <w:vertAlign w:val="superscript"/>
                    </w:rPr>
                    <w:t>3</w:t>
                  </w:r>
                  <w:r>
                    <w:rPr>
                      <w:rFonts w:hint="eastAsia" w:hAnsi="宋体"/>
                      <w:kern w:val="0"/>
                      <w:szCs w:val="24"/>
                    </w:rPr>
                    <w:t>）</w:t>
                  </w:r>
                </w:p>
              </w:tc>
              <w:tc>
                <w:tcPr>
                  <w:tcW w:w="3665" w:type="dxa"/>
                  <w:vAlign w:val="center"/>
                </w:tcPr>
                <w:p>
                  <w:pPr>
                    <w:widowControl/>
                    <w:snapToGrid w:val="0"/>
                    <w:jc w:val="center"/>
                    <w:rPr>
                      <w:kern w:val="0"/>
                      <w:szCs w:val="24"/>
                    </w:rPr>
                  </w:pPr>
                  <w:r>
                    <w:rPr>
                      <w:rFonts w:hint="eastAsia" w:hAnsi="宋体"/>
                      <w:kern w:val="0"/>
                      <w:szCs w:val="24"/>
                    </w:rPr>
                    <w:t>标准来源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557" w:type="dxa"/>
                  <w:vAlign w:val="center"/>
                </w:tcPr>
                <w:p>
                  <w:pPr>
                    <w:snapToGrid w:val="0"/>
                    <w:jc w:val="center"/>
                    <w:rPr>
                      <w:szCs w:val="21"/>
                    </w:rPr>
                  </w:pPr>
                  <w:r>
                    <w:rPr>
                      <w:szCs w:val="21"/>
                    </w:rPr>
                    <w:t>PM</w:t>
                  </w:r>
                  <w:r>
                    <w:rPr>
                      <w:szCs w:val="21"/>
                      <w:vertAlign w:val="subscript"/>
                    </w:rPr>
                    <w:t>10</w:t>
                  </w:r>
                </w:p>
              </w:tc>
              <w:tc>
                <w:tcPr>
                  <w:tcW w:w="1941" w:type="dxa"/>
                  <w:vAlign w:val="center"/>
                </w:tcPr>
                <w:p>
                  <w:pPr>
                    <w:adjustRightInd w:val="0"/>
                    <w:snapToGrid w:val="0"/>
                    <w:jc w:val="center"/>
                    <w:rPr>
                      <w:szCs w:val="24"/>
                    </w:rPr>
                  </w:pPr>
                  <w:r>
                    <w:rPr>
                      <w:rFonts w:hint="eastAsia"/>
                      <w:szCs w:val="24"/>
                    </w:rPr>
                    <w:t>日均浓度值</w:t>
                  </w:r>
                  <w:r>
                    <w:rPr>
                      <w:szCs w:val="24"/>
                    </w:rPr>
                    <w:t>3</w:t>
                  </w:r>
                  <w:r>
                    <w:rPr>
                      <w:rFonts w:hint="eastAsia"/>
                      <w:szCs w:val="24"/>
                    </w:rPr>
                    <w:t>倍</w:t>
                  </w:r>
                </w:p>
              </w:tc>
              <w:tc>
                <w:tcPr>
                  <w:tcW w:w="1977" w:type="dxa"/>
                  <w:vAlign w:val="center"/>
                </w:tcPr>
                <w:p>
                  <w:pPr>
                    <w:adjustRightInd w:val="0"/>
                    <w:snapToGrid w:val="0"/>
                    <w:jc w:val="center"/>
                    <w:rPr>
                      <w:szCs w:val="24"/>
                    </w:rPr>
                  </w:pPr>
                  <w:r>
                    <w:rPr>
                      <w:szCs w:val="24"/>
                    </w:rPr>
                    <w:t>450</w:t>
                  </w:r>
                </w:p>
              </w:tc>
              <w:tc>
                <w:tcPr>
                  <w:tcW w:w="3665" w:type="dxa"/>
                  <w:vAlign w:val="center"/>
                </w:tcPr>
                <w:p>
                  <w:pPr>
                    <w:widowControl/>
                    <w:snapToGrid w:val="0"/>
                    <w:jc w:val="center"/>
                    <w:rPr>
                      <w:szCs w:val="24"/>
                    </w:rPr>
                  </w:pPr>
                  <w:r>
                    <w:rPr>
                      <w:rFonts w:hint="eastAsia"/>
                      <w:szCs w:val="21"/>
                    </w:rPr>
                    <w:t>《环境空气质量标准》（</w:t>
                  </w:r>
                  <w:r>
                    <w:rPr>
                      <w:szCs w:val="21"/>
                    </w:rPr>
                    <w:t>GB3095-2012</w:t>
                  </w:r>
                  <w:r>
                    <w:rPr>
                      <w:rFonts w:hint="eastAsia"/>
                      <w:szCs w:val="21"/>
                    </w:rPr>
                    <w:t>）中的</w:t>
                  </w:r>
                  <w:r>
                    <w:rPr>
                      <w:rFonts w:hint="eastAsia"/>
                      <w:bCs/>
                      <w:szCs w:val="21"/>
                    </w:rPr>
                    <w:t>二级</w:t>
                  </w:r>
                  <w:r>
                    <w:rPr>
                      <w:rFonts w:hint="eastAsia"/>
                      <w:szCs w:val="21"/>
                    </w:rPr>
                    <w:t>标准</w:t>
                  </w:r>
                </w:p>
              </w:tc>
            </w:tr>
          </w:tbl>
          <w:p>
            <w:pPr>
              <w:snapToGrid w:val="0"/>
              <w:spacing w:line="360" w:lineRule="auto"/>
              <w:ind w:firstLine="482" w:firstLineChars="200"/>
              <w:jc w:val="left"/>
              <w:rPr>
                <w:rFonts w:hAnsi="宋体"/>
                <w:b/>
                <w:snapToGrid w:val="0"/>
                <w:kern w:val="0"/>
                <w:sz w:val="24"/>
                <w:szCs w:val="24"/>
              </w:rPr>
            </w:pPr>
            <w:r>
              <w:rPr>
                <w:rFonts w:hAnsi="宋体"/>
                <w:b/>
                <w:snapToGrid w:val="0"/>
                <w:kern w:val="0"/>
                <w:sz w:val="24"/>
                <w:szCs w:val="24"/>
              </w:rPr>
              <w:t>B</w:t>
            </w:r>
            <w:r>
              <w:rPr>
                <w:rFonts w:hint="eastAsia" w:hAnsi="宋体"/>
                <w:b/>
                <w:snapToGrid w:val="0"/>
                <w:kern w:val="0"/>
                <w:sz w:val="24"/>
                <w:szCs w:val="24"/>
              </w:rPr>
              <w:t>、估算模型</w:t>
            </w:r>
          </w:p>
          <w:p>
            <w:pPr>
              <w:snapToGrid w:val="0"/>
              <w:jc w:val="center"/>
              <w:rPr>
                <w:rFonts w:hAnsi="宋体"/>
                <w:b/>
                <w:szCs w:val="21"/>
              </w:rPr>
            </w:pPr>
            <w:r>
              <w:rPr>
                <w:rFonts w:hint="eastAsia" w:hAnsi="宋体"/>
                <w:b/>
                <w:szCs w:val="21"/>
              </w:rPr>
              <w:t>表27</w:t>
            </w:r>
            <w:r>
              <w:rPr>
                <w:rFonts w:hAnsi="宋体"/>
                <w:b/>
                <w:szCs w:val="21"/>
              </w:rPr>
              <w:t xml:space="preserve"> </w:t>
            </w:r>
            <w:r>
              <w:rPr>
                <w:rFonts w:hint="eastAsia" w:hAnsi="宋体"/>
                <w:b/>
                <w:szCs w:val="21"/>
              </w:rPr>
              <w:t>估算模型参数表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04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090" w:type="dxa"/>
                  <w:gridSpan w:val="2"/>
                  <w:vAlign w:val="center"/>
                </w:tcPr>
                <w:p>
                  <w:pPr>
                    <w:adjustRightInd w:val="0"/>
                    <w:snapToGrid w:val="0"/>
                    <w:ind w:firstLine="360"/>
                    <w:jc w:val="center"/>
                    <w:rPr>
                      <w:b/>
                      <w:bCs/>
                      <w:szCs w:val="21"/>
                    </w:rPr>
                  </w:pPr>
                  <w:r>
                    <w:rPr>
                      <w:rFonts w:hint="eastAsia"/>
                      <w:b/>
                      <w:bCs/>
                      <w:szCs w:val="21"/>
                    </w:rPr>
                    <w:t>参数</w:t>
                  </w:r>
                </w:p>
              </w:tc>
              <w:tc>
                <w:tcPr>
                  <w:tcW w:w="3046" w:type="dxa"/>
                  <w:vAlign w:val="center"/>
                </w:tcPr>
                <w:p>
                  <w:pPr>
                    <w:adjustRightInd w:val="0"/>
                    <w:snapToGrid w:val="0"/>
                    <w:ind w:firstLine="480"/>
                    <w:jc w:val="center"/>
                    <w:rPr>
                      <w:b/>
                      <w:bCs/>
                      <w:szCs w:val="21"/>
                    </w:rPr>
                  </w:pPr>
                  <w:r>
                    <w:rPr>
                      <w:rFonts w:hint="eastAsia"/>
                      <w:b/>
                      <w:bCs/>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045" w:type="dxa"/>
                  <w:vMerge w:val="restart"/>
                  <w:vAlign w:val="center"/>
                </w:tcPr>
                <w:p>
                  <w:pPr>
                    <w:adjustRightInd w:val="0"/>
                    <w:snapToGrid w:val="0"/>
                    <w:ind w:firstLine="360"/>
                    <w:jc w:val="center"/>
                    <w:rPr>
                      <w:szCs w:val="21"/>
                    </w:rPr>
                  </w:pPr>
                  <w:r>
                    <w:rPr>
                      <w:rFonts w:hint="eastAsia"/>
                      <w:szCs w:val="21"/>
                    </w:rPr>
                    <w:t>城市</w:t>
                  </w:r>
                  <w:r>
                    <w:rPr>
                      <w:szCs w:val="21"/>
                    </w:rPr>
                    <w:t>/</w:t>
                  </w:r>
                  <w:r>
                    <w:rPr>
                      <w:rFonts w:hint="eastAsia"/>
                      <w:szCs w:val="21"/>
                    </w:rPr>
                    <w:t>农村选项</w:t>
                  </w:r>
                </w:p>
              </w:tc>
              <w:tc>
                <w:tcPr>
                  <w:tcW w:w="3045" w:type="dxa"/>
                  <w:vAlign w:val="center"/>
                </w:tcPr>
                <w:p>
                  <w:pPr>
                    <w:adjustRightInd w:val="0"/>
                    <w:snapToGrid w:val="0"/>
                    <w:ind w:firstLine="360"/>
                    <w:jc w:val="center"/>
                    <w:rPr>
                      <w:szCs w:val="21"/>
                    </w:rPr>
                  </w:pPr>
                  <w:r>
                    <w:rPr>
                      <w:rFonts w:hint="eastAsia"/>
                      <w:szCs w:val="21"/>
                    </w:rPr>
                    <w:t>城市</w:t>
                  </w:r>
                  <w:r>
                    <w:rPr>
                      <w:szCs w:val="21"/>
                    </w:rPr>
                    <w:t>/</w:t>
                  </w:r>
                  <w:r>
                    <w:rPr>
                      <w:rFonts w:hint="eastAsia"/>
                      <w:szCs w:val="21"/>
                    </w:rPr>
                    <w:t>农村</w:t>
                  </w:r>
                </w:p>
              </w:tc>
              <w:tc>
                <w:tcPr>
                  <w:tcW w:w="3046" w:type="dxa"/>
                  <w:vAlign w:val="center"/>
                </w:tcPr>
                <w:p>
                  <w:pPr>
                    <w:adjustRightInd w:val="0"/>
                    <w:snapToGrid w:val="0"/>
                    <w:ind w:firstLine="480"/>
                    <w:jc w:val="center"/>
                    <w:rPr>
                      <w:szCs w:val="21"/>
                    </w:rPr>
                  </w:pPr>
                  <w:r>
                    <w:rPr>
                      <w:rFonts w:hint="eastAsia"/>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045" w:type="dxa"/>
                  <w:vMerge w:val="continue"/>
                  <w:vAlign w:val="center"/>
                </w:tcPr>
                <w:p>
                  <w:pPr>
                    <w:adjustRightInd w:val="0"/>
                    <w:snapToGrid w:val="0"/>
                    <w:ind w:firstLine="360"/>
                    <w:jc w:val="center"/>
                    <w:rPr>
                      <w:szCs w:val="21"/>
                    </w:rPr>
                  </w:pPr>
                </w:p>
              </w:tc>
              <w:tc>
                <w:tcPr>
                  <w:tcW w:w="3045" w:type="dxa"/>
                  <w:vAlign w:val="center"/>
                </w:tcPr>
                <w:p>
                  <w:pPr>
                    <w:adjustRightInd w:val="0"/>
                    <w:snapToGrid w:val="0"/>
                    <w:ind w:firstLine="360"/>
                    <w:jc w:val="center"/>
                    <w:rPr>
                      <w:szCs w:val="21"/>
                    </w:rPr>
                  </w:pPr>
                  <w:r>
                    <w:rPr>
                      <w:rFonts w:hint="eastAsia"/>
                      <w:szCs w:val="21"/>
                    </w:rPr>
                    <w:t>人口数（城市选项）</w:t>
                  </w:r>
                </w:p>
              </w:tc>
              <w:tc>
                <w:tcPr>
                  <w:tcW w:w="3046" w:type="dxa"/>
                  <w:vAlign w:val="center"/>
                </w:tcPr>
                <w:p>
                  <w:pPr>
                    <w:adjustRightInd w:val="0"/>
                    <w:snapToGrid w:val="0"/>
                    <w:ind w:firstLine="48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090" w:type="dxa"/>
                  <w:gridSpan w:val="2"/>
                  <w:vAlign w:val="center"/>
                </w:tcPr>
                <w:p>
                  <w:pPr>
                    <w:adjustRightInd w:val="0"/>
                    <w:snapToGrid w:val="0"/>
                    <w:ind w:firstLine="360"/>
                    <w:jc w:val="center"/>
                    <w:rPr>
                      <w:szCs w:val="21"/>
                    </w:rPr>
                  </w:pPr>
                  <w:r>
                    <w:rPr>
                      <w:rFonts w:hint="eastAsia"/>
                      <w:szCs w:val="21"/>
                    </w:rPr>
                    <w:t>最高环境温度</w:t>
                  </w:r>
                  <w:r>
                    <w:rPr>
                      <w:szCs w:val="21"/>
                    </w:rPr>
                    <w:t>/</w:t>
                  </w:r>
                  <w:r>
                    <w:rPr>
                      <w:rFonts w:hint="eastAsia" w:ascii="宋体" w:hAnsi="宋体" w:cs="宋体"/>
                      <w:szCs w:val="21"/>
                    </w:rPr>
                    <w:t>℃</w:t>
                  </w:r>
                </w:p>
              </w:tc>
              <w:tc>
                <w:tcPr>
                  <w:tcW w:w="3046" w:type="dxa"/>
                  <w:vAlign w:val="center"/>
                </w:tcPr>
                <w:p>
                  <w:pPr>
                    <w:adjustRightInd w:val="0"/>
                    <w:snapToGrid w:val="0"/>
                    <w:ind w:firstLine="480"/>
                    <w:jc w:val="center"/>
                    <w:rPr>
                      <w:szCs w:val="21"/>
                    </w:rPr>
                  </w:pPr>
                  <w:r>
                    <w:rPr>
                      <w:rFonts w:hint="eastAsia"/>
                      <w:szCs w:val="21"/>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090" w:type="dxa"/>
                  <w:gridSpan w:val="2"/>
                  <w:vAlign w:val="center"/>
                </w:tcPr>
                <w:p>
                  <w:pPr>
                    <w:adjustRightInd w:val="0"/>
                    <w:snapToGrid w:val="0"/>
                    <w:ind w:firstLine="360"/>
                    <w:jc w:val="center"/>
                    <w:rPr>
                      <w:szCs w:val="21"/>
                    </w:rPr>
                  </w:pPr>
                  <w:r>
                    <w:rPr>
                      <w:rFonts w:hint="eastAsia"/>
                      <w:szCs w:val="21"/>
                    </w:rPr>
                    <w:t>最低环境温度</w:t>
                  </w:r>
                  <w:r>
                    <w:rPr>
                      <w:szCs w:val="21"/>
                    </w:rPr>
                    <w:t>/</w:t>
                  </w:r>
                  <w:r>
                    <w:rPr>
                      <w:rFonts w:hint="eastAsia" w:ascii="宋体" w:hAnsi="宋体" w:cs="宋体"/>
                      <w:szCs w:val="21"/>
                    </w:rPr>
                    <w:t>℃</w:t>
                  </w:r>
                </w:p>
              </w:tc>
              <w:tc>
                <w:tcPr>
                  <w:tcW w:w="3046" w:type="dxa"/>
                  <w:vAlign w:val="center"/>
                </w:tcPr>
                <w:p>
                  <w:pPr>
                    <w:adjustRightInd w:val="0"/>
                    <w:snapToGrid w:val="0"/>
                    <w:ind w:firstLine="480"/>
                    <w:jc w:val="center"/>
                    <w:rPr>
                      <w:szCs w:val="21"/>
                    </w:rPr>
                  </w:pPr>
                  <w:r>
                    <w:rPr>
                      <w:szCs w:val="21"/>
                    </w:rPr>
                    <w:t>-</w:t>
                  </w:r>
                  <w:r>
                    <w:rPr>
                      <w:rFonts w:hint="eastAsia"/>
                      <w:szCs w:val="21"/>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090" w:type="dxa"/>
                  <w:gridSpan w:val="2"/>
                  <w:vAlign w:val="center"/>
                </w:tcPr>
                <w:p>
                  <w:pPr>
                    <w:adjustRightInd w:val="0"/>
                    <w:snapToGrid w:val="0"/>
                    <w:ind w:firstLine="360"/>
                    <w:jc w:val="center"/>
                    <w:rPr>
                      <w:szCs w:val="21"/>
                    </w:rPr>
                  </w:pPr>
                  <w:r>
                    <w:rPr>
                      <w:rFonts w:hint="eastAsia"/>
                      <w:szCs w:val="21"/>
                    </w:rPr>
                    <w:t>土地利用类型</w:t>
                  </w:r>
                </w:p>
              </w:tc>
              <w:tc>
                <w:tcPr>
                  <w:tcW w:w="3046" w:type="dxa"/>
                  <w:vAlign w:val="center"/>
                </w:tcPr>
                <w:p>
                  <w:pPr>
                    <w:adjustRightInd w:val="0"/>
                    <w:snapToGrid w:val="0"/>
                    <w:ind w:firstLine="480"/>
                    <w:jc w:val="center"/>
                    <w:rPr>
                      <w:szCs w:val="21"/>
                    </w:rPr>
                  </w:pPr>
                  <w:r>
                    <w:rPr>
                      <w:rFonts w:hint="eastAsia"/>
                      <w:szCs w:val="21"/>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090" w:type="dxa"/>
                  <w:gridSpan w:val="2"/>
                  <w:vAlign w:val="center"/>
                </w:tcPr>
                <w:p>
                  <w:pPr>
                    <w:adjustRightInd w:val="0"/>
                    <w:snapToGrid w:val="0"/>
                    <w:ind w:firstLine="360"/>
                    <w:jc w:val="center"/>
                    <w:rPr>
                      <w:szCs w:val="21"/>
                    </w:rPr>
                  </w:pPr>
                  <w:r>
                    <w:rPr>
                      <w:rFonts w:hint="eastAsia"/>
                      <w:szCs w:val="21"/>
                    </w:rPr>
                    <w:t>区域湿度条件</w:t>
                  </w:r>
                </w:p>
              </w:tc>
              <w:tc>
                <w:tcPr>
                  <w:tcW w:w="3046" w:type="dxa"/>
                  <w:vAlign w:val="center"/>
                </w:tcPr>
                <w:p>
                  <w:pPr>
                    <w:adjustRightInd w:val="0"/>
                    <w:snapToGrid w:val="0"/>
                    <w:ind w:firstLine="480"/>
                    <w:jc w:val="center"/>
                    <w:rPr>
                      <w:szCs w:val="21"/>
                    </w:rPr>
                  </w:pPr>
                  <w:r>
                    <w:rPr>
                      <w:rFonts w:hint="eastAsia"/>
                      <w:szCs w:val="21"/>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045" w:type="dxa"/>
                  <w:vMerge w:val="restart"/>
                  <w:vAlign w:val="center"/>
                </w:tcPr>
                <w:p>
                  <w:pPr>
                    <w:adjustRightInd w:val="0"/>
                    <w:snapToGrid w:val="0"/>
                    <w:ind w:firstLine="360"/>
                    <w:jc w:val="center"/>
                    <w:rPr>
                      <w:szCs w:val="21"/>
                    </w:rPr>
                  </w:pPr>
                  <w:r>
                    <w:rPr>
                      <w:rFonts w:hint="eastAsia"/>
                      <w:szCs w:val="21"/>
                    </w:rPr>
                    <w:t>是否考虑地形</w:t>
                  </w:r>
                </w:p>
              </w:tc>
              <w:tc>
                <w:tcPr>
                  <w:tcW w:w="3045" w:type="dxa"/>
                  <w:vAlign w:val="center"/>
                </w:tcPr>
                <w:p>
                  <w:pPr>
                    <w:adjustRightInd w:val="0"/>
                    <w:snapToGrid w:val="0"/>
                    <w:ind w:firstLine="360"/>
                    <w:jc w:val="center"/>
                    <w:rPr>
                      <w:szCs w:val="21"/>
                    </w:rPr>
                  </w:pPr>
                  <w:r>
                    <w:rPr>
                      <w:rFonts w:hint="eastAsia"/>
                      <w:szCs w:val="21"/>
                    </w:rPr>
                    <w:t>考虑地形</w:t>
                  </w:r>
                </w:p>
              </w:tc>
              <w:tc>
                <w:tcPr>
                  <w:tcW w:w="3046" w:type="dxa"/>
                  <w:vAlign w:val="center"/>
                </w:tcPr>
                <w:p>
                  <w:pPr>
                    <w:adjustRightInd w:val="0"/>
                    <w:snapToGrid w:val="0"/>
                    <w:ind w:firstLine="480"/>
                    <w:jc w:val="center"/>
                    <w:rPr>
                      <w:szCs w:val="21"/>
                    </w:rPr>
                  </w:pPr>
                  <w:r>
                    <w:rPr>
                      <w:rFonts w:hint="eastAsia"/>
                      <w:szCs w:val="21"/>
                    </w:rPr>
                    <w:t>是</w:t>
                  </w:r>
                  <w:r>
                    <w:rPr>
                      <w:szCs w:val="21"/>
                    </w:rPr>
                    <w:t xml:space="preserve"> </w:t>
                  </w:r>
                  <w:r>
                    <w:rPr/>
                    <w:sym w:font="Wingdings 2" w:char="F0A3"/>
                  </w:r>
                  <w:r>
                    <w:rPr>
                      <w:rFonts w:hint="eastAsia"/>
                      <w:szCs w:val="21"/>
                    </w:rPr>
                    <w:t>否</w:t>
                  </w:r>
                  <w:r>
                    <w:rPr/>
                    <w:sym w:font="Wingdings 2" w:char="F052"/>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045" w:type="dxa"/>
                  <w:vMerge w:val="continue"/>
                  <w:vAlign w:val="center"/>
                </w:tcPr>
                <w:p>
                  <w:pPr>
                    <w:widowControl/>
                    <w:jc w:val="left"/>
                    <w:rPr>
                      <w:szCs w:val="21"/>
                    </w:rPr>
                  </w:pPr>
                </w:p>
              </w:tc>
              <w:tc>
                <w:tcPr>
                  <w:tcW w:w="3045" w:type="dxa"/>
                  <w:vAlign w:val="center"/>
                </w:tcPr>
                <w:p>
                  <w:pPr>
                    <w:adjustRightInd w:val="0"/>
                    <w:snapToGrid w:val="0"/>
                    <w:ind w:firstLine="360"/>
                    <w:jc w:val="center"/>
                    <w:rPr>
                      <w:szCs w:val="21"/>
                    </w:rPr>
                  </w:pPr>
                  <w:r>
                    <w:rPr>
                      <w:rFonts w:hint="eastAsia"/>
                      <w:szCs w:val="21"/>
                    </w:rPr>
                    <w:t>地形数据分辨率</w:t>
                  </w:r>
                  <w:r>
                    <w:rPr>
                      <w:szCs w:val="21"/>
                    </w:rPr>
                    <w:t>/m</w:t>
                  </w:r>
                </w:p>
              </w:tc>
              <w:tc>
                <w:tcPr>
                  <w:tcW w:w="3046" w:type="dxa"/>
                  <w:vAlign w:val="center"/>
                </w:tcPr>
                <w:p>
                  <w:pPr>
                    <w:adjustRightInd w:val="0"/>
                    <w:snapToGrid w:val="0"/>
                    <w:ind w:firstLine="48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045" w:type="dxa"/>
                  <w:vMerge w:val="restart"/>
                  <w:vAlign w:val="center"/>
                </w:tcPr>
                <w:p>
                  <w:pPr>
                    <w:adjustRightInd w:val="0"/>
                    <w:snapToGrid w:val="0"/>
                    <w:ind w:firstLine="360"/>
                    <w:jc w:val="center"/>
                    <w:rPr>
                      <w:szCs w:val="21"/>
                    </w:rPr>
                  </w:pPr>
                  <w:r>
                    <w:rPr>
                      <w:rFonts w:hint="eastAsia"/>
                      <w:szCs w:val="21"/>
                    </w:rPr>
                    <w:t>是否考虑岸线熏烟</w:t>
                  </w:r>
                </w:p>
              </w:tc>
              <w:tc>
                <w:tcPr>
                  <w:tcW w:w="3045" w:type="dxa"/>
                  <w:vAlign w:val="center"/>
                </w:tcPr>
                <w:p>
                  <w:pPr>
                    <w:adjustRightInd w:val="0"/>
                    <w:snapToGrid w:val="0"/>
                    <w:ind w:firstLine="360"/>
                    <w:jc w:val="center"/>
                    <w:rPr>
                      <w:szCs w:val="21"/>
                    </w:rPr>
                  </w:pPr>
                  <w:r>
                    <w:rPr>
                      <w:rFonts w:hint="eastAsia"/>
                      <w:szCs w:val="21"/>
                    </w:rPr>
                    <w:t>考虑岸线熏烟</w:t>
                  </w:r>
                </w:p>
              </w:tc>
              <w:tc>
                <w:tcPr>
                  <w:tcW w:w="3046" w:type="dxa"/>
                  <w:vAlign w:val="center"/>
                </w:tcPr>
                <w:p>
                  <w:pPr>
                    <w:adjustRightInd w:val="0"/>
                    <w:snapToGrid w:val="0"/>
                    <w:ind w:firstLine="480"/>
                    <w:jc w:val="center"/>
                    <w:rPr>
                      <w:szCs w:val="21"/>
                    </w:rPr>
                  </w:pPr>
                  <w:r>
                    <w:rPr>
                      <w:rFonts w:hint="eastAsia"/>
                      <w:szCs w:val="21"/>
                    </w:rPr>
                    <w:t>是</w:t>
                  </w:r>
                  <w:r>
                    <w:rPr>
                      <w:szCs w:val="21"/>
                    </w:rPr>
                    <w:t xml:space="preserve">□  </w:t>
                  </w:r>
                  <w:r>
                    <w:rPr>
                      <w:rFonts w:hint="eastAsia"/>
                      <w:szCs w:val="21"/>
                    </w:rPr>
                    <w:t>否</w:t>
                  </w:r>
                  <w:r>
                    <w:rPr/>
                    <w:sym w:font="Wingdings 2" w:char="F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045" w:type="dxa"/>
                  <w:vMerge w:val="continue"/>
                  <w:vAlign w:val="center"/>
                </w:tcPr>
                <w:p>
                  <w:pPr>
                    <w:widowControl/>
                    <w:jc w:val="left"/>
                    <w:rPr>
                      <w:szCs w:val="21"/>
                    </w:rPr>
                  </w:pPr>
                </w:p>
              </w:tc>
              <w:tc>
                <w:tcPr>
                  <w:tcW w:w="3045" w:type="dxa"/>
                  <w:vAlign w:val="center"/>
                </w:tcPr>
                <w:p>
                  <w:pPr>
                    <w:adjustRightInd w:val="0"/>
                    <w:snapToGrid w:val="0"/>
                    <w:ind w:firstLine="360"/>
                    <w:jc w:val="center"/>
                    <w:rPr>
                      <w:szCs w:val="21"/>
                    </w:rPr>
                  </w:pPr>
                  <w:r>
                    <w:rPr>
                      <w:rFonts w:hint="eastAsia"/>
                      <w:szCs w:val="21"/>
                    </w:rPr>
                    <w:t>岸线距离</w:t>
                  </w:r>
                  <w:r>
                    <w:rPr>
                      <w:szCs w:val="21"/>
                    </w:rPr>
                    <w:t>/km</w:t>
                  </w:r>
                </w:p>
              </w:tc>
              <w:tc>
                <w:tcPr>
                  <w:tcW w:w="3046" w:type="dxa"/>
                  <w:vAlign w:val="center"/>
                </w:tcPr>
                <w:p>
                  <w:pPr>
                    <w:adjustRightInd w:val="0"/>
                    <w:snapToGrid w:val="0"/>
                    <w:ind w:firstLine="48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045" w:type="dxa"/>
                  <w:vMerge w:val="continue"/>
                  <w:vAlign w:val="center"/>
                </w:tcPr>
                <w:p>
                  <w:pPr>
                    <w:widowControl/>
                    <w:jc w:val="left"/>
                    <w:rPr>
                      <w:szCs w:val="21"/>
                    </w:rPr>
                  </w:pPr>
                </w:p>
              </w:tc>
              <w:tc>
                <w:tcPr>
                  <w:tcW w:w="3045" w:type="dxa"/>
                  <w:vAlign w:val="center"/>
                </w:tcPr>
                <w:p>
                  <w:pPr>
                    <w:adjustRightInd w:val="0"/>
                    <w:snapToGrid w:val="0"/>
                    <w:ind w:firstLine="360"/>
                    <w:jc w:val="center"/>
                    <w:rPr>
                      <w:szCs w:val="21"/>
                    </w:rPr>
                  </w:pPr>
                  <w:r>
                    <w:rPr>
                      <w:rFonts w:hint="eastAsia"/>
                      <w:szCs w:val="21"/>
                    </w:rPr>
                    <w:t>岸线方向</w:t>
                  </w:r>
                  <w:r>
                    <w:rPr>
                      <w:szCs w:val="21"/>
                    </w:rPr>
                    <w:t>/°</w:t>
                  </w:r>
                </w:p>
              </w:tc>
              <w:tc>
                <w:tcPr>
                  <w:tcW w:w="3046" w:type="dxa"/>
                  <w:vAlign w:val="center"/>
                </w:tcPr>
                <w:p>
                  <w:pPr>
                    <w:adjustRightInd w:val="0"/>
                    <w:snapToGrid w:val="0"/>
                    <w:ind w:firstLine="480"/>
                    <w:jc w:val="center"/>
                    <w:rPr>
                      <w:szCs w:val="21"/>
                    </w:rPr>
                  </w:pPr>
                  <w:r>
                    <w:rPr>
                      <w:szCs w:val="21"/>
                    </w:rPr>
                    <w:t>—</w:t>
                  </w:r>
                </w:p>
              </w:tc>
            </w:tr>
          </w:tbl>
          <w:p>
            <w:pPr>
              <w:numPr>
                <w:ilvl w:val="0"/>
                <w:numId w:val="3"/>
              </w:numPr>
              <w:spacing w:line="520" w:lineRule="exact"/>
              <w:ind w:firstLine="482" w:firstLineChars="200"/>
              <w:jc w:val="left"/>
              <w:rPr>
                <w:rFonts w:hAnsi="宋体"/>
                <w:b/>
                <w:snapToGrid w:val="0"/>
                <w:kern w:val="0"/>
                <w:sz w:val="24"/>
                <w:szCs w:val="24"/>
              </w:rPr>
            </w:pPr>
            <w:r>
              <w:rPr>
                <w:rFonts w:hint="eastAsia" w:hAnsi="宋体"/>
                <w:b/>
                <w:snapToGrid w:val="0"/>
                <w:kern w:val="0"/>
                <w:sz w:val="24"/>
                <w:szCs w:val="24"/>
              </w:rPr>
              <w:t>污染源强参数</w:t>
            </w:r>
          </w:p>
          <w:p>
            <w:pPr>
              <w:snapToGrid w:val="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表2</w:t>
            </w:r>
            <w:r>
              <w:rPr>
                <w:rFonts w:hint="eastAsia" w:hAnsi="宋体"/>
                <w:b/>
                <w:color w:val="000000" w:themeColor="text1"/>
                <w:szCs w:val="21"/>
                <w:lang w:val="en-US" w:eastAsia="zh-CN"/>
                <w14:textFill>
                  <w14:solidFill>
                    <w14:schemeClr w14:val="tx1"/>
                  </w14:solidFill>
                </w14:textFill>
              </w:rPr>
              <w:t>8</w:t>
            </w:r>
            <w:r>
              <w:rPr>
                <w:rFonts w:hint="eastAsia" w:hAnsi="宋体"/>
                <w:b/>
                <w:color w:val="000000" w:themeColor="text1"/>
                <w:szCs w:val="21"/>
                <w14:textFill>
                  <w14:solidFill>
                    <w14:schemeClr w14:val="tx1"/>
                  </w14:solidFill>
                </w14:textFill>
              </w:rPr>
              <w:t>无组织污染源源强参数一览表</w:t>
            </w:r>
          </w:p>
          <w:tbl>
            <w:tblPr>
              <w:tblStyle w:val="30"/>
              <w:tblW w:w="914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Layout w:type="fixed"/>
              <w:tblCellMar>
                <w:top w:w="0" w:type="dxa"/>
                <w:left w:w="108" w:type="dxa"/>
                <w:bottom w:w="0" w:type="dxa"/>
                <w:right w:w="108" w:type="dxa"/>
              </w:tblCellMar>
            </w:tblPr>
            <w:tblGrid>
              <w:gridCol w:w="716"/>
              <w:gridCol w:w="507"/>
              <w:gridCol w:w="573"/>
              <w:gridCol w:w="896"/>
              <w:gridCol w:w="764"/>
              <w:gridCol w:w="762"/>
              <w:gridCol w:w="799"/>
              <w:gridCol w:w="953"/>
              <w:gridCol w:w="1135"/>
              <w:gridCol w:w="840"/>
              <w:gridCol w:w="1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c>
                <w:tcPr>
                  <w:tcW w:w="716" w:type="dxa"/>
                  <w:vMerge w:val="restart"/>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名称</w:t>
                  </w:r>
                </w:p>
              </w:tc>
              <w:tc>
                <w:tcPr>
                  <w:tcW w:w="1080" w:type="dxa"/>
                  <w:gridSpan w:val="2"/>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面源起</w:t>
                  </w:r>
                </w:p>
                <w:p>
                  <w:pPr>
                    <w:widowControl/>
                    <w:snapToGrid w:val="0"/>
                    <w:jc w:val="center"/>
                    <w:rPr>
                      <w:color w:val="000000" w:themeColor="text1"/>
                      <w:kern w:val="0"/>
                      <w:sz w:val="18"/>
                      <w:szCs w:val="18"/>
                      <w:highlight w:val="yellow"/>
                      <w14:textFill>
                        <w14:solidFill>
                          <w14:schemeClr w14:val="tx1"/>
                        </w14:solidFill>
                      </w14:textFill>
                    </w:rPr>
                  </w:pPr>
                  <w:r>
                    <w:rPr>
                      <w:rFonts w:hint="eastAsia"/>
                      <w:color w:val="000000" w:themeColor="text1"/>
                      <w:kern w:val="0"/>
                      <w:sz w:val="18"/>
                      <w:szCs w:val="18"/>
                      <w14:textFill>
                        <w14:solidFill>
                          <w14:schemeClr w14:val="tx1"/>
                        </w14:solidFill>
                      </w14:textFill>
                    </w:rPr>
                    <w:t>点坐标</w:t>
                  </w:r>
                  <w:r>
                    <w:rPr>
                      <w:color w:val="000000" w:themeColor="text1"/>
                      <w:kern w:val="0"/>
                      <w:sz w:val="18"/>
                      <w:szCs w:val="18"/>
                      <w14:textFill>
                        <w14:solidFill>
                          <w14:schemeClr w14:val="tx1"/>
                        </w14:solidFill>
                      </w14:textFill>
                    </w:rPr>
                    <w:t>/m</w:t>
                  </w:r>
                </w:p>
              </w:tc>
              <w:tc>
                <w:tcPr>
                  <w:tcW w:w="896" w:type="dxa"/>
                  <w:vMerge w:val="restart"/>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面源海</w:t>
                  </w:r>
                </w:p>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拔高度</w:t>
                  </w:r>
                </w:p>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/m</w:t>
                  </w:r>
                </w:p>
              </w:tc>
              <w:tc>
                <w:tcPr>
                  <w:tcW w:w="764" w:type="dxa"/>
                  <w:vMerge w:val="restart"/>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面源</w:t>
                  </w:r>
                </w:p>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长度</w:t>
                  </w:r>
                  <w:r>
                    <w:rPr>
                      <w:color w:val="000000" w:themeColor="text1"/>
                      <w:kern w:val="0"/>
                      <w:sz w:val="18"/>
                      <w:szCs w:val="18"/>
                      <w14:textFill>
                        <w14:solidFill>
                          <w14:schemeClr w14:val="tx1"/>
                        </w14:solidFill>
                      </w14:textFill>
                    </w:rPr>
                    <w:t>/m</w:t>
                  </w:r>
                </w:p>
              </w:tc>
              <w:tc>
                <w:tcPr>
                  <w:tcW w:w="762" w:type="dxa"/>
                  <w:vMerge w:val="restart"/>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面源</w:t>
                  </w:r>
                </w:p>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宽度</w:t>
                  </w:r>
                  <w:r>
                    <w:rPr>
                      <w:color w:val="000000" w:themeColor="text1"/>
                      <w:kern w:val="0"/>
                      <w:sz w:val="18"/>
                      <w:szCs w:val="18"/>
                      <w14:textFill>
                        <w14:solidFill>
                          <w14:schemeClr w14:val="tx1"/>
                        </w14:solidFill>
                      </w14:textFill>
                    </w:rPr>
                    <w:t>/m</w:t>
                  </w:r>
                </w:p>
              </w:tc>
              <w:tc>
                <w:tcPr>
                  <w:tcW w:w="799" w:type="dxa"/>
                  <w:vMerge w:val="restart"/>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与正北</w:t>
                  </w:r>
                </w:p>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向夹角</w:t>
                  </w:r>
                  <w:r>
                    <w:rPr>
                      <w:color w:val="000000" w:themeColor="text1"/>
                      <w:kern w:val="0"/>
                      <w:sz w:val="18"/>
                      <w:szCs w:val="18"/>
                      <w14:textFill>
                        <w14:solidFill>
                          <w14:schemeClr w14:val="tx1"/>
                        </w14:solidFill>
                      </w14:textFill>
                    </w:rPr>
                    <w:t>/°</w:t>
                  </w:r>
                </w:p>
              </w:tc>
              <w:tc>
                <w:tcPr>
                  <w:tcW w:w="953" w:type="dxa"/>
                  <w:vMerge w:val="restart"/>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面源有</w:t>
                  </w:r>
                </w:p>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效排放</w:t>
                  </w:r>
                </w:p>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高度</w:t>
                  </w:r>
                  <w:r>
                    <w:rPr>
                      <w:color w:val="000000" w:themeColor="text1"/>
                      <w:kern w:val="0"/>
                      <w:sz w:val="18"/>
                      <w:szCs w:val="18"/>
                      <w14:textFill>
                        <w14:solidFill>
                          <w14:schemeClr w14:val="tx1"/>
                        </w14:solidFill>
                      </w14:textFill>
                    </w:rPr>
                    <w:t>/m</w:t>
                  </w:r>
                </w:p>
              </w:tc>
              <w:tc>
                <w:tcPr>
                  <w:tcW w:w="1135" w:type="dxa"/>
                  <w:vMerge w:val="restart"/>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年排放</w:t>
                  </w:r>
                </w:p>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小时数</w:t>
                  </w:r>
                </w:p>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/h</w:t>
                  </w:r>
                </w:p>
              </w:tc>
              <w:tc>
                <w:tcPr>
                  <w:tcW w:w="840" w:type="dxa"/>
                  <w:vMerge w:val="restart"/>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排放</w:t>
                  </w:r>
                </w:p>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工况</w:t>
                  </w:r>
                </w:p>
              </w:tc>
              <w:tc>
                <w:tcPr>
                  <w:tcW w:w="1195" w:type="dxa"/>
                  <w:vMerge w:val="restart"/>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污染物排放速率</w:t>
                  </w:r>
                  <w:r>
                    <w:rPr>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（g/s）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c>
                <w:tcPr>
                  <w:tcW w:w="716" w:type="dxa"/>
                  <w:vMerge w:val="continue"/>
                  <w:vAlign w:val="center"/>
                </w:tcPr>
                <w:p>
                  <w:pPr>
                    <w:widowControl/>
                    <w:snapToGrid w:val="0"/>
                    <w:jc w:val="left"/>
                    <w:rPr>
                      <w:color w:val="000000" w:themeColor="text1"/>
                      <w:kern w:val="0"/>
                      <w:sz w:val="18"/>
                      <w:szCs w:val="18"/>
                      <w14:textFill>
                        <w14:solidFill>
                          <w14:schemeClr w14:val="tx1"/>
                        </w14:solidFill>
                      </w14:textFill>
                    </w:rPr>
                  </w:pPr>
                </w:p>
              </w:tc>
              <w:tc>
                <w:tcPr>
                  <w:tcW w:w="507" w:type="dxa"/>
                  <w:vAlign w:val="center"/>
                </w:tcPr>
                <w:p>
                  <w:pPr>
                    <w:widowControl/>
                    <w:snapToGrid w:val="0"/>
                    <w:jc w:val="center"/>
                    <w:rPr>
                      <w:i/>
                      <w:iCs/>
                      <w:color w:val="000000" w:themeColor="text1"/>
                      <w:kern w:val="0"/>
                      <w:sz w:val="18"/>
                      <w:szCs w:val="18"/>
                      <w14:textFill>
                        <w14:solidFill>
                          <w14:schemeClr w14:val="tx1"/>
                        </w14:solidFill>
                      </w14:textFill>
                    </w:rPr>
                  </w:pPr>
                  <w:r>
                    <w:rPr>
                      <w:i/>
                      <w:iCs/>
                      <w:color w:val="000000" w:themeColor="text1"/>
                      <w:kern w:val="0"/>
                      <w:sz w:val="18"/>
                      <w:szCs w:val="18"/>
                      <w14:textFill>
                        <w14:solidFill>
                          <w14:schemeClr w14:val="tx1"/>
                        </w14:solidFill>
                      </w14:textFill>
                    </w:rPr>
                    <w:t>X</w:t>
                  </w:r>
                </w:p>
              </w:tc>
              <w:tc>
                <w:tcPr>
                  <w:tcW w:w="573" w:type="dxa"/>
                  <w:vAlign w:val="center"/>
                </w:tcPr>
                <w:p>
                  <w:pPr>
                    <w:widowControl/>
                    <w:snapToGrid w:val="0"/>
                    <w:jc w:val="center"/>
                    <w:rPr>
                      <w:i/>
                      <w:iCs/>
                      <w:color w:val="000000" w:themeColor="text1"/>
                      <w:kern w:val="0"/>
                      <w:sz w:val="18"/>
                      <w:szCs w:val="18"/>
                      <w14:textFill>
                        <w14:solidFill>
                          <w14:schemeClr w14:val="tx1"/>
                        </w14:solidFill>
                      </w14:textFill>
                    </w:rPr>
                  </w:pPr>
                  <w:r>
                    <w:rPr>
                      <w:i/>
                      <w:iCs/>
                      <w:color w:val="000000" w:themeColor="text1"/>
                      <w:kern w:val="0"/>
                      <w:sz w:val="18"/>
                      <w:szCs w:val="18"/>
                      <w14:textFill>
                        <w14:solidFill>
                          <w14:schemeClr w14:val="tx1"/>
                        </w14:solidFill>
                      </w14:textFill>
                    </w:rPr>
                    <w:t>Y</w:t>
                  </w:r>
                </w:p>
              </w:tc>
              <w:tc>
                <w:tcPr>
                  <w:tcW w:w="896" w:type="dxa"/>
                  <w:vMerge w:val="continue"/>
                  <w:vAlign w:val="center"/>
                </w:tcPr>
                <w:p>
                  <w:pPr>
                    <w:widowControl/>
                    <w:snapToGrid w:val="0"/>
                    <w:jc w:val="left"/>
                    <w:rPr>
                      <w:color w:val="000000" w:themeColor="text1"/>
                      <w:kern w:val="0"/>
                      <w:sz w:val="18"/>
                      <w:szCs w:val="18"/>
                      <w14:textFill>
                        <w14:solidFill>
                          <w14:schemeClr w14:val="tx1"/>
                        </w14:solidFill>
                      </w14:textFill>
                    </w:rPr>
                  </w:pPr>
                </w:p>
              </w:tc>
              <w:tc>
                <w:tcPr>
                  <w:tcW w:w="764" w:type="dxa"/>
                  <w:vMerge w:val="continue"/>
                  <w:vAlign w:val="center"/>
                </w:tcPr>
                <w:p>
                  <w:pPr>
                    <w:widowControl/>
                    <w:snapToGrid w:val="0"/>
                    <w:jc w:val="left"/>
                    <w:rPr>
                      <w:color w:val="000000" w:themeColor="text1"/>
                      <w:kern w:val="0"/>
                      <w:sz w:val="18"/>
                      <w:szCs w:val="18"/>
                      <w14:textFill>
                        <w14:solidFill>
                          <w14:schemeClr w14:val="tx1"/>
                        </w14:solidFill>
                      </w14:textFill>
                    </w:rPr>
                  </w:pPr>
                </w:p>
              </w:tc>
              <w:tc>
                <w:tcPr>
                  <w:tcW w:w="762" w:type="dxa"/>
                  <w:vMerge w:val="continue"/>
                  <w:vAlign w:val="center"/>
                </w:tcPr>
                <w:p>
                  <w:pPr>
                    <w:widowControl/>
                    <w:snapToGrid w:val="0"/>
                    <w:jc w:val="left"/>
                    <w:rPr>
                      <w:color w:val="000000" w:themeColor="text1"/>
                      <w:kern w:val="0"/>
                      <w:sz w:val="18"/>
                      <w:szCs w:val="18"/>
                      <w14:textFill>
                        <w14:solidFill>
                          <w14:schemeClr w14:val="tx1"/>
                        </w14:solidFill>
                      </w14:textFill>
                    </w:rPr>
                  </w:pPr>
                </w:p>
              </w:tc>
              <w:tc>
                <w:tcPr>
                  <w:tcW w:w="799" w:type="dxa"/>
                  <w:vMerge w:val="continue"/>
                  <w:vAlign w:val="center"/>
                </w:tcPr>
                <w:p>
                  <w:pPr>
                    <w:widowControl/>
                    <w:snapToGrid w:val="0"/>
                    <w:jc w:val="left"/>
                    <w:rPr>
                      <w:color w:val="000000" w:themeColor="text1"/>
                      <w:kern w:val="0"/>
                      <w:sz w:val="18"/>
                      <w:szCs w:val="18"/>
                      <w14:textFill>
                        <w14:solidFill>
                          <w14:schemeClr w14:val="tx1"/>
                        </w14:solidFill>
                      </w14:textFill>
                    </w:rPr>
                  </w:pPr>
                </w:p>
              </w:tc>
              <w:tc>
                <w:tcPr>
                  <w:tcW w:w="953" w:type="dxa"/>
                  <w:vMerge w:val="continue"/>
                  <w:vAlign w:val="center"/>
                </w:tcPr>
                <w:p>
                  <w:pPr>
                    <w:widowControl/>
                    <w:snapToGrid w:val="0"/>
                    <w:jc w:val="left"/>
                    <w:rPr>
                      <w:color w:val="000000" w:themeColor="text1"/>
                      <w:kern w:val="0"/>
                      <w:sz w:val="18"/>
                      <w:szCs w:val="18"/>
                      <w14:textFill>
                        <w14:solidFill>
                          <w14:schemeClr w14:val="tx1"/>
                        </w14:solidFill>
                      </w14:textFill>
                    </w:rPr>
                  </w:pPr>
                </w:p>
              </w:tc>
              <w:tc>
                <w:tcPr>
                  <w:tcW w:w="1135" w:type="dxa"/>
                  <w:vMerge w:val="continue"/>
                  <w:vAlign w:val="center"/>
                </w:tcPr>
                <w:p>
                  <w:pPr>
                    <w:widowControl/>
                    <w:snapToGrid w:val="0"/>
                    <w:jc w:val="left"/>
                    <w:rPr>
                      <w:color w:val="000000" w:themeColor="text1"/>
                      <w:kern w:val="0"/>
                      <w:sz w:val="18"/>
                      <w:szCs w:val="18"/>
                      <w14:textFill>
                        <w14:solidFill>
                          <w14:schemeClr w14:val="tx1"/>
                        </w14:solidFill>
                      </w14:textFill>
                    </w:rPr>
                  </w:pPr>
                </w:p>
              </w:tc>
              <w:tc>
                <w:tcPr>
                  <w:tcW w:w="840" w:type="dxa"/>
                  <w:vMerge w:val="continue"/>
                  <w:vAlign w:val="center"/>
                </w:tcPr>
                <w:p>
                  <w:pPr>
                    <w:widowControl/>
                    <w:snapToGrid w:val="0"/>
                    <w:jc w:val="left"/>
                    <w:rPr>
                      <w:color w:val="000000" w:themeColor="text1"/>
                      <w:kern w:val="0"/>
                      <w:sz w:val="18"/>
                      <w:szCs w:val="18"/>
                      <w14:textFill>
                        <w14:solidFill>
                          <w14:schemeClr w14:val="tx1"/>
                        </w14:solidFill>
                      </w14:textFill>
                    </w:rPr>
                  </w:pPr>
                </w:p>
              </w:tc>
              <w:tc>
                <w:tcPr>
                  <w:tcW w:w="1195" w:type="dxa"/>
                  <w:vMerge w:val="continue"/>
                  <w:vAlign w:val="center"/>
                </w:tcPr>
                <w:p>
                  <w:pPr>
                    <w:snapToGrid w:val="0"/>
                    <w:jc w:val="center"/>
                    <w:rPr>
                      <w:color w:val="000000" w:themeColor="text1"/>
                      <w:kern w:val="0"/>
                      <w:sz w:val="18"/>
                      <w:szCs w:val="1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4" w:space="0"/>
                </w:tblBorders>
                <w:tblCellMar>
                  <w:top w:w="0" w:type="dxa"/>
                  <w:left w:w="108" w:type="dxa"/>
                  <w:bottom w:w="0" w:type="dxa"/>
                  <w:right w:w="108" w:type="dxa"/>
                </w:tblCellMar>
              </w:tblPrEx>
              <w:trPr>
                <w:trHeight w:val="1103" w:hRule="atLeast"/>
              </w:trPr>
              <w:tc>
                <w:tcPr>
                  <w:tcW w:w="716" w:type="dxa"/>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生产车间</w:t>
                  </w:r>
                </w:p>
              </w:tc>
              <w:tc>
                <w:tcPr>
                  <w:tcW w:w="507" w:type="dxa"/>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10</w:t>
                  </w:r>
                </w:p>
              </w:tc>
              <w:tc>
                <w:tcPr>
                  <w:tcW w:w="573" w:type="dxa"/>
                  <w:vAlign w:val="center"/>
                </w:tcPr>
                <w:p>
                  <w:pPr>
                    <w:widowControl/>
                    <w:snapToGrid w:val="0"/>
                    <w:jc w:val="center"/>
                    <w:rPr>
                      <w:rFonts w:hint="eastAsia" w:eastAsia="宋体"/>
                      <w:color w:val="000000" w:themeColor="text1"/>
                      <w:kern w:val="0"/>
                      <w:sz w:val="18"/>
                      <w:szCs w:val="18"/>
                      <w:lang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0</w:t>
                  </w:r>
                </w:p>
              </w:tc>
              <w:tc>
                <w:tcPr>
                  <w:tcW w:w="896" w:type="dxa"/>
                  <w:vAlign w:val="center"/>
                </w:tcPr>
                <w:p>
                  <w:pPr>
                    <w:widowControl/>
                    <w:snapToGrid w:val="0"/>
                    <w:jc w:val="center"/>
                    <w:rPr>
                      <w:rFonts w:hint="eastAsia" w:eastAsia="宋体"/>
                      <w:color w:val="000000" w:themeColor="text1"/>
                      <w:kern w:val="0"/>
                      <w:sz w:val="18"/>
                      <w:szCs w:val="18"/>
                      <w:lang w:eastAsia="zh-CN"/>
                      <w14:textFill>
                        <w14:solidFill>
                          <w14:schemeClr w14:val="tx1"/>
                        </w14:solidFill>
                      </w14:textFill>
                    </w:rPr>
                  </w:pPr>
                  <w:r>
                    <w:rPr>
                      <w:rFonts w:hint="eastAsia"/>
                      <w:color w:val="000000" w:themeColor="text1"/>
                      <w:kern w:val="0"/>
                      <w:sz w:val="18"/>
                      <w:szCs w:val="18"/>
                      <w14:textFill>
                        <w14:solidFill>
                          <w14:schemeClr w14:val="tx1"/>
                        </w14:solidFill>
                      </w14:textFill>
                    </w:rPr>
                    <w:t>2</w:t>
                  </w:r>
                  <w:r>
                    <w:rPr>
                      <w:rFonts w:hint="eastAsia"/>
                      <w:color w:val="000000" w:themeColor="text1"/>
                      <w:kern w:val="0"/>
                      <w:sz w:val="18"/>
                      <w:szCs w:val="18"/>
                      <w:lang w:val="en-US" w:eastAsia="zh-CN"/>
                      <w14:textFill>
                        <w14:solidFill>
                          <w14:schemeClr w14:val="tx1"/>
                        </w14:solidFill>
                      </w14:textFill>
                    </w:rPr>
                    <w:t>8</w:t>
                  </w:r>
                </w:p>
              </w:tc>
              <w:tc>
                <w:tcPr>
                  <w:tcW w:w="764" w:type="dxa"/>
                  <w:vAlign w:val="center"/>
                </w:tcPr>
                <w:p>
                  <w:pPr>
                    <w:widowControl/>
                    <w:snapToGrid w:val="0"/>
                    <w:jc w:val="center"/>
                    <w:textAlignment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240</w:t>
                  </w:r>
                </w:p>
              </w:tc>
              <w:tc>
                <w:tcPr>
                  <w:tcW w:w="762" w:type="dxa"/>
                  <w:vAlign w:val="center"/>
                </w:tcPr>
                <w:p>
                  <w:pPr>
                    <w:widowControl/>
                    <w:snapToGrid w:val="0"/>
                    <w:jc w:val="center"/>
                    <w:textAlignment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20</w:t>
                  </w:r>
                </w:p>
              </w:tc>
              <w:tc>
                <w:tcPr>
                  <w:tcW w:w="799" w:type="dxa"/>
                  <w:vAlign w:val="center"/>
                </w:tcPr>
                <w:p>
                  <w:pPr>
                    <w:widowControl/>
                    <w:snapToGrid w:val="0"/>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0</w:t>
                  </w:r>
                </w:p>
              </w:tc>
              <w:tc>
                <w:tcPr>
                  <w:tcW w:w="953" w:type="dxa"/>
                  <w:vAlign w:val="center"/>
                </w:tcPr>
                <w:p>
                  <w:pPr>
                    <w:widowControl/>
                    <w:snapToGrid w:val="0"/>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8</w:t>
                  </w:r>
                </w:p>
              </w:tc>
              <w:tc>
                <w:tcPr>
                  <w:tcW w:w="1135" w:type="dxa"/>
                  <w:vAlign w:val="center"/>
                </w:tcPr>
                <w:p>
                  <w:pPr>
                    <w:widowControl/>
                    <w:snapToGrid w:val="0"/>
                    <w:jc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1800</w:t>
                  </w:r>
                </w:p>
              </w:tc>
              <w:tc>
                <w:tcPr>
                  <w:tcW w:w="840" w:type="dxa"/>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连续</w:t>
                  </w:r>
                </w:p>
              </w:tc>
              <w:tc>
                <w:tcPr>
                  <w:tcW w:w="1195" w:type="dxa"/>
                  <w:vAlign w:val="center"/>
                </w:tcPr>
                <w:p>
                  <w:pPr>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颗粒物：0.0</w:t>
                  </w:r>
                  <w:r>
                    <w:rPr>
                      <w:rFonts w:hint="eastAsia"/>
                      <w:color w:val="000000" w:themeColor="text1"/>
                      <w:sz w:val="18"/>
                      <w:szCs w:val="18"/>
                      <w:lang w:val="en-US" w:eastAsia="zh-CN"/>
                      <w14:textFill>
                        <w14:solidFill>
                          <w14:schemeClr w14:val="tx1"/>
                        </w14:solidFill>
                      </w14:textFill>
                    </w:rPr>
                    <w:t>32</w:t>
                  </w:r>
                </w:p>
              </w:tc>
            </w:tr>
          </w:tbl>
          <w:p>
            <w:pPr>
              <w:snapToGrid w:val="0"/>
              <w:spacing w:line="360" w:lineRule="auto"/>
              <w:ind w:firstLine="482" w:firstLineChars="200"/>
              <w:jc w:val="left"/>
              <w:rPr>
                <w:rFonts w:hAnsi="宋体"/>
                <w:b/>
                <w:snapToGrid w:val="0"/>
                <w:kern w:val="0"/>
                <w:sz w:val="24"/>
                <w:szCs w:val="24"/>
              </w:rPr>
            </w:pPr>
            <w:r>
              <w:rPr>
                <w:rFonts w:hAnsi="宋体"/>
                <w:b/>
                <w:snapToGrid w:val="0"/>
                <w:kern w:val="0"/>
                <w:sz w:val="24"/>
                <w:szCs w:val="24"/>
              </w:rPr>
              <w:t>D</w:t>
            </w:r>
            <w:r>
              <w:rPr>
                <w:rFonts w:hint="eastAsia" w:hAnsi="宋体"/>
                <w:b/>
                <w:snapToGrid w:val="0"/>
                <w:kern w:val="0"/>
                <w:sz w:val="24"/>
                <w:szCs w:val="24"/>
              </w:rPr>
              <w:t>、预测结果及环境影响评价</w:t>
            </w:r>
          </w:p>
          <w:p>
            <w:pPr>
              <w:snapToGrid w:val="0"/>
              <w:spacing w:line="360" w:lineRule="auto"/>
              <w:ind w:firstLine="480" w:firstLineChars="200"/>
              <w:rPr>
                <w:sz w:val="24"/>
                <w:szCs w:val="24"/>
              </w:rPr>
            </w:pPr>
            <w:r>
              <w:rPr>
                <w:rFonts w:hint="eastAsia"/>
                <w:sz w:val="24"/>
                <w:szCs w:val="24"/>
              </w:rPr>
              <w:t>采用导则的估算模式对无组织排放污染物最大小时落地浓度及其出现的距离进行预测，同时对无组织</w:t>
            </w:r>
            <w:r>
              <w:rPr>
                <w:rFonts w:hint="eastAsia"/>
                <w:sz w:val="24"/>
                <w:szCs w:val="24"/>
                <w:lang w:val="en-GB"/>
              </w:rPr>
              <w:t>排放</w:t>
            </w:r>
            <w:r>
              <w:rPr>
                <w:rFonts w:hint="eastAsia"/>
                <w:sz w:val="24"/>
                <w:szCs w:val="24"/>
              </w:rPr>
              <w:t>最大小时落地浓度及其出现的距离进行预测。预测结果如下，具体见下表。</w:t>
            </w:r>
          </w:p>
          <w:p>
            <w:pPr>
              <w:snapToGrid w:val="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w:t>
            </w:r>
            <w:r>
              <w:rPr>
                <w:rFonts w:hint="eastAsia" w:hAnsi="宋体"/>
                <w:b/>
                <w:color w:val="000000" w:themeColor="text1"/>
                <w:szCs w:val="21"/>
                <w:lang w:val="en-US" w:eastAsia="zh-CN"/>
                <w14:textFill>
                  <w14:solidFill>
                    <w14:schemeClr w14:val="tx1"/>
                  </w14:solidFill>
                </w14:textFill>
              </w:rPr>
              <w:t>29</w:t>
            </w:r>
            <w:r>
              <w:rPr>
                <w:rFonts w:hint="eastAsia" w:hAnsi="宋体"/>
                <w:b/>
                <w:color w:val="000000" w:themeColor="text1"/>
                <w:szCs w:val="21"/>
                <w14:textFill>
                  <w14:solidFill>
                    <w14:schemeClr w14:val="tx1"/>
                  </w14:solidFill>
                </w14:textFill>
              </w:rPr>
              <w:t>估算模式排放计算结果表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312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下方向距离(m)</w:t>
                  </w:r>
                </w:p>
              </w:tc>
              <w:tc>
                <w:tcPr>
                  <w:tcW w:w="37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p>
              </w:tc>
              <w:tc>
                <w:tcPr>
                  <w:tcW w:w="37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Cs w:val="21"/>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预测浓度（ug/m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185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13.62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15.72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3.4933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17.42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18.86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20.96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21.14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4.6978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17.59</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14.31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11.91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2.6467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10.13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8.757</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1.9460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7.674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1.7053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6.806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6.096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5.506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5.009</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4.585</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4.221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3.904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0.8676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3.626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0.8058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3.382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0.7516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3.164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2.969</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2.795</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2.637</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2.494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2.365</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2.246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2.138</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2.038</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1.946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1.861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1.782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1.709</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1.641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1.577</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1.518</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1.463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1.411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1.362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1.316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1.272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1.231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1.192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1.156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1.121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1.088</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1.056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1.027</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0.9983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0.9712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0.9454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0.9207</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0.8972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0.8746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0.8531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0.8312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0.8115</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0.7926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0.7745</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0.7571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0.7403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0.7242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0.7086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0.6937</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0.6793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0.6653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0.6519</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0.639</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0.6264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0.6143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0.6026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0.5913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0.5803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0.5697</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0.5594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0.5495</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0.5398</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0.5304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0.5213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0.5125</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0.504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0.4956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0.4876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0.4797</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0.4721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0.4646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0.4574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0.4504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0.4435</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0.4368</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0.4303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0.424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0.4179</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0.4118</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0.406</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2425.00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0.4003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2450.00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0.3947</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2475.00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0.3893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2500.00</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0.384</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下风向最大距离</w:t>
                  </w:r>
                </w:p>
              </w:tc>
              <w:tc>
                <w:tcPr>
                  <w:tcW w:w="18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22.69</w:t>
                  </w:r>
                </w:p>
              </w:tc>
              <w:tc>
                <w:tcPr>
                  <w:tcW w:w="18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D10%最远距离</w:t>
                  </w:r>
                </w:p>
              </w:tc>
              <w:tc>
                <w:tcPr>
                  <w:tcW w:w="37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135</w:t>
                  </w:r>
                </w:p>
              </w:tc>
            </w:tr>
          </w:tbl>
          <w:p>
            <w:pPr>
              <w:snapToGrid w:val="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表3</w:t>
            </w:r>
            <w:r>
              <w:rPr>
                <w:rFonts w:hint="eastAsia" w:hAnsi="宋体"/>
                <w:b/>
                <w:color w:val="000000" w:themeColor="text1"/>
                <w:szCs w:val="21"/>
                <w:lang w:val="en-US" w:eastAsia="zh-CN"/>
                <w14:textFill>
                  <w14:solidFill>
                    <w14:schemeClr w14:val="tx1"/>
                  </w14:solidFill>
                </w14:textFill>
              </w:rPr>
              <w:t>0</w:t>
            </w:r>
            <w:r>
              <w:rPr>
                <w:rFonts w:hAnsi="宋体"/>
                <w:b/>
                <w:color w:val="000000" w:themeColor="text1"/>
                <w:szCs w:val="21"/>
                <w14:textFill>
                  <w14:solidFill>
                    <w14:schemeClr w14:val="tx1"/>
                  </w14:solidFill>
                </w14:textFill>
              </w:rPr>
              <w:t xml:space="preserve"> </w:t>
            </w:r>
            <w:r>
              <w:rPr>
                <w:rFonts w:hint="eastAsia" w:hAnsi="宋体"/>
                <w:b/>
                <w:color w:val="000000" w:themeColor="text1"/>
                <w:szCs w:val="21"/>
                <w14:textFill>
                  <w14:solidFill>
                    <w14:schemeClr w14:val="tx1"/>
                  </w14:solidFill>
                </w14:textFill>
              </w:rPr>
              <w:t>估算模式计算结果统计</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335"/>
              <w:gridCol w:w="1419"/>
              <w:gridCol w:w="1419"/>
              <w:gridCol w:w="1419"/>
              <w:gridCol w:w="141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Align w:val="center"/>
                </w:tcPr>
                <w:p>
                  <w:pPr>
                    <w:widowControl/>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分类</w:t>
                  </w:r>
                </w:p>
              </w:tc>
              <w:tc>
                <w:tcPr>
                  <w:tcW w:w="1335" w:type="dxa"/>
                  <w:vAlign w:val="center"/>
                </w:tcPr>
                <w:p>
                  <w:pPr>
                    <w:widowControl/>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排气筒序号</w:t>
                  </w:r>
                </w:p>
              </w:tc>
              <w:tc>
                <w:tcPr>
                  <w:tcW w:w="1419" w:type="dxa"/>
                  <w:vAlign w:val="center"/>
                </w:tcPr>
                <w:p>
                  <w:pPr>
                    <w:widowControl/>
                    <w:snapToGrid w:val="0"/>
                    <w:jc w:val="center"/>
                    <w:textAlignment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污染物</w:t>
                  </w:r>
                </w:p>
              </w:tc>
              <w:tc>
                <w:tcPr>
                  <w:tcW w:w="1419" w:type="dxa"/>
                  <w:vAlign w:val="center"/>
                </w:tcPr>
                <w:p>
                  <w:pPr>
                    <w:widowControl/>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最远落地距离（m）</w:t>
                  </w:r>
                </w:p>
              </w:tc>
              <w:tc>
                <w:tcPr>
                  <w:tcW w:w="1419" w:type="dxa"/>
                  <w:vAlign w:val="center"/>
                </w:tcPr>
                <w:p>
                  <w:pPr>
                    <w:widowControl/>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最大地面浓度（</w:t>
                  </w:r>
                  <w:r>
                    <w:rPr>
                      <w:bCs/>
                      <w:color w:val="000000" w:themeColor="text1"/>
                      <w:szCs w:val="21"/>
                      <w14:textFill>
                        <w14:solidFill>
                          <w14:schemeClr w14:val="tx1"/>
                        </w14:solidFill>
                      </w14:textFill>
                    </w:rPr>
                    <w:t>μg/m</w:t>
                  </w:r>
                  <w:r>
                    <w:rPr>
                      <w:bCs/>
                      <w:color w:val="000000" w:themeColor="text1"/>
                      <w:szCs w:val="21"/>
                      <w:vertAlign w:val="superscript"/>
                      <w14:textFill>
                        <w14:solidFill>
                          <w14:schemeClr w14:val="tx1"/>
                        </w14:solidFill>
                      </w14:textFill>
                    </w:rPr>
                    <w:t>3</w:t>
                  </w:r>
                  <w:r>
                    <w:rPr>
                      <w:bCs/>
                      <w:color w:val="000000" w:themeColor="text1"/>
                      <w:kern w:val="0"/>
                      <w:szCs w:val="21"/>
                      <w14:textFill>
                        <w14:solidFill>
                          <w14:schemeClr w14:val="tx1"/>
                        </w14:solidFill>
                      </w14:textFill>
                    </w:rPr>
                    <w:t>）</w:t>
                  </w:r>
                </w:p>
              </w:tc>
              <w:tc>
                <w:tcPr>
                  <w:tcW w:w="1419" w:type="dxa"/>
                  <w:vAlign w:val="center"/>
                </w:tcPr>
                <w:p>
                  <w:pPr>
                    <w:widowControl/>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最大地面浓度占标率%</w:t>
                  </w:r>
                </w:p>
              </w:tc>
              <w:tc>
                <w:tcPr>
                  <w:tcW w:w="1421" w:type="dxa"/>
                  <w:vAlign w:val="center"/>
                </w:tcPr>
                <w:p>
                  <w:pPr>
                    <w:widowControl/>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Align w:val="center"/>
                </w:tcPr>
                <w:p>
                  <w:pPr>
                    <w:snapToGrid w:val="0"/>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无组织</w:t>
                  </w:r>
                </w:p>
              </w:tc>
              <w:tc>
                <w:tcPr>
                  <w:tcW w:w="1335" w:type="dxa"/>
                  <w:vAlign w:val="center"/>
                </w:tcPr>
                <w:p>
                  <w:pPr>
                    <w:widowControl/>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生产</w:t>
                  </w:r>
                  <w:r>
                    <w:rPr>
                      <w:bCs/>
                      <w:color w:val="000000" w:themeColor="text1"/>
                      <w:kern w:val="0"/>
                      <w:szCs w:val="21"/>
                      <w14:textFill>
                        <w14:solidFill>
                          <w14:schemeClr w14:val="tx1"/>
                        </w14:solidFill>
                      </w14:textFill>
                    </w:rPr>
                    <w:t>车间</w:t>
                  </w:r>
                </w:p>
              </w:tc>
              <w:tc>
                <w:tcPr>
                  <w:tcW w:w="1419"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419" w:type="dxa"/>
                  <w:vAlign w:val="center"/>
                </w:tcPr>
                <w:p>
                  <w:pPr>
                    <w:widowControl/>
                    <w:snapToGrid w:val="0"/>
                    <w:jc w:val="center"/>
                    <w:textAlignment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135</w:t>
                  </w:r>
                </w:p>
              </w:tc>
              <w:tc>
                <w:tcPr>
                  <w:tcW w:w="1419"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22.69</w:t>
                  </w:r>
                </w:p>
              </w:tc>
              <w:tc>
                <w:tcPr>
                  <w:tcW w:w="1419"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5.04</w:t>
                  </w:r>
                </w:p>
              </w:tc>
              <w:tc>
                <w:tcPr>
                  <w:tcW w:w="1421"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二级</w:t>
                  </w:r>
                </w:p>
              </w:tc>
            </w:tr>
          </w:tbl>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影响结论：</w:t>
            </w:r>
          </w:p>
          <w:p>
            <w:pPr>
              <w:snapToGrid w:val="0"/>
              <w:spacing w:line="360" w:lineRule="auto"/>
              <w:ind w:firstLine="480" w:firstLineChars="200"/>
              <w:rPr>
                <w:sz w:val="24"/>
                <w:szCs w:val="24"/>
              </w:rPr>
            </w:pPr>
            <w:r>
              <w:rPr>
                <w:rFonts w:hint="eastAsia"/>
                <w:color w:val="000000" w:themeColor="text1"/>
                <w:sz w:val="24"/>
                <w:szCs w:val="24"/>
                <w14:textFill>
                  <w14:solidFill>
                    <w14:schemeClr w14:val="tx1"/>
                  </w14:solidFill>
                </w14:textFill>
              </w:rPr>
              <w:t>经估算模型计算，本项目各污染源排放的大气污染物中，无组织排放颗粒物最大落</w:t>
            </w:r>
            <w:r>
              <w:rPr>
                <w:rFonts w:hint="eastAsia"/>
                <w:sz w:val="24"/>
                <w:szCs w:val="24"/>
              </w:rPr>
              <w:t>地浓度占标率为</w:t>
            </w:r>
            <w:r>
              <w:rPr>
                <w:rFonts w:hint="eastAsia"/>
                <w:sz w:val="24"/>
                <w:szCs w:val="24"/>
                <w:lang w:val="en-US" w:eastAsia="zh-CN"/>
              </w:rPr>
              <w:t>5.04</w:t>
            </w:r>
            <w:r>
              <w:rPr>
                <w:rFonts w:hint="eastAsia"/>
                <w:sz w:val="24"/>
                <w:szCs w:val="24"/>
              </w:rPr>
              <w:t>%大于1%，小于</w:t>
            </w:r>
            <w:r>
              <w:rPr>
                <w:sz w:val="24"/>
                <w:szCs w:val="24"/>
              </w:rPr>
              <w:t>1</w:t>
            </w:r>
            <w:r>
              <w:rPr>
                <w:rFonts w:hint="eastAsia"/>
                <w:sz w:val="24"/>
                <w:szCs w:val="24"/>
              </w:rPr>
              <w:t>0</w:t>
            </w:r>
            <w:r>
              <w:rPr>
                <w:sz w:val="24"/>
                <w:szCs w:val="24"/>
              </w:rPr>
              <w:t>%</w:t>
            </w:r>
            <w:r>
              <w:rPr>
                <w:rFonts w:hint="eastAsia"/>
                <w:sz w:val="24"/>
                <w:szCs w:val="24"/>
              </w:rPr>
              <w:t>，根据</w:t>
            </w:r>
            <w:r>
              <w:rPr>
                <w:sz w:val="24"/>
                <w:szCs w:val="24"/>
              </w:rPr>
              <w:t>HJ2.2-2018</w:t>
            </w:r>
            <w:r>
              <w:rPr>
                <w:rFonts w:hint="eastAsia"/>
                <w:sz w:val="24"/>
                <w:szCs w:val="24"/>
              </w:rPr>
              <w:t>《环境影响评价技术导则</w:t>
            </w:r>
            <w:r>
              <w:rPr>
                <w:sz w:val="24"/>
                <w:szCs w:val="24"/>
              </w:rPr>
              <w:t xml:space="preserve"> </w:t>
            </w:r>
            <w:r>
              <w:rPr>
                <w:rFonts w:hint="eastAsia"/>
                <w:sz w:val="24"/>
                <w:szCs w:val="24"/>
              </w:rPr>
              <w:t>大气环境》，确定大气环境影响评价等级为二级。根据</w:t>
            </w:r>
            <w:r>
              <w:rPr>
                <w:sz w:val="24"/>
                <w:szCs w:val="24"/>
              </w:rPr>
              <w:t>HJ2.2-2108</w:t>
            </w:r>
            <w:r>
              <w:rPr>
                <w:rFonts w:hint="eastAsia"/>
                <w:sz w:val="24"/>
                <w:szCs w:val="24"/>
              </w:rPr>
              <w:t>《环境影响评价技术导则</w:t>
            </w:r>
            <w:r>
              <w:rPr>
                <w:sz w:val="24"/>
                <w:szCs w:val="24"/>
              </w:rPr>
              <w:t xml:space="preserve"> </w:t>
            </w:r>
            <w:r>
              <w:rPr>
                <w:rFonts w:hint="eastAsia"/>
                <w:sz w:val="24"/>
                <w:szCs w:val="24"/>
              </w:rPr>
              <w:t>大气环境》</w:t>
            </w:r>
            <w:r>
              <w:rPr>
                <w:sz w:val="24"/>
                <w:szCs w:val="24"/>
              </w:rPr>
              <w:t>8.1.2</w:t>
            </w:r>
            <w:r>
              <w:rPr>
                <w:rFonts w:hint="eastAsia"/>
                <w:sz w:val="24"/>
                <w:szCs w:val="24"/>
              </w:rPr>
              <w:t>的有关规定：对照导则要求不需进一步的预测与评价，只需对污染物排放量进行核算。</w:t>
            </w:r>
          </w:p>
          <w:p>
            <w:pPr>
              <w:snapToGrid w:val="0"/>
              <w:spacing w:line="360" w:lineRule="auto"/>
              <w:ind w:firstLine="482" w:firstLineChars="200"/>
              <w:jc w:val="left"/>
              <w:rPr>
                <w:rFonts w:hAnsi="宋体"/>
                <w:b/>
                <w:snapToGrid w:val="0"/>
                <w:kern w:val="0"/>
                <w:sz w:val="24"/>
                <w:szCs w:val="24"/>
              </w:rPr>
            </w:pPr>
            <w:r>
              <w:rPr>
                <w:rFonts w:hint="eastAsia" w:hAnsi="宋体"/>
                <w:b/>
                <w:snapToGrid w:val="0"/>
                <w:kern w:val="0"/>
                <w:sz w:val="24"/>
                <w:szCs w:val="24"/>
              </w:rPr>
              <w:t>E</w:t>
            </w:r>
            <w:r>
              <w:rPr>
                <w:rFonts w:hAnsi="宋体"/>
                <w:b/>
                <w:snapToGrid w:val="0"/>
                <w:kern w:val="0"/>
                <w:sz w:val="24"/>
                <w:szCs w:val="24"/>
              </w:rPr>
              <w:t>、废气污染物排放量核算</w:t>
            </w:r>
          </w:p>
          <w:p>
            <w:pPr>
              <w:snapToGrid w:val="0"/>
              <w:spacing w:line="360" w:lineRule="auto"/>
              <w:ind w:firstLine="480" w:firstLineChars="200"/>
              <w:rPr>
                <w:sz w:val="24"/>
                <w:szCs w:val="24"/>
              </w:rPr>
            </w:pPr>
            <w:r>
              <w:rPr>
                <w:rFonts w:hint="eastAsia"/>
                <w:sz w:val="24"/>
                <w:szCs w:val="24"/>
              </w:rPr>
              <w:t>依据《环境影响评价技术导则</w:t>
            </w:r>
            <w:r>
              <w:rPr>
                <w:sz w:val="24"/>
                <w:szCs w:val="24"/>
              </w:rPr>
              <w:t>-</w:t>
            </w:r>
            <w:r>
              <w:rPr>
                <w:rFonts w:hint="eastAsia"/>
                <w:sz w:val="24"/>
                <w:szCs w:val="24"/>
              </w:rPr>
              <w:t>大气环境》（</w:t>
            </w:r>
            <w:r>
              <w:rPr>
                <w:sz w:val="24"/>
                <w:szCs w:val="24"/>
              </w:rPr>
              <w:t>HJ2.2-2018</w:t>
            </w:r>
            <w:r>
              <w:rPr>
                <w:rFonts w:hint="eastAsia"/>
                <w:sz w:val="24"/>
                <w:szCs w:val="24"/>
              </w:rPr>
              <w:t>）要求，二级评价项目需进行正常工况下大气污染物核算，具体见下表。</w:t>
            </w:r>
          </w:p>
          <w:p>
            <w:pPr>
              <w:snapToGrid w:val="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表3</w:t>
            </w:r>
            <w:r>
              <w:rPr>
                <w:rFonts w:hint="eastAsia" w:hAnsi="宋体"/>
                <w:b/>
                <w:color w:val="000000" w:themeColor="text1"/>
                <w:szCs w:val="21"/>
                <w:lang w:val="en-US" w:eastAsia="zh-CN"/>
                <w14:textFill>
                  <w14:solidFill>
                    <w14:schemeClr w14:val="tx1"/>
                  </w14:solidFill>
                </w14:textFill>
              </w:rPr>
              <w:t>1</w:t>
            </w:r>
            <w:r>
              <w:rPr>
                <w:rFonts w:hAnsi="宋体"/>
                <w:b/>
                <w:color w:val="000000" w:themeColor="text1"/>
                <w:szCs w:val="21"/>
                <w14:textFill>
                  <w14:solidFill>
                    <w14:schemeClr w14:val="tx1"/>
                  </w14:solidFill>
                </w14:textFill>
              </w:rPr>
              <w:t xml:space="preserve"> </w:t>
            </w:r>
            <w:r>
              <w:rPr>
                <w:rFonts w:hint="eastAsia" w:hAnsi="宋体"/>
                <w:b/>
                <w:color w:val="000000" w:themeColor="text1"/>
                <w:szCs w:val="21"/>
                <w14:textFill>
                  <w14:solidFill>
                    <w14:schemeClr w14:val="tx1"/>
                  </w14:solidFill>
                </w14:textFill>
              </w:rPr>
              <w:t>大气污染物无组织排放量核定表</w:t>
            </w:r>
          </w:p>
          <w:tbl>
            <w:tblPr>
              <w:tblStyle w:val="30"/>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00"/>
              <w:gridCol w:w="975"/>
              <w:gridCol w:w="713"/>
              <w:gridCol w:w="1112"/>
              <w:gridCol w:w="3071"/>
              <w:gridCol w:w="98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排放口编号</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产污环节</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主要污染防治措施</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国家或地方污染物排放标准</w:t>
                  </w:r>
                </w:p>
              </w:tc>
              <w:tc>
                <w:tcPr>
                  <w:tcW w:w="1119" w:type="dxa"/>
                  <w:vMerge w:val="restart"/>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核算年排放量（t</w:t>
                  </w:r>
                  <w:r>
                    <w:rPr>
                      <w:color w:val="000000" w:themeColor="text1"/>
                      <w:sz w:val="18"/>
                      <w:szCs w:val="18"/>
                      <w14:textFill>
                        <w14:solidFill>
                          <w14:schemeClr w14:val="tx1"/>
                        </w14:solidFill>
                      </w14:textFill>
                    </w:rPr>
                    <w:t>/a</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标准名称</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浓度限值（</w:t>
                  </w: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w:t>
                  </w: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00"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75" w:type="dxa"/>
                  <w:tcBorders>
                    <w:top w:val="single" w:color="auto" w:sz="4" w:space="0"/>
                    <w:left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生产车间</w:t>
                  </w:r>
                </w:p>
              </w:tc>
              <w:tc>
                <w:tcPr>
                  <w:tcW w:w="71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颗粒物</w:t>
                  </w:r>
                </w:p>
              </w:tc>
              <w:tc>
                <w:tcPr>
                  <w:tcW w:w="1112" w:type="dxa"/>
                  <w:tcBorders>
                    <w:top w:val="single" w:color="auto" w:sz="4" w:space="0"/>
                    <w:left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车间加强通风</w:t>
                  </w:r>
                </w:p>
              </w:tc>
              <w:tc>
                <w:tcPr>
                  <w:tcW w:w="3071" w:type="dxa"/>
                  <w:tcBorders>
                    <w:top w:val="single" w:color="auto" w:sz="4" w:space="0"/>
                    <w:left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颗粒物满足</w:t>
                  </w:r>
                  <w:r>
                    <w:rPr>
                      <w:color w:val="000000" w:themeColor="text1"/>
                      <w:sz w:val="18"/>
                      <w:szCs w:val="18"/>
                      <w14:textFill>
                        <w14:solidFill>
                          <w14:schemeClr w14:val="tx1"/>
                        </w14:solidFill>
                      </w14:textFill>
                    </w:rPr>
                    <w:t>《大气污染物综合排放标准》（GB16297-1996）</w:t>
                  </w:r>
                  <w:r>
                    <w:rPr>
                      <w:rFonts w:hint="eastAsia"/>
                      <w:color w:val="000000" w:themeColor="text1"/>
                      <w:sz w:val="18"/>
                      <w:szCs w:val="18"/>
                      <w14:textFill>
                        <w14:solidFill>
                          <w14:schemeClr w14:val="tx1"/>
                        </w14:solidFill>
                      </w14:textFill>
                    </w:rPr>
                    <w:t>无组织排放浓度限值</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gridSpan w:val="3"/>
                  <w:tcBorders>
                    <w:top w:val="single" w:color="auto" w:sz="4" w:space="0"/>
                    <w:left w:val="single" w:color="auto" w:sz="4" w:space="0"/>
                    <w:right w:val="single" w:color="auto" w:sz="4" w:space="0"/>
                  </w:tcBorders>
                  <w:vAlign w:val="center"/>
                </w:tcPr>
                <w:p>
                  <w:pPr>
                    <w:snapToGrid w:val="0"/>
                    <w:ind w:left="-105" w:leftChars="-50" w:right="-105" w:rightChars="-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无组织排放总计</w:t>
                  </w:r>
                </w:p>
              </w:tc>
              <w:tc>
                <w:tcPr>
                  <w:tcW w:w="588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颗粒物</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0.113</w:t>
                  </w:r>
                </w:p>
              </w:tc>
            </w:tr>
          </w:tbl>
          <w:p>
            <w:pPr>
              <w:spacing w:line="360" w:lineRule="auto"/>
              <w:ind w:firstLine="482" w:firstLineChars="200"/>
              <w:rPr>
                <w:b/>
                <w:sz w:val="24"/>
                <w:szCs w:val="24"/>
              </w:rPr>
            </w:pPr>
            <w:r>
              <w:rPr>
                <w:rFonts w:hint="eastAsia"/>
                <w:b/>
                <w:sz w:val="24"/>
                <w:szCs w:val="24"/>
              </w:rPr>
              <w:t>F、大气环境防护距离的计算：</w:t>
            </w:r>
          </w:p>
          <w:p>
            <w:pPr>
              <w:spacing w:line="360" w:lineRule="auto"/>
              <w:ind w:firstLine="480" w:firstLineChars="200"/>
              <w:rPr>
                <w:sz w:val="24"/>
                <w:szCs w:val="24"/>
              </w:rPr>
            </w:pPr>
            <w:r>
              <w:rPr>
                <w:rFonts w:hint="eastAsia"/>
                <w:sz w:val="24"/>
                <w:szCs w:val="24"/>
              </w:rPr>
              <w:t>根据预测结果，按《环境影响评价技术导则大气环境》（</w:t>
            </w:r>
            <w:r>
              <w:rPr>
                <w:sz w:val="24"/>
                <w:szCs w:val="24"/>
              </w:rPr>
              <w:t>HJ2.2-2018</w:t>
            </w:r>
            <w:r>
              <w:rPr>
                <w:rFonts w:hint="eastAsia"/>
                <w:sz w:val="24"/>
                <w:szCs w:val="24"/>
              </w:rPr>
              <w:t>）中确定大气环境防护距离的规定，本项目大气污染物在厂界的预测浓度满足相应的厂界浓度限值，厂界外大气污染物短期贡献浓度低于环境质量浓度限值，因此无需设置大气环境防护距离。</w:t>
            </w:r>
          </w:p>
          <w:p>
            <w:pPr>
              <w:spacing w:line="360" w:lineRule="auto"/>
              <w:ind w:firstLine="482" w:firstLineChars="200"/>
              <w:rPr>
                <w:b/>
                <w:sz w:val="24"/>
                <w:szCs w:val="24"/>
              </w:rPr>
            </w:pPr>
            <w:r>
              <w:rPr>
                <w:rFonts w:hint="eastAsia"/>
                <w:b/>
                <w:sz w:val="24"/>
                <w:szCs w:val="24"/>
              </w:rPr>
              <w:t>G、卫生防护距离计算</w:t>
            </w:r>
          </w:p>
          <w:p>
            <w:pPr>
              <w:spacing w:line="360" w:lineRule="auto"/>
              <w:ind w:firstLine="480" w:firstLineChars="200"/>
              <w:rPr>
                <w:sz w:val="24"/>
                <w:szCs w:val="22"/>
              </w:rPr>
            </w:pPr>
            <w:r>
              <w:rPr>
                <w:sz w:val="24"/>
                <w:szCs w:val="22"/>
              </w:rPr>
              <w:t>根据《制定地方大气污染物排放标准的技术方法》（GB/T13201-91）规定，无组织排放有害气体的生产单元（生产区、车间或工段）与居住区之间应设置卫生防护距离，计算公式如下：</w:t>
            </w:r>
          </w:p>
          <w:p>
            <w:pPr>
              <w:spacing w:line="360" w:lineRule="auto"/>
              <w:ind w:firstLine="420" w:firstLineChars="200"/>
              <w:rPr>
                <w:sz w:val="24"/>
                <w:szCs w:val="22"/>
              </w:rPr>
            </w:pPr>
            <w:r>
              <w:rPr>
                <w:rFonts w:hint="eastAsia"/>
              </w:rPr>
              <w:drawing>
                <wp:anchor distT="0" distB="0" distL="114300" distR="114300" simplePos="0" relativeHeight="251660288" behindDoc="0" locked="0" layoutInCell="1" allowOverlap="1">
                  <wp:simplePos x="0" y="0"/>
                  <wp:positionH relativeFrom="column">
                    <wp:posOffset>1534160</wp:posOffset>
                  </wp:positionH>
                  <wp:positionV relativeFrom="paragraph">
                    <wp:posOffset>36830</wp:posOffset>
                  </wp:positionV>
                  <wp:extent cx="2428875" cy="828675"/>
                  <wp:effectExtent l="19050" t="0" r="9525" b="0"/>
                  <wp:wrapNone/>
                  <wp:docPr id="28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 name="图片 20"/>
                          <pic:cNvPicPr>
                            <a:picLocks noChangeAspect="1" noChangeArrowheads="1"/>
                          </pic:cNvPicPr>
                        </pic:nvPicPr>
                        <pic:blipFill>
                          <a:blip r:embed="rId9" cstate="print"/>
                          <a:srcRect/>
                          <a:stretch>
                            <a:fillRect/>
                          </a:stretch>
                        </pic:blipFill>
                        <pic:spPr>
                          <a:xfrm>
                            <a:off x="0" y="0"/>
                            <a:ext cx="2428875" cy="828675"/>
                          </a:xfrm>
                          <a:prstGeom prst="rect">
                            <a:avLst/>
                          </a:prstGeom>
                          <a:noFill/>
                          <a:ln w="9525">
                            <a:noFill/>
                            <a:miter lim="800000"/>
                            <a:headEnd/>
                            <a:tailEnd/>
                          </a:ln>
                        </pic:spPr>
                      </pic:pic>
                    </a:graphicData>
                  </a:graphic>
                </wp:anchor>
              </w:drawing>
            </w:r>
          </w:p>
          <w:p>
            <w:pPr>
              <w:spacing w:line="360" w:lineRule="auto"/>
              <w:ind w:firstLine="480" w:firstLineChars="200"/>
              <w:rPr>
                <w:sz w:val="24"/>
                <w:szCs w:val="22"/>
              </w:rPr>
            </w:pPr>
          </w:p>
          <w:p>
            <w:pPr>
              <w:spacing w:line="360" w:lineRule="auto"/>
              <w:ind w:firstLine="480" w:firstLineChars="200"/>
              <w:rPr>
                <w:sz w:val="24"/>
                <w:szCs w:val="22"/>
              </w:rPr>
            </w:pPr>
          </w:p>
          <w:p>
            <w:pPr>
              <w:spacing w:line="360" w:lineRule="auto"/>
              <w:ind w:firstLine="480" w:firstLineChars="200"/>
              <w:rPr>
                <w:sz w:val="24"/>
                <w:szCs w:val="22"/>
              </w:rPr>
            </w:pPr>
            <w:r>
              <w:rPr>
                <w:sz w:val="24"/>
                <w:szCs w:val="22"/>
              </w:rPr>
              <w:t>计算公式：</w:t>
            </w:r>
          </w:p>
          <w:p>
            <w:pPr>
              <w:spacing w:line="360" w:lineRule="auto"/>
              <w:ind w:firstLine="480" w:firstLineChars="200"/>
              <w:rPr>
                <w:sz w:val="24"/>
                <w:szCs w:val="22"/>
              </w:rPr>
            </w:pPr>
            <w:r>
              <w:rPr>
                <w:sz w:val="24"/>
                <w:szCs w:val="22"/>
              </w:rPr>
              <w:t>式中：Qc——工业企业有害气体无组织排放量可以达到的控制水平，kg·h</w:t>
            </w:r>
            <w:r>
              <w:rPr>
                <w:sz w:val="24"/>
                <w:szCs w:val="22"/>
                <w:vertAlign w:val="superscript"/>
              </w:rPr>
              <w:t>-1</w:t>
            </w:r>
            <w:r>
              <w:rPr>
                <w:sz w:val="24"/>
                <w:szCs w:val="22"/>
              </w:rPr>
              <w:t>；</w:t>
            </w:r>
          </w:p>
          <w:p>
            <w:pPr>
              <w:spacing w:line="360" w:lineRule="auto"/>
              <w:ind w:firstLine="480" w:firstLineChars="200"/>
              <w:rPr>
                <w:sz w:val="24"/>
                <w:szCs w:val="22"/>
              </w:rPr>
            </w:pPr>
            <w:r>
              <w:rPr>
                <w:sz w:val="24"/>
                <w:szCs w:val="22"/>
              </w:rPr>
              <w:t>Cm——标准浓度限值，mg/m</w:t>
            </w:r>
            <w:r>
              <w:rPr>
                <w:sz w:val="24"/>
                <w:szCs w:val="22"/>
                <w:vertAlign w:val="superscript"/>
              </w:rPr>
              <w:t>3</w:t>
            </w:r>
            <w:r>
              <w:rPr>
                <w:sz w:val="24"/>
                <w:szCs w:val="22"/>
              </w:rPr>
              <w:t>；</w:t>
            </w:r>
          </w:p>
          <w:p>
            <w:pPr>
              <w:spacing w:line="360" w:lineRule="auto"/>
              <w:ind w:firstLine="480" w:firstLineChars="200"/>
              <w:rPr>
                <w:sz w:val="24"/>
                <w:szCs w:val="22"/>
              </w:rPr>
            </w:pPr>
            <w:r>
              <w:rPr>
                <w:sz w:val="24"/>
                <w:szCs w:val="22"/>
              </w:rPr>
              <w:t>L ——工业企业所需卫生防护距离，m；</w:t>
            </w:r>
          </w:p>
          <w:p>
            <w:pPr>
              <w:spacing w:line="360" w:lineRule="auto"/>
              <w:ind w:firstLine="480" w:firstLineChars="200"/>
              <w:rPr>
                <w:sz w:val="24"/>
                <w:szCs w:val="22"/>
              </w:rPr>
            </w:pPr>
            <w:r>
              <w:rPr>
                <w:sz w:val="24"/>
                <w:szCs w:val="22"/>
              </w:rPr>
              <w:t>R ——有害气体无组织排放源所在生产单元的等效半径，m。根据该生产单元占地面积 S(m</w:t>
            </w:r>
            <w:r>
              <w:rPr>
                <w:sz w:val="24"/>
                <w:szCs w:val="22"/>
                <w:vertAlign w:val="superscript"/>
              </w:rPr>
              <w:t>2</w:t>
            </w:r>
            <w:r>
              <w:rPr>
                <w:sz w:val="24"/>
                <w:szCs w:val="22"/>
              </w:rPr>
              <w:t>)计算，r=（S/π）0.5；</w:t>
            </w:r>
          </w:p>
          <w:p>
            <w:pPr>
              <w:spacing w:line="360" w:lineRule="auto"/>
              <w:ind w:firstLine="480" w:firstLineChars="200"/>
              <w:rPr>
                <w:sz w:val="24"/>
                <w:szCs w:val="22"/>
              </w:rPr>
            </w:pPr>
            <w:r>
              <w:rPr>
                <w:sz w:val="24"/>
                <w:szCs w:val="22"/>
              </w:rPr>
              <w:t>A、B、C、D——卫生防护距离计算系数，无因次，根据工业企业所在地区近五年平均风速及工业企业大气污染源构成类别从下表查取。</w:t>
            </w:r>
          </w:p>
          <w:p>
            <w:pPr>
              <w:snapToGrid w:val="0"/>
              <w:jc w:val="center"/>
              <w:rPr>
                <w:b/>
                <w:color w:val="000000"/>
                <w:szCs w:val="21"/>
              </w:rPr>
            </w:pPr>
            <w:r>
              <w:rPr>
                <w:rFonts w:hint="eastAsia"/>
                <w:b/>
                <w:color w:val="000000"/>
                <w:szCs w:val="21"/>
              </w:rPr>
              <w:t>表3</w:t>
            </w:r>
            <w:r>
              <w:rPr>
                <w:rFonts w:hint="eastAsia"/>
                <w:b/>
                <w:color w:val="000000"/>
                <w:szCs w:val="21"/>
                <w:lang w:val="en-US" w:eastAsia="zh-CN"/>
              </w:rPr>
              <w:t>2</w:t>
            </w:r>
            <w:r>
              <w:rPr>
                <w:rFonts w:hint="eastAsia"/>
                <w:b/>
                <w:color w:val="000000"/>
                <w:szCs w:val="21"/>
              </w:rPr>
              <w:t>卫生防护距离计算系数</w:t>
            </w:r>
          </w:p>
          <w:tbl>
            <w:tblPr>
              <w:tblStyle w:val="30"/>
              <w:tblW w:w="5000" w:type="pct"/>
              <w:tblInd w:w="0" w:type="dxa"/>
              <w:tblLayout w:type="fixed"/>
              <w:tblCellMar>
                <w:top w:w="0" w:type="dxa"/>
                <w:left w:w="0" w:type="dxa"/>
                <w:bottom w:w="0" w:type="dxa"/>
                <w:right w:w="0" w:type="dxa"/>
              </w:tblCellMar>
            </w:tblPr>
            <w:tblGrid>
              <w:gridCol w:w="800"/>
              <w:gridCol w:w="1625"/>
              <w:gridCol w:w="798"/>
              <w:gridCol w:w="734"/>
              <w:gridCol w:w="720"/>
              <w:gridCol w:w="744"/>
              <w:gridCol w:w="733"/>
              <w:gridCol w:w="719"/>
              <w:gridCol w:w="735"/>
              <w:gridCol w:w="734"/>
              <w:gridCol w:w="802"/>
            </w:tblGrid>
            <w:tr>
              <w:tblPrEx>
                <w:tblCellMar>
                  <w:top w:w="0" w:type="dxa"/>
                  <w:left w:w="0" w:type="dxa"/>
                  <w:bottom w:w="0" w:type="dxa"/>
                  <w:right w:w="0" w:type="dxa"/>
                </w:tblCellMar>
              </w:tblPrEx>
              <w:tc>
                <w:tcPr>
                  <w:tcW w:w="786" w:type="dxa"/>
                  <w:vMerge w:val="restart"/>
                  <w:tcBorders>
                    <w:top w:val="single" w:color="000000" w:sz="2" w:space="0"/>
                    <w:left w:val="single" w:color="000000" w:sz="2" w:space="0"/>
                    <w:right w:val="single" w:color="000000" w:sz="2" w:space="0"/>
                  </w:tcBorders>
                  <w:vAlign w:val="center"/>
                </w:tcPr>
                <w:p>
                  <w:pPr>
                    <w:snapToGrid w:val="0"/>
                    <w:jc w:val="center"/>
                    <w:rPr>
                      <w:szCs w:val="21"/>
                    </w:rPr>
                  </w:pPr>
                  <w:r>
                    <w:rPr>
                      <w:rFonts w:hAnsi="宋体"/>
                      <w:szCs w:val="21"/>
                    </w:rPr>
                    <w:t>计算系数</w:t>
                  </w:r>
                </w:p>
              </w:tc>
              <w:tc>
                <w:tcPr>
                  <w:tcW w:w="1598" w:type="dxa"/>
                  <w:vMerge w:val="restart"/>
                  <w:tcBorders>
                    <w:top w:val="single" w:color="000000" w:sz="2" w:space="0"/>
                    <w:left w:val="single" w:color="000000" w:sz="2" w:space="0"/>
                    <w:right w:val="single" w:color="000000" w:sz="2" w:space="0"/>
                  </w:tcBorders>
                  <w:vAlign w:val="center"/>
                </w:tcPr>
                <w:p>
                  <w:pPr>
                    <w:snapToGrid w:val="0"/>
                    <w:jc w:val="center"/>
                    <w:rPr>
                      <w:szCs w:val="21"/>
                    </w:rPr>
                  </w:pPr>
                  <w:r>
                    <w:rPr>
                      <w:rFonts w:hAnsi="宋体"/>
                      <w:szCs w:val="21"/>
                    </w:rPr>
                    <w:t>工业企业所在地</w:t>
                  </w:r>
                  <w:r>
                    <w:rPr>
                      <w:szCs w:val="21"/>
                    </w:rPr>
                    <w:t xml:space="preserve"> </w:t>
                  </w:r>
                  <w:r>
                    <w:rPr>
                      <w:rFonts w:hAnsi="宋体"/>
                      <w:szCs w:val="21"/>
                    </w:rPr>
                    <w:t>区近五年平均风</w:t>
                  </w:r>
                  <w:r>
                    <w:rPr>
                      <w:szCs w:val="21"/>
                    </w:rPr>
                    <w:t xml:space="preserve"> </w:t>
                  </w:r>
                  <w:r>
                    <w:rPr>
                      <w:rFonts w:hAnsi="宋体"/>
                      <w:szCs w:val="21"/>
                    </w:rPr>
                    <w:t>速</w:t>
                  </w:r>
                  <w:r>
                    <w:rPr>
                      <w:szCs w:val="21"/>
                    </w:rPr>
                    <w:t xml:space="preserve"> m/s</w:t>
                  </w:r>
                </w:p>
              </w:tc>
              <w:tc>
                <w:tcPr>
                  <w:tcW w:w="2217"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L≤1000</w:t>
                  </w:r>
                </w:p>
              </w:tc>
              <w:tc>
                <w:tcPr>
                  <w:tcW w:w="2163"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1000&lt;L&lt;2000</w:t>
                  </w:r>
                </w:p>
              </w:tc>
              <w:tc>
                <w:tcPr>
                  <w:tcW w:w="2236"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L&gt;2000</w:t>
                  </w:r>
                </w:p>
              </w:tc>
            </w:tr>
            <w:tr>
              <w:tblPrEx>
                <w:tblCellMar>
                  <w:top w:w="0" w:type="dxa"/>
                  <w:left w:w="0" w:type="dxa"/>
                  <w:bottom w:w="0" w:type="dxa"/>
                  <w:right w:w="0" w:type="dxa"/>
                </w:tblCellMar>
              </w:tblPrEx>
              <w:tc>
                <w:tcPr>
                  <w:tcW w:w="786" w:type="dxa"/>
                  <w:vMerge w:val="continue"/>
                  <w:tcBorders>
                    <w:left w:val="single" w:color="000000" w:sz="2" w:space="0"/>
                    <w:right w:val="single" w:color="000000" w:sz="2" w:space="0"/>
                  </w:tcBorders>
                  <w:vAlign w:val="center"/>
                </w:tcPr>
                <w:p>
                  <w:pPr>
                    <w:snapToGrid w:val="0"/>
                    <w:jc w:val="center"/>
                    <w:rPr>
                      <w:szCs w:val="21"/>
                    </w:rPr>
                  </w:pPr>
                </w:p>
              </w:tc>
              <w:tc>
                <w:tcPr>
                  <w:tcW w:w="1598" w:type="dxa"/>
                  <w:vMerge w:val="continue"/>
                  <w:tcBorders>
                    <w:left w:val="single" w:color="000000" w:sz="2" w:space="0"/>
                    <w:right w:val="single" w:color="000000" w:sz="2" w:space="0"/>
                  </w:tcBorders>
                  <w:vAlign w:val="center"/>
                </w:tcPr>
                <w:p>
                  <w:pPr>
                    <w:snapToGrid w:val="0"/>
                    <w:jc w:val="center"/>
                    <w:rPr>
                      <w:szCs w:val="21"/>
                    </w:rPr>
                  </w:pPr>
                </w:p>
              </w:tc>
              <w:tc>
                <w:tcPr>
                  <w:tcW w:w="6616" w:type="dxa"/>
                  <w:gridSpan w:val="9"/>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工业企业大气污染源构成类别</w:t>
                  </w:r>
                  <w:r>
                    <w:rPr>
                      <w:szCs w:val="21"/>
                    </w:rPr>
                    <w:t>(1)</w:t>
                  </w:r>
                </w:p>
              </w:tc>
            </w:tr>
            <w:tr>
              <w:tblPrEx>
                <w:tblCellMar>
                  <w:top w:w="0" w:type="dxa"/>
                  <w:left w:w="0" w:type="dxa"/>
                  <w:bottom w:w="0" w:type="dxa"/>
                  <w:right w:w="0" w:type="dxa"/>
                </w:tblCellMar>
              </w:tblPrEx>
              <w:tc>
                <w:tcPr>
                  <w:tcW w:w="786" w:type="dxa"/>
                  <w:vMerge w:val="continue"/>
                  <w:tcBorders>
                    <w:left w:val="single" w:color="000000" w:sz="2" w:space="0"/>
                    <w:bottom w:val="single" w:color="000000" w:sz="2" w:space="0"/>
                    <w:right w:val="single" w:color="000000" w:sz="2" w:space="0"/>
                  </w:tcBorders>
                  <w:vAlign w:val="center"/>
                </w:tcPr>
                <w:p>
                  <w:pPr>
                    <w:snapToGrid w:val="0"/>
                    <w:jc w:val="center"/>
                    <w:rPr>
                      <w:szCs w:val="21"/>
                    </w:rPr>
                  </w:pPr>
                </w:p>
              </w:tc>
              <w:tc>
                <w:tcPr>
                  <w:tcW w:w="1598" w:type="dxa"/>
                  <w:vMerge w:val="continue"/>
                  <w:tcBorders>
                    <w:left w:val="single" w:color="000000" w:sz="2" w:space="0"/>
                    <w:bottom w:val="single" w:color="000000" w:sz="2" w:space="0"/>
                    <w:right w:val="single" w:color="000000" w:sz="2" w:space="0"/>
                  </w:tcBorders>
                  <w:vAlign w:val="center"/>
                </w:tcPr>
                <w:p>
                  <w:pPr>
                    <w:snapToGrid w:val="0"/>
                    <w:jc w:val="center"/>
                    <w:rPr>
                      <w:szCs w:val="21"/>
                    </w:rPr>
                  </w:pPr>
                </w:p>
              </w:tc>
              <w:tc>
                <w:tcPr>
                  <w:tcW w:w="785"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Ⅰ</w:t>
                  </w:r>
                </w:p>
              </w:tc>
              <w:tc>
                <w:tcPr>
                  <w:tcW w:w="72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Ⅱ</w:t>
                  </w: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Ⅲ</w:t>
                  </w:r>
                </w:p>
              </w:tc>
              <w:tc>
                <w:tcPr>
                  <w:tcW w:w="73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Ⅰ</w:t>
                  </w:r>
                </w:p>
              </w:tc>
              <w:tc>
                <w:tcPr>
                  <w:tcW w:w="722"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Ⅱ</w:t>
                  </w:r>
                </w:p>
              </w:tc>
              <w:tc>
                <w:tcPr>
                  <w:tcW w:w="70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Ⅲ</w:t>
                  </w:r>
                </w:p>
              </w:tc>
              <w:tc>
                <w:tcPr>
                  <w:tcW w:w="724"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Ⅰ</w:t>
                  </w:r>
                </w:p>
              </w:tc>
              <w:tc>
                <w:tcPr>
                  <w:tcW w:w="72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Ⅱ</w:t>
                  </w:r>
                </w:p>
              </w:tc>
              <w:tc>
                <w:tcPr>
                  <w:tcW w:w="789"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rFonts w:hAnsi="宋体"/>
                      <w:szCs w:val="21"/>
                    </w:rPr>
                    <w:t>Ⅲ</w:t>
                  </w:r>
                </w:p>
              </w:tc>
            </w:tr>
            <w:tr>
              <w:tblPrEx>
                <w:tblCellMar>
                  <w:top w:w="0" w:type="dxa"/>
                  <w:left w:w="0" w:type="dxa"/>
                  <w:bottom w:w="0" w:type="dxa"/>
                  <w:right w:w="0" w:type="dxa"/>
                </w:tblCellMar>
              </w:tblPrEx>
              <w:tc>
                <w:tcPr>
                  <w:tcW w:w="786" w:type="dxa"/>
                  <w:vMerge w:val="restart"/>
                  <w:tcBorders>
                    <w:top w:val="single" w:color="000000" w:sz="2" w:space="0"/>
                    <w:left w:val="single" w:color="000000" w:sz="2" w:space="0"/>
                    <w:right w:val="single" w:color="000000" w:sz="2" w:space="0"/>
                  </w:tcBorders>
                  <w:vAlign w:val="center"/>
                </w:tcPr>
                <w:p>
                  <w:pPr>
                    <w:snapToGrid w:val="0"/>
                    <w:jc w:val="center"/>
                    <w:rPr>
                      <w:szCs w:val="21"/>
                    </w:rPr>
                  </w:pPr>
                  <w:r>
                    <w:rPr>
                      <w:szCs w:val="21"/>
                    </w:rPr>
                    <w:t>A</w:t>
                  </w:r>
                </w:p>
              </w:tc>
              <w:tc>
                <w:tcPr>
                  <w:tcW w:w="159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&lt;2</w:t>
                  </w:r>
                </w:p>
              </w:tc>
              <w:tc>
                <w:tcPr>
                  <w:tcW w:w="785"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400</w:t>
                  </w:r>
                </w:p>
              </w:tc>
              <w:tc>
                <w:tcPr>
                  <w:tcW w:w="72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400</w:t>
                  </w: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400</w:t>
                  </w:r>
                </w:p>
              </w:tc>
              <w:tc>
                <w:tcPr>
                  <w:tcW w:w="73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400</w:t>
                  </w:r>
                </w:p>
              </w:tc>
              <w:tc>
                <w:tcPr>
                  <w:tcW w:w="722"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400</w:t>
                  </w:r>
                </w:p>
              </w:tc>
              <w:tc>
                <w:tcPr>
                  <w:tcW w:w="70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400</w:t>
                  </w:r>
                </w:p>
              </w:tc>
              <w:tc>
                <w:tcPr>
                  <w:tcW w:w="724"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80</w:t>
                  </w:r>
                </w:p>
              </w:tc>
              <w:tc>
                <w:tcPr>
                  <w:tcW w:w="72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80</w:t>
                  </w:r>
                </w:p>
              </w:tc>
              <w:tc>
                <w:tcPr>
                  <w:tcW w:w="789"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80</w:t>
                  </w:r>
                </w:p>
              </w:tc>
            </w:tr>
            <w:tr>
              <w:tblPrEx>
                <w:tblCellMar>
                  <w:top w:w="0" w:type="dxa"/>
                  <w:left w:w="0" w:type="dxa"/>
                  <w:bottom w:w="0" w:type="dxa"/>
                  <w:right w:w="0" w:type="dxa"/>
                </w:tblCellMar>
              </w:tblPrEx>
              <w:tc>
                <w:tcPr>
                  <w:tcW w:w="786" w:type="dxa"/>
                  <w:vMerge w:val="continue"/>
                  <w:tcBorders>
                    <w:left w:val="single" w:color="000000" w:sz="2" w:space="0"/>
                    <w:right w:val="single" w:color="000000" w:sz="2" w:space="0"/>
                  </w:tcBorders>
                  <w:vAlign w:val="center"/>
                </w:tcPr>
                <w:p>
                  <w:pPr>
                    <w:snapToGrid w:val="0"/>
                    <w:jc w:val="center"/>
                    <w:rPr>
                      <w:szCs w:val="21"/>
                    </w:rPr>
                  </w:pPr>
                </w:p>
              </w:tc>
              <w:tc>
                <w:tcPr>
                  <w:tcW w:w="159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2-4</w:t>
                  </w:r>
                </w:p>
              </w:tc>
              <w:tc>
                <w:tcPr>
                  <w:tcW w:w="785"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700</w:t>
                  </w:r>
                </w:p>
              </w:tc>
              <w:tc>
                <w:tcPr>
                  <w:tcW w:w="72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470</w:t>
                  </w: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350</w:t>
                  </w:r>
                </w:p>
              </w:tc>
              <w:tc>
                <w:tcPr>
                  <w:tcW w:w="73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700</w:t>
                  </w:r>
                </w:p>
              </w:tc>
              <w:tc>
                <w:tcPr>
                  <w:tcW w:w="722"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470</w:t>
                  </w:r>
                </w:p>
              </w:tc>
              <w:tc>
                <w:tcPr>
                  <w:tcW w:w="70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350</w:t>
                  </w:r>
                </w:p>
              </w:tc>
              <w:tc>
                <w:tcPr>
                  <w:tcW w:w="724"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380</w:t>
                  </w:r>
                </w:p>
              </w:tc>
              <w:tc>
                <w:tcPr>
                  <w:tcW w:w="72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250</w:t>
                  </w:r>
                </w:p>
              </w:tc>
              <w:tc>
                <w:tcPr>
                  <w:tcW w:w="789"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190</w:t>
                  </w:r>
                </w:p>
              </w:tc>
            </w:tr>
            <w:tr>
              <w:tblPrEx>
                <w:tblCellMar>
                  <w:top w:w="0" w:type="dxa"/>
                  <w:left w:w="0" w:type="dxa"/>
                  <w:bottom w:w="0" w:type="dxa"/>
                  <w:right w:w="0" w:type="dxa"/>
                </w:tblCellMar>
              </w:tblPrEx>
              <w:tc>
                <w:tcPr>
                  <w:tcW w:w="786" w:type="dxa"/>
                  <w:vMerge w:val="continue"/>
                  <w:tcBorders>
                    <w:left w:val="single" w:color="000000" w:sz="2" w:space="0"/>
                    <w:bottom w:val="single" w:color="000000" w:sz="2" w:space="0"/>
                    <w:right w:val="single" w:color="000000" w:sz="2" w:space="0"/>
                  </w:tcBorders>
                  <w:vAlign w:val="center"/>
                </w:tcPr>
                <w:p>
                  <w:pPr>
                    <w:snapToGrid w:val="0"/>
                    <w:jc w:val="center"/>
                    <w:rPr>
                      <w:szCs w:val="21"/>
                    </w:rPr>
                  </w:pPr>
                </w:p>
              </w:tc>
              <w:tc>
                <w:tcPr>
                  <w:tcW w:w="159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&gt;4</w:t>
                  </w:r>
                </w:p>
              </w:tc>
              <w:tc>
                <w:tcPr>
                  <w:tcW w:w="785"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530</w:t>
                  </w:r>
                </w:p>
              </w:tc>
              <w:tc>
                <w:tcPr>
                  <w:tcW w:w="72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350</w:t>
                  </w:r>
                </w:p>
              </w:tc>
              <w:tc>
                <w:tcPr>
                  <w:tcW w:w="709"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260</w:t>
                  </w:r>
                </w:p>
              </w:tc>
              <w:tc>
                <w:tcPr>
                  <w:tcW w:w="73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530</w:t>
                  </w:r>
                </w:p>
              </w:tc>
              <w:tc>
                <w:tcPr>
                  <w:tcW w:w="722"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350</w:t>
                  </w:r>
                </w:p>
              </w:tc>
              <w:tc>
                <w:tcPr>
                  <w:tcW w:w="70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260</w:t>
                  </w:r>
                </w:p>
              </w:tc>
              <w:tc>
                <w:tcPr>
                  <w:tcW w:w="724"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290</w:t>
                  </w:r>
                </w:p>
              </w:tc>
              <w:tc>
                <w:tcPr>
                  <w:tcW w:w="723"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190</w:t>
                  </w:r>
                </w:p>
              </w:tc>
              <w:tc>
                <w:tcPr>
                  <w:tcW w:w="789"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140</w:t>
                  </w:r>
                </w:p>
              </w:tc>
            </w:tr>
            <w:tr>
              <w:tblPrEx>
                <w:tblCellMar>
                  <w:top w:w="0" w:type="dxa"/>
                  <w:left w:w="0" w:type="dxa"/>
                  <w:bottom w:w="0" w:type="dxa"/>
                  <w:right w:w="0" w:type="dxa"/>
                </w:tblCellMar>
              </w:tblPrEx>
              <w:tc>
                <w:tcPr>
                  <w:tcW w:w="786" w:type="dxa"/>
                  <w:vMerge w:val="restart"/>
                  <w:tcBorders>
                    <w:top w:val="single" w:color="000000" w:sz="2" w:space="0"/>
                    <w:left w:val="single" w:color="000000" w:sz="2" w:space="0"/>
                    <w:right w:val="single" w:color="000000" w:sz="2" w:space="0"/>
                  </w:tcBorders>
                  <w:vAlign w:val="center"/>
                </w:tcPr>
                <w:p>
                  <w:pPr>
                    <w:snapToGrid w:val="0"/>
                    <w:jc w:val="center"/>
                    <w:rPr>
                      <w:szCs w:val="21"/>
                    </w:rPr>
                  </w:pPr>
                  <w:r>
                    <w:rPr>
                      <w:szCs w:val="21"/>
                    </w:rPr>
                    <w:t>B</w:t>
                  </w:r>
                </w:p>
              </w:tc>
              <w:tc>
                <w:tcPr>
                  <w:tcW w:w="159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&lt;2</w:t>
                  </w:r>
                </w:p>
              </w:tc>
              <w:tc>
                <w:tcPr>
                  <w:tcW w:w="2217"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0.01</w:t>
                  </w:r>
                </w:p>
              </w:tc>
              <w:tc>
                <w:tcPr>
                  <w:tcW w:w="2163"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0.015</w:t>
                  </w:r>
                </w:p>
              </w:tc>
              <w:tc>
                <w:tcPr>
                  <w:tcW w:w="2236"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0.015</w:t>
                  </w:r>
                </w:p>
              </w:tc>
            </w:tr>
            <w:tr>
              <w:tblPrEx>
                <w:tblCellMar>
                  <w:top w:w="0" w:type="dxa"/>
                  <w:left w:w="0" w:type="dxa"/>
                  <w:bottom w:w="0" w:type="dxa"/>
                  <w:right w:w="0" w:type="dxa"/>
                </w:tblCellMar>
              </w:tblPrEx>
              <w:tc>
                <w:tcPr>
                  <w:tcW w:w="786" w:type="dxa"/>
                  <w:vMerge w:val="continue"/>
                  <w:tcBorders>
                    <w:left w:val="single" w:color="000000" w:sz="2" w:space="0"/>
                    <w:bottom w:val="single" w:color="000000" w:sz="2" w:space="0"/>
                    <w:right w:val="single" w:color="000000" w:sz="2" w:space="0"/>
                  </w:tcBorders>
                  <w:vAlign w:val="center"/>
                </w:tcPr>
                <w:p>
                  <w:pPr>
                    <w:snapToGrid w:val="0"/>
                    <w:jc w:val="center"/>
                    <w:rPr>
                      <w:szCs w:val="21"/>
                    </w:rPr>
                  </w:pPr>
                </w:p>
              </w:tc>
              <w:tc>
                <w:tcPr>
                  <w:tcW w:w="159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&gt;2</w:t>
                  </w:r>
                </w:p>
              </w:tc>
              <w:tc>
                <w:tcPr>
                  <w:tcW w:w="2217"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0.021</w:t>
                  </w:r>
                </w:p>
              </w:tc>
              <w:tc>
                <w:tcPr>
                  <w:tcW w:w="2163"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0.036</w:t>
                  </w:r>
                </w:p>
              </w:tc>
              <w:tc>
                <w:tcPr>
                  <w:tcW w:w="2236"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0.036</w:t>
                  </w:r>
                </w:p>
              </w:tc>
            </w:tr>
            <w:tr>
              <w:tblPrEx>
                <w:tblCellMar>
                  <w:top w:w="0" w:type="dxa"/>
                  <w:left w:w="0" w:type="dxa"/>
                  <w:bottom w:w="0" w:type="dxa"/>
                  <w:right w:w="0" w:type="dxa"/>
                </w:tblCellMar>
              </w:tblPrEx>
              <w:tc>
                <w:tcPr>
                  <w:tcW w:w="786" w:type="dxa"/>
                  <w:vMerge w:val="restart"/>
                  <w:tcBorders>
                    <w:top w:val="single" w:color="000000" w:sz="2" w:space="0"/>
                    <w:left w:val="single" w:color="000000" w:sz="2" w:space="0"/>
                    <w:right w:val="single" w:color="000000" w:sz="2" w:space="0"/>
                  </w:tcBorders>
                  <w:vAlign w:val="center"/>
                </w:tcPr>
                <w:p>
                  <w:pPr>
                    <w:snapToGrid w:val="0"/>
                    <w:jc w:val="center"/>
                    <w:rPr>
                      <w:szCs w:val="21"/>
                    </w:rPr>
                  </w:pPr>
                  <w:r>
                    <w:rPr>
                      <w:szCs w:val="21"/>
                    </w:rPr>
                    <w:t>C</w:t>
                  </w:r>
                </w:p>
              </w:tc>
              <w:tc>
                <w:tcPr>
                  <w:tcW w:w="159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&lt;2</w:t>
                  </w:r>
                </w:p>
              </w:tc>
              <w:tc>
                <w:tcPr>
                  <w:tcW w:w="2217"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1.85</w:t>
                  </w:r>
                </w:p>
              </w:tc>
              <w:tc>
                <w:tcPr>
                  <w:tcW w:w="2163"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1.79</w:t>
                  </w:r>
                </w:p>
              </w:tc>
              <w:tc>
                <w:tcPr>
                  <w:tcW w:w="2236"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1.79</w:t>
                  </w:r>
                </w:p>
              </w:tc>
            </w:tr>
            <w:tr>
              <w:tblPrEx>
                <w:tblCellMar>
                  <w:top w:w="0" w:type="dxa"/>
                  <w:left w:w="0" w:type="dxa"/>
                  <w:bottom w:w="0" w:type="dxa"/>
                  <w:right w:w="0" w:type="dxa"/>
                </w:tblCellMar>
              </w:tblPrEx>
              <w:tc>
                <w:tcPr>
                  <w:tcW w:w="786" w:type="dxa"/>
                  <w:vMerge w:val="continue"/>
                  <w:tcBorders>
                    <w:left w:val="single" w:color="000000" w:sz="2" w:space="0"/>
                    <w:bottom w:val="single" w:color="000000" w:sz="2" w:space="0"/>
                    <w:right w:val="single" w:color="000000" w:sz="2" w:space="0"/>
                  </w:tcBorders>
                  <w:vAlign w:val="center"/>
                </w:tcPr>
                <w:p>
                  <w:pPr>
                    <w:snapToGrid w:val="0"/>
                    <w:jc w:val="center"/>
                    <w:rPr>
                      <w:szCs w:val="21"/>
                    </w:rPr>
                  </w:pPr>
                </w:p>
              </w:tc>
              <w:tc>
                <w:tcPr>
                  <w:tcW w:w="159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&gt;2</w:t>
                  </w:r>
                </w:p>
              </w:tc>
              <w:tc>
                <w:tcPr>
                  <w:tcW w:w="2217"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1.85</w:t>
                  </w:r>
                </w:p>
              </w:tc>
              <w:tc>
                <w:tcPr>
                  <w:tcW w:w="2163"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1.77</w:t>
                  </w:r>
                </w:p>
              </w:tc>
              <w:tc>
                <w:tcPr>
                  <w:tcW w:w="2236"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1.7</w:t>
                  </w:r>
                </w:p>
              </w:tc>
            </w:tr>
            <w:tr>
              <w:tblPrEx>
                <w:tblCellMar>
                  <w:top w:w="0" w:type="dxa"/>
                  <w:left w:w="0" w:type="dxa"/>
                  <w:bottom w:w="0" w:type="dxa"/>
                  <w:right w:w="0" w:type="dxa"/>
                </w:tblCellMar>
              </w:tblPrEx>
              <w:tc>
                <w:tcPr>
                  <w:tcW w:w="786" w:type="dxa"/>
                  <w:vMerge w:val="restart"/>
                  <w:tcBorders>
                    <w:top w:val="single" w:color="000000" w:sz="2" w:space="0"/>
                    <w:left w:val="single" w:color="000000" w:sz="2" w:space="0"/>
                    <w:right w:val="single" w:color="000000" w:sz="2" w:space="0"/>
                  </w:tcBorders>
                  <w:vAlign w:val="center"/>
                </w:tcPr>
                <w:p>
                  <w:pPr>
                    <w:snapToGrid w:val="0"/>
                    <w:jc w:val="center"/>
                    <w:rPr>
                      <w:szCs w:val="21"/>
                    </w:rPr>
                  </w:pPr>
                  <w:r>
                    <w:rPr>
                      <w:szCs w:val="21"/>
                    </w:rPr>
                    <w:t>D</w:t>
                  </w:r>
                </w:p>
              </w:tc>
              <w:tc>
                <w:tcPr>
                  <w:tcW w:w="159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&lt;2</w:t>
                  </w:r>
                </w:p>
              </w:tc>
              <w:tc>
                <w:tcPr>
                  <w:tcW w:w="2217"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0.78</w:t>
                  </w:r>
                </w:p>
              </w:tc>
              <w:tc>
                <w:tcPr>
                  <w:tcW w:w="2163"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0.78</w:t>
                  </w:r>
                </w:p>
              </w:tc>
              <w:tc>
                <w:tcPr>
                  <w:tcW w:w="2236"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0.57</w:t>
                  </w:r>
                </w:p>
              </w:tc>
            </w:tr>
            <w:tr>
              <w:tblPrEx>
                <w:tblCellMar>
                  <w:top w:w="0" w:type="dxa"/>
                  <w:left w:w="0" w:type="dxa"/>
                  <w:bottom w:w="0" w:type="dxa"/>
                  <w:right w:w="0" w:type="dxa"/>
                </w:tblCellMar>
              </w:tblPrEx>
              <w:tc>
                <w:tcPr>
                  <w:tcW w:w="786" w:type="dxa"/>
                  <w:vMerge w:val="continue"/>
                  <w:tcBorders>
                    <w:left w:val="single" w:color="000000" w:sz="2" w:space="0"/>
                    <w:bottom w:val="single" w:color="000000" w:sz="2" w:space="0"/>
                    <w:right w:val="single" w:color="000000" w:sz="2" w:space="0"/>
                  </w:tcBorders>
                  <w:vAlign w:val="center"/>
                </w:tcPr>
                <w:p>
                  <w:pPr>
                    <w:snapToGrid w:val="0"/>
                    <w:jc w:val="center"/>
                    <w:rPr>
                      <w:szCs w:val="21"/>
                    </w:rPr>
                  </w:pPr>
                </w:p>
              </w:tc>
              <w:tc>
                <w:tcPr>
                  <w:tcW w:w="1598" w:type="dxa"/>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&gt;2</w:t>
                  </w:r>
                </w:p>
              </w:tc>
              <w:tc>
                <w:tcPr>
                  <w:tcW w:w="2217"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0.84</w:t>
                  </w:r>
                </w:p>
              </w:tc>
              <w:tc>
                <w:tcPr>
                  <w:tcW w:w="2163"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0.84</w:t>
                  </w:r>
                </w:p>
              </w:tc>
              <w:tc>
                <w:tcPr>
                  <w:tcW w:w="2236" w:type="dxa"/>
                  <w:gridSpan w:val="3"/>
                  <w:tcBorders>
                    <w:top w:val="single" w:color="000000" w:sz="2" w:space="0"/>
                    <w:left w:val="single" w:color="000000" w:sz="2" w:space="0"/>
                    <w:bottom w:val="single" w:color="000000" w:sz="2" w:space="0"/>
                    <w:right w:val="single" w:color="000000" w:sz="2" w:space="0"/>
                  </w:tcBorders>
                  <w:vAlign w:val="center"/>
                </w:tcPr>
                <w:p>
                  <w:pPr>
                    <w:snapToGrid w:val="0"/>
                    <w:jc w:val="center"/>
                    <w:rPr>
                      <w:szCs w:val="21"/>
                    </w:rPr>
                  </w:pPr>
                  <w:r>
                    <w:rPr>
                      <w:szCs w:val="21"/>
                    </w:rPr>
                    <w:t>0.76</w:t>
                  </w:r>
                </w:p>
              </w:tc>
            </w:tr>
          </w:tbl>
          <w:p>
            <w:pPr>
              <w:spacing w:line="360" w:lineRule="auto"/>
              <w:ind w:firstLine="480" w:firstLineChars="200"/>
              <w:rPr>
                <w:sz w:val="24"/>
                <w:szCs w:val="22"/>
              </w:rPr>
            </w:pPr>
            <w:r>
              <w:rPr>
                <w:sz w:val="24"/>
                <w:szCs w:val="22"/>
              </w:rPr>
              <w:t xml:space="preserve">注:工业企业大气污染源构成分为三类: </w:t>
            </w:r>
            <w:r>
              <w:rPr>
                <w:rFonts w:hint="eastAsia" w:ascii="宋体" w:hAnsi="宋体" w:cs="宋体"/>
                <w:sz w:val="24"/>
                <w:szCs w:val="22"/>
              </w:rPr>
              <w:t>Ⅰ</w:t>
            </w:r>
            <w:r>
              <w:rPr>
                <w:sz w:val="24"/>
                <w:szCs w:val="22"/>
              </w:rPr>
              <w:t>类:与无组织排放源共存的排放同种有害气体的排气筒的排放量,大于标准规定的允许排放量的三分之一者。</w:t>
            </w:r>
          </w:p>
          <w:p>
            <w:pPr>
              <w:spacing w:line="360" w:lineRule="auto"/>
              <w:ind w:firstLine="480" w:firstLineChars="200"/>
              <w:rPr>
                <w:sz w:val="24"/>
                <w:szCs w:val="22"/>
              </w:rPr>
            </w:pPr>
            <w:r>
              <w:rPr>
                <w:rFonts w:hint="eastAsia" w:ascii="宋体" w:hAnsi="宋体" w:cs="宋体"/>
                <w:sz w:val="24"/>
                <w:szCs w:val="22"/>
              </w:rPr>
              <w:t>Ⅱ</w:t>
            </w:r>
            <w:r>
              <w:rPr>
                <w:sz w:val="24"/>
                <w:szCs w:val="22"/>
              </w:rPr>
              <w:t>类:与无组织排放源共存的排放同种有害气体的排气筒的排放量,小于标准规定的允许排放量的三分之一,或虽无排放同种大气污染物之排气筒共存,但无组织排放的有害物质的容许浓度指标是按急性反应指标确定者。</w:t>
            </w:r>
          </w:p>
          <w:p>
            <w:pPr>
              <w:spacing w:line="360" w:lineRule="auto"/>
              <w:ind w:firstLine="480" w:firstLineChars="200"/>
              <w:rPr>
                <w:sz w:val="24"/>
                <w:szCs w:val="22"/>
              </w:rPr>
            </w:pPr>
            <w:r>
              <w:rPr>
                <w:rFonts w:hint="eastAsia" w:ascii="宋体" w:hAnsi="宋体" w:cs="宋体"/>
                <w:sz w:val="24"/>
                <w:szCs w:val="22"/>
              </w:rPr>
              <w:t>Ⅲ</w:t>
            </w:r>
            <w:r>
              <w:rPr>
                <w:sz w:val="24"/>
                <w:szCs w:val="22"/>
              </w:rPr>
              <w:t>类:无排放同种有害物质的排气筒与无组织排放源共存,且无组织排放的有害物质的容许浓度是按慢性反应指标确定者。</w:t>
            </w:r>
          </w:p>
          <w:p>
            <w:pPr>
              <w:spacing w:line="360" w:lineRule="auto"/>
              <w:ind w:firstLine="480" w:firstLineChars="200"/>
              <w:rPr>
                <w:sz w:val="24"/>
                <w:szCs w:val="22"/>
              </w:rPr>
            </w:pPr>
            <w:r>
              <w:rPr>
                <w:sz w:val="24"/>
                <w:szCs w:val="22"/>
              </w:rPr>
              <w:t>无组织废气源强和卫生防护距离计算结果见表</w:t>
            </w:r>
            <w:r>
              <w:rPr>
                <w:rFonts w:hint="eastAsia"/>
                <w:sz w:val="24"/>
                <w:szCs w:val="22"/>
              </w:rPr>
              <w:t>3</w:t>
            </w:r>
            <w:r>
              <w:rPr>
                <w:rFonts w:hint="eastAsia"/>
                <w:sz w:val="24"/>
                <w:szCs w:val="22"/>
                <w:lang w:val="en-US" w:eastAsia="zh-CN"/>
              </w:rPr>
              <w:t>3</w:t>
            </w:r>
            <w:r>
              <w:rPr>
                <w:sz w:val="24"/>
                <w:szCs w:val="22"/>
              </w:rPr>
              <w:t>。</w:t>
            </w:r>
          </w:p>
          <w:p>
            <w:pPr>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表3</w:t>
            </w:r>
            <w:r>
              <w:rPr>
                <w:rFonts w:hint="eastAsia"/>
                <w:b/>
                <w:color w:val="000000" w:themeColor="text1"/>
                <w:szCs w:val="21"/>
                <w:lang w:val="en-US" w:eastAsia="zh-CN"/>
                <w14:textFill>
                  <w14:solidFill>
                    <w14:schemeClr w14:val="tx1"/>
                  </w14:solidFill>
                </w14:textFill>
              </w:rPr>
              <w:t>3</w:t>
            </w:r>
            <w:r>
              <w:rPr>
                <w:rFonts w:hint="eastAsia"/>
                <w:b/>
                <w:color w:val="000000" w:themeColor="text1"/>
                <w:szCs w:val="21"/>
                <w14:textFill>
                  <w14:solidFill>
                    <w14:schemeClr w14:val="tx1"/>
                  </w14:solidFill>
                </w14:textFill>
              </w:rPr>
              <w:t xml:space="preserve"> 卫生防护距离计算结果</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9"/>
              <w:gridCol w:w="2531"/>
              <w:gridCol w:w="2214"/>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49" w:type="dxa"/>
                  <w:vAlign w:val="center"/>
                </w:tcPr>
                <w:p>
                  <w:pPr>
                    <w:pStyle w:val="230"/>
                    <w:snapToGri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废气来源</w:t>
                  </w:r>
                </w:p>
              </w:tc>
              <w:tc>
                <w:tcPr>
                  <w:tcW w:w="2531" w:type="dxa"/>
                  <w:vAlign w:val="center"/>
                </w:tcPr>
                <w:p>
                  <w:pPr>
                    <w:pStyle w:val="230"/>
                    <w:snapToGri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污染物</w:t>
                  </w:r>
                </w:p>
              </w:tc>
              <w:tc>
                <w:tcPr>
                  <w:tcW w:w="2214" w:type="dxa"/>
                  <w:vAlign w:val="center"/>
                </w:tcPr>
                <w:p>
                  <w:pPr>
                    <w:pStyle w:val="230"/>
                    <w:snapToGri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卫生防护距离（</w:t>
                  </w:r>
                  <w:r>
                    <w:rPr>
                      <w:color w:val="000000" w:themeColor="text1"/>
                      <w:sz w:val="21"/>
                      <w:szCs w:val="21"/>
                      <w14:textFill>
                        <w14:solidFill>
                          <w14:schemeClr w14:val="tx1"/>
                        </w14:solidFill>
                      </w14:textFill>
                    </w:rPr>
                    <w:t>m</w:t>
                  </w:r>
                  <w:r>
                    <w:rPr>
                      <w:rFonts w:hAnsi="宋体"/>
                      <w:color w:val="000000" w:themeColor="text1"/>
                      <w:sz w:val="21"/>
                      <w:szCs w:val="21"/>
                      <w14:textFill>
                        <w14:solidFill>
                          <w14:schemeClr w14:val="tx1"/>
                        </w14:solidFill>
                      </w14:textFill>
                    </w:rPr>
                    <w:t>）</w:t>
                  </w:r>
                </w:p>
              </w:tc>
              <w:tc>
                <w:tcPr>
                  <w:tcW w:w="1421" w:type="dxa"/>
                  <w:vAlign w:val="center"/>
                </w:tcPr>
                <w:p>
                  <w:pPr>
                    <w:pStyle w:val="230"/>
                    <w:snapToGri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取值（</w:t>
                  </w:r>
                  <w:r>
                    <w:rPr>
                      <w:color w:val="000000" w:themeColor="text1"/>
                      <w:sz w:val="21"/>
                      <w:szCs w:val="21"/>
                      <w14:textFill>
                        <w14:solidFill>
                          <w14:schemeClr w14:val="tx1"/>
                        </w14:solidFill>
                      </w14:textFill>
                    </w:rPr>
                    <w:t>m</w:t>
                  </w:r>
                  <w:r>
                    <w:rPr>
                      <w:rFonts w:hAnsi="宋体"/>
                      <w:color w:val="000000" w:themeColor="text1"/>
                      <w:sz w:val="21"/>
                      <w:szCs w:val="21"/>
                      <w14:textFill>
                        <w14:solidFill>
                          <w14:schemeClr w14:val="tx1"/>
                        </w14:solidFill>
                      </w14:textFill>
                    </w:rPr>
                    <w:t>）</w:t>
                  </w:r>
                </w:p>
              </w:tc>
              <w:tc>
                <w:tcPr>
                  <w:tcW w:w="1421" w:type="dxa"/>
                  <w:vAlign w:val="center"/>
                </w:tcPr>
                <w:p>
                  <w:pPr>
                    <w:pStyle w:val="230"/>
                    <w:snapToGrid w:val="0"/>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卫生防护距离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49" w:type="dxa"/>
                  <w:vAlign w:val="center"/>
                </w:tcPr>
                <w:p>
                  <w:pPr>
                    <w:pStyle w:val="230"/>
                    <w:snapToGrid w:val="0"/>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生产车间</w:t>
                  </w:r>
                </w:p>
              </w:tc>
              <w:tc>
                <w:tcPr>
                  <w:tcW w:w="2531"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2214" w:type="dxa"/>
                  <w:vAlign w:val="center"/>
                </w:tcPr>
                <w:p>
                  <w:pPr>
                    <w:pStyle w:val="230"/>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5.77</w:t>
                  </w:r>
                  <w:r>
                    <w:rPr>
                      <w:rFonts w:hint="eastAsia"/>
                      <w:color w:val="000000" w:themeColor="text1"/>
                      <w:sz w:val="21"/>
                      <w:szCs w:val="21"/>
                      <w:lang w:val="en-US" w:eastAsia="zh-CN"/>
                      <w14:textFill>
                        <w14:solidFill>
                          <w14:schemeClr w14:val="tx1"/>
                        </w14:solidFill>
                      </w14:textFill>
                    </w:rPr>
                    <w:t>8</w:t>
                  </w:r>
                </w:p>
              </w:tc>
              <w:tc>
                <w:tcPr>
                  <w:tcW w:w="1421" w:type="dxa"/>
                  <w:vAlign w:val="center"/>
                </w:tcPr>
                <w:p>
                  <w:pPr>
                    <w:pStyle w:val="23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w:t>
                  </w:r>
                </w:p>
              </w:tc>
              <w:tc>
                <w:tcPr>
                  <w:tcW w:w="1421" w:type="dxa"/>
                  <w:vAlign w:val="center"/>
                </w:tcPr>
                <w:p>
                  <w:pPr>
                    <w:pStyle w:val="23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w:t>
                  </w:r>
                </w:p>
              </w:tc>
            </w:tr>
          </w:tbl>
          <w:p>
            <w:pPr>
              <w:spacing w:line="360" w:lineRule="auto"/>
              <w:ind w:firstLine="480" w:firstLineChars="200"/>
              <w:rPr>
                <w:sz w:val="24"/>
                <w:szCs w:val="22"/>
              </w:rPr>
            </w:pPr>
            <w:r>
              <w:rPr>
                <w:sz w:val="24"/>
                <w:szCs w:val="22"/>
              </w:rPr>
              <w:t>本项目卫生防护距离确定：</w:t>
            </w:r>
          </w:p>
          <w:p>
            <w:pPr>
              <w:spacing w:line="360" w:lineRule="auto"/>
              <w:ind w:firstLine="480" w:firstLineChars="200"/>
              <w:rPr>
                <w:sz w:val="24"/>
                <w:szCs w:val="22"/>
              </w:rPr>
            </w:pPr>
            <w:r>
              <w:rPr>
                <w:sz w:val="24"/>
                <w:szCs w:val="22"/>
              </w:rPr>
              <w:t>由以上计算可知，根据《制定地方大气污染物排放标准的技术方法》（GB/T 3840-91） 中的规定</w:t>
            </w:r>
            <w:r>
              <w:rPr>
                <w:rFonts w:hint="eastAsia"/>
                <w:sz w:val="24"/>
                <w:szCs w:val="22"/>
              </w:rPr>
              <w:t>：</w:t>
            </w:r>
            <w:r>
              <w:rPr>
                <w:sz w:val="24"/>
                <w:szCs w:val="22"/>
              </w:rPr>
              <w:t>卫生防护距离在100m以内时，级差为50m；超过100m，但小于或等于1000m 时，级差为100m；超过1000m 以上，级差为</w:t>
            </w:r>
            <w:r>
              <w:rPr>
                <w:rFonts w:hint="eastAsia"/>
                <w:sz w:val="24"/>
                <w:szCs w:val="22"/>
              </w:rPr>
              <w:t>2</w:t>
            </w:r>
            <w:r>
              <w:rPr>
                <w:sz w:val="24"/>
                <w:szCs w:val="22"/>
              </w:rPr>
              <w:t>00m；当两种或两种以上的有害气体的 Qc/Cm 值计算的卫生防护距离在同一级别时，该类工业企业的卫生防护距离级别应该高一级。经以上计算，最终确定</w:t>
            </w:r>
            <w:r>
              <w:rPr>
                <w:rFonts w:hint="eastAsia"/>
                <w:sz w:val="24"/>
                <w:szCs w:val="22"/>
              </w:rPr>
              <w:t>生产车间</w:t>
            </w:r>
            <w:r>
              <w:rPr>
                <w:sz w:val="24"/>
                <w:szCs w:val="22"/>
              </w:rPr>
              <w:t>卫生防护距离为</w:t>
            </w:r>
            <w:r>
              <w:rPr>
                <w:rFonts w:hint="eastAsia"/>
                <w:sz w:val="24"/>
                <w:szCs w:val="22"/>
              </w:rPr>
              <w:t>5</w:t>
            </w:r>
            <w:r>
              <w:rPr>
                <w:sz w:val="24"/>
                <w:szCs w:val="22"/>
              </w:rPr>
              <w:t>0m。</w:t>
            </w:r>
          </w:p>
          <w:p>
            <w:pPr>
              <w:spacing w:line="360" w:lineRule="auto"/>
              <w:ind w:firstLine="480" w:firstLineChars="200"/>
              <w:rPr>
                <w:sz w:val="24"/>
                <w:szCs w:val="22"/>
              </w:rPr>
            </w:pPr>
            <w:r>
              <w:rPr>
                <w:sz w:val="24"/>
                <w:szCs w:val="22"/>
              </w:rPr>
              <w:t>根据卫生防护距离的要求，在卫生防护距离范围内，不得规划建设诸如机关、学校、 医院、养老院、居民点等对环境空气要求较高的项目。据现场调查，在本项目卫生防护距离要求的范围内，无机关、学校、医院、养老院、居民点等环境敏感点存在，项目选址比较合理，满足大气防护距离及卫生防护距离的要求。</w:t>
            </w:r>
          </w:p>
          <w:p>
            <w:pPr>
              <w:snapToGrid w:val="0"/>
              <w:jc w:val="center"/>
              <w:rPr>
                <w:b/>
                <w:szCs w:val="21"/>
              </w:rPr>
            </w:pPr>
            <w:r>
              <w:rPr>
                <w:rFonts w:hint="eastAsia"/>
                <w:b/>
                <w:szCs w:val="21"/>
              </w:rPr>
              <w:t>表3</w:t>
            </w:r>
            <w:r>
              <w:rPr>
                <w:rFonts w:hint="eastAsia"/>
                <w:b/>
                <w:szCs w:val="21"/>
                <w:lang w:val="en-US" w:eastAsia="zh-CN"/>
              </w:rPr>
              <w:t>4</w:t>
            </w:r>
            <w:r>
              <w:rPr>
                <w:rFonts w:hint="eastAsia"/>
                <w:b/>
                <w:szCs w:val="21"/>
              </w:rPr>
              <w:t>建设项目大气环境影响评价自查表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109"/>
              <w:gridCol w:w="721"/>
              <w:gridCol w:w="240"/>
              <w:gridCol w:w="321"/>
              <w:gridCol w:w="26"/>
              <w:gridCol w:w="142"/>
              <w:gridCol w:w="472"/>
              <w:gridCol w:w="481"/>
              <w:gridCol w:w="464"/>
              <w:gridCol w:w="16"/>
              <w:gridCol w:w="641"/>
              <w:gridCol w:w="52"/>
              <w:gridCol w:w="268"/>
              <w:gridCol w:w="240"/>
              <w:gridCol w:w="343"/>
              <w:gridCol w:w="37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vAlign w:val="center"/>
                </w:tcPr>
                <w:p>
                  <w:pPr>
                    <w:snapToGrid w:val="0"/>
                    <w:jc w:val="center"/>
                    <w:rPr>
                      <w:szCs w:val="21"/>
                    </w:rPr>
                  </w:pPr>
                  <w:r>
                    <w:rPr>
                      <w:rFonts w:hint="eastAsia"/>
                      <w:szCs w:val="21"/>
                    </w:rPr>
                    <w:t>工作内容</w:t>
                  </w:r>
                </w:p>
              </w:tc>
              <w:tc>
                <w:tcPr>
                  <w:tcW w:w="6726" w:type="dxa"/>
                  <w:gridSpan w:val="18"/>
                  <w:vAlign w:val="center"/>
                </w:tcPr>
                <w:p>
                  <w:pPr>
                    <w:snapToGrid w:val="0"/>
                    <w:jc w:val="center"/>
                    <w:rPr>
                      <w:szCs w:val="21"/>
                    </w:rPr>
                  </w:pPr>
                  <w:r>
                    <w:rPr>
                      <w:rFonts w:hint="eastAsia"/>
                      <w:szCs w:val="21"/>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szCs w:val="21"/>
                    </w:rPr>
                  </w:pPr>
                  <w:r>
                    <w:rPr>
                      <w:rFonts w:hint="eastAsia"/>
                      <w:szCs w:val="21"/>
                    </w:rPr>
                    <w:t>评价等级与范围</w:t>
                  </w:r>
                </w:p>
              </w:tc>
              <w:tc>
                <w:tcPr>
                  <w:tcW w:w="1276" w:type="dxa"/>
                  <w:vAlign w:val="center"/>
                </w:tcPr>
                <w:p>
                  <w:pPr>
                    <w:snapToGrid w:val="0"/>
                    <w:jc w:val="center"/>
                    <w:rPr>
                      <w:szCs w:val="21"/>
                    </w:rPr>
                  </w:pPr>
                  <w:r>
                    <w:rPr>
                      <w:rFonts w:hint="eastAsia"/>
                      <w:szCs w:val="21"/>
                    </w:rPr>
                    <w:t>评价等级</w:t>
                  </w:r>
                </w:p>
              </w:tc>
              <w:tc>
                <w:tcPr>
                  <w:tcW w:w="2268" w:type="dxa"/>
                  <w:gridSpan w:val="6"/>
                  <w:vAlign w:val="center"/>
                </w:tcPr>
                <w:p>
                  <w:pPr>
                    <w:snapToGrid w:val="0"/>
                    <w:jc w:val="center"/>
                    <w:rPr>
                      <w:szCs w:val="21"/>
                    </w:rPr>
                  </w:pPr>
                  <w:r>
                    <w:rPr>
                      <w:szCs w:val="21"/>
                    </w:rPr>
                    <w:t>一级</w:t>
                  </w:r>
                  <w:r>
                    <w:rPr>
                      <w:rFonts w:hint="eastAsia"/>
                      <w:szCs w:val="21"/>
                    </w:rPr>
                    <w:t>□</w:t>
                  </w:r>
                </w:p>
              </w:tc>
              <w:tc>
                <w:tcPr>
                  <w:tcW w:w="2268" w:type="dxa"/>
                  <w:gridSpan w:val="7"/>
                  <w:vAlign w:val="center"/>
                </w:tcPr>
                <w:p>
                  <w:pPr>
                    <w:snapToGrid w:val="0"/>
                    <w:jc w:val="center"/>
                    <w:rPr>
                      <w:szCs w:val="21"/>
                    </w:rPr>
                  </w:pPr>
                  <w:r>
                    <w:rPr>
                      <w:szCs w:val="21"/>
                    </w:rPr>
                    <w:t>二级</w:t>
                  </w:r>
                  <w:r>
                    <w:rPr>
                      <w:rFonts w:hint="eastAsia"/>
                      <w:szCs w:val="21"/>
                    </w:rPr>
                    <w:sym w:font="Wingdings 2" w:char="0052"/>
                  </w:r>
                </w:p>
              </w:tc>
              <w:tc>
                <w:tcPr>
                  <w:tcW w:w="2190" w:type="dxa"/>
                  <w:gridSpan w:val="5"/>
                  <w:vAlign w:val="center"/>
                </w:tcPr>
                <w:p>
                  <w:pPr>
                    <w:snapToGrid w:val="0"/>
                    <w:jc w:val="center"/>
                    <w:rPr>
                      <w:szCs w:val="21"/>
                    </w:rPr>
                  </w:pPr>
                  <w:r>
                    <w:rPr>
                      <w:szCs w:val="21"/>
                    </w:rPr>
                    <w:t>三级</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评价范围</w:t>
                  </w:r>
                </w:p>
              </w:tc>
              <w:tc>
                <w:tcPr>
                  <w:tcW w:w="2268" w:type="dxa"/>
                  <w:gridSpan w:val="6"/>
                  <w:vAlign w:val="center"/>
                </w:tcPr>
                <w:p>
                  <w:pPr>
                    <w:snapToGrid w:val="0"/>
                    <w:jc w:val="center"/>
                    <w:rPr>
                      <w:szCs w:val="21"/>
                    </w:rPr>
                  </w:pPr>
                  <w:r>
                    <w:rPr>
                      <w:rFonts w:hint="eastAsia"/>
                      <w:szCs w:val="21"/>
                    </w:rPr>
                    <w:t>边长=50km□</w:t>
                  </w:r>
                </w:p>
              </w:tc>
              <w:tc>
                <w:tcPr>
                  <w:tcW w:w="2268" w:type="dxa"/>
                  <w:gridSpan w:val="7"/>
                  <w:vAlign w:val="center"/>
                </w:tcPr>
                <w:p>
                  <w:pPr>
                    <w:snapToGrid w:val="0"/>
                    <w:jc w:val="center"/>
                    <w:rPr>
                      <w:szCs w:val="21"/>
                    </w:rPr>
                  </w:pPr>
                  <w:r>
                    <w:rPr>
                      <w:rFonts w:hint="eastAsia"/>
                      <w:szCs w:val="21"/>
                    </w:rPr>
                    <w:t>边长5~50km</w:t>
                  </w:r>
                  <w:r>
                    <w:rPr>
                      <w:rFonts w:hint="eastAsia" w:ascii="MS Mincho" w:hAnsi="MS Mincho" w:eastAsia="MS Mincho" w:cs="MS Mincho"/>
                      <w:szCs w:val="21"/>
                    </w:rPr>
                    <w:t>□</w:t>
                  </w:r>
                </w:p>
              </w:tc>
              <w:tc>
                <w:tcPr>
                  <w:tcW w:w="2190" w:type="dxa"/>
                  <w:gridSpan w:val="5"/>
                  <w:vAlign w:val="center"/>
                </w:tcPr>
                <w:p>
                  <w:pPr>
                    <w:snapToGrid w:val="0"/>
                    <w:jc w:val="center"/>
                    <w:rPr>
                      <w:szCs w:val="21"/>
                    </w:rPr>
                  </w:pPr>
                  <w:r>
                    <w:rPr>
                      <w:rFonts w:hint="eastAsia"/>
                      <w:szCs w:val="21"/>
                    </w:rPr>
                    <w:t>边长=5km</w:t>
                  </w:r>
                  <w:r>
                    <w:rPr>
                      <w:rFonts w:hint="eastAsia"/>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szCs w:val="21"/>
                    </w:rPr>
                  </w:pPr>
                  <w:r>
                    <w:rPr>
                      <w:rFonts w:hint="eastAsia"/>
                      <w:szCs w:val="21"/>
                    </w:rPr>
                    <w:t>评价因子</w:t>
                  </w:r>
                </w:p>
              </w:tc>
              <w:tc>
                <w:tcPr>
                  <w:tcW w:w="1276" w:type="dxa"/>
                  <w:vAlign w:val="center"/>
                </w:tcPr>
                <w:p>
                  <w:pPr>
                    <w:snapToGrid w:val="0"/>
                    <w:jc w:val="center"/>
                    <w:rPr>
                      <w:szCs w:val="21"/>
                    </w:rPr>
                  </w:pPr>
                  <w:r>
                    <w:rPr>
                      <w:rFonts w:hint="eastAsia"/>
                      <w:szCs w:val="21"/>
                    </w:rPr>
                    <w:t>SO</w:t>
                  </w:r>
                  <w:r>
                    <w:rPr>
                      <w:rFonts w:hint="eastAsia"/>
                      <w:szCs w:val="21"/>
                      <w:vertAlign w:val="subscript"/>
                    </w:rPr>
                    <w:t>2</w:t>
                  </w:r>
                  <w:r>
                    <w:rPr>
                      <w:rFonts w:hint="eastAsia"/>
                      <w:szCs w:val="21"/>
                    </w:rPr>
                    <w:t>+NO</w:t>
                  </w:r>
                  <w:r>
                    <w:rPr>
                      <w:rFonts w:hint="eastAsia"/>
                      <w:szCs w:val="21"/>
                      <w:vertAlign w:val="subscript"/>
                    </w:rPr>
                    <w:t>x</w:t>
                  </w:r>
                </w:p>
              </w:tc>
              <w:tc>
                <w:tcPr>
                  <w:tcW w:w="2268" w:type="dxa"/>
                  <w:gridSpan w:val="6"/>
                  <w:vAlign w:val="center"/>
                </w:tcPr>
                <w:p>
                  <w:pPr>
                    <w:snapToGrid w:val="0"/>
                    <w:jc w:val="center"/>
                    <w:rPr>
                      <w:szCs w:val="21"/>
                    </w:rPr>
                  </w:pPr>
                  <w:r>
                    <w:rPr>
                      <w:rFonts w:hint="eastAsia"/>
                      <w:szCs w:val="21"/>
                    </w:rPr>
                    <w:t>≥2000t/a□</w:t>
                  </w:r>
                </w:p>
              </w:tc>
              <w:tc>
                <w:tcPr>
                  <w:tcW w:w="2268" w:type="dxa"/>
                  <w:gridSpan w:val="7"/>
                  <w:vAlign w:val="center"/>
                </w:tcPr>
                <w:p>
                  <w:pPr>
                    <w:snapToGrid w:val="0"/>
                    <w:jc w:val="center"/>
                    <w:rPr>
                      <w:szCs w:val="21"/>
                    </w:rPr>
                  </w:pPr>
                  <w:r>
                    <w:rPr>
                      <w:rFonts w:hint="eastAsia"/>
                      <w:szCs w:val="21"/>
                    </w:rPr>
                    <w:t>500~2000t/a□</w:t>
                  </w:r>
                </w:p>
              </w:tc>
              <w:tc>
                <w:tcPr>
                  <w:tcW w:w="2190" w:type="dxa"/>
                  <w:gridSpan w:val="5"/>
                  <w:vAlign w:val="center"/>
                </w:tcPr>
                <w:p>
                  <w:pPr>
                    <w:snapToGrid w:val="0"/>
                    <w:jc w:val="center"/>
                    <w:rPr>
                      <w:szCs w:val="21"/>
                    </w:rPr>
                  </w:pPr>
                  <w:r>
                    <w:rPr>
                      <w:rFonts w:hint="eastAsia"/>
                      <w:szCs w:val="21"/>
                    </w:rPr>
                    <w:t>＜500t/a</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评价因子</w:t>
                  </w:r>
                </w:p>
              </w:tc>
              <w:tc>
                <w:tcPr>
                  <w:tcW w:w="3363" w:type="dxa"/>
                  <w:gridSpan w:val="9"/>
                  <w:vAlign w:val="center"/>
                </w:tcPr>
                <w:p>
                  <w:pPr>
                    <w:snapToGrid w:val="0"/>
                    <w:jc w:val="center"/>
                    <w:rPr>
                      <w:szCs w:val="21"/>
                    </w:rPr>
                  </w:pPr>
                  <w:r>
                    <w:rPr>
                      <w:rFonts w:hint="eastAsia"/>
                      <w:szCs w:val="21"/>
                    </w:rPr>
                    <w:t>基本污染物（PM</w:t>
                  </w:r>
                  <w:r>
                    <w:rPr>
                      <w:rFonts w:hint="eastAsia"/>
                      <w:szCs w:val="21"/>
                      <w:vertAlign w:val="subscript"/>
                    </w:rPr>
                    <w:t>10</w:t>
                  </w:r>
                  <w:r>
                    <w:rPr>
                      <w:rFonts w:hint="eastAsia"/>
                      <w:szCs w:val="21"/>
                    </w:rPr>
                    <w:t>）</w:t>
                  </w:r>
                </w:p>
                <w:p>
                  <w:pPr>
                    <w:snapToGrid w:val="0"/>
                    <w:jc w:val="center"/>
                    <w:rPr>
                      <w:szCs w:val="21"/>
                    </w:rPr>
                  </w:pPr>
                  <w:r>
                    <w:rPr>
                      <w:rFonts w:hint="eastAsia"/>
                      <w:szCs w:val="21"/>
                    </w:rPr>
                    <w:t>其他污染物（）</w:t>
                  </w:r>
                </w:p>
              </w:tc>
              <w:tc>
                <w:tcPr>
                  <w:tcW w:w="3363" w:type="dxa"/>
                  <w:gridSpan w:val="9"/>
                  <w:vAlign w:val="center"/>
                </w:tcPr>
                <w:p>
                  <w:pPr>
                    <w:snapToGrid w:val="0"/>
                    <w:jc w:val="center"/>
                    <w:rPr>
                      <w:szCs w:val="21"/>
                    </w:rPr>
                  </w:pPr>
                  <w:r>
                    <w:rPr>
                      <w:rFonts w:hint="eastAsia"/>
                      <w:szCs w:val="21"/>
                    </w:rPr>
                    <w:t>包括二次PM</w:t>
                  </w:r>
                  <w:r>
                    <w:rPr>
                      <w:rFonts w:hint="eastAsia"/>
                      <w:szCs w:val="21"/>
                      <w:vertAlign w:val="subscript"/>
                    </w:rPr>
                    <w:t>2.5</w:t>
                  </w:r>
                  <w:r>
                    <w:rPr>
                      <w:rFonts w:hint="eastAsia"/>
                      <w:szCs w:val="21"/>
                    </w:rPr>
                    <w:t>□</w:t>
                  </w:r>
                </w:p>
                <w:p>
                  <w:pPr>
                    <w:snapToGrid w:val="0"/>
                    <w:jc w:val="center"/>
                    <w:rPr>
                      <w:szCs w:val="21"/>
                    </w:rPr>
                  </w:pPr>
                  <w:r>
                    <w:rPr>
                      <w:rFonts w:hint="eastAsia"/>
                      <w:szCs w:val="21"/>
                    </w:rPr>
                    <w:t>不包括二次PM</w:t>
                  </w:r>
                  <w:r>
                    <w:rPr>
                      <w:rFonts w:hint="eastAsia"/>
                      <w:szCs w:val="21"/>
                      <w:vertAlign w:val="subscript"/>
                    </w:rPr>
                    <w:t>2.5</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napToGrid w:val="0"/>
                    <w:jc w:val="center"/>
                    <w:rPr>
                      <w:szCs w:val="21"/>
                    </w:rPr>
                  </w:pPr>
                  <w:r>
                    <w:rPr>
                      <w:rFonts w:hint="eastAsia"/>
                      <w:szCs w:val="21"/>
                    </w:rPr>
                    <w:t>评价标准</w:t>
                  </w:r>
                </w:p>
              </w:tc>
              <w:tc>
                <w:tcPr>
                  <w:tcW w:w="1276" w:type="dxa"/>
                  <w:vAlign w:val="center"/>
                </w:tcPr>
                <w:p>
                  <w:pPr>
                    <w:snapToGrid w:val="0"/>
                    <w:jc w:val="center"/>
                    <w:rPr>
                      <w:szCs w:val="21"/>
                    </w:rPr>
                  </w:pPr>
                  <w:r>
                    <w:rPr>
                      <w:rFonts w:hint="eastAsia"/>
                      <w:szCs w:val="21"/>
                    </w:rPr>
                    <w:t>评价标准</w:t>
                  </w:r>
                </w:p>
              </w:tc>
              <w:tc>
                <w:tcPr>
                  <w:tcW w:w="1681" w:type="dxa"/>
                  <w:gridSpan w:val="3"/>
                  <w:vAlign w:val="center"/>
                </w:tcPr>
                <w:p>
                  <w:pPr>
                    <w:snapToGrid w:val="0"/>
                    <w:jc w:val="center"/>
                    <w:rPr>
                      <w:szCs w:val="21"/>
                    </w:rPr>
                  </w:pPr>
                  <w:r>
                    <w:rPr>
                      <w:rFonts w:hint="eastAsia"/>
                      <w:szCs w:val="21"/>
                    </w:rPr>
                    <w:t>国家标准□</w:t>
                  </w:r>
                </w:p>
              </w:tc>
              <w:tc>
                <w:tcPr>
                  <w:tcW w:w="1682" w:type="dxa"/>
                  <w:gridSpan w:val="6"/>
                  <w:vAlign w:val="center"/>
                </w:tcPr>
                <w:p>
                  <w:pPr>
                    <w:snapToGrid w:val="0"/>
                    <w:jc w:val="center"/>
                    <w:rPr>
                      <w:szCs w:val="21"/>
                    </w:rPr>
                  </w:pPr>
                  <w:r>
                    <w:rPr>
                      <w:rFonts w:hint="eastAsia"/>
                      <w:szCs w:val="21"/>
                    </w:rPr>
                    <w:t>地方标准□</w:t>
                  </w:r>
                </w:p>
              </w:tc>
              <w:tc>
                <w:tcPr>
                  <w:tcW w:w="1681" w:type="dxa"/>
                  <w:gridSpan w:val="6"/>
                  <w:vAlign w:val="center"/>
                </w:tcPr>
                <w:p>
                  <w:pPr>
                    <w:snapToGrid w:val="0"/>
                    <w:jc w:val="center"/>
                    <w:rPr>
                      <w:szCs w:val="21"/>
                    </w:rPr>
                  </w:pPr>
                  <w:r>
                    <w:rPr>
                      <w:rFonts w:hint="eastAsia"/>
                      <w:szCs w:val="21"/>
                    </w:rPr>
                    <w:t>附录D□</w:t>
                  </w:r>
                </w:p>
              </w:tc>
              <w:tc>
                <w:tcPr>
                  <w:tcW w:w="1682" w:type="dxa"/>
                  <w:gridSpan w:val="3"/>
                  <w:vAlign w:val="center"/>
                </w:tcPr>
                <w:p>
                  <w:pPr>
                    <w:snapToGrid w:val="0"/>
                    <w:jc w:val="center"/>
                    <w:rPr>
                      <w:szCs w:val="21"/>
                    </w:rPr>
                  </w:pPr>
                  <w:r>
                    <w:rPr>
                      <w:rFonts w:hint="eastAsia"/>
                      <w:szCs w:val="21"/>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szCs w:val="21"/>
                    </w:rPr>
                  </w:pPr>
                  <w:r>
                    <w:rPr>
                      <w:rFonts w:hint="eastAsia"/>
                      <w:szCs w:val="21"/>
                    </w:rPr>
                    <w:t>现状评价</w:t>
                  </w:r>
                </w:p>
              </w:tc>
              <w:tc>
                <w:tcPr>
                  <w:tcW w:w="1276" w:type="dxa"/>
                  <w:vAlign w:val="center"/>
                </w:tcPr>
                <w:p>
                  <w:pPr>
                    <w:snapToGrid w:val="0"/>
                    <w:jc w:val="center"/>
                    <w:rPr>
                      <w:szCs w:val="21"/>
                    </w:rPr>
                  </w:pPr>
                  <w:r>
                    <w:rPr>
                      <w:rFonts w:hint="eastAsia"/>
                      <w:szCs w:val="21"/>
                    </w:rPr>
                    <w:t>环境功能区</w:t>
                  </w:r>
                </w:p>
              </w:tc>
              <w:tc>
                <w:tcPr>
                  <w:tcW w:w="2268" w:type="dxa"/>
                  <w:gridSpan w:val="6"/>
                  <w:vAlign w:val="center"/>
                </w:tcPr>
                <w:p>
                  <w:pPr>
                    <w:snapToGrid w:val="0"/>
                    <w:jc w:val="center"/>
                    <w:rPr>
                      <w:szCs w:val="21"/>
                    </w:rPr>
                  </w:pPr>
                  <w:r>
                    <w:rPr>
                      <w:rFonts w:hint="eastAsia"/>
                      <w:szCs w:val="21"/>
                    </w:rPr>
                    <w:t>一类区□</w:t>
                  </w:r>
                </w:p>
              </w:tc>
              <w:tc>
                <w:tcPr>
                  <w:tcW w:w="2268" w:type="dxa"/>
                  <w:gridSpan w:val="7"/>
                  <w:vAlign w:val="center"/>
                </w:tcPr>
                <w:p>
                  <w:pPr>
                    <w:snapToGrid w:val="0"/>
                    <w:jc w:val="center"/>
                    <w:rPr>
                      <w:szCs w:val="21"/>
                    </w:rPr>
                  </w:pPr>
                  <w:r>
                    <w:rPr>
                      <w:rFonts w:hint="eastAsia"/>
                      <w:szCs w:val="21"/>
                    </w:rPr>
                    <w:t>二类区</w:t>
                  </w:r>
                  <w:r>
                    <w:rPr>
                      <w:rFonts w:hint="eastAsia" w:ascii="MS Mincho" w:hAnsi="MS Mincho" w:eastAsia="MS Mincho" w:cs="MS Mincho"/>
                      <w:szCs w:val="21"/>
                    </w:rPr>
                    <w:t>☑</w:t>
                  </w:r>
                </w:p>
              </w:tc>
              <w:tc>
                <w:tcPr>
                  <w:tcW w:w="2190" w:type="dxa"/>
                  <w:gridSpan w:val="5"/>
                  <w:vAlign w:val="center"/>
                </w:tcPr>
                <w:p>
                  <w:pPr>
                    <w:snapToGrid w:val="0"/>
                    <w:jc w:val="center"/>
                    <w:rPr>
                      <w:szCs w:val="21"/>
                    </w:rPr>
                  </w:pPr>
                  <w:r>
                    <w:rPr>
                      <w:rFonts w:hint="eastAsia"/>
                      <w:szCs w:val="21"/>
                    </w:rPr>
                    <w:t>一类区和二类区□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评价基准年</w:t>
                  </w:r>
                </w:p>
              </w:tc>
              <w:tc>
                <w:tcPr>
                  <w:tcW w:w="6726" w:type="dxa"/>
                  <w:gridSpan w:val="18"/>
                  <w:vAlign w:val="center"/>
                </w:tcPr>
                <w:p>
                  <w:pPr>
                    <w:snapToGrid w:val="0"/>
                    <w:jc w:val="center"/>
                    <w:rPr>
                      <w:szCs w:val="21"/>
                    </w:rPr>
                  </w:pPr>
                  <w:r>
                    <w:rPr>
                      <w:rFonts w:hint="eastAsia"/>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环境空气质量现状调查数据来源</w:t>
                  </w:r>
                </w:p>
              </w:tc>
              <w:tc>
                <w:tcPr>
                  <w:tcW w:w="2268" w:type="dxa"/>
                  <w:gridSpan w:val="6"/>
                  <w:vAlign w:val="center"/>
                </w:tcPr>
                <w:p>
                  <w:pPr>
                    <w:snapToGrid w:val="0"/>
                    <w:jc w:val="center"/>
                    <w:rPr>
                      <w:szCs w:val="21"/>
                    </w:rPr>
                  </w:pPr>
                  <w:r>
                    <w:rPr>
                      <w:rFonts w:hint="eastAsia"/>
                      <w:szCs w:val="21"/>
                    </w:rPr>
                    <w:t>长期例行监测数据□</w:t>
                  </w:r>
                </w:p>
              </w:tc>
              <w:tc>
                <w:tcPr>
                  <w:tcW w:w="2268" w:type="dxa"/>
                  <w:gridSpan w:val="7"/>
                  <w:vAlign w:val="center"/>
                </w:tcPr>
                <w:p>
                  <w:pPr>
                    <w:snapToGrid w:val="0"/>
                    <w:jc w:val="center"/>
                    <w:rPr>
                      <w:szCs w:val="21"/>
                    </w:rPr>
                  </w:pPr>
                  <w:r>
                    <w:rPr>
                      <w:rFonts w:hint="eastAsia"/>
                      <w:szCs w:val="21"/>
                    </w:rPr>
                    <w:t>主管部门发布的数据</w:t>
                  </w:r>
                  <w:r>
                    <w:rPr>
                      <w:rFonts w:hint="eastAsia" w:ascii="MS Mincho" w:hAnsi="MS Mincho" w:eastAsia="MS Mincho" w:cs="MS Mincho"/>
                      <w:szCs w:val="21"/>
                    </w:rPr>
                    <w:t>☑</w:t>
                  </w:r>
                </w:p>
              </w:tc>
              <w:tc>
                <w:tcPr>
                  <w:tcW w:w="2190" w:type="dxa"/>
                  <w:gridSpan w:val="5"/>
                  <w:vAlign w:val="center"/>
                </w:tcPr>
                <w:p>
                  <w:pPr>
                    <w:snapToGrid w:val="0"/>
                    <w:jc w:val="center"/>
                    <w:rPr>
                      <w:szCs w:val="21"/>
                    </w:rPr>
                  </w:pPr>
                  <w:r>
                    <w:rPr>
                      <w:rFonts w:hint="eastAsia"/>
                      <w:szCs w:val="21"/>
                    </w:rPr>
                    <w:t>现状补充监测□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现状评价</w:t>
                  </w:r>
                </w:p>
              </w:tc>
              <w:tc>
                <w:tcPr>
                  <w:tcW w:w="3827" w:type="dxa"/>
                  <w:gridSpan w:val="10"/>
                  <w:vAlign w:val="center"/>
                </w:tcPr>
                <w:p>
                  <w:pPr>
                    <w:snapToGrid w:val="0"/>
                    <w:jc w:val="center"/>
                    <w:rPr>
                      <w:szCs w:val="21"/>
                    </w:rPr>
                  </w:pPr>
                  <w:r>
                    <w:rPr>
                      <w:rFonts w:hint="eastAsia"/>
                      <w:szCs w:val="21"/>
                    </w:rPr>
                    <w:t>达标区□</w:t>
                  </w:r>
                </w:p>
              </w:tc>
              <w:tc>
                <w:tcPr>
                  <w:tcW w:w="2899" w:type="dxa"/>
                  <w:gridSpan w:val="8"/>
                  <w:vAlign w:val="center"/>
                </w:tcPr>
                <w:p>
                  <w:pPr>
                    <w:snapToGrid w:val="0"/>
                    <w:jc w:val="center"/>
                    <w:rPr>
                      <w:szCs w:val="21"/>
                    </w:rPr>
                  </w:pPr>
                  <w:r>
                    <w:rPr>
                      <w:rFonts w:hint="eastAsia"/>
                      <w:szCs w:val="21"/>
                    </w:rPr>
                    <w:t>不达标区</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napToGrid w:val="0"/>
                    <w:jc w:val="center"/>
                    <w:rPr>
                      <w:szCs w:val="21"/>
                    </w:rPr>
                  </w:pPr>
                  <w:r>
                    <w:rPr>
                      <w:rFonts w:hint="eastAsia"/>
                      <w:szCs w:val="21"/>
                    </w:rPr>
                    <w:t>污染源调查</w:t>
                  </w:r>
                </w:p>
              </w:tc>
              <w:tc>
                <w:tcPr>
                  <w:tcW w:w="1276" w:type="dxa"/>
                  <w:vAlign w:val="center"/>
                </w:tcPr>
                <w:p>
                  <w:pPr>
                    <w:snapToGrid w:val="0"/>
                    <w:jc w:val="center"/>
                    <w:rPr>
                      <w:szCs w:val="21"/>
                    </w:rPr>
                  </w:pPr>
                  <w:r>
                    <w:rPr>
                      <w:rFonts w:hint="eastAsia"/>
                      <w:szCs w:val="21"/>
                    </w:rPr>
                    <w:t>调查内容</w:t>
                  </w:r>
                </w:p>
              </w:tc>
              <w:tc>
                <w:tcPr>
                  <w:tcW w:w="2410" w:type="dxa"/>
                  <w:gridSpan w:val="7"/>
                  <w:vAlign w:val="center"/>
                </w:tcPr>
                <w:p>
                  <w:pPr>
                    <w:snapToGrid w:val="0"/>
                    <w:jc w:val="center"/>
                    <w:rPr>
                      <w:szCs w:val="21"/>
                    </w:rPr>
                  </w:pPr>
                  <w:r>
                    <w:rPr>
                      <w:rFonts w:hint="eastAsia"/>
                      <w:szCs w:val="21"/>
                    </w:rPr>
                    <w:t>本项目正常排放源</w:t>
                  </w:r>
                  <w:r>
                    <w:rPr>
                      <w:rFonts w:hint="eastAsia" w:ascii="MS Mincho" w:hAnsi="MS Mincho" w:eastAsia="MS Mincho" w:cs="MS Mincho"/>
                      <w:szCs w:val="21"/>
                    </w:rPr>
                    <w:t>☑</w:t>
                  </w:r>
                </w:p>
                <w:p>
                  <w:pPr>
                    <w:snapToGrid w:val="0"/>
                    <w:jc w:val="center"/>
                    <w:rPr>
                      <w:szCs w:val="21"/>
                    </w:rPr>
                  </w:pPr>
                  <w:r>
                    <w:rPr>
                      <w:rFonts w:hint="eastAsia"/>
                      <w:szCs w:val="21"/>
                    </w:rPr>
                    <w:t>本项目非正常排放源□</w:t>
                  </w:r>
                </w:p>
                <w:p>
                  <w:pPr>
                    <w:snapToGrid w:val="0"/>
                    <w:jc w:val="center"/>
                    <w:rPr>
                      <w:szCs w:val="21"/>
                    </w:rPr>
                  </w:pPr>
                  <w:r>
                    <w:rPr>
                      <w:rFonts w:hint="eastAsia"/>
                      <w:szCs w:val="21"/>
                    </w:rPr>
                    <w:t>现有污染源□</w:t>
                  </w:r>
                </w:p>
              </w:tc>
              <w:tc>
                <w:tcPr>
                  <w:tcW w:w="1417" w:type="dxa"/>
                  <w:gridSpan w:val="3"/>
                  <w:vAlign w:val="center"/>
                </w:tcPr>
                <w:p>
                  <w:pPr>
                    <w:snapToGrid w:val="0"/>
                    <w:jc w:val="center"/>
                    <w:rPr>
                      <w:szCs w:val="21"/>
                    </w:rPr>
                  </w:pPr>
                  <w:r>
                    <w:rPr>
                      <w:rFonts w:hint="eastAsia"/>
                      <w:szCs w:val="21"/>
                    </w:rPr>
                    <w:t>拟替代的污染源□</w:t>
                  </w:r>
                </w:p>
              </w:tc>
              <w:tc>
                <w:tcPr>
                  <w:tcW w:w="1560" w:type="dxa"/>
                  <w:gridSpan w:val="6"/>
                  <w:vAlign w:val="center"/>
                </w:tcPr>
                <w:p>
                  <w:pPr>
                    <w:snapToGrid w:val="0"/>
                    <w:jc w:val="center"/>
                    <w:rPr>
                      <w:szCs w:val="21"/>
                    </w:rPr>
                  </w:pPr>
                  <w:r>
                    <w:rPr>
                      <w:rFonts w:hint="eastAsia"/>
                      <w:szCs w:val="21"/>
                    </w:rPr>
                    <w:t>其他在建、拟建项目污染源□</w:t>
                  </w:r>
                </w:p>
              </w:tc>
              <w:tc>
                <w:tcPr>
                  <w:tcW w:w="1339" w:type="dxa"/>
                  <w:gridSpan w:val="2"/>
                  <w:vAlign w:val="center"/>
                </w:tcPr>
                <w:p>
                  <w:pPr>
                    <w:snapToGrid w:val="0"/>
                    <w:jc w:val="center"/>
                    <w:rPr>
                      <w:szCs w:val="21"/>
                    </w:rPr>
                  </w:pPr>
                  <w:r>
                    <w:rPr>
                      <w:rFonts w:hint="eastAsia"/>
                      <w:szCs w:val="21"/>
                    </w:rPr>
                    <w:t>区域污染源□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szCs w:val="21"/>
                    </w:rPr>
                  </w:pPr>
                  <w:r>
                    <w:rPr>
                      <w:rFonts w:hint="eastAsia"/>
                      <w:szCs w:val="21"/>
                    </w:rPr>
                    <w:t>大气环境影响预测与评价</w:t>
                  </w:r>
                </w:p>
              </w:tc>
              <w:tc>
                <w:tcPr>
                  <w:tcW w:w="1276" w:type="dxa"/>
                  <w:vAlign w:val="center"/>
                </w:tcPr>
                <w:p>
                  <w:pPr>
                    <w:snapToGrid w:val="0"/>
                    <w:jc w:val="center"/>
                    <w:rPr>
                      <w:szCs w:val="21"/>
                    </w:rPr>
                  </w:pPr>
                  <w:r>
                    <w:rPr>
                      <w:rFonts w:hint="eastAsia"/>
                      <w:szCs w:val="21"/>
                    </w:rPr>
                    <w:t>预测模型</w:t>
                  </w:r>
                </w:p>
              </w:tc>
              <w:tc>
                <w:tcPr>
                  <w:tcW w:w="960" w:type="dxa"/>
                  <w:gridSpan w:val="2"/>
                  <w:vAlign w:val="center"/>
                </w:tcPr>
                <w:p>
                  <w:pPr>
                    <w:snapToGrid w:val="0"/>
                    <w:jc w:val="center"/>
                    <w:rPr>
                      <w:szCs w:val="21"/>
                    </w:rPr>
                  </w:pPr>
                  <w:r>
                    <w:rPr>
                      <w:rFonts w:hint="eastAsia"/>
                      <w:szCs w:val="21"/>
                    </w:rPr>
                    <w:t>AERMOD□</w:t>
                  </w:r>
                </w:p>
              </w:tc>
              <w:tc>
                <w:tcPr>
                  <w:tcW w:w="961" w:type="dxa"/>
                  <w:gridSpan w:val="2"/>
                  <w:vAlign w:val="center"/>
                </w:tcPr>
                <w:p>
                  <w:pPr>
                    <w:snapToGrid w:val="0"/>
                    <w:jc w:val="center"/>
                    <w:rPr>
                      <w:szCs w:val="21"/>
                    </w:rPr>
                  </w:pPr>
                  <w:r>
                    <w:rPr>
                      <w:rFonts w:hint="eastAsia"/>
                      <w:szCs w:val="21"/>
                    </w:rPr>
                    <w:t>ADMS□</w:t>
                  </w:r>
                </w:p>
              </w:tc>
              <w:tc>
                <w:tcPr>
                  <w:tcW w:w="961" w:type="dxa"/>
                  <w:gridSpan w:val="4"/>
                  <w:vAlign w:val="center"/>
                </w:tcPr>
                <w:p>
                  <w:pPr>
                    <w:snapToGrid w:val="0"/>
                    <w:jc w:val="center"/>
                    <w:rPr>
                      <w:szCs w:val="21"/>
                    </w:rPr>
                  </w:pPr>
                  <w:r>
                    <w:rPr>
                      <w:rFonts w:hint="eastAsia"/>
                      <w:szCs w:val="21"/>
                    </w:rPr>
                    <w:t>AUSTAL2000□</w:t>
                  </w:r>
                </w:p>
              </w:tc>
              <w:tc>
                <w:tcPr>
                  <w:tcW w:w="961" w:type="dxa"/>
                  <w:gridSpan w:val="3"/>
                  <w:vAlign w:val="center"/>
                </w:tcPr>
                <w:p>
                  <w:pPr>
                    <w:snapToGrid w:val="0"/>
                    <w:jc w:val="center"/>
                    <w:rPr>
                      <w:szCs w:val="21"/>
                    </w:rPr>
                  </w:pPr>
                  <w:r>
                    <w:rPr>
                      <w:rFonts w:hint="eastAsia"/>
                      <w:szCs w:val="21"/>
                    </w:rPr>
                    <w:t>EDMS/AEDT□</w:t>
                  </w:r>
                </w:p>
              </w:tc>
              <w:tc>
                <w:tcPr>
                  <w:tcW w:w="961" w:type="dxa"/>
                  <w:gridSpan w:val="3"/>
                  <w:vAlign w:val="center"/>
                </w:tcPr>
                <w:p>
                  <w:pPr>
                    <w:snapToGrid w:val="0"/>
                    <w:jc w:val="center"/>
                    <w:rPr>
                      <w:szCs w:val="21"/>
                    </w:rPr>
                  </w:pPr>
                  <w:r>
                    <w:rPr>
                      <w:rFonts w:hint="eastAsia"/>
                      <w:szCs w:val="21"/>
                    </w:rPr>
                    <w:t>CALPUFF□</w:t>
                  </w:r>
                </w:p>
              </w:tc>
              <w:tc>
                <w:tcPr>
                  <w:tcW w:w="961" w:type="dxa"/>
                  <w:gridSpan w:val="3"/>
                  <w:vAlign w:val="center"/>
                </w:tcPr>
                <w:p>
                  <w:pPr>
                    <w:snapToGrid w:val="0"/>
                    <w:jc w:val="center"/>
                    <w:rPr>
                      <w:szCs w:val="21"/>
                    </w:rPr>
                  </w:pPr>
                  <w:r>
                    <w:rPr>
                      <w:rFonts w:hint="eastAsia"/>
                      <w:szCs w:val="21"/>
                    </w:rPr>
                    <w:t>网络模型</w:t>
                  </w:r>
                  <w:r>
                    <w:rPr>
                      <w:rFonts w:hint="eastAsia" w:ascii="MS Mincho" w:hAnsi="MS Mincho" w:eastAsia="MS Mincho" w:cs="MS Mincho"/>
                      <w:szCs w:val="21"/>
                    </w:rPr>
                    <w:t>☑</w:t>
                  </w:r>
                </w:p>
              </w:tc>
              <w:tc>
                <w:tcPr>
                  <w:tcW w:w="961" w:type="dxa"/>
                  <w:vAlign w:val="center"/>
                </w:tcPr>
                <w:p>
                  <w:pPr>
                    <w:snapToGrid w:val="0"/>
                    <w:jc w:val="center"/>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 xml:space="preserve">预测范围 </w:t>
                  </w:r>
                </w:p>
              </w:tc>
              <w:tc>
                <w:tcPr>
                  <w:tcW w:w="2268" w:type="dxa"/>
                  <w:gridSpan w:val="6"/>
                  <w:vAlign w:val="center"/>
                </w:tcPr>
                <w:p>
                  <w:pPr>
                    <w:snapToGrid w:val="0"/>
                    <w:jc w:val="center"/>
                    <w:rPr>
                      <w:szCs w:val="21"/>
                    </w:rPr>
                  </w:pPr>
                  <w:r>
                    <w:rPr>
                      <w:rFonts w:hint="eastAsia"/>
                      <w:szCs w:val="21"/>
                    </w:rPr>
                    <w:t>边长大于等于50km</w:t>
                  </w:r>
                </w:p>
              </w:tc>
              <w:tc>
                <w:tcPr>
                  <w:tcW w:w="2268" w:type="dxa"/>
                  <w:gridSpan w:val="7"/>
                  <w:vAlign w:val="center"/>
                </w:tcPr>
                <w:p>
                  <w:pPr>
                    <w:snapToGrid w:val="0"/>
                    <w:jc w:val="center"/>
                    <w:rPr>
                      <w:szCs w:val="21"/>
                    </w:rPr>
                  </w:pPr>
                  <w:r>
                    <w:rPr>
                      <w:rFonts w:hint="eastAsia"/>
                      <w:szCs w:val="21"/>
                    </w:rPr>
                    <w:t>边长5~50km</w:t>
                  </w:r>
                  <w:r>
                    <w:rPr>
                      <w:rFonts w:hint="eastAsia" w:ascii="MS Mincho" w:hAnsi="MS Mincho" w:eastAsia="MS Mincho" w:cs="MS Mincho"/>
                      <w:szCs w:val="21"/>
                    </w:rPr>
                    <w:t>□</w:t>
                  </w:r>
                </w:p>
              </w:tc>
              <w:tc>
                <w:tcPr>
                  <w:tcW w:w="2190" w:type="dxa"/>
                  <w:gridSpan w:val="5"/>
                  <w:vAlign w:val="center"/>
                </w:tcPr>
                <w:p>
                  <w:pPr>
                    <w:snapToGrid w:val="0"/>
                    <w:jc w:val="center"/>
                    <w:rPr>
                      <w:szCs w:val="21"/>
                    </w:rPr>
                  </w:pPr>
                  <w:r>
                    <w:rPr>
                      <w:rFonts w:hint="eastAsia"/>
                      <w:szCs w:val="21"/>
                    </w:rPr>
                    <w:t>边长=5km□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预测因子</w:t>
                  </w:r>
                </w:p>
              </w:tc>
              <w:tc>
                <w:tcPr>
                  <w:tcW w:w="3363" w:type="dxa"/>
                  <w:gridSpan w:val="9"/>
                  <w:vAlign w:val="center"/>
                </w:tcPr>
                <w:p>
                  <w:pPr>
                    <w:snapToGrid w:val="0"/>
                    <w:jc w:val="center"/>
                    <w:rPr>
                      <w:szCs w:val="21"/>
                    </w:rPr>
                  </w:pPr>
                  <w:r>
                    <w:rPr>
                      <w:rFonts w:hint="eastAsia"/>
                      <w:szCs w:val="21"/>
                    </w:rPr>
                    <w:t>预测因子（颗粒物）</w:t>
                  </w:r>
                </w:p>
              </w:tc>
              <w:tc>
                <w:tcPr>
                  <w:tcW w:w="3363" w:type="dxa"/>
                  <w:gridSpan w:val="9"/>
                  <w:vAlign w:val="center"/>
                </w:tcPr>
                <w:p>
                  <w:pPr>
                    <w:snapToGrid w:val="0"/>
                    <w:jc w:val="center"/>
                    <w:rPr>
                      <w:szCs w:val="21"/>
                    </w:rPr>
                  </w:pPr>
                  <w:r>
                    <w:rPr>
                      <w:rFonts w:hint="eastAsia"/>
                      <w:szCs w:val="21"/>
                    </w:rPr>
                    <w:t>包括二次PM</w:t>
                  </w:r>
                  <w:r>
                    <w:rPr>
                      <w:rFonts w:hint="eastAsia"/>
                      <w:szCs w:val="21"/>
                      <w:vertAlign w:val="subscript"/>
                    </w:rPr>
                    <w:t>2.5</w:t>
                  </w:r>
                  <w:r>
                    <w:rPr>
                      <w:rFonts w:hint="eastAsia"/>
                      <w:szCs w:val="21"/>
                    </w:rPr>
                    <w:t>□</w:t>
                  </w:r>
                </w:p>
                <w:p>
                  <w:pPr>
                    <w:snapToGrid w:val="0"/>
                    <w:jc w:val="center"/>
                    <w:rPr>
                      <w:szCs w:val="21"/>
                    </w:rPr>
                  </w:pPr>
                  <w:r>
                    <w:rPr>
                      <w:rFonts w:hint="eastAsia"/>
                      <w:szCs w:val="21"/>
                    </w:rPr>
                    <w:t>不包括二次PM</w:t>
                  </w:r>
                  <w:r>
                    <w:rPr>
                      <w:rFonts w:hint="eastAsia"/>
                      <w:szCs w:val="21"/>
                      <w:vertAlign w:val="subscript"/>
                    </w:rPr>
                    <w:t>2.5</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正常短期排放浓度贡献值</w:t>
                  </w:r>
                </w:p>
              </w:tc>
              <w:tc>
                <w:tcPr>
                  <w:tcW w:w="3363" w:type="dxa"/>
                  <w:gridSpan w:val="9"/>
                  <w:vAlign w:val="center"/>
                </w:tcPr>
                <w:p>
                  <w:pPr>
                    <w:snapToGrid w:val="0"/>
                    <w:jc w:val="center"/>
                    <w:rPr>
                      <w:szCs w:val="21"/>
                    </w:rPr>
                  </w:pPr>
                  <w:r>
                    <w:rPr>
                      <w:rFonts w:hint="eastAsia"/>
                      <w:szCs w:val="21"/>
                    </w:rPr>
                    <w:t>C</w:t>
                  </w:r>
                  <w:r>
                    <w:rPr>
                      <w:rFonts w:hint="eastAsia"/>
                      <w:szCs w:val="21"/>
                      <w:vertAlign w:val="subscript"/>
                    </w:rPr>
                    <w:t>本项目</w:t>
                  </w:r>
                  <w:r>
                    <w:rPr>
                      <w:rFonts w:hint="eastAsia"/>
                      <w:szCs w:val="21"/>
                    </w:rPr>
                    <w:t>最大占标率≤100%</w:t>
                  </w:r>
                  <w:r>
                    <w:rPr>
                      <w:rFonts w:hint="eastAsia" w:ascii="MS Mincho" w:hAnsi="MS Mincho" w:eastAsia="MS Mincho" w:cs="MS Mincho"/>
                      <w:szCs w:val="21"/>
                    </w:rPr>
                    <w:t>☑</w:t>
                  </w:r>
                </w:p>
              </w:tc>
              <w:tc>
                <w:tcPr>
                  <w:tcW w:w="3363" w:type="dxa"/>
                  <w:gridSpan w:val="9"/>
                  <w:vAlign w:val="center"/>
                </w:tcPr>
                <w:p>
                  <w:pPr>
                    <w:snapToGrid w:val="0"/>
                    <w:jc w:val="center"/>
                    <w:rPr>
                      <w:szCs w:val="21"/>
                    </w:rPr>
                  </w:pPr>
                  <w:r>
                    <w:rPr>
                      <w:rFonts w:hint="eastAsia"/>
                      <w:szCs w:val="21"/>
                    </w:rPr>
                    <w:t>C</w:t>
                  </w:r>
                  <w:r>
                    <w:rPr>
                      <w:rFonts w:hint="eastAsia"/>
                      <w:szCs w:val="21"/>
                      <w:vertAlign w:val="subscript"/>
                    </w:rPr>
                    <w:t>本项目</w:t>
                  </w:r>
                  <w:r>
                    <w:rPr>
                      <w:rFonts w:hint="eastAsia"/>
                      <w:szCs w:val="21"/>
                    </w:rPr>
                    <w:t>最大占标率＞100%□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Merge w:val="restart"/>
                  <w:vAlign w:val="center"/>
                </w:tcPr>
                <w:p>
                  <w:pPr>
                    <w:snapToGrid w:val="0"/>
                    <w:jc w:val="center"/>
                    <w:rPr>
                      <w:szCs w:val="21"/>
                    </w:rPr>
                  </w:pPr>
                  <w:r>
                    <w:rPr>
                      <w:rFonts w:hint="eastAsia"/>
                      <w:szCs w:val="21"/>
                    </w:rPr>
                    <w:t>正常排放年平均浓度贡献值</w:t>
                  </w:r>
                </w:p>
              </w:tc>
              <w:tc>
                <w:tcPr>
                  <w:tcW w:w="851" w:type="dxa"/>
                  <w:vAlign w:val="center"/>
                </w:tcPr>
                <w:p>
                  <w:pPr>
                    <w:snapToGrid w:val="0"/>
                    <w:jc w:val="center"/>
                    <w:rPr>
                      <w:szCs w:val="21"/>
                    </w:rPr>
                  </w:pPr>
                  <w:r>
                    <w:rPr>
                      <w:rFonts w:hint="eastAsia"/>
                      <w:szCs w:val="21"/>
                    </w:rPr>
                    <w:t>一类区</w:t>
                  </w:r>
                </w:p>
              </w:tc>
              <w:tc>
                <w:tcPr>
                  <w:tcW w:w="2512" w:type="dxa"/>
                  <w:gridSpan w:val="8"/>
                  <w:vAlign w:val="center"/>
                </w:tcPr>
                <w:p>
                  <w:pPr>
                    <w:snapToGrid w:val="0"/>
                    <w:jc w:val="center"/>
                    <w:rPr>
                      <w:szCs w:val="21"/>
                    </w:rPr>
                  </w:pPr>
                  <w:r>
                    <w:rPr>
                      <w:rFonts w:hint="eastAsia"/>
                      <w:szCs w:val="21"/>
                    </w:rPr>
                    <w:t>C</w:t>
                  </w:r>
                  <w:r>
                    <w:rPr>
                      <w:rFonts w:hint="eastAsia"/>
                      <w:szCs w:val="21"/>
                      <w:vertAlign w:val="subscript"/>
                    </w:rPr>
                    <w:t>本项目</w:t>
                  </w:r>
                  <w:r>
                    <w:rPr>
                      <w:rFonts w:hint="eastAsia"/>
                      <w:szCs w:val="21"/>
                    </w:rPr>
                    <w:t>最大占标率≤10%□</w:t>
                  </w:r>
                </w:p>
              </w:tc>
              <w:tc>
                <w:tcPr>
                  <w:tcW w:w="3363" w:type="dxa"/>
                  <w:gridSpan w:val="9"/>
                  <w:vAlign w:val="center"/>
                </w:tcPr>
                <w:p>
                  <w:pPr>
                    <w:snapToGrid w:val="0"/>
                    <w:jc w:val="center"/>
                    <w:rPr>
                      <w:szCs w:val="21"/>
                    </w:rPr>
                  </w:pPr>
                  <w:r>
                    <w:rPr>
                      <w:rFonts w:hint="eastAsia"/>
                      <w:szCs w:val="21"/>
                    </w:rPr>
                    <w:t>C</w:t>
                  </w:r>
                  <w:r>
                    <w:rPr>
                      <w:rFonts w:hint="eastAsia"/>
                      <w:szCs w:val="21"/>
                      <w:vertAlign w:val="subscript"/>
                    </w:rPr>
                    <w:t>本项目</w:t>
                  </w:r>
                  <w:r>
                    <w:rPr>
                      <w:rFonts w:hint="eastAsia"/>
                      <w:szCs w:val="21"/>
                    </w:rPr>
                    <w:t>最大占标率＞10%□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Merge w:val="continue"/>
                  <w:vAlign w:val="center"/>
                </w:tcPr>
                <w:p>
                  <w:pPr>
                    <w:snapToGrid w:val="0"/>
                    <w:jc w:val="center"/>
                    <w:rPr>
                      <w:szCs w:val="21"/>
                    </w:rPr>
                  </w:pPr>
                </w:p>
              </w:tc>
              <w:tc>
                <w:tcPr>
                  <w:tcW w:w="851" w:type="dxa"/>
                  <w:vAlign w:val="center"/>
                </w:tcPr>
                <w:p>
                  <w:pPr>
                    <w:snapToGrid w:val="0"/>
                    <w:jc w:val="center"/>
                    <w:rPr>
                      <w:szCs w:val="21"/>
                    </w:rPr>
                  </w:pPr>
                  <w:r>
                    <w:rPr>
                      <w:rFonts w:hint="eastAsia"/>
                      <w:szCs w:val="21"/>
                    </w:rPr>
                    <w:t>二类区</w:t>
                  </w:r>
                </w:p>
              </w:tc>
              <w:tc>
                <w:tcPr>
                  <w:tcW w:w="2512" w:type="dxa"/>
                  <w:gridSpan w:val="8"/>
                  <w:vAlign w:val="center"/>
                </w:tcPr>
                <w:p>
                  <w:pPr>
                    <w:snapToGrid w:val="0"/>
                    <w:jc w:val="center"/>
                    <w:rPr>
                      <w:szCs w:val="21"/>
                    </w:rPr>
                  </w:pPr>
                  <w:r>
                    <w:rPr>
                      <w:rFonts w:hint="eastAsia"/>
                      <w:szCs w:val="21"/>
                    </w:rPr>
                    <w:t>C</w:t>
                  </w:r>
                  <w:r>
                    <w:rPr>
                      <w:rFonts w:hint="eastAsia"/>
                      <w:szCs w:val="21"/>
                      <w:vertAlign w:val="subscript"/>
                    </w:rPr>
                    <w:t>本项目</w:t>
                  </w:r>
                  <w:r>
                    <w:rPr>
                      <w:rFonts w:hint="eastAsia"/>
                      <w:szCs w:val="21"/>
                    </w:rPr>
                    <w:t>最大占标率≤30%</w:t>
                  </w:r>
                  <w:r>
                    <w:rPr>
                      <w:rFonts w:hint="eastAsia" w:ascii="MS Mincho" w:hAnsi="MS Mincho" w:eastAsia="MS Mincho" w:cs="MS Mincho"/>
                      <w:szCs w:val="21"/>
                    </w:rPr>
                    <w:t>☑</w:t>
                  </w:r>
                </w:p>
              </w:tc>
              <w:tc>
                <w:tcPr>
                  <w:tcW w:w="3363" w:type="dxa"/>
                  <w:gridSpan w:val="9"/>
                  <w:vAlign w:val="center"/>
                </w:tcPr>
                <w:p>
                  <w:pPr>
                    <w:snapToGrid w:val="0"/>
                    <w:jc w:val="center"/>
                    <w:rPr>
                      <w:szCs w:val="21"/>
                    </w:rPr>
                  </w:pPr>
                  <w:r>
                    <w:rPr>
                      <w:rFonts w:hint="eastAsia"/>
                      <w:szCs w:val="21"/>
                    </w:rPr>
                    <w:t>C</w:t>
                  </w:r>
                  <w:r>
                    <w:rPr>
                      <w:rFonts w:hint="eastAsia"/>
                      <w:szCs w:val="21"/>
                      <w:vertAlign w:val="subscript"/>
                    </w:rPr>
                    <w:t>本项目</w:t>
                  </w:r>
                  <w:r>
                    <w:rPr>
                      <w:rFonts w:hint="eastAsia"/>
                      <w:szCs w:val="21"/>
                    </w:rPr>
                    <w:t>最大占标率＞30%□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非正常排放1h浓度贡献值</w:t>
                  </w:r>
                </w:p>
              </w:tc>
              <w:tc>
                <w:tcPr>
                  <w:tcW w:w="2242" w:type="dxa"/>
                  <w:gridSpan w:val="5"/>
                  <w:vAlign w:val="center"/>
                </w:tcPr>
                <w:p>
                  <w:pPr>
                    <w:snapToGrid w:val="0"/>
                    <w:jc w:val="center"/>
                    <w:rPr>
                      <w:szCs w:val="21"/>
                    </w:rPr>
                  </w:pPr>
                  <w:r>
                    <w:rPr>
                      <w:rFonts w:hint="eastAsia"/>
                      <w:szCs w:val="21"/>
                    </w:rPr>
                    <w:t>非正常持续时长（）h</w:t>
                  </w:r>
                </w:p>
              </w:tc>
              <w:tc>
                <w:tcPr>
                  <w:tcW w:w="2242" w:type="dxa"/>
                  <w:gridSpan w:val="7"/>
                  <w:vAlign w:val="center"/>
                </w:tcPr>
                <w:p>
                  <w:pPr>
                    <w:snapToGrid w:val="0"/>
                    <w:jc w:val="center"/>
                    <w:rPr>
                      <w:szCs w:val="21"/>
                    </w:rPr>
                  </w:pPr>
                  <w:r>
                    <w:rPr>
                      <w:rFonts w:hint="eastAsia"/>
                      <w:szCs w:val="21"/>
                    </w:rPr>
                    <w:t>C</w:t>
                  </w:r>
                  <w:r>
                    <w:rPr>
                      <w:rFonts w:hint="eastAsia"/>
                      <w:szCs w:val="21"/>
                      <w:vertAlign w:val="subscript"/>
                    </w:rPr>
                    <w:t>非正常</w:t>
                  </w:r>
                  <w:r>
                    <w:rPr>
                      <w:rFonts w:hint="eastAsia"/>
                      <w:szCs w:val="21"/>
                    </w:rPr>
                    <w:t>最大占标率≤100%□</w:t>
                  </w:r>
                </w:p>
              </w:tc>
              <w:tc>
                <w:tcPr>
                  <w:tcW w:w="2242" w:type="dxa"/>
                  <w:gridSpan w:val="6"/>
                  <w:vAlign w:val="center"/>
                </w:tcPr>
                <w:p>
                  <w:pPr>
                    <w:snapToGrid w:val="0"/>
                    <w:jc w:val="center"/>
                    <w:rPr>
                      <w:szCs w:val="21"/>
                    </w:rPr>
                  </w:pPr>
                  <w:r>
                    <w:rPr>
                      <w:rFonts w:hint="eastAsia"/>
                      <w:szCs w:val="21"/>
                    </w:rPr>
                    <w:t>C</w:t>
                  </w:r>
                  <w:r>
                    <w:rPr>
                      <w:rFonts w:hint="eastAsia"/>
                      <w:szCs w:val="21"/>
                      <w:vertAlign w:val="subscript"/>
                    </w:rPr>
                    <w:t>非正常</w:t>
                  </w:r>
                  <w:r>
                    <w:rPr>
                      <w:rFonts w:hint="eastAsia"/>
                      <w:szCs w:val="21"/>
                    </w:rPr>
                    <w:t>最大占标率＞100%□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保证率日平均浓度和年平均浓度叠加值</w:t>
                  </w:r>
                </w:p>
              </w:tc>
              <w:tc>
                <w:tcPr>
                  <w:tcW w:w="3363" w:type="dxa"/>
                  <w:gridSpan w:val="9"/>
                  <w:vAlign w:val="center"/>
                </w:tcPr>
                <w:p>
                  <w:pPr>
                    <w:snapToGrid w:val="0"/>
                    <w:jc w:val="center"/>
                    <w:rPr>
                      <w:szCs w:val="21"/>
                    </w:rPr>
                  </w:pPr>
                  <w:r>
                    <w:rPr>
                      <w:rFonts w:hint="eastAsia"/>
                      <w:szCs w:val="21"/>
                    </w:rPr>
                    <w:t>C</w:t>
                  </w:r>
                  <w:r>
                    <w:rPr>
                      <w:rFonts w:hint="eastAsia"/>
                      <w:szCs w:val="21"/>
                      <w:vertAlign w:val="subscript"/>
                    </w:rPr>
                    <w:t>叠加</w:t>
                  </w:r>
                  <w:r>
                    <w:rPr>
                      <w:rFonts w:hint="eastAsia"/>
                      <w:szCs w:val="21"/>
                    </w:rPr>
                    <w:t>达标□</w:t>
                  </w:r>
                </w:p>
              </w:tc>
              <w:tc>
                <w:tcPr>
                  <w:tcW w:w="3363" w:type="dxa"/>
                  <w:gridSpan w:val="9"/>
                  <w:vAlign w:val="center"/>
                </w:tcPr>
                <w:p>
                  <w:pPr>
                    <w:snapToGrid w:val="0"/>
                    <w:jc w:val="center"/>
                    <w:rPr>
                      <w:szCs w:val="21"/>
                    </w:rPr>
                  </w:pPr>
                  <w:r>
                    <w:rPr>
                      <w:rFonts w:hint="eastAsia"/>
                      <w:szCs w:val="21"/>
                    </w:rPr>
                    <w:t>C</w:t>
                  </w:r>
                  <w:r>
                    <w:rPr>
                      <w:rFonts w:hint="eastAsia"/>
                      <w:szCs w:val="21"/>
                      <w:vertAlign w:val="subscript"/>
                    </w:rPr>
                    <w:t>叠加不</w:t>
                  </w: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区域环境质量的整体变化情况</w:t>
                  </w:r>
                </w:p>
              </w:tc>
              <w:tc>
                <w:tcPr>
                  <w:tcW w:w="3363" w:type="dxa"/>
                  <w:gridSpan w:val="9"/>
                  <w:vAlign w:val="center"/>
                </w:tcPr>
                <w:p>
                  <w:pPr>
                    <w:snapToGrid w:val="0"/>
                    <w:jc w:val="center"/>
                    <w:rPr>
                      <w:szCs w:val="21"/>
                    </w:rPr>
                  </w:pPr>
                  <w:r>
                    <w:rPr>
                      <w:rFonts w:hint="eastAsia"/>
                      <w:szCs w:val="21"/>
                    </w:rPr>
                    <w:t>k≤-20%□</w:t>
                  </w:r>
                </w:p>
              </w:tc>
              <w:tc>
                <w:tcPr>
                  <w:tcW w:w="3363" w:type="dxa"/>
                  <w:gridSpan w:val="9"/>
                  <w:vAlign w:val="center"/>
                </w:tcPr>
                <w:p>
                  <w:pPr>
                    <w:snapToGrid w:val="0"/>
                    <w:jc w:val="center"/>
                    <w:rPr>
                      <w:szCs w:val="21"/>
                    </w:rPr>
                  </w:pPr>
                  <w:r>
                    <w:rPr>
                      <w:rFonts w:hint="eastAsia"/>
                      <w:szCs w:val="21"/>
                    </w:rPr>
                    <w:t>k＞-20%□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szCs w:val="21"/>
                    </w:rPr>
                  </w:pPr>
                  <w:r>
                    <w:rPr>
                      <w:rFonts w:hint="eastAsia"/>
                      <w:szCs w:val="21"/>
                    </w:rPr>
                    <w:t>环境监测计划</w:t>
                  </w:r>
                </w:p>
              </w:tc>
              <w:tc>
                <w:tcPr>
                  <w:tcW w:w="1276" w:type="dxa"/>
                  <w:vAlign w:val="center"/>
                </w:tcPr>
                <w:p>
                  <w:pPr>
                    <w:snapToGrid w:val="0"/>
                    <w:jc w:val="center"/>
                    <w:rPr>
                      <w:szCs w:val="21"/>
                    </w:rPr>
                  </w:pPr>
                  <w:r>
                    <w:rPr>
                      <w:rFonts w:hint="eastAsia"/>
                      <w:szCs w:val="21"/>
                    </w:rPr>
                    <w:t>污染源监测</w:t>
                  </w:r>
                </w:p>
              </w:tc>
              <w:tc>
                <w:tcPr>
                  <w:tcW w:w="2268" w:type="dxa"/>
                  <w:gridSpan w:val="6"/>
                  <w:vAlign w:val="center"/>
                </w:tcPr>
                <w:p>
                  <w:pPr>
                    <w:snapToGrid w:val="0"/>
                    <w:jc w:val="center"/>
                    <w:rPr>
                      <w:szCs w:val="21"/>
                    </w:rPr>
                  </w:pPr>
                  <w:r>
                    <w:rPr>
                      <w:rFonts w:hint="eastAsia"/>
                      <w:szCs w:val="21"/>
                    </w:rPr>
                    <w:t>监测因子（颗粒物）</w:t>
                  </w:r>
                </w:p>
              </w:tc>
              <w:tc>
                <w:tcPr>
                  <w:tcW w:w="2268" w:type="dxa"/>
                  <w:gridSpan w:val="7"/>
                  <w:vAlign w:val="center"/>
                </w:tcPr>
                <w:p>
                  <w:pPr>
                    <w:snapToGrid w:val="0"/>
                    <w:jc w:val="center"/>
                    <w:rPr>
                      <w:szCs w:val="21"/>
                    </w:rPr>
                  </w:pPr>
                  <w:r>
                    <w:rPr>
                      <w:rFonts w:hint="eastAsia"/>
                      <w:szCs w:val="21"/>
                    </w:rPr>
                    <w:t>有组织废气监测</w:t>
                  </w:r>
                  <w:r>
                    <w:rPr>
                      <w:rFonts w:hint="eastAsia" w:ascii="MS Mincho" w:hAnsi="MS Mincho" w:eastAsia="MS Mincho" w:cs="MS Mincho"/>
                      <w:szCs w:val="21"/>
                    </w:rPr>
                    <w:t>☑</w:t>
                  </w:r>
                </w:p>
                <w:p>
                  <w:pPr>
                    <w:snapToGrid w:val="0"/>
                    <w:jc w:val="center"/>
                    <w:rPr>
                      <w:szCs w:val="21"/>
                    </w:rPr>
                  </w:pPr>
                  <w:r>
                    <w:rPr>
                      <w:rFonts w:hint="eastAsia"/>
                      <w:szCs w:val="21"/>
                    </w:rPr>
                    <w:t>无组织废气监测</w:t>
                  </w:r>
                  <w:r>
                    <w:rPr>
                      <w:rFonts w:hint="eastAsia" w:ascii="MS Mincho" w:hAnsi="MS Mincho" w:eastAsia="MS Mincho" w:cs="MS Mincho"/>
                      <w:szCs w:val="21"/>
                    </w:rPr>
                    <w:t>☑</w:t>
                  </w:r>
                </w:p>
              </w:tc>
              <w:tc>
                <w:tcPr>
                  <w:tcW w:w="2190" w:type="dxa"/>
                  <w:gridSpan w:val="5"/>
                  <w:vAlign w:val="center"/>
                </w:tcPr>
                <w:p>
                  <w:pPr>
                    <w:snapToGrid w:val="0"/>
                    <w:jc w:val="center"/>
                    <w:rPr>
                      <w:szCs w:val="21"/>
                    </w:rPr>
                  </w:pPr>
                  <w:r>
                    <w:rPr>
                      <w:rFonts w:hint="eastAsia"/>
                      <w:szCs w:val="21"/>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环境质量监测</w:t>
                  </w:r>
                </w:p>
              </w:tc>
              <w:tc>
                <w:tcPr>
                  <w:tcW w:w="2268" w:type="dxa"/>
                  <w:gridSpan w:val="6"/>
                  <w:vAlign w:val="center"/>
                </w:tcPr>
                <w:p>
                  <w:pPr>
                    <w:snapToGrid w:val="0"/>
                    <w:jc w:val="center"/>
                    <w:rPr>
                      <w:szCs w:val="21"/>
                    </w:rPr>
                  </w:pPr>
                  <w:r>
                    <w:rPr>
                      <w:rFonts w:hint="eastAsia"/>
                      <w:szCs w:val="21"/>
                    </w:rPr>
                    <w:t>监测因子（    ）</w:t>
                  </w:r>
                </w:p>
              </w:tc>
              <w:tc>
                <w:tcPr>
                  <w:tcW w:w="2268" w:type="dxa"/>
                  <w:gridSpan w:val="7"/>
                  <w:vAlign w:val="center"/>
                </w:tcPr>
                <w:p>
                  <w:pPr>
                    <w:snapToGrid w:val="0"/>
                    <w:jc w:val="center"/>
                    <w:rPr>
                      <w:szCs w:val="21"/>
                    </w:rPr>
                  </w:pPr>
                  <w:r>
                    <w:rPr>
                      <w:rFonts w:hint="eastAsia"/>
                      <w:szCs w:val="21"/>
                    </w:rPr>
                    <w:t>监测点位数（    ）</w:t>
                  </w:r>
                </w:p>
              </w:tc>
              <w:tc>
                <w:tcPr>
                  <w:tcW w:w="2190" w:type="dxa"/>
                  <w:gridSpan w:val="5"/>
                  <w:vAlign w:val="center"/>
                </w:tcPr>
                <w:p>
                  <w:pPr>
                    <w:snapToGrid w:val="0"/>
                    <w:jc w:val="center"/>
                    <w:rPr>
                      <w:szCs w:val="21"/>
                    </w:rPr>
                  </w:pPr>
                  <w:r>
                    <w:rPr>
                      <w:rFonts w:hint="eastAsia"/>
                      <w:szCs w:val="21"/>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szCs w:val="21"/>
                    </w:rPr>
                  </w:pPr>
                  <w:r>
                    <w:rPr>
                      <w:rFonts w:hint="eastAsia"/>
                      <w:szCs w:val="21"/>
                    </w:rPr>
                    <w:t>评价结论</w:t>
                  </w:r>
                </w:p>
              </w:tc>
              <w:tc>
                <w:tcPr>
                  <w:tcW w:w="1276" w:type="dxa"/>
                  <w:vAlign w:val="center"/>
                </w:tcPr>
                <w:p>
                  <w:pPr>
                    <w:snapToGrid w:val="0"/>
                    <w:jc w:val="center"/>
                    <w:rPr>
                      <w:szCs w:val="21"/>
                    </w:rPr>
                  </w:pPr>
                  <w:r>
                    <w:rPr>
                      <w:rFonts w:hint="eastAsia"/>
                      <w:szCs w:val="21"/>
                    </w:rPr>
                    <w:t>环境影响</w:t>
                  </w:r>
                </w:p>
              </w:tc>
              <w:tc>
                <w:tcPr>
                  <w:tcW w:w="3363" w:type="dxa"/>
                  <w:gridSpan w:val="9"/>
                  <w:vAlign w:val="center"/>
                </w:tcPr>
                <w:p>
                  <w:pPr>
                    <w:snapToGrid w:val="0"/>
                    <w:jc w:val="center"/>
                    <w:rPr>
                      <w:szCs w:val="21"/>
                    </w:rPr>
                  </w:pPr>
                  <w:r>
                    <w:rPr>
                      <w:rFonts w:hint="eastAsia"/>
                      <w:szCs w:val="21"/>
                    </w:rPr>
                    <w:t>可以接受</w:t>
                  </w:r>
                  <w:r>
                    <w:rPr>
                      <w:rFonts w:hint="eastAsia" w:ascii="MS Mincho" w:hAnsi="MS Mincho" w:eastAsia="MS Mincho" w:cs="MS Mincho"/>
                      <w:szCs w:val="21"/>
                    </w:rPr>
                    <w:t>☑</w:t>
                  </w:r>
                </w:p>
              </w:tc>
              <w:tc>
                <w:tcPr>
                  <w:tcW w:w="3363" w:type="dxa"/>
                  <w:gridSpan w:val="9"/>
                  <w:vAlign w:val="center"/>
                </w:tcPr>
                <w:p>
                  <w:pPr>
                    <w:snapToGrid w:val="0"/>
                    <w:jc w:val="center"/>
                    <w:rPr>
                      <w:szCs w:val="21"/>
                    </w:rPr>
                  </w:pPr>
                  <w:r>
                    <w:rPr>
                      <w:rFonts w:hint="eastAsia"/>
                      <w:szCs w:val="21"/>
                    </w:rPr>
                    <w:t>不可以接受□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大气防护距离</w:t>
                  </w:r>
                </w:p>
              </w:tc>
              <w:tc>
                <w:tcPr>
                  <w:tcW w:w="6726" w:type="dxa"/>
                  <w:gridSpan w:val="18"/>
                  <w:vAlign w:val="center"/>
                </w:tcPr>
                <w:p>
                  <w:pPr>
                    <w:snapToGrid w:val="0"/>
                    <w:jc w:val="center"/>
                    <w:rPr>
                      <w:szCs w:val="21"/>
                    </w:rPr>
                  </w:pPr>
                  <w:r>
                    <w:rPr>
                      <w:rFonts w:hint="eastAsia"/>
                      <w:szCs w:val="21"/>
                    </w:rPr>
                    <w:t>距（）厂界最远距离（）m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szCs w:val="21"/>
                    </w:rPr>
                  </w:pPr>
                </w:p>
              </w:tc>
              <w:tc>
                <w:tcPr>
                  <w:tcW w:w="1276" w:type="dxa"/>
                  <w:vAlign w:val="center"/>
                </w:tcPr>
                <w:p>
                  <w:pPr>
                    <w:snapToGrid w:val="0"/>
                    <w:jc w:val="center"/>
                    <w:rPr>
                      <w:szCs w:val="21"/>
                    </w:rPr>
                  </w:pPr>
                  <w:r>
                    <w:rPr>
                      <w:rFonts w:hint="eastAsia"/>
                      <w:szCs w:val="21"/>
                    </w:rPr>
                    <w:t>污染源年排放量</w:t>
                  </w:r>
                </w:p>
              </w:tc>
              <w:tc>
                <w:tcPr>
                  <w:tcW w:w="1681" w:type="dxa"/>
                  <w:gridSpan w:val="3"/>
                  <w:vAlign w:val="center"/>
                </w:tcPr>
                <w:p>
                  <w:pPr>
                    <w:snapToGrid w:val="0"/>
                    <w:jc w:val="center"/>
                    <w:rPr>
                      <w:szCs w:val="21"/>
                    </w:rPr>
                  </w:pPr>
                  <w:r>
                    <w:rPr>
                      <w:rFonts w:hint="eastAsia"/>
                      <w:szCs w:val="21"/>
                    </w:rPr>
                    <w:t>SO</w:t>
                  </w:r>
                  <w:r>
                    <w:rPr>
                      <w:rFonts w:hint="eastAsia"/>
                      <w:szCs w:val="21"/>
                      <w:vertAlign w:val="subscript"/>
                    </w:rPr>
                    <w:t>2</w:t>
                  </w:r>
                  <w:r>
                    <w:rPr>
                      <w:rFonts w:hint="eastAsia"/>
                      <w:szCs w:val="21"/>
                    </w:rPr>
                    <w:t>：（  ）t/a</w:t>
                  </w:r>
                </w:p>
              </w:tc>
              <w:tc>
                <w:tcPr>
                  <w:tcW w:w="1682" w:type="dxa"/>
                  <w:gridSpan w:val="6"/>
                  <w:vAlign w:val="center"/>
                </w:tcPr>
                <w:p>
                  <w:pPr>
                    <w:snapToGrid w:val="0"/>
                    <w:jc w:val="center"/>
                    <w:rPr>
                      <w:szCs w:val="21"/>
                    </w:rPr>
                  </w:pPr>
                  <w:r>
                    <w:rPr>
                      <w:rFonts w:hint="eastAsia"/>
                      <w:szCs w:val="21"/>
                    </w:rPr>
                    <w:t>NOx：（  ）t/a</w:t>
                  </w:r>
                </w:p>
              </w:tc>
              <w:tc>
                <w:tcPr>
                  <w:tcW w:w="1681" w:type="dxa"/>
                  <w:gridSpan w:val="6"/>
                  <w:vAlign w:val="center"/>
                </w:tcPr>
                <w:p>
                  <w:pPr>
                    <w:rPr>
                      <w:szCs w:val="21"/>
                    </w:rPr>
                  </w:pPr>
                  <w:r>
                    <w:rPr>
                      <w:szCs w:val="21"/>
                    </w:rPr>
                    <w:t>颗粒物：（）t/a</w:t>
                  </w:r>
                </w:p>
              </w:tc>
              <w:tc>
                <w:tcPr>
                  <w:tcW w:w="1682" w:type="dxa"/>
                  <w:gridSpan w:val="3"/>
                  <w:vAlign w:val="center"/>
                </w:tcPr>
                <w:p>
                  <w:pPr>
                    <w:rPr>
                      <w:szCs w:val="21"/>
                    </w:rPr>
                  </w:pPr>
                  <w:r>
                    <w:rPr>
                      <w:szCs w:val="21"/>
                    </w:rPr>
                    <w:t xml:space="preserve"> VOCs：（）t/a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1" w:type="dxa"/>
                  <w:gridSpan w:val="20"/>
                  <w:vAlign w:val="center"/>
                </w:tcPr>
                <w:p>
                  <w:pPr>
                    <w:snapToGrid w:val="0"/>
                    <w:jc w:val="left"/>
                    <w:rPr>
                      <w:szCs w:val="21"/>
                    </w:rPr>
                  </w:pPr>
                  <w:r>
                    <w:rPr>
                      <w:szCs w:val="21"/>
                    </w:rPr>
                    <w:t>注：“□”为勾选项，可√；“（ ）”为内容填写项。</w:t>
                  </w:r>
                </w:p>
              </w:tc>
            </w:tr>
          </w:tbl>
          <w:p>
            <w:pPr>
              <w:snapToGrid w:val="0"/>
              <w:spacing w:line="360" w:lineRule="auto"/>
              <w:rPr>
                <w:sz w:val="24"/>
              </w:rPr>
            </w:pPr>
            <w:r>
              <w:rPr>
                <w:rFonts w:hint="eastAsia"/>
                <w:sz w:val="24"/>
              </w:rPr>
              <w:t>三、</w:t>
            </w:r>
            <w:r>
              <w:rPr>
                <w:b/>
                <w:bCs/>
                <w:kern w:val="0"/>
                <w:sz w:val="24"/>
              </w:rPr>
              <w:t>噪声环境影响分析</w:t>
            </w:r>
          </w:p>
          <w:p>
            <w:pPr>
              <w:pStyle w:val="61"/>
              <w:snapToGrid w:val="0"/>
              <w:spacing w:before="0" w:line="360" w:lineRule="auto"/>
            </w:pPr>
            <w:r>
              <w:t>本项目</w:t>
            </w:r>
            <w:r>
              <w:rPr>
                <w:rFonts w:hint="eastAsia"/>
              </w:rPr>
              <w:t>主要噪声源为设备工作时候产生的噪声。本评价预测中考虑了声源所在空间位置及设备安装情况以及声波在空气中扩散传播所遇各种衰减因素的影响。预测评价中，选用原现状监测中厂界背景值测点作为预测点。</w:t>
            </w:r>
          </w:p>
          <w:p>
            <w:pPr>
              <w:pStyle w:val="61"/>
              <w:snapToGrid w:val="0"/>
              <w:spacing w:before="0" w:line="360" w:lineRule="auto"/>
              <w:rPr>
                <w:rFonts w:ascii="宋体" w:hAnsi="宋体"/>
              </w:rPr>
            </w:pPr>
            <w:r>
              <w:rPr>
                <w:rFonts w:hint="eastAsia" w:ascii="宋体" w:hAnsi="宋体"/>
              </w:rPr>
              <w:t>选择《环境影响评价技术导则－声环境》</w:t>
            </w:r>
            <w:r>
              <w:rPr>
                <w:rFonts w:hAnsi="宋体"/>
              </w:rPr>
              <w:t>（</w:t>
            </w:r>
            <w:r>
              <w:rPr>
                <w:spacing w:val="-4"/>
              </w:rPr>
              <w:t>HJ2.4</w:t>
            </w:r>
            <w:r>
              <w:rPr>
                <w:rFonts w:hAnsi="宋体"/>
                <w:spacing w:val="-4"/>
              </w:rPr>
              <w:t>－</w:t>
            </w:r>
            <w:r>
              <w:rPr>
                <w:spacing w:val="-4"/>
              </w:rPr>
              <w:t>2009</w:t>
            </w:r>
            <w:r>
              <w:rPr>
                <w:rFonts w:hAnsi="宋体"/>
              </w:rPr>
              <w:t>）</w:t>
            </w:r>
            <w:r>
              <w:rPr>
                <w:rFonts w:hint="eastAsia" w:ascii="宋体" w:hAnsi="宋体"/>
              </w:rPr>
              <w:t>中推荐的半自由声场点声源衰减模式，具体模式如下：</w:t>
            </w:r>
          </w:p>
          <w:p>
            <w:pPr>
              <w:adjustRightInd w:val="0"/>
              <w:snapToGrid w:val="0"/>
              <w:spacing w:line="360" w:lineRule="auto"/>
              <w:ind w:firstLine="1160" w:firstLineChars="500"/>
              <w:rPr>
                <w:rFonts w:ascii="宋体" w:hAnsi="宋体"/>
                <w:spacing w:val="-4"/>
                <w:sz w:val="24"/>
              </w:rPr>
            </w:pPr>
            <w:r>
              <w:rPr>
                <w:rFonts w:hint="eastAsia" w:ascii="宋体" w:hAnsi="宋体"/>
                <w:spacing w:val="-4"/>
                <w:sz w:val="24"/>
              </w:rPr>
              <w:t>L</w:t>
            </w:r>
            <w:r>
              <w:rPr>
                <w:rFonts w:hint="eastAsia" w:ascii="宋体" w:hAnsi="宋体"/>
                <w:spacing w:val="-4"/>
                <w:sz w:val="24"/>
                <w:vertAlign w:val="subscript"/>
              </w:rPr>
              <w:t>A（r）</w:t>
            </w:r>
            <w:r>
              <w:rPr>
                <w:rFonts w:hint="eastAsia" w:ascii="宋体" w:hAnsi="宋体"/>
                <w:spacing w:val="-4"/>
                <w:sz w:val="24"/>
              </w:rPr>
              <w:t>=L</w:t>
            </w:r>
            <w:r>
              <w:rPr>
                <w:rFonts w:hint="eastAsia" w:ascii="宋体" w:hAnsi="宋体"/>
                <w:spacing w:val="-4"/>
                <w:sz w:val="24"/>
                <w:vertAlign w:val="subscript"/>
              </w:rPr>
              <w:t>Aref（r0</w:t>
            </w:r>
            <w:r>
              <w:rPr>
                <w:rFonts w:ascii="宋体" w:hAnsi="宋体"/>
                <w:spacing w:val="-4"/>
                <w:sz w:val="24"/>
                <w:vertAlign w:val="subscript"/>
              </w:rPr>
              <w:t>）</w:t>
            </w:r>
            <w:r>
              <w:rPr>
                <w:rFonts w:hint="eastAsia" w:ascii="宋体" w:hAnsi="宋体"/>
                <w:spacing w:val="-4"/>
                <w:sz w:val="24"/>
              </w:rPr>
              <w:t>－</w:t>
            </w:r>
            <w:r>
              <w:rPr>
                <w:rFonts w:ascii="宋体" w:hAnsi="宋体"/>
                <w:spacing w:val="-4"/>
                <w:sz w:val="24"/>
              </w:rPr>
              <w:t>（</w:t>
            </w:r>
            <w:r>
              <w:rPr>
                <w:rFonts w:hint="eastAsia" w:ascii="宋体" w:hAnsi="宋体"/>
                <w:spacing w:val="-4"/>
                <w:sz w:val="24"/>
              </w:rPr>
              <w:t>A</w:t>
            </w:r>
            <w:r>
              <w:rPr>
                <w:rFonts w:ascii="宋体" w:hAnsi="宋体"/>
                <w:spacing w:val="-4"/>
                <w:sz w:val="24"/>
                <w:vertAlign w:val="subscript"/>
              </w:rPr>
              <w:t>div</w:t>
            </w:r>
            <w:r>
              <w:rPr>
                <w:rFonts w:ascii="宋体" w:hAnsi="宋体"/>
                <w:spacing w:val="-4"/>
                <w:sz w:val="24"/>
              </w:rPr>
              <w:t>+</w:t>
            </w:r>
            <w:r>
              <w:rPr>
                <w:rFonts w:hint="eastAsia" w:ascii="宋体" w:hAnsi="宋体"/>
                <w:spacing w:val="-4"/>
                <w:sz w:val="24"/>
              </w:rPr>
              <w:t>A</w:t>
            </w:r>
            <w:r>
              <w:rPr>
                <w:rFonts w:ascii="宋体" w:hAnsi="宋体"/>
                <w:spacing w:val="-4"/>
                <w:sz w:val="24"/>
                <w:vertAlign w:val="subscript"/>
              </w:rPr>
              <w:t>bar</w:t>
            </w:r>
            <w:r>
              <w:rPr>
                <w:rFonts w:ascii="宋体" w:hAnsi="宋体"/>
                <w:spacing w:val="-4"/>
                <w:sz w:val="24"/>
              </w:rPr>
              <w:t>+</w:t>
            </w:r>
            <w:r>
              <w:rPr>
                <w:rFonts w:hint="eastAsia" w:ascii="宋体" w:hAnsi="宋体"/>
                <w:spacing w:val="-4"/>
                <w:sz w:val="24"/>
              </w:rPr>
              <w:t>A</w:t>
            </w:r>
            <w:r>
              <w:rPr>
                <w:rFonts w:ascii="宋体" w:hAnsi="宋体"/>
                <w:spacing w:val="-4"/>
                <w:sz w:val="24"/>
                <w:vertAlign w:val="subscript"/>
              </w:rPr>
              <w:t>atm</w:t>
            </w:r>
            <w:r>
              <w:rPr>
                <w:rFonts w:ascii="宋体" w:hAnsi="宋体"/>
                <w:spacing w:val="-4"/>
                <w:sz w:val="24"/>
              </w:rPr>
              <w:t>+</w:t>
            </w:r>
            <w:r>
              <w:rPr>
                <w:rFonts w:hint="eastAsia" w:ascii="宋体" w:hAnsi="宋体"/>
                <w:spacing w:val="-4"/>
                <w:sz w:val="24"/>
              </w:rPr>
              <w:t>A</w:t>
            </w:r>
            <w:r>
              <w:rPr>
                <w:rFonts w:ascii="宋体" w:hAnsi="宋体"/>
                <w:spacing w:val="-4"/>
                <w:sz w:val="24"/>
                <w:vertAlign w:val="subscript"/>
              </w:rPr>
              <w:t>exc</w:t>
            </w:r>
            <w:r>
              <w:rPr>
                <w:rFonts w:ascii="宋体" w:hAnsi="宋体"/>
                <w:spacing w:val="-4"/>
                <w:sz w:val="24"/>
              </w:rPr>
              <w:t>）</w:t>
            </w:r>
          </w:p>
          <w:p>
            <w:pPr>
              <w:adjustRightInd w:val="0"/>
              <w:snapToGrid w:val="0"/>
              <w:spacing w:line="360" w:lineRule="auto"/>
              <w:ind w:firstLine="464" w:firstLineChars="200"/>
              <w:rPr>
                <w:rFonts w:ascii="宋体" w:hAnsi="宋体"/>
                <w:spacing w:val="-4"/>
                <w:sz w:val="24"/>
              </w:rPr>
            </w:pPr>
            <w:r>
              <w:rPr>
                <w:rFonts w:hint="eastAsia" w:ascii="宋体" w:hAnsi="宋体"/>
                <w:spacing w:val="-4"/>
                <w:sz w:val="24"/>
              </w:rPr>
              <w:t>式中：L</w:t>
            </w:r>
            <w:r>
              <w:rPr>
                <w:rFonts w:hint="eastAsia" w:ascii="宋体" w:hAnsi="宋体"/>
                <w:spacing w:val="-4"/>
                <w:sz w:val="24"/>
                <w:vertAlign w:val="subscript"/>
              </w:rPr>
              <w:t>A（r）</w:t>
            </w:r>
            <w:r>
              <w:rPr>
                <w:rFonts w:hint="eastAsia" w:ascii="宋体" w:hAnsi="宋体"/>
                <w:spacing w:val="-4"/>
                <w:sz w:val="24"/>
              </w:rPr>
              <w:t>——距离声源r处A声级，dB（A）；</w:t>
            </w:r>
          </w:p>
          <w:p>
            <w:pPr>
              <w:adjustRightInd w:val="0"/>
              <w:snapToGrid w:val="0"/>
              <w:spacing w:line="360" w:lineRule="auto"/>
              <w:ind w:firstLine="1160" w:firstLineChars="500"/>
              <w:rPr>
                <w:rFonts w:ascii="宋体" w:hAnsi="宋体"/>
                <w:sz w:val="24"/>
              </w:rPr>
            </w:pPr>
            <w:r>
              <w:rPr>
                <w:rFonts w:hint="eastAsia" w:ascii="宋体" w:hAnsi="宋体"/>
                <w:spacing w:val="-4"/>
                <w:sz w:val="24"/>
              </w:rPr>
              <w:t>A</w:t>
            </w:r>
            <w:r>
              <w:rPr>
                <w:rFonts w:hint="eastAsia" w:ascii="宋体" w:hAnsi="宋体"/>
                <w:spacing w:val="-4"/>
                <w:sz w:val="24"/>
                <w:vertAlign w:val="subscript"/>
              </w:rPr>
              <w:t>Aref（r0</w:t>
            </w:r>
            <w:r>
              <w:rPr>
                <w:rFonts w:ascii="宋体" w:hAnsi="宋体"/>
                <w:spacing w:val="-4"/>
                <w:sz w:val="24"/>
                <w:vertAlign w:val="subscript"/>
              </w:rPr>
              <w:t>）</w:t>
            </w:r>
            <w:r>
              <w:rPr>
                <w:rFonts w:hint="eastAsia" w:ascii="宋体" w:hAnsi="宋体"/>
                <w:spacing w:val="-4"/>
                <w:sz w:val="24"/>
              </w:rPr>
              <w:t>——参考位置r</w:t>
            </w:r>
            <w:r>
              <w:rPr>
                <w:rFonts w:hint="eastAsia" w:ascii="宋体" w:hAnsi="宋体"/>
                <w:spacing w:val="-4"/>
                <w:sz w:val="24"/>
                <w:vertAlign w:val="subscript"/>
              </w:rPr>
              <w:t>0</w:t>
            </w:r>
            <w:r>
              <w:rPr>
                <w:rFonts w:hint="eastAsia" w:ascii="宋体" w:hAnsi="宋体"/>
                <w:spacing w:val="-4"/>
                <w:sz w:val="24"/>
              </w:rPr>
              <w:t>处A声级，dB（A）；</w:t>
            </w:r>
          </w:p>
          <w:p>
            <w:pPr>
              <w:adjustRightInd w:val="0"/>
              <w:snapToGrid w:val="0"/>
              <w:spacing w:line="360" w:lineRule="auto"/>
              <w:ind w:firstLine="1160" w:firstLineChars="500"/>
              <w:rPr>
                <w:rFonts w:ascii="宋体" w:hAnsi="宋体"/>
                <w:spacing w:val="-4"/>
                <w:sz w:val="24"/>
              </w:rPr>
            </w:pPr>
            <w:r>
              <w:rPr>
                <w:rFonts w:hint="eastAsia" w:ascii="宋体" w:hAnsi="宋体"/>
                <w:spacing w:val="-4"/>
                <w:sz w:val="24"/>
              </w:rPr>
              <w:t>A</w:t>
            </w:r>
            <w:r>
              <w:rPr>
                <w:rFonts w:ascii="宋体" w:hAnsi="宋体"/>
                <w:spacing w:val="-4"/>
                <w:sz w:val="24"/>
                <w:vertAlign w:val="subscript"/>
              </w:rPr>
              <w:t>div</w:t>
            </w:r>
            <w:r>
              <w:rPr>
                <w:rFonts w:hint="eastAsia" w:ascii="宋体" w:hAnsi="宋体"/>
                <w:spacing w:val="-4"/>
                <w:sz w:val="24"/>
              </w:rPr>
              <w:t>——声波几何发散引起的A声级衰减量，dB（A）；</w:t>
            </w:r>
          </w:p>
          <w:p>
            <w:pPr>
              <w:adjustRightInd w:val="0"/>
              <w:snapToGrid w:val="0"/>
              <w:spacing w:line="360" w:lineRule="auto"/>
              <w:ind w:firstLine="1160" w:firstLineChars="500"/>
              <w:rPr>
                <w:rFonts w:ascii="宋体" w:hAnsi="宋体"/>
                <w:spacing w:val="-4"/>
                <w:sz w:val="24"/>
              </w:rPr>
            </w:pPr>
            <w:r>
              <w:rPr>
                <w:rFonts w:hint="eastAsia" w:ascii="宋体" w:hAnsi="宋体"/>
                <w:spacing w:val="-4"/>
                <w:sz w:val="24"/>
              </w:rPr>
              <w:t>A</w:t>
            </w:r>
            <w:r>
              <w:rPr>
                <w:rFonts w:ascii="宋体" w:hAnsi="宋体"/>
                <w:spacing w:val="-4"/>
                <w:sz w:val="24"/>
                <w:vertAlign w:val="subscript"/>
              </w:rPr>
              <w:t>bar</w:t>
            </w:r>
            <w:r>
              <w:rPr>
                <w:rFonts w:hint="eastAsia" w:ascii="宋体" w:hAnsi="宋体"/>
                <w:spacing w:val="-4"/>
                <w:sz w:val="24"/>
              </w:rPr>
              <w:t>——遮挡物引起的A声级衰减量，dB（A）；</w:t>
            </w:r>
          </w:p>
          <w:p>
            <w:pPr>
              <w:adjustRightInd w:val="0"/>
              <w:snapToGrid w:val="0"/>
              <w:spacing w:line="360" w:lineRule="auto"/>
              <w:ind w:firstLine="1160" w:firstLineChars="500"/>
              <w:rPr>
                <w:rFonts w:ascii="宋体" w:hAnsi="宋体"/>
                <w:spacing w:val="-4"/>
                <w:sz w:val="24"/>
              </w:rPr>
            </w:pPr>
            <w:r>
              <w:rPr>
                <w:rFonts w:hint="eastAsia" w:ascii="宋体" w:hAnsi="宋体"/>
                <w:spacing w:val="-4"/>
                <w:sz w:val="24"/>
              </w:rPr>
              <w:t>A</w:t>
            </w:r>
            <w:r>
              <w:rPr>
                <w:rFonts w:ascii="宋体" w:hAnsi="宋体"/>
                <w:spacing w:val="-4"/>
                <w:sz w:val="24"/>
                <w:vertAlign w:val="subscript"/>
              </w:rPr>
              <w:t>atm</w:t>
            </w:r>
            <w:r>
              <w:rPr>
                <w:rFonts w:hint="eastAsia" w:ascii="宋体" w:hAnsi="宋体"/>
                <w:spacing w:val="-4"/>
                <w:sz w:val="24"/>
              </w:rPr>
              <w:t>——空气吸收引起的A声级衰减量，dB（A）；</w:t>
            </w:r>
          </w:p>
          <w:p>
            <w:pPr>
              <w:adjustRightInd w:val="0"/>
              <w:snapToGrid w:val="0"/>
              <w:spacing w:line="360" w:lineRule="auto"/>
              <w:ind w:firstLine="1160" w:firstLineChars="500"/>
              <w:rPr>
                <w:rFonts w:ascii="宋体" w:hAnsi="宋体"/>
                <w:sz w:val="24"/>
              </w:rPr>
            </w:pPr>
            <w:r>
              <w:rPr>
                <w:rFonts w:hint="eastAsia" w:ascii="宋体" w:hAnsi="宋体"/>
                <w:spacing w:val="-4"/>
                <w:sz w:val="24"/>
              </w:rPr>
              <w:t>A</w:t>
            </w:r>
            <w:r>
              <w:rPr>
                <w:rFonts w:ascii="宋体" w:hAnsi="宋体"/>
                <w:spacing w:val="-4"/>
                <w:sz w:val="24"/>
                <w:vertAlign w:val="subscript"/>
              </w:rPr>
              <w:t>exc</w:t>
            </w:r>
            <w:r>
              <w:rPr>
                <w:rFonts w:hint="eastAsia" w:ascii="宋体" w:hAnsi="宋体"/>
                <w:spacing w:val="-4"/>
                <w:sz w:val="24"/>
              </w:rPr>
              <w:t>——附加A声级衰减量，dB（A）。</w:t>
            </w:r>
          </w:p>
          <w:p>
            <w:pPr>
              <w:pStyle w:val="61"/>
              <w:snapToGrid w:val="0"/>
              <w:spacing w:before="0" w:line="360" w:lineRule="auto"/>
              <w:rPr>
                <w:rFonts w:ascii="宋体" w:hAnsi="宋体"/>
              </w:rPr>
            </w:pPr>
            <w:r>
              <w:rPr>
                <w:rFonts w:hint="eastAsia" w:ascii="宋体" w:hAnsi="宋体"/>
              </w:rPr>
              <w:t>根据上述公式，对主要生产设备噪声值进行叠加计算，预测项目实施后对厂界的影响。</w:t>
            </w:r>
          </w:p>
          <w:p>
            <w:pPr>
              <w:pStyle w:val="61"/>
              <w:snapToGrid w:val="0"/>
              <w:spacing w:before="0" w:line="360" w:lineRule="auto"/>
              <w:rPr>
                <w:rFonts w:ascii="宋体" w:hAnsi="宋体"/>
              </w:rPr>
            </w:pPr>
            <w:r>
              <w:rPr>
                <w:rFonts w:hint="eastAsia" w:ascii="宋体" w:hAnsi="宋体"/>
              </w:rPr>
              <w:t>（2）预测参数确定</w:t>
            </w:r>
          </w:p>
          <w:p>
            <w:pPr>
              <w:pStyle w:val="61"/>
              <w:snapToGrid w:val="0"/>
              <w:spacing w:before="0" w:line="360" w:lineRule="auto"/>
              <w:rPr>
                <w:rFonts w:ascii="宋体" w:hAnsi="宋体"/>
                <w:spacing w:val="-4"/>
              </w:rPr>
            </w:pPr>
            <w:r>
              <w:rPr>
                <w:rFonts w:hint="eastAsia" w:ascii="宋体" w:hAnsi="宋体"/>
              </w:rPr>
              <w:t>①几何发散衰</w:t>
            </w:r>
            <w:r>
              <w:rPr>
                <w:rFonts w:hint="eastAsia" w:ascii="宋体" w:hAnsi="宋体"/>
                <w:spacing w:val="-4"/>
              </w:rPr>
              <w:t>减量A</w:t>
            </w:r>
            <w:r>
              <w:rPr>
                <w:rFonts w:ascii="宋体" w:hAnsi="宋体"/>
                <w:spacing w:val="-4"/>
                <w:vertAlign w:val="subscript"/>
              </w:rPr>
              <w:t>div</w:t>
            </w:r>
          </w:p>
          <w:p>
            <w:pPr>
              <w:pStyle w:val="61"/>
              <w:snapToGrid w:val="0"/>
              <w:spacing w:before="0" w:line="360" w:lineRule="auto"/>
              <w:ind w:firstLine="464"/>
              <w:rPr>
                <w:rFonts w:ascii="宋体" w:hAnsi="宋体"/>
                <w:spacing w:val="-4"/>
              </w:rPr>
            </w:pPr>
            <w:r>
              <w:rPr>
                <w:rFonts w:hint="eastAsia" w:ascii="宋体" w:hAnsi="宋体"/>
                <w:spacing w:val="-4"/>
              </w:rPr>
              <w:t>对于无指向性点声源，几何发散衰减量公式为：</w:t>
            </w:r>
          </w:p>
          <w:p>
            <w:pPr>
              <w:pStyle w:val="13"/>
              <w:snapToGrid w:val="0"/>
              <w:ind w:firstLine="464"/>
              <w:jc w:val="center"/>
              <w:rPr>
                <w:spacing w:val="-4"/>
                <w:lang w:val="pt-BR"/>
              </w:rPr>
            </w:pPr>
            <w:r>
              <w:rPr>
                <w:rFonts w:hint="eastAsia"/>
                <w:spacing w:val="-4"/>
                <w:lang w:val="pt-BR"/>
              </w:rPr>
              <w:t>A</w:t>
            </w:r>
            <w:r>
              <w:rPr>
                <w:spacing w:val="-4"/>
                <w:vertAlign w:val="subscript"/>
                <w:lang w:val="pt-BR"/>
              </w:rPr>
              <w:t>div</w:t>
            </w:r>
            <w:r>
              <w:rPr>
                <w:rFonts w:hint="eastAsia"/>
                <w:spacing w:val="-4"/>
                <w:lang w:val="pt-BR"/>
              </w:rPr>
              <w:t>＝20lg（r/r</w:t>
            </w:r>
            <w:r>
              <w:rPr>
                <w:rFonts w:hint="eastAsia"/>
                <w:spacing w:val="-4"/>
                <w:vertAlign w:val="subscript"/>
                <w:lang w:val="pt-BR"/>
              </w:rPr>
              <w:t>0</w:t>
            </w:r>
            <w:r>
              <w:rPr>
                <w:rFonts w:hint="eastAsia"/>
                <w:spacing w:val="-4"/>
                <w:lang w:val="pt-BR"/>
              </w:rPr>
              <w:t>）</w:t>
            </w:r>
          </w:p>
          <w:p>
            <w:pPr>
              <w:pStyle w:val="61"/>
              <w:snapToGrid w:val="0"/>
              <w:spacing w:before="0" w:line="360" w:lineRule="auto"/>
              <w:rPr>
                <w:rFonts w:ascii="宋体" w:hAnsi="宋体"/>
              </w:rPr>
            </w:pPr>
            <w:r>
              <w:rPr>
                <w:rFonts w:hint="eastAsia" w:ascii="宋体" w:hAnsi="宋体"/>
              </w:rPr>
              <w:t>②遮挡物衰减量A</w:t>
            </w:r>
            <w:r>
              <w:rPr>
                <w:rFonts w:ascii="宋体" w:hAnsi="宋体"/>
                <w:vertAlign w:val="subscript"/>
              </w:rPr>
              <w:t>ba</w:t>
            </w:r>
          </w:p>
          <w:p>
            <w:pPr>
              <w:pStyle w:val="61"/>
              <w:snapToGrid w:val="0"/>
              <w:spacing w:before="0" w:line="360" w:lineRule="auto"/>
              <w:rPr>
                <w:rFonts w:ascii="宋体" w:hAnsi="宋体"/>
              </w:rPr>
            </w:pPr>
            <w:r>
              <w:rPr>
                <w:rFonts w:hint="eastAsia" w:ascii="宋体" w:hAnsi="宋体"/>
              </w:rPr>
              <w:t>噪声源辐射的噪声由室内传播至室外遇到围墙或建筑物等障碍物时引起的能量衰减。对于安装在厂房内的设备，预测时主要考虑厂房墙壁等围栏结构产生的衰减量。</w:t>
            </w:r>
          </w:p>
          <w:p>
            <w:pPr>
              <w:pStyle w:val="61"/>
              <w:snapToGrid w:val="0"/>
              <w:spacing w:before="0" w:line="360" w:lineRule="auto"/>
              <w:rPr>
                <w:rFonts w:ascii="宋体" w:hAnsi="宋体"/>
              </w:rPr>
            </w:pPr>
            <w:r>
              <w:rPr>
                <w:rFonts w:hint="eastAsia" w:ascii="宋体" w:hAnsi="宋体"/>
              </w:rPr>
              <w:t>③空气吸收衰减量A</w:t>
            </w:r>
            <w:r>
              <w:rPr>
                <w:rFonts w:ascii="宋体" w:hAnsi="宋体"/>
                <w:vertAlign w:val="subscript"/>
              </w:rPr>
              <w:t>atm</w:t>
            </w:r>
          </w:p>
          <w:p>
            <w:pPr>
              <w:pStyle w:val="61"/>
              <w:snapToGrid w:val="0"/>
              <w:spacing w:before="0" w:line="360" w:lineRule="auto"/>
              <w:rPr>
                <w:rFonts w:ascii="宋体" w:hAnsi="宋体"/>
              </w:rPr>
            </w:pPr>
            <w:r>
              <w:rPr>
                <w:rFonts w:hint="eastAsia" w:ascii="宋体" w:hAnsi="宋体"/>
              </w:rPr>
              <w:t>空气吸收衰减量与几何发散衰减量相比很小，计算中忽略空气吸收衰减量。</w:t>
            </w:r>
          </w:p>
          <w:p>
            <w:pPr>
              <w:pStyle w:val="61"/>
              <w:snapToGrid w:val="0"/>
              <w:spacing w:before="0" w:line="360" w:lineRule="auto"/>
              <w:rPr>
                <w:rFonts w:ascii="宋体" w:hAnsi="宋体"/>
              </w:rPr>
            </w:pPr>
            <w:r>
              <w:rPr>
                <w:rFonts w:hint="eastAsia" w:ascii="宋体" w:hAnsi="宋体"/>
              </w:rPr>
              <w:t>④附加衰减量A</w:t>
            </w:r>
            <w:r>
              <w:rPr>
                <w:rFonts w:ascii="宋体" w:hAnsi="宋体"/>
                <w:vertAlign w:val="subscript"/>
              </w:rPr>
              <w:t>exc</w:t>
            </w:r>
          </w:p>
          <w:p>
            <w:pPr>
              <w:pStyle w:val="61"/>
              <w:snapToGrid w:val="0"/>
              <w:spacing w:before="0" w:line="360" w:lineRule="auto"/>
              <w:rPr>
                <w:rFonts w:ascii="宋体" w:hAnsi="宋体"/>
              </w:rPr>
            </w:pPr>
            <w:r>
              <w:rPr>
                <w:rFonts w:hint="eastAsia" w:ascii="宋体" w:hAnsi="宋体"/>
              </w:rPr>
              <w:t>当预测距离</w:t>
            </w:r>
            <w:r>
              <w:rPr>
                <w:rFonts w:hAnsi="宋体"/>
              </w:rPr>
              <w:t>大于</w:t>
            </w:r>
            <w:r>
              <w:t>50m</w:t>
            </w:r>
            <w:r>
              <w:rPr>
                <w:rFonts w:hAnsi="宋体"/>
              </w:rPr>
              <w:t>且声源与预测点的高度差小于</w:t>
            </w:r>
            <w:r>
              <w:t>3m</w:t>
            </w:r>
            <w:r>
              <w:rPr>
                <w:rFonts w:hAnsi="宋体"/>
              </w:rPr>
              <w:t>时，主要考虑地面效应引起的附加衰减量</w:t>
            </w:r>
            <w:r>
              <w:t>[</w:t>
            </w:r>
            <w:r>
              <w:rPr>
                <w:rFonts w:hAnsi="宋体"/>
              </w:rPr>
              <w:t>上限为</w:t>
            </w:r>
            <w:r>
              <w:t>10dB</w:t>
            </w:r>
            <w:r>
              <w:rPr>
                <w:rFonts w:hAnsi="宋体"/>
              </w:rPr>
              <w:t>（</w:t>
            </w:r>
            <w:r>
              <w:t>A</w:t>
            </w:r>
            <w:r>
              <w:rPr>
                <w:rFonts w:hAnsi="宋体"/>
              </w:rPr>
              <w:t>）</w:t>
            </w:r>
            <w:r>
              <w:t>]</w:t>
            </w:r>
            <w:r>
              <w:rPr>
                <w:rFonts w:hAnsi="宋体"/>
              </w:rPr>
              <w:t>，否则忽</w:t>
            </w:r>
            <w:r>
              <w:rPr>
                <w:rFonts w:hint="eastAsia" w:ascii="宋体" w:hAnsi="宋体"/>
              </w:rPr>
              <w:t>略附加衰减量：</w:t>
            </w:r>
          </w:p>
          <w:p>
            <w:pPr>
              <w:pStyle w:val="16"/>
              <w:snapToGrid w:val="0"/>
              <w:spacing w:line="360" w:lineRule="auto"/>
              <w:ind w:firstLine="570"/>
              <w:rPr>
                <w:rFonts w:hAnsi="宋体"/>
                <w:sz w:val="24"/>
              </w:rPr>
            </w:pPr>
            <w:r>
              <w:rPr>
                <w:rFonts w:hint="eastAsia" w:hAnsi="宋体"/>
                <w:spacing w:val="-4"/>
                <w:sz w:val="24"/>
                <w:lang w:val="pt-BR"/>
              </w:rPr>
              <w:t>A</w:t>
            </w:r>
            <w:r>
              <w:rPr>
                <w:rFonts w:hAnsi="宋体"/>
                <w:spacing w:val="-4"/>
                <w:sz w:val="24"/>
                <w:vertAlign w:val="subscript"/>
                <w:lang w:val="pt-BR"/>
              </w:rPr>
              <w:t>exc</w:t>
            </w:r>
            <w:r>
              <w:rPr>
                <w:rFonts w:hint="eastAsia" w:hAnsi="宋体"/>
                <w:spacing w:val="-4"/>
                <w:sz w:val="24"/>
                <w:lang w:val="pt-BR"/>
              </w:rPr>
              <w:t>＝5lg（r/r</w:t>
            </w:r>
            <w:r>
              <w:rPr>
                <w:rFonts w:hint="eastAsia" w:hAnsi="宋体"/>
                <w:spacing w:val="-4"/>
                <w:sz w:val="24"/>
                <w:vertAlign w:val="subscript"/>
                <w:lang w:val="pt-BR"/>
              </w:rPr>
              <w:t>0</w:t>
            </w:r>
            <w:r>
              <w:rPr>
                <w:rFonts w:hint="eastAsia" w:hAnsi="宋体"/>
                <w:spacing w:val="-4"/>
                <w:sz w:val="24"/>
                <w:lang w:val="pt-BR"/>
              </w:rPr>
              <w:t>）</w:t>
            </w:r>
          </w:p>
          <w:p>
            <w:pPr>
              <w:snapToGrid w:val="0"/>
              <w:spacing w:line="360" w:lineRule="auto"/>
              <w:ind w:firstLine="480" w:firstLineChars="200"/>
              <w:rPr>
                <w:sz w:val="24"/>
              </w:rPr>
            </w:pPr>
            <w:r>
              <w:rPr>
                <w:rFonts w:hint="eastAsia"/>
                <w:sz w:val="24"/>
              </w:rPr>
              <w:t>预测结果及评价：</w:t>
            </w:r>
          </w:p>
          <w:p>
            <w:pPr>
              <w:pStyle w:val="16"/>
              <w:snapToGrid w:val="0"/>
              <w:spacing w:line="360" w:lineRule="auto"/>
              <w:ind w:firstLine="570"/>
              <w:rPr>
                <w:b/>
                <w:bCs/>
              </w:rPr>
            </w:pPr>
            <w:r>
              <w:rPr>
                <w:rFonts w:hint="eastAsia"/>
                <w:sz w:val="24"/>
              </w:rPr>
              <w:t>项目在设备选型过程中充分考虑了声学指标，尽量选用低噪设备，厂房在土建施工中采用隔声、吸音材料处理，设备的安装设计中采用了一系列减振降噪措施，生产厂房的隔声、吸音效果较好，因此，厂房外1米处声级比声源声级有大幅降低。</w:t>
            </w:r>
          </w:p>
          <w:p>
            <w:pPr>
              <w:snapToGrid w:val="0"/>
              <w:jc w:val="center"/>
              <w:rPr>
                <w:b/>
                <w:szCs w:val="21"/>
              </w:rPr>
            </w:pPr>
            <w:r>
              <w:rPr>
                <w:rFonts w:hint="eastAsia"/>
                <w:b/>
                <w:szCs w:val="21"/>
              </w:rPr>
              <w:t>表3</w:t>
            </w:r>
            <w:r>
              <w:rPr>
                <w:rFonts w:hint="eastAsia"/>
                <w:b/>
                <w:szCs w:val="21"/>
                <w:lang w:val="en-US" w:eastAsia="zh-CN"/>
              </w:rPr>
              <w:t>6</w:t>
            </w:r>
            <w:r>
              <w:rPr>
                <w:rFonts w:hint="eastAsia"/>
                <w:b/>
                <w:szCs w:val="21"/>
              </w:rPr>
              <w:t>厂界外噪声的预测值 单位dB（A）</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3295"/>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Merge w:val="restart"/>
                  <w:vAlign w:val="center"/>
                </w:tcPr>
                <w:p>
                  <w:pPr>
                    <w:pStyle w:val="13"/>
                    <w:snapToGrid w:val="0"/>
                    <w:spacing w:line="240" w:lineRule="auto"/>
                    <w:ind w:firstLine="0" w:firstLineChars="0"/>
                    <w:jc w:val="center"/>
                    <w:rPr>
                      <w:rFonts w:ascii="Times New Roman" w:hAnsi="Times New Roman"/>
                      <w:bCs/>
                      <w:sz w:val="21"/>
                    </w:rPr>
                  </w:pPr>
                  <w:r>
                    <w:rPr>
                      <w:rFonts w:ascii="Times New Roman"/>
                      <w:bCs/>
                      <w:sz w:val="21"/>
                    </w:rPr>
                    <w:t>序号</w:t>
                  </w:r>
                </w:p>
              </w:tc>
              <w:tc>
                <w:tcPr>
                  <w:tcW w:w="2225" w:type="dxa"/>
                  <w:vMerge w:val="restart"/>
                  <w:vAlign w:val="center"/>
                </w:tcPr>
                <w:p>
                  <w:pPr>
                    <w:pStyle w:val="13"/>
                    <w:snapToGrid w:val="0"/>
                    <w:spacing w:line="240" w:lineRule="auto"/>
                    <w:ind w:firstLine="0" w:firstLineChars="0"/>
                    <w:jc w:val="center"/>
                    <w:rPr>
                      <w:rFonts w:ascii="Times New Roman" w:hAnsi="Times New Roman"/>
                      <w:bCs/>
                      <w:sz w:val="21"/>
                    </w:rPr>
                  </w:pPr>
                  <w:r>
                    <w:rPr>
                      <w:rFonts w:ascii="Times New Roman"/>
                      <w:bCs/>
                      <w:sz w:val="21"/>
                    </w:rPr>
                    <w:t>预测点</w:t>
                  </w:r>
                </w:p>
              </w:tc>
              <w:tc>
                <w:tcPr>
                  <w:tcW w:w="2725" w:type="dxa"/>
                  <w:vAlign w:val="center"/>
                </w:tcPr>
                <w:p>
                  <w:pPr>
                    <w:pStyle w:val="13"/>
                    <w:snapToGrid w:val="0"/>
                    <w:spacing w:line="240" w:lineRule="auto"/>
                    <w:ind w:firstLine="0" w:firstLineChars="0"/>
                    <w:jc w:val="center"/>
                    <w:rPr>
                      <w:rFonts w:ascii="Times New Roman" w:hAnsi="Times New Roman"/>
                      <w:bCs/>
                      <w:sz w:val="21"/>
                    </w:rPr>
                  </w:pPr>
                  <w:r>
                    <w:rPr>
                      <w:rFonts w:hint="eastAsia" w:ascii="Times New Roman"/>
                      <w:bCs/>
                      <w:sz w:val="21"/>
                    </w:rPr>
                    <w:t xml:space="preserve">贡献值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Merge w:val="continue"/>
                  <w:vAlign w:val="center"/>
                </w:tcPr>
                <w:p>
                  <w:pPr>
                    <w:pStyle w:val="13"/>
                    <w:snapToGrid w:val="0"/>
                    <w:spacing w:line="240" w:lineRule="auto"/>
                    <w:ind w:firstLine="0" w:firstLineChars="0"/>
                    <w:jc w:val="center"/>
                    <w:rPr>
                      <w:rFonts w:ascii="Times New Roman" w:hAnsi="Times New Roman"/>
                      <w:bCs/>
                      <w:sz w:val="21"/>
                    </w:rPr>
                  </w:pPr>
                </w:p>
              </w:tc>
              <w:tc>
                <w:tcPr>
                  <w:tcW w:w="2225" w:type="dxa"/>
                  <w:vMerge w:val="continue"/>
                  <w:vAlign w:val="center"/>
                </w:tcPr>
                <w:p>
                  <w:pPr>
                    <w:pStyle w:val="13"/>
                    <w:snapToGrid w:val="0"/>
                    <w:spacing w:line="240" w:lineRule="auto"/>
                    <w:ind w:firstLine="0" w:firstLineChars="0"/>
                    <w:jc w:val="center"/>
                    <w:rPr>
                      <w:rFonts w:ascii="Times New Roman" w:hAnsi="Times New Roman"/>
                      <w:bCs/>
                      <w:sz w:val="21"/>
                    </w:rPr>
                  </w:pPr>
                </w:p>
              </w:tc>
              <w:tc>
                <w:tcPr>
                  <w:tcW w:w="2725" w:type="dxa"/>
                  <w:vAlign w:val="center"/>
                </w:tcPr>
                <w:p>
                  <w:pPr>
                    <w:pStyle w:val="13"/>
                    <w:snapToGrid w:val="0"/>
                    <w:spacing w:line="240" w:lineRule="auto"/>
                    <w:ind w:firstLine="0" w:firstLineChars="0"/>
                    <w:jc w:val="center"/>
                    <w:rPr>
                      <w:rFonts w:ascii="Times New Roman" w:hAnsi="Times New Roman"/>
                      <w:bCs/>
                      <w:sz w:val="21"/>
                    </w:rPr>
                  </w:pPr>
                  <w:r>
                    <w:rPr>
                      <w:rFonts w:ascii="Times New Roman"/>
                      <w:bCs/>
                      <w:sz w:val="21"/>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pStyle w:val="13"/>
                    <w:snapToGrid w:val="0"/>
                    <w:spacing w:line="240" w:lineRule="auto"/>
                    <w:ind w:firstLine="0" w:firstLineChars="0"/>
                    <w:jc w:val="center"/>
                    <w:rPr>
                      <w:rFonts w:ascii="Times New Roman" w:hAnsi="Times New Roman"/>
                      <w:bCs/>
                      <w:sz w:val="21"/>
                    </w:rPr>
                  </w:pPr>
                  <w:r>
                    <w:rPr>
                      <w:rFonts w:ascii="Times New Roman" w:hAnsi="Times New Roman"/>
                      <w:bCs/>
                      <w:sz w:val="21"/>
                    </w:rPr>
                    <w:t>1</w:t>
                  </w:r>
                </w:p>
              </w:tc>
              <w:tc>
                <w:tcPr>
                  <w:tcW w:w="2225" w:type="dxa"/>
                  <w:vAlign w:val="center"/>
                </w:tcPr>
                <w:p>
                  <w:pPr>
                    <w:pStyle w:val="13"/>
                    <w:snapToGrid w:val="0"/>
                    <w:spacing w:line="240" w:lineRule="auto"/>
                    <w:ind w:firstLine="0" w:firstLineChars="0"/>
                    <w:jc w:val="center"/>
                    <w:rPr>
                      <w:rFonts w:ascii="Times New Roman" w:hAnsi="Times New Roman"/>
                      <w:bCs/>
                      <w:sz w:val="21"/>
                    </w:rPr>
                  </w:pPr>
                  <w:r>
                    <w:rPr>
                      <w:rFonts w:ascii="Times New Roman"/>
                      <w:bCs/>
                      <w:sz w:val="21"/>
                    </w:rPr>
                    <w:t>东厂界</w:t>
                  </w:r>
                </w:p>
              </w:tc>
              <w:tc>
                <w:tcPr>
                  <w:tcW w:w="2725" w:type="dxa"/>
                  <w:vAlign w:val="center"/>
                </w:tcPr>
                <w:p>
                  <w:pPr>
                    <w:pStyle w:val="13"/>
                    <w:snapToGrid w:val="0"/>
                    <w:spacing w:line="240" w:lineRule="auto"/>
                    <w:ind w:firstLine="0" w:firstLineChars="0"/>
                    <w:jc w:val="center"/>
                    <w:rPr>
                      <w:rFonts w:ascii="Times New Roman" w:hAnsi="Times New Roman"/>
                      <w:bCs/>
                      <w:sz w:val="21"/>
                    </w:rPr>
                  </w:pPr>
                  <w:r>
                    <w:rPr>
                      <w:rFonts w:hint="eastAsia" w:ascii="Times New Roman" w:hAnsi="Times New Roman"/>
                      <w:bCs/>
                      <w:sz w:val="21"/>
                    </w:rPr>
                    <w:t>49</w:t>
                  </w:r>
                  <w:r>
                    <w:rPr>
                      <w:rFonts w:ascii="Times New Roman" w:hAnsi="Times New Roman"/>
                      <w:bCs/>
                      <w:sz w:val="21"/>
                    </w:rPr>
                    <w:t>.</w:t>
                  </w:r>
                  <w:r>
                    <w:rPr>
                      <w:rFonts w:hint="eastAsia" w:ascii="Times New Roman" w:hAnsi="Times New Roman"/>
                      <w:bCs/>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pStyle w:val="13"/>
                    <w:snapToGrid w:val="0"/>
                    <w:spacing w:line="240" w:lineRule="auto"/>
                    <w:ind w:firstLine="0" w:firstLineChars="0"/>
                    <w:jc w:val="center"/>
                    <w:rPr>
                      <w:rFonts w:ascii="Times New Roman" w:hAnsi="Times New Roman"/>
                      <w:bCs/>
                      <w:sz w:val="21"/>
                    </w:rPr>
                  </w:pPr>
                  <w:r>
                    <w:rPr>
                      <w:rFonts w:ascii="Times New Roman" w:hAnsi="Times New Roman"/>
                      <w:bCs/>
                      <w:sz w:val="21"/>
                    </w:rPr>
                    <w:t>2</w:t>
                  </w:r>
                </w:p>
              </w:tc>
              <w:tc>
                <w:tcPr>
                  <w:tcW w:w="2225" w:type="dxa"/>
                  <w:vAlign w:val="center"/>
                </w:tcPr>
                <w:p>
                  <w:pPr>
                    <w:pStyle w:val="13"/>
                    <w:snapToGrid w:val="0"/>
                    <w:spacing w:line="240" w:lineRule="auto"/>
                    <w:ind w:firstLine="0" w:firstLineChars="0"/>
                    <w:jc w:val="center"/>
                    <w:rPr>
                      <w:rFonts w:ascii="Times New Roman" w:hAnsi="Times New Roman"/>
                      <w:bCs/>
                      <w:sz w:val="21"/>
                    </w:rPr>
                  </w:pPr>
                  <w:r>
                    <w:rPr>
                      <w:rFonts w:ascii="Times New Roman"/>
                      <w:bCs/>
                      <w:sz w:val="21"/>
                    </w:rPr>
                    <w:t>西厂界</w:t>
                  </w:r>
                </w:p>
              </w:tc>
              <w:tc>
                <w:tcPr>
                  <w:tcW w:w="2725" w:type="dxa"/>
                  <w:vAlign w:val="center"/>
                </w:tcPr>
                <w:p>
                  <w:pPr>
                    <w:pStyle w:val="13"/>
                    <w:snapToGrid w:val="0"/>
                    <w:spacing w:line="240" w:lineRule="auto"/>
                    <w:ind w:firstLine="0" w:firstLineChars="0"/>
                    <w:jc w:val="center"/>
                    <w:rPr>
                      <w:rFonts w:ascii="Times New Roman" w:hAnsi="Times New Roman"/>
                      <w:bCs/>
                      <w:sz w:val="21"/>
                    </w:rPr>
                  </w:pPr>
                  <w:r>
                    <w:rPr>
                      <w:rFonts w:hint="eastAsia" w:ascii="Times New Roman" w:hAnsi="Times New Roman"/>
                      <w:bCs/>
                      <w:sz w:val="21"/>
                    </w:rPr>
                    <w:t>4</w:t>
                  </w:r>
                  <w:r>
                    <w:rPr>
                      <w:rFonts w:hint="eastAsia" w:ascii="Times New Roman" w:hAnsi="Times New Roman"/>
                      <w:bCs/>
                      <w:sz w:val="21"/>
                      <w:lang w:val="en-US" w:eastAsia="zh-CN"/>
                    </w:rPr>
                    <w:t>5</w:t>
                  </w:r>
                  <w:r>
                    <w:rPr>
                      <w:rFonts w:ascii="Times New Roman" w:hAnsi="Times New Roman"/>
                      <w:bCs/>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pStyle w:val="13"/>
                    <w:snapToGrid w:val="0"/>
                    <w:spacing w:line="240" w:lineRule="auto"/>
                    <w:ind w:firstLine="0" w:firstLineChars="0"/>
                    <w:jc w:val="center"/>
                    <w:rPr>
                      <w:rFonts w:ascii="Times New Roman" w:hAnsi="Times New Roman"/>
                      <w:bCs/>
                      <w:sz w:val="21"/>
                    </w:rPr>
                  </w:pPr>
                  <w:r>
                    <w:rPr>
                      <w:rFonts w:ascii="Times New Roman" w:hAnsi="Times New Roman"/>
                      <w:bCs/>
                      <w:sz w:val="21"/>
                    </w:rPr>
                    <w:t>3</w:t>
                  </w:r>
                </w:p>
              </w:tc>
              <w:tc>
                <w:tcPr>
                  <w:tcW w:w="2225" w:type="dxa"/>
                  <w:vAlign w:val="center"/>
                </w:tcPr>
                <w:p>
                  <w:pPr>
                    <w:pStyle w:val="13"/>
                    <w:snapToGrid w:val="0"/>
                    <w:spacing w:line="240" w:lineRule="auto"/>
                    <w:ind w:firstLine="0" w:firstLineChars="0"/>
                    <w:jc w:val="center"/>
                    <w:rPr>
                      <w:rFonts w:ascii="Times New Roman" w:hAnsi="Times New Roman"/>
                      <w:bCs/>
                      <w:sz w:val="21"/>
                    </w:rPr>
                  </w:pPr>
                  <w:r>
                    <w:rPr>
                      <w:rFonts w:ascii="Times New Roman"/>
                      <w:bCs/>
                      <w:sz w:val="21"/>
                    </w:rPr>
                    <w:t>南厂界</w:t>
                  </w:r>
                </w:p>
              </w:tc>
              <w:tc>
                <w:tcPr>
                  <w:tcW w:w="2725" w:type="dxa"/>
                  <w:vAlign w:val="center"/>
                </w:tcPr>
                <w:p>
                  <w:pPr>
                    <w:pStyle w:val="13"/>
                    <w:snapToGrid w:val="0"/>
                    <w:spacing w:line="240" w:lineRule="auto"/>
                    <w:ind w:firstLine="0" w:firstLineChars="0"/>
                    <w:jc w:val="center"/>
                    <w:rPr>
                      <w:rFonts w:ascii="Times New Roman" w:hAnsi="Times New Roman"/>
                      <w:bCs/>
                      <w:sz w:val="21"/>
                    </w:rPr>
                  </w:pPr>
                  <w:r>
                    <w:rPr>
                      <w:rFonts w:hint="eastAsia" w:ascii="Times New Roman" w:hAnsi="Times New Roman"/>
                      <w:bCs/>
                      <w:sz w:val="21"/>
                      <w:lang w:val="en-US" w:eastAsia="zh-CN"/>
                    </w:rPr>
                    <w:t>5</w:t>
                  </w:r>
                  <w:r>
                    <w:rPr>
                      <w:rFonts w:hint="eastAsia" w:ascii="Times New Roman" w:hAnsi="Times New Roman"/>
                      <w:bCs/>
                      <w:sz w:val="21"/>
                    </w:rPr>
                    <w:t>3</w:t>
                  </w:r>
                  <w:r>
                    <w:rPr>
                      <w:rFonts w:ascii="Times New Roman" w:hAnsi="Times New Roman"/>
                      <w:bCs/>
                      <w:sz w:val="21"/>
                    </w:rPr>
                    <w:t>.</w:t>
                  </w:r>
                  <w:r>
                    <w:rPr>
                      <w:rFonts w:hint="eastAsia" w:ascii="Times New Roman" w:hAnsi="Times New Roman"/>
                      <w:bCs/>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Align w:val="center"/>
                </w:tcPr>
                <w:p>
                  <w:pPr>
                    <w:pStyle w:val="13"/>
                    <w:snapToGrid w:val="0"/>
                    <w:spacing w:line="240" w:lineRule="auto"/>
                    <w:ind w:firstLine="0" w:firstLineChars="0"/>
                    <w:jc w:val="center"/>
                    <w:rPr>
                      <w:rFonts w:ascii="Times New Roman" w:hAnsi="Times New Roman"/>
                      <w:bCs/>
                      <w:sz w:val="21"/>
                    </w:rPr>
                  </w:pPr>
                  <w:r>
                    <w:rPr>
                      <w:rFonts w:ascii="Times New Roman" w:hAnsi="Times New Roman"/>
                      <w:bCs/>
                      <w:sz w:val="21"/>
                    </w:rPr>
                    <w:t>4</w:t>
                  </w:r>
                </w:p>
              </w:tc>
              <w:tc>
                <w:tcPr>
                  <w:tcW w:w="2225" w:type="dxa"/>
                  <w:vAlign w:val="center"/>
                </w:tcPr>
                <w:p>
                  <w:pPr>
                    <w:pStyle w:val="13"/>
                    <w:snapToGrid w:val="0"/>
                    <w:spacing w:line="240" w:lineRule="auto"/>
                    <w:ind w:firstLine="0" w:firstLineChars="0"/>
                    <w:jc w:val="center"/>
                    <w:rPr>
                      <w:rFonts w:ascii="Times New Roman" w:hAnsi="Times New Roman"/>
                      <w:bCs/>
                      <w:sz w:val="21"/>
                    </w:rPr>
                  </w:pPr>
                  <w:r>
                    <w:rPr>
                      <w:rFonts w:ascii="Times New Roman"/>
                      <w:bCs/>
                      <w:sz w:val="21"/>
                    </w:rPr>
                    <w:t>北厂界</w:t>
                  </w:r>
                </w:p>
              </w:tc>
              <w:tc>
                <w:tcPr>
                  <w:tcW w:w="2725" w:type="dxa"/>
                  <w:vAlign w:val="center"/>
                </w:tcPr>
                <w:p>
                  <w:pPr>
                    <w:pStyle w:val="13"/>
                    <w:snapToGrid w:val="0"/>
                    <w:spacing w:line="240" w:lineRule="auto"/>
                    <w:ind w:firstLine="0" w:firstLineChars="0"/>
                    <w:jc w:val="center"/>
                    <w:rPr>
                      <w:rFonts w:ascii="Times New Roman" w:hAnsi="Times New Roman"/>
                      <w:bCs/>
                      <w:sz w:val="21"/>
                    </w:rPr>
                  </w:pPr>
                  <w:r>
                    <w:rPr>
                      <w:rFonts w:hint="eastAsia" w:ascii="Times New Roman" w:hAnsi="Times New Roman"/>
                      <w:bCs/>
                      <w:sz w:val="21"/>
                      <w:lang w:val="en-US" w:eastAsia="zh-CN"/>
                    </w:rPr>
                    <w:t>58</w:t>
                  </w:r>
                  <w:r>
                    <w:rPr>
                      <w:rFonts w:ascii="Times New Roman" w:hAnsi="Times New Roman"/>
                      <w:bCs/>
                      <w:sz w:val="21"/>
                    </w:rPr>
                    <w:t>.8</w:t>
                  </w:r>
                </w:p>
              </w:tc>
            </w:tr>
          </w:tbl>
          <w:p>
            <w:pPr>
              <w:pStyle w:val="4"/>
              <w:spacing w:before="0" w:line="360" w:lineRule="auto"/>
              <w:ind w:firstLine="480" w:firstLineChars="200"/>
              <w:contextualSpacing/>
              <w:rPr>
                <w:rFonts w:hint="eastAsia"/>
                <w:b w:val="0"/>
                <w:sz w:val="24"/>
                <w:szCs w:val="24"/>
              </w:rPr>
            </w:pPr>
            <w:r>
              <w:rPr>
                <w:rFonts w:hint="eastAsia"/>
                <w:b w:val="0"/>
                <w:sz w:val="24"/>
                <w:szCs w:val="24"/>
              </w:rPr>
              <w:t>由表3</w:t>
            </w:r>
            <w:r>
              <w:rPr>
                <w:rFonts w:hint="eastAsia"/>
                <w:b w:val="0"/>
                <w:sz w:val="24"/>
                <w:szCs w:val="24"/>
                <w:lang w:val="en-US" w:eastAsia="zh-CN"/>
              </w:rPr>
              <w:t>6</w:t>
            </w:r>
            <w:r>
              <w:rPr>
                <w:rFonts w:hint="eastAsia"/>
                <w:b w:val="0"/>
                <w:sz w:val="24"/>
                <w:szCs w:val="24"/>
              </w:rPr>
              <w:t>可知，拟建项目运行期主要噪声源对厂界的噪声预测值为低于</w:t>
            </w:r>
            <w:r>
              <w:rPr>
                <w:b w:val="0"/>
                <w:sz w:val="24"/>
              </w:rPr>
              <w:t>《工业企业厂界环境噪声排放标准》</w:t>
            </w:r>
            <w:r>
              <w:rPr>
                <w:rFonts w:hint="eastAsia"/>
                <w:b w:val="0"/>
                <w:sz w:val="24"/>
              </w:rPr>
              <w:t>（</w:t>
            </w:r>
            <w:r>
              <w:rPr>
                <w:b w:val="0"/>
                <w:sz w:val="24"/>
              </w:rPr>
              <w:t>GB12348-2008</w:t>
            </w:r>
            <w:r>
              <w:rPr>
                <w:rFonts w:hint="eastAsia"/>
                <w:b w:val="0"/>
                <w:sz w:val="24"/>
              </w:rPr>
              <w:t>）</w:t>
            </w:r>
            <w:r>
              <w:rPr>
                <w:b w:val="0"/>
                <w:sz w:val="24"/>
                <w:szCs w:val="24"/>
              </w:rPr>
              <w:t>中</w:t>
            </w:r>
            <w:r>
              <w:rPr>
                <w:rFonts w:hint="eastAsia"/>
                <w:b w:val="0"/>
                <w:sz w:val="24"/>
                <w:szCs w:val="24"/>
              </w:rPr>
              <w:t>3</w:t>
            </w:r>
            <w:r>
              <w:rPr>
                <w:b w:val="0"/>
                <w:sz w:val="24"/>
                <w:szCs w:val="24"/>
              </w:rPr>
              <w:t>类标准</w:t>
            </w:r>
            <w:r>
              <w:rPr>
                <w:rFonts w:hint="eastAsia"/>
                <w:b w:val="0"/>
                <w:sz w:val="24"/>
                <w:szCs w:val="24"/>
              </w:rPr>
              <w:t>。因此，可做到厂界噪声达标排放，不会对周围声环境质量产生明显的不利影响，本项目对噪声的防治措施是可行的</w:t>
            </w:r>
          </w:p>
          <w:p>
            <w:pPr>
              <w:autoSpaceDE w:val="0"/>
              <w:autoSpaceDN w:val="0"/>
              <w:adjustRightInd w:val="0"/>
              <w:snapToGrid w:val="0"/>
              <w:spacing w:line="360" w:lineRule="auto"/>
              <w:contextualSpacing/>
              <w:rPr>
                <w:b/>
                <w:bCs/>
                <w:kern w:val="0"/>
                <w:sz w:val="24"/>
              </w:rPr>
            </w:pPr>
            <w:r>
              <w:rPr>
                <w:b/>
                <w:bCs/>
                <w:kern w:val="0"/>
                <w:sz w:val="24"/>
              </w:rPr>
              <w:t>四、固体废物环境影响分析</w:t>
            </w:r>
          </w:p>
          <w:p>
            <w:pPr>
              <w:snapToGrid w:val="0"/>
              <w:spacing w:line="360" w:lineRule="auto"/>
              <w:contextualSpacing/>
              <w:rPr>
                <w:b/>
                <w:sz w:val="24"/>
                <w:szCs w:val="21"/>
              </w:rPr>
            </w:pPr>
            <w:r>
              <w:rPr>
                <w:b/>
                <w:sz w:val="24"/>
                <w:szCs w:val="21"/>
              </w:rPr>
              <w:t>1、固废产生、处理及排放情况</w:t>
            </w:r>
          </w:p>
          <w:p>
            <w:pPr>
              <w:snapToGrid w:val="0"/>
              <w:spacing w:line="360" w:lineRule="auto"/>
              <w:ind w:firstLine="480" w:firstLineChars="200"/>
              <w:contextualSpacing/>
              <w:rPr>
                <w:bCs/>
                <w:sz w:val="24"/>
              </w:rPr>
            </w:pPr>
            <w:r>
              <w:rPr>
                <w:bCs/>
                <w:sz w:val="24"/>
                <w:szCs w:val="24"/>
              </w:rPr>
              <w:t>本项目产生</w:t>
            </w:r>
            <w:r>
              <w:rPr>
                <w:rFonts w:hint="eastAsia"/>
                <w:bCs/>
                <w:sz w:val="24"/>
                <w:szCs w:val="24"/>
              </w:rPr>
              <w:t>的</w:t>
            </w:r>
            <w:r>
              <w:rPr>
                <w:bCs/>
                <w:sz w:val="24"/>
                <w:szCs w:val="24"/>
              </w:rPr>
              <w:t>固废主要为：</w:t>
            </w:r>
            <w:r>
              <w:rPr>
                <w:rFonts w:hint="eastAsia"/>
                <w:sz w:val="24"/>
                <w:szCs w:val="24"/>
              </w:rPr>
              <w:t>生产车间产生边角料、</w:t>
            </w:r>
            <w:r>
              <w:rPr>
                <w:rFonts w:hint="eastAsia"/>
                <w:sz w:val="24"/>
                <w:szCs w:val="24"/>
                <w:lang w:eastAsia="zh-CN"/>
              </w:rPr>
              <w:t>废铝屑</w:t>
            </w:r>
            <w:r>
              <w:rPr>
                <w:rFonts w:hint="eastAsia"/>
                <w:sz w:val="24"/>
                <w:szCs w:val="24"/>
              </w:rPr>
              <w:t>、维修设备产生的含油抹布手套、废乳化液等、职工生活垃圾</w:t>
            </w:r>
            <w:r>
              <w:rPr>
                <w:sz w:val="24"/>
                <w:szCs w:val="24"/>
              </w:rPr>
              <w:t>。</w:t>
            </w:r>
            <w:r>
              <w:rPr>
                <w:rFonts w:hint="eastAsia"/>
                <w:bCs/>
                <w:sz w:val="24"/>
              </w:rPr>
              <w:t>产生的</w:t>
            </w:r>
            <w:r>
              <w:rPr>
                <w:bCs/>
                <w:sz w:val="24"/>
              </w:rPr>
              <w:t>生活垃圾</w:t>
            </w:r>
            <w:r>
              <w:rPr>
                <w:rFonts w:hint="eastAsia"/>
                <w:bCs/>
                <w:sz w:val="24"/>
              </w:rPr>
              <w:t>和含油抹布手套经</w:t>
            </w:r>
            <w:r>
              <w:rPr>
                <w:bCs/>
                <w:sz w:val="24"/>
              </w:rPr>
              <w:t>袋装化后，由环卫部门统一收集</w:t>
            </w:r>
            <w:r>
              <w:rPr>
                <w:rFonts w:hint="eastAsia"/>
                <w:bCs/>
                <w:sz w:val="24"/>
              </w:rPr>
              <w:t>处置。产生的生产车间产生边角料、</w:t>
            </w:r>
            <w:r>
              <w:rPr>
                <w:rFonts w:hint="eastAsia"/>
                <w:bCs/>
                <w:sz w:val="24"/>
                <w:lang w:eastAsia="zh-CN"/>
              </w:rPr>
              <w:t>废铝屑</w:t>
            </w:r>
            <w:r>
              <w:rPr>
                <w:rFonts w:hint="eastAsia"/>
                <w:bCs/>
                <w:sz w:val="24"/>
              </w:rPr>
              <w:t>，收集后暂存于厂区一般固废临时贮存点，定期交物资回收公司回收利用。项目产生的废乳化液，属于危险废物，收集后暂存于项目区危险废物临时贮存点，再交由有资质单位</w:t>
            </w:r>
            <w:r>
              <w:rPr>
                <w:bCs/>
                <w:sz w:val="24"/>
              </w:rPr>
              <w:t>处理。</w:t>
            </w:r>
          </w:p>
          <w:p>
            <w:pPr>
              <w:snapToGrid w:val="0"/>
              <w:spacing w:line="360" w:lineRule="auto"/>
              <w:contextualSpacing/>
              <w:rPr>
                <w:b/>
                <w:kern w:val="0"/>
                <w:sz w:val="24"/>
                <w:szCs w:val="24"/>
              </w:rPr>
            </w:pPr>
            <w:r>
              <w:rPr>
                <w:b/>
                <w:kern w:val="0"/>
                <w:sz w:val="24"/>
                <w:szCs w:val="24"/>
              </w:rPr>
              <w:t>2、固废临时贮存要求</w:t>
            </w:r>
          </w:p>
          <w:p>
            <w:pPr>
              <w:snapToGrid w:val="0"/>
              <w:spacing w:line="360" w:lineRule="auto"/>
              <w:ind w:firstLine="482" w:firstLineChars="200"/>
              <w:contextualSpacing/>
              <w:rPr>
                <w:b/>
                <w:kern w:val="0"/>
                <w:sz w:val="24"/>
                <w:szCs w:val="24"/>
              </w:rPr>
            </w:pPr>
            <w:r>
              <w:rPr>
                <w:b/>
                <w:kern w:val="0"/>
                <w:sz w:val="24"/>
                <w:szCs w:val="24"/>
              </w:rPr>
              <w:t>（1）固废存放场所的设置</w:t>
            </w:r>
          </w:p>
          <w:p>
            <w:pPr>
              <w:snapToGrid w:val="0"/>
              <w:spacing w:line="360" w:lineRule="auto"/>
              <w:ind w:firstLine="480" w:firstLineChars="200"/>
              <w:contextualSpacing/>
              <w:rPr>
                <w:kern w:val="0"/>
                <w:sz w:val="24"/>
                <w:szCs w:val="24"/>
              </w:rPr>
            </w:pPr>
            <w:r>
              <w:rPr>
                <w:kern w:val="0"/>
                <w:sz w:val="24"/>
                <w:szCs w:val="24"/>
              </w:rPr>
              <w:t>项目对各类固废的存放场所设置如下：</w:t>
            </w:r>
          </w:p>
          <w:p>
            <w:pPr>
              <w:snapToGrid w:val="0"/>
              <w:spacing w:line="360" w:lineRule="auto"/>
              <w:ind w:firstLine="480" w:firstLineChars="200"/>
              <w:contextualSpacing/>
              <w:rPr>
                <w:kern w:val="0"/>
                <w:sz w:val="24"/>
                <w:szCs w:val="24"/>
              </w:rPr>
            </w:pPr>
            <w:r>
              <w:rPr>
                <w:rFonts w:hint="eastAsia" w:ascii="宋体" w:hAnsi="宋体" w:cs="宋体"/>
                <w:kern w:val="0"/>
                <w:sz w:val="24"/>
                <w:szCs w:val="24"/>
              </w:rPr>
              <w:t>①</w:t>
            </w:r>
            <w:r>
              <w:rPr>
                <w:kern w:val="0"/>
                <w:sz w:val="24"/>
                <w:szCs w:val="24"/>
              </w:rPr>
              <w:t>危险废物临时贮存场所设置情况：</w:t>
            </w:r>
          </w:p>
          <w:p>
            <w:pPr>
              <w:snapToGrid w:val="0"/>
              <w:spacing w:line="360" w:lineRule="auto"/>
              <w:ind w:firstLine="480" w:firstLineChars="200"/>
              <w:contextualSpacing/>
              <w:rPr>
                <w:sz w:val="24"/>
                <w:szCs w:val="21"/>
              </w:rPr>
            </w:pPr>
            <w:r>
              <w:rPr>
                <w:sz w:val="24"/>
                <w:szCs w:val="21"/>
              </w:rPr>
              <w:t>根据《建设项目危险废物环境影响评价指南》要求，危险废物贮存场所（设施）的名称、位置、占地面积、贮存方式、贮存容积、贮存周期等情况详见下表。</w:t>
            </w:r>
          </w:p>
          <w:p>
            <w:pPr>
              <w:snapToGrid w:val="0"/>
              <w:jc w:val="center"/>
              <w:rPr>
                <w:b/>
                <w:bCs/>
                <w:szCs w:val="21"/>
                <w:lang w:val="zh-CN"/>
              </w:rPr>
            </w:pPr>
            <w:r>
              <w:rPr>
                <w:b/>
                <w:szCs w:val="21"/>
              </w:rPr>
              <w:t>表</w:t>
            </w:r>
            <w:r>
              <w:rPr>
                <w:rFonts w:hint="eastAsia"/>
                <w:b/>
                <w:szCs w:val="21"/>
              </w:rPr>
              <w:t>3</w:t>
            </w:r>
            <w:r>
              <w:rPr>
                <w:rFonts w:hint="eastAsia"/>
                <w:b/>
                <w:szCs w:val="21"/>
                <w:lang w:val="en-US" w:eastAsia="zh-CN"/>
              </w:rPr>
              <w:t>7</w:t>
            </w:r>
            <w:r>
              <w:rPr>
                <w:b/>
                <w:szCs w:val="21"/>
              </w:rPr>
              <w:t>建设项目</w:t>
            </w:r>
            <w:r>
              <w:rPr>
                <w:b/>
                <w:bCs/>
                <w:szCs w:val="21"/>
                <w:lang w:val="zh-CN"/>
              </w:rPr>
              <w:t>危险废物贮存场所（设施）基本情况表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90"/>
              <w:gridCol w:w="1030"/>
              <w:gridCol w:w="875"/>
              <w:gridCol w:w="1185"/>
              <w:gridCol w:w="602"/>
              <w:gridCol w:w="508"/>
              <w:gridCol w:w="1781"/>
              <w:gridCol w:w="92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90" w:type="dxa"/>
                  <w:vAlign w:val="center"/>
                </w:tcPr>
                <w:p>
                  <w:pPr>
                    <w:topLinePunct/>
                    <w:adjustRightInd w:val="0"/>
                    <w:snapToGrid w:val="0"/>
                    <w:jc w:val="center"/>
                    <w:rPr>
                      <w:bCs/>
                      <w:kern w:val="0"/>
                      <w:szCs w:val="21"/>
                    </w:rPr>
                  </w:pPr>
                  <w:r>
                    <w:rPr>
                      <w:bCs/>
                      <w:kern w:val="0"/>
                      <w:szCs w:val="21"/>
                    </w:rPr>
                    <w:t>贮存场所（设施）名称</w:t>
                  </w:r>
                </w:p>
              </w:tc>
              <w:tc>
                <w:tcPr>
                  <w:tcW w:w="1030" w:type="dxa"/>
                  <w:vAlign w:val="center"/>
                </w:tcPr>
                <w:p>
                  <w:pPr>
                    <w:topLinePunct/>
                    <w:adjustRightInd w:val="0"/>
                    <w:snapToGrid w:val="0"/>
                    <w:jc w:val="center"/>
                    <w:rPr>
                      <w:bCs/>
                      <w:kern w:val="0"/>
                      <w:szCs w:val="21"/>
                    </w:rPr>
                  </w:pPr>
                  <w:r>
                    <w:rPr>
                      <w:bCs/>
                      <w:kern w:val="0"/>
                      <w:szCs w:val="21"/>
                    </w:rPr>
                    <w:t>危险废物名称</w:t>
                  </w:r>
                </w:p>
              </w:tc>
              <w:tc>
                <w:tcPr>
                  <w:tcW w:w="875" w:type="dxa"/>
                  <w:vAlign w:val="center"/>
                </w:tcPr>
                <w:p>
                  <w:pPr>
                    <w:topLinePunct/>
                    <w:adjustRightInd w:val="0"/>
                    <w:snapToGrid w:val="0"/>
                    <w:jc w:val="center"/>
                    <w:rPr>
                      <w:bCs/>
                      <w:kern w:val="0"/>
                      <w:szCs w:val="21"/>
                    </w:rPr>
                  </w:pPr>
                  <w:r>
                    <w:rPr>
                      <w:bCs/>
                      <w:kern w:val="0"/>
                      <w:szCs w:val="21"/>
                    </w:rPr>
                    <w:t>危险废物类别</w:t>
                  </w:r>
                </w:p>
              </w:tc>
              <w:tc>
                <w:tcPr>
                  <w:tcW w:w="1185" w:type="dxa"/>
                  <w:vAlign w:val="center"/>
                </w:tcPr>
                <w:p>
                  <w:pPr>
                    <w:topLinePunct/>
                    <w:adjustRightInd w:val="0"/>
                    <w:snapToGrid w:val="0"/>
                    <w:jc w:val="center"/>
                    <w:rPr>
                      <w:bCs/>
                      <w:kern w:val="0"/>
                      <w:szCs w:val="21"/>
                    </w:rPr>
                  </w:pPr>
                  <w:r>
                    <w:rPr>
                      <w:bCs/>
                      <w:kern w:val="0"/>
                      <w:szCs w:val="21"/>
                    </w:rPr>
                    <w:t>危险废物代码</w:t>
                  </w:r>
                </w:p>
              </w:tc>
              <w:tc>
                <w:tcPr>
                  <w:tcW w:w="602" w:type="dxa"/>
                  <w:vAlign w:val="center"/>
                </w:tcPr>
                <w:p>
                  <w:pPr>
                    <w:topLinePunct/>
                    <w:adjustRightInd w:val="0"/>
                    <w:snapToGrid w:val="0"/>
                    <w:jc w:val="center"/>
                    <w:rPr>
                      <w:bCs/>
                      <w:kern w:val="0"/>
                      <w:szCs w:val="21"/>
                    </w:rPr>
                  </w:pPr>
                  <w:r>
                    <w:rPr>
                      <w:bCs/>
                      <w:kern w:val="0"/>
                      <w:szCs w:val="21"/>
                    </w:rPr>
                    <w:t>位置</w:t>
                  </w:r>
                </w:p>
              </w:tc>
              <w:tc>
                <w:tcPr>
                  <w:tcW w:w="508" w:type="dxa"/>
                  <w:vAlign w:val="center"/>
                </w:tcPr>
                <w:p>
                  <w:pPr>
                    <w:topLinePunct/>
                    <w:adjustRightInd w:val="0"/>
                    <w:snapToGrid w:val="0"/>
                    <w:jc w:val="center"/>
                    <w:rPr>
                      <w:bCs/>
                      <w:kern w:val="0"/>
                      <w:szCs w:val="21"/>
                    </w:rPr>
                  </w:pPr>
                  <w:r>
                    <w:rPr>
                      <w:bCs/>
                      <w:kern w:val="0"/>
                      <w:szCs w:val="21"/>
                    </w:rPr>
                    <w:t>占地面积</w:t>
                  </w:r>
                </w:p>
              </w:tc>
              <w:tc>
                <w:tcPr>
                  <w:tcW w:w="1781" w:type="dxa"/>
                  <w:vAlign w:val="center"/>
                </w:tcPr>
                <w:p>
                  <w:pPr>
                    <w:topLinePunct/>
                    <w:adjustRightInd w:val="0"/>
                    <w:snapToGrid w:val="0"/>
                    <w:jc w:val="center"/>
                    <w:rPr>
                      <w:bCs/>
                      <w:kern w:val="0"/>
                      <w:szCs w:val="21"/>
                    </w:rPr>
                  </w:pPr>
                  <w:r>
                    <w:rPr>
                      <w:bCs/>
                      <w:kern w:val="0"/>
                      <w:szCs w:val="21"/>
                    </w:rPr>
                    <w:t>贮存方式</w:t>
                  </w:r>
                </w:p>
              </w:tc>
              <w:tc>
                <w:tcPr>
                  <w:tcW w:w="925" w:type="dxa"/>
                  <w:vAlign w:val="center"/>
                </w:tcPr>
                <w:p>
                  <w:pPr>
                    <w:topLinePunct/>
                    <w:adjustRightInd w:val="0"/>
                    <w:snapToGrid w:val="0"/>
                    <w:jc w:val="center"/>
                    <w:rPr>
                      <w:bCs/>
                      <w:kern w:val="0"/>
                      <w:szCs w:val="21"/>
                    </w:rPr>
                  </w:pPr>
                  <w:r>
                    <w:rPr>
                      <w:bCs/>
                      <w:kern w:val="0"/>
                      <w:szCs w:val="21"/>
                    </w:rPr>
                    <w:t>贮存</w:t>
                  </w:r>
                </w:p>
                <w:p>
                  <w:pPr>
                    <w:topLinePunct/>
                    <w:adjustRightInd w:val="0"/>
                    <w:snapToGrid w:val="0"/>
                    <w:jc w:val="center"/>
                    <w:rPr>
                      <w:bCs/>
                      <w:kern w:val="0"/>
                      <w:szCs w:val="21"/>
                    </w:rPr>
                  </w:pPr>
                  <w:r>
                    <w:rPr>
                      <w:bCs/>
                      <w:kern w:val="0"/>
                      <w:szCs w:val="21"/>
                    </w:rPr>
                    <w:t>能力</w:t>
                  </w:r>
                </w:p>
              </w:tc>
              <w:tc>
                <w:tcPr>
                  <w:tcW w:w="840" w:type="dxa"/>
                  <w:vAlign w:val="center"/>
                </w:tcPr>
                <w:p>
                  <w:pPr>
                    <w:topLinePunct/>
                    <w:adjustRightInd w:val="0"/>
                    <w:snapToGrid w:val="0"/>
                    <w:jc w:val="center"/>
                    <w:rPr>
                      <w:bCs/>
                      <w:kern w:val="0"/>
                      <w:szCs w:val="21"/>
                    </w:rPr>
                  </w:pPr>
                  <w:r>
                    <w:rPr>
                      <w:bCs/>
                      <w:kern w:val="0"/>
                      <w:szCs w:val="21"/>
                    </w:rPr>
                    <w:t>贮存</w:t>
                  </w:r>
                </w:p>
                <w:p>
                  <w:pPr>
                    <w:topLinePunct/>
                    <w:adjustRightInd w:val="0"/>
                    <w:snapToGrid w:val="0"/>
                    <w:jc w:val="center"/>
                    <w:rPr>
                      <w:bCs/>
                      <w:kern w:val="0"/>
                      <w:szCs w:val="21"/>
                    </w:rPr>
                  </w:pPr>
                  <w:r>
                    <w:rPr>
                      <w:bCs/>
                      <w:kern w:val="0"/>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90" w:type="dxa"/>
                  <w:vAlign w:val="center"/>
                </w:tcPr>
                <w:p>
                  <w:pPr>
                    <w:topLinePunct/>
                    <w:adjustRightInd w:val="0"/>
                    <w:snapToGrid w:val="0"/>
                    <w:jc w:val="center"/>
                    <w:rPr>
                      <w:kern w:val="0"/>
                      <w:szCs w:val="21"/>
                    </w:rPr>
                  </w:pPr>
                  <w:r>
                    <w:rPr>
                      <w:kern w:val="0"/>
                      <w:szCs w:val="21"/>
                    </w:rPr>
                    <w:t>危险废物暂存</w:t>
                  </w:r>
                  <w:r>
                    <w:rPr>
                      <w:rFonts w:hint="eastAsia"/>
                      <w:kern w:val="0"/>
                      <w:szCs w:val="21"/>
                    </w:rPr>
                    <w:t>库</w:t>
                  </w:r>
                </w:p>
              </w:tc>
              <w:tc>
                <w:tcPr>
                  <w:tcW w:w="1030" w:type="dxa"/>
                  <w:vAlign w:val="center"/>
                </w:tcPr>
                <w:p>
                  <w:pPr>
                    <w:snapToGrid w:val="0"/>
                    <w:rPr>
                      <w:bCs/>
                      <w:szCs w:val="21"/>
                    </w:rPr>
                  </w:pPr>
                  <w:r>
                    <w:rPr>
                      <w:rFonts w:hint="eastAsia"/>
                      <w:bCs/>
                      <w:szCs w:val="21"/>
                    </w:rPr>
                    <w:t>废乳化液</w:t>
                  </w:r>
                </w:p>
              </w:tc>
              <w:tc>
                <w:tcPr>
                  <w:tcW w:w="875" w:type="dxa"/>
                  <w:vAlign w:val="center"/>
                </w:tcPr>
                <w:p>
                  <w:pPr>
                    <w:autoSpaceDE w:val="0"/>
                    <w:autoSpaceDN w:val="0"/>
                    <w:adjustRightInd w:val="0"/>
                    <w:snapToGrid w:val="0"/>
                    <w:jc w:val="center"/>
                    <w:rPr>
                      <w:kern w:val="0"/>
                      <w:szCs w:val="21"/>
                    </w:rPr>
                  </w:pPr>
                  <w:r>
                    <w:rPr>
                      <w:bCs/>
                      <w:kern w:val="0"/>
                      <w:szCs w:val="21"/>
                    </w:rPr>
                    <w:t>HW</w:t>
                  </w:r>
                  <w:r>
                    <w:rPr>
                      <w:rFonts w:hint="eastAsia"/>
                      <w:bCs/>
                      <w:kern w:val="0"/>
                      <w:szCs w:val="21"/>
                    </w:rPr>
                    <w:t>09</w:t>
                  </w:r>
                </w:p>
              </w:tc>
              <w:tc>
                <w:tcPr>
                  <w:tcW w:w="1185" w:type="dxa"/>
                  <w:vAlign w:val="center"/>
                </w:tcPr>
                <w:p>
                  <w:pPr>
                    <w:snapToGrid w:val="0"/>
                    <w:rPr>
                      <w:bCs/>
                      <w:szCs w:val="21"/>
                    </w:rPr>
                  </w:pPr>
                  <w:r>
                    <w:rPr>
                      <w:rFonts w:hint="eastAsia"/>
                      <w:bCs/>
                      <w:szCs w:val="21"/>
                    </w:rPr>
                    <w:t>900-006-09</w:t>
                  </w:r>
                </w:p>
              </w:tc>
              <w:tc>
                <w:tcPr>
                  <w:tcW w:w="602" w:type="dxa"/>
                  <w:vAlign w:val="center"/>
                </w:tcPr>
                <w:p>
                  <w:pPr>
                    <w:topLinePunct/>
                    <w:adjustRightInd w:val="0"/>
                    <w:snapToGrid w:val="0"/>
                    <w:jc w:val="center"/>
                    <w:rPr>
                      <w:kern w:val="0"/>
                      <w:szCs w:val="21"/>
                    </w:rPr>
                  </w:pPr>
                  <w:r>
                    <w:rPr>
                      <w:rFonts w:hint="eastAsia"/>
                      <w:szCs w:val="21"/>
                    </w:rPr>
                    <w:t>车间西南角</w:t>
                  </w:r>
                </w:p>
              </w:tc>
              <w:tc>
                <w:tcPr>
                  <w:tcW w:w="508" w:type="dxa"/>
                  <w:vAlign w:val="center"/>
                </w:tcPr>
                <w:p>
                  <w:pPr>
                    <w:topLinePunct/>
                    <w:adjustRightInd w:val="0"/>
                    <w:snapToGrid w:val="0"/>
                    <w:jc w:val="center"/>
                    <w:rPr>
                      <w:kern w:val="0"/>
                      <w:szCs w:val="21"/>
                    </w:rPr>
                  </w:pPr>
                  <w:r>
                    <w:rPr>
                      <w:rFonts w:hint="eastAsia"/>
                      <w:kern w:val="0"/>
                      <w:szCs w:val="21"/>
                    </w:rPr>
                    <w:t>10</w:t>
                  </w:r>
                  <w:r>
                    <w:rPr>
                      <w:kern w:val="0"/>
                      <w:szCs w:val="21"/>
                    </w:rPr>
                    <w:t>m</w:t>
                  </w:r>
                  <w:r>
                    <w:rPr>
                      <w:kern w:val="0"/>
                      <w:szCs w:val="21"/>
                      <w:vertAlign w:val="superscript"/>
                    </w:rPr>
                    <w:t>2</w:t>
                  </w:r>
                </w:p>
              </w:tc>
              <w:tc>
                <w:tcPr>
                  <w:tcW w:w="1781" w:type="dxa"/>
                  <w:vAlign w:val="center"/>
                </w:tcPr>
                <w:p>
                  <w:pPr>
                    <w:topLinePunct/>
                    <w:adjustRightInd w:val="0"/>
                    <w:snapToGrid w:val="0"/>
                    <w:jc w:val="center"/>
                    <w:rPr>
                      <w:kern w:val="0"/>
                      <w:szCs w:val="21"/>
                    </w:rPr>
                  </w:pPr>
                  <w:r>
                    <w:rPr>
                      <w:szCs w:val="21"/>
                    </w:rPr>
                    <w:t>按照《危险废物贮存污染控制标准》（GB18597-2001）及2013修改单</w:t>
                  </w:r>
                </w:p>
              </w:tc>
              <w:tc>
                <w:tcPr>
                  <w:tcW w:w="925" w:type="dxa"/>
                  <w:vAlign w:val="center"/>
                </w:tcPr>
                <w:p>
                  <w:pPr>
                    <w:snapToGrid w:val="0"/>
                    <w:rPr>
                      <w:bCs/>
                      <w:szCs w:val="21"/>
                    </w:rPr>
                  </w:pPr>
                  <w:r>
                    <w:rPr>
                      <w:rFonts w:hint="eastAsia"/>
                      <w:bCs/>
                      <w:szCs w:val="21"/>
                      <w:lang w:val="en-US" w:eastAsia="zh-CN"/>
                    </w:rPr>
                    <w:t>1.0</w:t>
                  </w:r>
                  <w:r>
                    <w:rPr>
                      <w:rFonts w:hint="eastAsia"/>
                      <w:bCs/>
                      <w:szCs w:val="21"/>
                    </w:rPr>
                    <w:t>t</w:t>
                  </w:r>
                </w:p>
              </w:tc>
              <w:tc>
                <w:tcPr>
                  <w:tcW w:w="840" w:type="dxa"/>
                  <w:vAlign w:val="center"/>
                </w:tcPr>
                <w:p>
                  <w:pPr>
                    <w:jc w:val="center"/>
                  </w:pPr>
                  <w:r>
                    <w:rPr>
                      <w:rFonts w:hint="eastAsia"/>
                      <w:kern w:val="0"/>
                      <w:szCs w:val="21"/>
                    </w:rPr>
                    <w:t>一年</w:t>
                  </w:r>
                </w:p>
              </w:tc>
            </w:tr>
          </w:tbl>
          <w:p>
            <w:pPr>
              <w:spacing w:line="480" w:lineRule="exact"/>
              <w:ind w:firstLine="480" w:firstLineChars="200"/>
              <w:rPr>
                <w:sz w:val="24"/>
                <w:szCs w:val="21"/>
              </w:rPr>
            </w:pPr>
            <w:r>
              <w:rPr>
                <w:sz w:val="24"/>
                <w:szCs w:val="21"/>
              </w:rPr>
              <w:t>危废临时贮存场所应严格按照《危险废物储存污染控制标准》的要求设计，采取地面硬化防渗，并做好防风、防晒、防雨等设施。危废清理频次一般为六个月左右或根据情况确定是否清理。贮存容器选用符合国家标准的耐腐蚀、不易破损、变形和老化的容器，并按规定在贮存危险废物的容器上贴上标签，详细注明危险废物的名称、重量、成分、特性以及发生泄漏事故时的应急措施和补救办法。</w:t>
            </w:r>
          </w:p>
          <w:p>
            <w:pPr>
              <w:spacing w:line="480" w:lineRule="exact"/>
              <w:ind w:firstLine="480" w:firstLineChars="200"/>
              <w:rPr>
                <w:kern w:val="0"/>
                <w:sz w:val="24"/>
                <w:szCs w:val="24"/>
                <w:highlight w:val="red"/>
              </w:rPr>
            </w:pPr>
            <w:r>
              <w:rPr>
                <w:rFonts w:hint="eastAsia" w:ascii="宋体" w:hAnsi="宋体" w:cs="宋体"/>
                <w:kern w:val="0"/>
                <w:sz w:val="24"/>
                <w:szCs w:val="24"/>
              </w:rPr>
              <w:t>②</w:t>
            </w:r>
            <w:r>
              <w:rPr>
                <w:kern w:val="0"/>
                <w:sz w:val="24"/>
                <w:szCs w:val="24"/>
              </w:rPr>
              <w:t>一般工业固体废物贮存场所设置情况：在</w:t>
            </w:r>
            <w:r>
              <w:rPr>
                <w:rFonts w:hint="eastAsia"/>
                <w:kern w:val="0"/>
                <w:sz w:val="24"/>
                <w:szCs w:val="24"/>
              </w:rPr>
              <w:t>生产车间西南角</w:t>
            </w:r>
            <w:r>
              <w:rPr>
                <w:kern w:val="0"/>
                <w:sz w:val="24"/>
                <w:szCs w:val="24"/>
              </w:rPr>
              <w:t>设置一处</w:t>
            </w:r>
            <w:r>
              <w:rPr>
                <w:rFonts w:hint="eastAsia"/>
                <w:kern w:val="0"/>
                <w:sz w:val="24"/>
                <w:szCs w:val="24"/>
              </w:rPr>
              <w:t>20</w:t>
            </w:r>
            <w:r>
              <w:rPr>
                <w:kern w:val="0"/>
                <w:sz w:val="24"/>
                <w:szCs w:val="24"/>
              </w:rPr>
              <w:t>m</w:t>
            </w:r>
            <w:r>
              <w:rPr>
                <w:kern w:val="0"/>
                <w:sz w:val="24"/>
                <w:szCs w:val="24"/>
                <w:vertAlign w:val="superscript"/>
              </w:rPr>
              <w:t>2</w:t>
            </w:r>
            <w:r>
              <w:rPr>
                <w:kern w:val="0"/>
                <w:sz w:val="24"/>
                <w:szCs w:val="24"/>
              </w:rPr>
              <w:t>一般固废临时贮存场，用于生产固废临时堆放。</w:t>
            </w:r>
          </w:p>
          <w:p>
            <w:pPr>
              <w:spacing w:line="480" w:lineRule="exact"/>
              <w:ind w:firstLine="482" w:firstLineChars="200"/>
              <w:rPr>
                <w:b/>
                <w:kern w:val="0"/>
                <w:sz w:val="24"/>
                <w:szCs w:val="24"/>
              </w:rPr>
            </w:pPr>
            <w:r>
              <w:rPr>
                <w:b/>
                <w:kern w:val="0"/>
                <w:sz w:val="24"/>
                <w:szCs w:val="24"/>
              </w:rPr>
              <w:t>（2）危险固废暂存、转移和安全处置要求</w:t>
            </w:r>
          </w:p>
          <w:p>
            <w:pPr>
              <w:autoSpaceDE w:val="0"/>
              <w:autoSpaceDN w:val="0"/>
              <w:spacing w:line="480" w:lineRule="exact"/>
              <w:ind w:firstLine="480" w:firstLineChars="200"/>
              <w:rPr>
                <w:kern w:val="0"/>
                <w:sz w:val="24"/>
                <w:szCs w:val="23"/>
              </w:rPr>
            </w:pPr>
            <w:r>
              <w:rPr>
                <w:rFonts w:hint="eastAsia" w:ascii="宋体" w:hAnsi="宋体" w:cs="宋体"/>
                <w:kern w:val="0"/>
                <w:sz w:val="24"/>
                <w:szCs w:val="24"/>
              </w:rPr>
              <w:t>①</w:t>
            </w:r>
            <w:r>
              <w:rPr>
                <w:kern w:val="0"/>
                <w:sz w:val="24"/>
                <w:szCs w:val="23"/>
              </w:rPr>
              <w:t>危险固废储存按《危险废物贮存污染控制标准》（GB18597-2001）执行，危废临时贮存场所设置应满足下述要求：</w:t>
            </w:r>
          </w:p>
          <w:p>
            <w:pPr>
              <w:autoSpaceDE w:val="0"/>
              <w:autoSpaceDN w:val="0"/>
              <w:spacing w:line="480" w:lineRule="exact"/>
              <w:ind w:firstLine="480" w:firstLineChars="200"/>
              <w:rPr>
                <w:kern w:val="0"/>
                <w:sz w:val="24"/>
                <w:szCs w:val="24"/>
              </w:rPr>
            </w:pPr>
            <w:r>
              <w:rPr>
                <w:kern w:val="0"/>
                <w:sz w:val="24"/>
                <w:szCs w:val="24"/>
              </w:rPr>
              <w:t>a、采取分区防渗措施，危废库为重点防渗区。</w:t>
            </w:r>
            <w:r>
              <w:rPr>
                <w:kern w:val="0"/>
                <w:sz w:val="24"/>
                <w:szCs w:val="23"/>
              </w:rPr>
              <w:t>危险固废储存按《危险废物贮存污染控制标准》（GB18597-2001）执行，采取室内贮存方式（防风、防晒、防雨），地面采取水泥硬化+环氧树脂防渗，</w:t>
            </w:r>
            <w:r>
              <w:rPr>
                <w:kern w:val="0"/>
                <w:sz w:val="24"/>
                <w:szCs w:val="24"/>
              </w:rPr>
              <w:t>渗透系数不大于1.0×10</w:t>
            </w:r>
            <w:r>
              <w:rPr>
                <w:kern w:val="0"/>
                <w:sz w:val="24"/>
                <w:szCs w:val="24"/>
                <w:vertAlign w:val="superscript"/>
              </w:rPr>
              <w:t>-</w:t>
            </w:r>
            <w:r>
              <w:rPr>
                <w:rFonts w:hint="eastAsia"/>
                <w:kern w:val="0"/>
                <w:sz w:val="24"/>
                <w:szCs w:val="24"/>
                <w:vertAlign w:val="superscript"/>
              </w:rPr>
              <w:t>12</w:t>
            </w:r>
            <w:r>
              <w:rPr>
                <w:kern w:val="0"/>
                <w:sz w:val="24"/>
                <w:szCs w:val="24"/>
              </w:rPr>
              <w:t>cm/s。</w:t>
            </w:r>
          </w:p>
          <w:p>
            <w:pPr>
              <w:autoSpaceDE w:val="0"/>
              <w:autoSpaceDN w:val="0"/>
              <w:spacing w:line="480" w:lineRule="exact"/>
              <w:ind w:firstLine="480" w:firstLineChars="200"/>
              <w:rPr>
                <w:kern w:val="0"/>
                <w:sz w:val="24"/>
                <w:szCs w:val="23"/>
              </w:rPr>
            </w:pPr>
            <w:r>
              <w:rPr>
                <w:kern w:val="0"/>
                <w:sz w:val="24"/>
                <w:szCs w:val="23"/>
              </w:rPr>
              <w:t>b、在常温常压下不水解、不挥发的固体废物可在存放间内分别堆放，其它危险废物要装入容器内，并禁止将不相容（相互反应）的危险废物在同一容器内混装。装载液体、半固体危险废物的容器顶部与液体表面之间保留100mm以上的空间；无法装入正常容器的危险废物可用防漏胶袋盛装；容器上必须粘贴符合GB18597-2001附录A所示的危险废物标签。</w:t>
            </w:r>
          </w:p>
          <w:p>
            <w:pPr>
              <w:autoSpaceDE w:val="0"/>
              <w:autoSpaceDN w:val="0"/>
              <w:spacing w:line="480" w:lineRule="exact"/>
              <w:ind w:firstLine="480" w:firstLineChars="200"/>
              <w:rPr>
                <w:kern w:val="0"/>
                <w:sz w:val="24"/>
                <w:szCs w:val="23"/>
              </w:rPr>
            </w:pPr>
            <w:r>
              <w:rPr>
                <w:kern w:val="0"/>
                <w:sz w:val="24"/>
                <w:szCs w:val="23"/>
              </w:rPr>
              <w:t>c、装载危险废物的容器必须完好无损，材质要满足相应的强度要求，容器材质与衬里要与危险废物相容（不相互反应），液体危险废物可注入开孔直径不超过70mm并有放气孔的桶中。</w:t>
            </w:r>
          </w:p>
          <w:p>
            <w:pPr>
              <w:autoSpaceDE w:val="0"/>
              <w:autoSpaceDN w:val="0"/>
              <w:spacing w:line="480" w:lineRule="exact"/>
              <w:ind w:firstLine="480" w:firstLineChars="200"/>
              <w:rPr>
                <w:kern w:val="0"/>
                <w:sz w:val="24"/>
                <w:szCs w:val="23"/>
              </w:rPr>
            </w:pPr>
            <w:r>
              <w:rPr>
                <w:kern w:val="0"/>
                <w:sz w:val="24"/>
                <w:szCs w:val="23"/>
              </w:rPr>
              <w:t>d、存放间地面与群脚要用兼顾、防渗的材料建筑，并必须与危险废物相容；必须有泄漏液体的收集装置；内部要有安全照明设施和观察窗口；内部场地要有耐腐蚀的硬化地面且表面无裂隙；不相容的危险废物必须分开存放并设有隔离间隔离。</w:t>
            </w:r>
          </w:p>
          <w:p>
            <w:pPr>
              <w:autoSpaceDE w:val="0"/>
              <w:autoSpaceDN w:val="0"/>
              <w:spacing w:line="480" w:lineRule="exact"/>
              <w:ind w:firstLine="480" w:firstLineChars="200"/>
              <w:rPr>
                <w:kern w:val="0"/>
                <w:sz w:val="24"/>
                <w:szCs w:val="23"/>
              </w:rPr>
            </w:pPr>
            <w:r>
              <w:rPr>
                <w:rFonts w:hint="eastAsia" w:ascii="宋体" w:hAnsi="宋体" w:cs="宋体"/>
                <w:kern w:val="0"/>
                <w:sz w:val="24"/>
                <w:szCs w:val="23"/>
              </w:rPr>
              <w:t>②</w:t>
            </w:r>
            <w:r>
              <w:rPr>
                <w:kern w:val="0"/>
                <w:sz w:val="24"/>
                <w:szCs w:val="23"/>
              </w:rPr>
              <w:t>废物贮存容器应有明显标志，具有耐腐蚀、耐压、密封和不与所贮存的废物发生反应等特性。并专人管理、负责暂存工作。在暂存场地应设置醒目的警示标牌，严禁无关人员进入或擅自移动。</w:t>
            </w:r>
          </w:p>
          <w:p>
            <w:pPr>
              <w:autoSpaceDE w:val="0"/>
              <w:autoSpaceDN w:val="0"/>
              <w:spacing w:line="480" w:lineRule="exact"/>
              <w:ind w:firstLine="480" w:firstLineChars="200"/>
              <w:rPr>
                <w:kern w:val="0"/>
                <w:sz w:val="24"/>
                <w:szCs w:val="23"/>
              </w:rPr>
            </w:pPr>
            <w:r>
              <w:rPr>
                <w:rFonts w:hint="eastAsia" w:ascii="宋体" w:hAnsi="宋体" w:cs="宋体"/>
                <w:kern w:val="0"/>
                <w:sz w:val="24"/>
                <w:szCs w:val="23"/>
              </w:rPr>
              <w:t>③</w:t>
            </w:r>
            <w:r>
              <w:rPr>
                <w:kern w:val="0"/>
                <w:sz w:val="24"/>
                <w:szCs w:val="23"/>
              </w:rPr>
              <w:t>贮存场所内禁止混放不相容危险废物。收集、贮存危险废物必须按照危险废物特性分类进行，禁止危险废物混入非危险废物中储存。</w:t>
            </w:r>
          </w:p>
          <w:p>
            <w:pPr>
              <w:autoSpaceDE w:val="0"/>
              <w:autoSpaceDN w:val="0"/>
              <w:spacing w:line="480" w:lineRule="exact"/>
              <w:ind w:firstLine="480" w:firstLineChars="200"/>
              <w:rPr>
                <w:kern w:val="0"/>
                <w:sz w:val="24"/>
                <w:szCs w:val="23"/>
              </w:rPr>
            </w:pPr>
            <w:r>
              <w:rPr>
                <w:rFonts w:hint="eastAsia" w:ascii="宋体" w:hAnsi="宋体" w:cs="宋体"/>
                <w:kern w:val="0"/>
                <w:sz w:val="24"/>
                <w:szCs w:val="23"/>
              </w:rPr>
              <w:t>④</w:t>
            </w:r>
            <w:r>
              <w:rPr>
                <w:kern w:val="0"/>
                <w:sz w:val="24"/>
                <w:szCs w:val="23"/>
              </w:rPr>
              <w:t>直接从事收集、储存危险废物的人员接受专业培训。</w:t>
            </w:r>
          </w:p>
          <w:p>
            <w:pPr>
              <w:autoSpaceDE w:val="0"/>
              <w:autoSpaceDN w:val="0"/>
              <w:spacing w:line="480" w:lineRule="exact"/>
              <w:ind w:firstLine="480" w:firstLineChars="200"/>
              <w:rPr>
                <w:kern w:val="0"/>
                <w:sz w:val="24"/>
                <w:szCs w:val="23"/>
              </w:rPr>
            </w:pPr>
            <w:r>
              <w:rPr>
                <w:rFonts w:hint="eastAsia" w:ascii="宋体" w:hAnsi="宋体" w:cs="宋体"/>
                <w:kern w:val="0"/>
                <w:sz w:val="24"/>
                <w:szCs w:val="23"/>
              </w:rPr>
              <w:t>⑤</w:t>
            </w:r>
            <w:r>
              <w:rPr>
                <w:kern w:val="0"/>
                <w:sz w:val="24"/>
                <w:szCs w:val="23"/>
              </w:rPr>
              <w:t>制订固体废物管理制度，管理人员定期巡视。</w:t>
            </w:r>
          </w:p>
          <w:p>
            <w:pPr>
              <w:autoSpaceDE w:val="0"/>
              <w:autoSpaceDN w:val="0"/>
              <w:spacing w:line="480" w:lineRule="exact"/>
              <w:ind w:firstLine="480" w:firstLineChars="200"/>
              <w:rPr>
                <w:kern w:val="0"/>
                <w:sz w:val="24"/>
                <w:szCs w:val="23"/>
              </w:rPr>
            </w:pPr>
            <w:r>
              <w:rPr>
                <w:rFonts w:hint="eastAsia" w:ascii="宋体" w:hAnsi="宋体" w:cs="宋体"/>
                <w:kern w:val="0"/>
                <w:sz w:val="24"/>
                <w:szCs w:val="23"/>
              </w:rPr>
              <w:t>⑥</w:t>
            </w:r>
            <w:r>
              <w:rPr>
                <w:kern w:val="0"/>
                <w:sz w:val="24"/>
                <w:szCs w:val="23"/>
              </w:rPr>
              <w:t>根据《中华人民共和国固体废物环境污染防治法》规定：对于危险废物，企业应按照国家有关规定进行申报登记，执行联单制度；对危险废物的容器和包装物以及收集、储存、运输、处置危险废物的设施、场所必须设置危险废物识别标志，并且危险废物的储存地应远离生产区，注意通风、防火以免引起火灾，运输过程中必须采取密闭运输等防止污染环境的措施，遵守国家有关危险货物运输管理的规定。严禁在雨天进行危废的运输和转运工作。另据《危险废物贮存污染控制标准》（GB18597-2001）中的规定，危险固废要有专门的容器进行分类贮存，装载危险废物的容器及材质要满足相应的强度要求；必须定期对所贮存的危险废物包装容器及贮存设施进行检查，发现破损，应及时采取措施清理更换；危险废物贮存设施都必须按GB15562.2的规定设置警示标志；危险废物贮存设施内清理出来的泄漏物，一律按危废处理；管理及运输人员必须采取必要的安全防护措施。</w:t>
            </w:r>
          </w:p>
          <w:p>
            <w:pPr>
              <w:spacing w:line="480" w:lineRule="exact"/>
              <w:ind w:firstLine="482" w:firstLineChars="200"/>
              <w:rPr>
                <w:b/>
                <w:kern w:val="0"/>
                <w:sz w:val="24"/>
                <w:szCs w:val="24"/>
              </w:rPr>
            </w:pPr>
            <w:r>
              <w:rPr>
                <w:b/>
                <w:kern w:val="0"/>
                <w:sz w:val="24"/>
                <w:szCs w:val="24"/>
              </w:rPr>
              <w:t>（3）一般固废要求</w:t>
            </w:r>
          </w:p>
          <w:p>
            <w:pPr>
              <w:autoSpaceDE w:val="0"/>
              <w:autoSpaceDN w:val="0"/>
              <w:adjustRightInd w:val="0"/>
              <w:spacing w:line="480" w:lineRule="exact"/>
              <w:ind w:firstLine="480" w:firstLineChars="200"/>
              <w:jc w:val="left"/>
              <w:rPr>
                <w:kern w:val="0"/>
                <w:sz w:val="24"/>
                <w:szCs w:val="23"/>
              </w:rPr>
            </w:pPr>
            <w:r>
              <w:rPr>
                <w:kern w:val="0"/>
                <w:sz w:val="24"/>
                <w:szCs w:val="23"/>
              </w:rPr>
              <w:t>一般工业固废的暂存场所应按照《一般工业固体废物贮存、处置场污染控制标准》（GB18599-2001）及修改单要求建设。</w:t>
            </w:r>
          </w:p>
          <w:p>
            <w:pPr>
              <w:autoSpaceDE w:val="0"/>
              <w:autoSpaceDN w:val="0"/>
              <w:adjustRightInd w:val="0"/>
              <w:spacing w:line="480" w:lineRule="exact"/>
              <w:ind w:firstLine="480" w:firstLineChars="200"/>
              <w:jc w:val="left"/>
              <w:rPr>
                <w:kern w:val="0"/>
                <w:sz w:val="24"/>
                <w:szCs w:val="23"/>
              </w:rPr>
            </w:pPr>
            <w:r>
              <w:rPr>
                <w:rFonts w:hint="eastAsia" w:ascii="宋体" w:hAnsi="宋体" w:cs="宋体"/>
                <w:kern w:val="0"/>
                <w:sz w:val="24"/>
                <w:szCs w:val="23"/>
              </w:rPr>
              <w:t>①</w:t>
            </w:r>
            <w:r>
              <w:rPr>
                <w:kern w:val="0"/>
                <w:sz w:val="24"/>
                <w:szCs w:val="23"/>
              </w:rPr>
              <w:t>贮存、处置场的建设类型，必须与将要堆放的一般工业固体废物的类别相一致；</w:t>
            </w:r>
          </w:p>
          <w:p>
            <w:pPr>
              <w:autoSpaceDE w:val="0"/>
              <w:autoSpaceDN w:val="0"/>
              <w:adjustRightInd w:val="0"/>
              <w:spacing w:line="480" w:lineRule="exact"/>
              <w:ind w:firstLine="480" w:firstLineChars="200"/>
              <w:jc w:val="left"/>
              <w:rPr>
                <w:kern w:val="0"/>
                <w:sz w:val="24"/>
                <w:szCs w:val="23"/>
              </w:rPr>
            </w:pPr>
            <w:r>
              <w:rPr>
                <w:rFonts w:hint="eastAsia" w:ascii="宋体" w:hAnsi="宋体" w:cs="宋体"/>
                <w:kern w:val="0"/>
                <w:sz w:val="24"/>
                <w:szCs w:val="23"/>
              </w:rPr>
              <w:t>②</w:t>
            </w:r>
            <w:r>
              <w:rPr>
                <w:kern w:val="0"/>
                <w:sz w:val="24"/>
                <w:szCs w:val="23"/>
              </w:rPr>
              <w:t>贮存、处置场应采取防止粉尘污染的措施；</w:t>
            </w:r>
          </w:p>
          <w:p>
            <w:pPr>
              <w:autoSpaceDE w:val="0"/>
              <w:autoSpaceDN w:val="0"/>
              <w:adjustRightInd w:val="0"/>
              <w:spacing w:line="480" w:lineRule="exact"/>
              <w:ind w:firstLine="480" w:firstLineChars="200"/>
              <w:jc w:val="left"/>
              <w:rPr>
                <w:kern w:val="0"/>
                <w:sz w:val="24"/>
                <w:szCs w:val="23"/>
              </w:rPr>
            </w:pPr>
            <w:r>
              <w:rPr>
                <w:rFonts w:hint="eastAsia" w:ascii="宋体" w:hAnsi="宋体" w:cs="宋体"/>
                <w:kern w:val="0"/>
                <w:sz w:val="24"/>
                <w:szCs w:val="23"/>
              </w:rPr>
              <w:t>③</w:t>
            </w:r>
            <w:r>
              <w:rPr>
                <w:kern w:val="0"/>
                <w:sz w:val="24"/>
                <w:szCs w:val="23"/>
              </w:rPr>
              <w:t>为加强监督管理，贮存、处置场应按GB15562.2设置环境保护图形标志；</w:t>
            </w:r>
          </w:p>
          <w:p>
            <w:pPr>
              <w:autoSpaceDE w:val="0"/>
              <w:autoSpaceDN w:val="0"/>
              <w:adjustRightInd w:val="0"/>
              <w:spacing w:line="480" w:lineRule="exact"/>
              <w:ind w:firstLine="480" w:firstLineChars="200"/>
              <w:jc w:val="left"/>
              <w:rPr>
                <w:kern w:val="0"/>
                <w:sz w:val="24"/>
                <w:szCs w:val="23"/>
              </w:rPr>
            </w:pPr>
            <w:r>
              <w:rPr>
                <w:rFonts w:hint="eastAsia" w:ascii="宋体" w:hAnsi="宋体" w:cs="宋体"/>
                <w:kern w:val="0"/>
                <w:sz w:val="24"/>
                <w:szCs w:val="23"/>
              </w:rPr>
              <w:t>④</w:t>
            </w:r>
            <w:r>
              <w:rPr>
                <w:kern w:val="0"/>
                <w:sz w:val="24"/>
                <w:szCs w:val="23"/>
              </w:rPr>
              <w:t>一般工业固体废物贮存、处置场禁止危险废物和生活垃圾混入；</w:t>
            </w:r>
          </w:p>
          <w:p>
            <w:pPr>
              <w:autoSpaceDE w:val="0"/>
              <w:autoSpaceDN w:val="0"/>
              <w:spacing w:line="480" w:lineRule="exact"/>
              <w:ind w:firstLine="480" w:firstLineChars="200"/>
              <w:rPr>
                <w:kern w:val="0"/>
                <w:sz w:val="24"/>
                <w:szCs w:val="23"/>
              </w:rPr>
            </w:pPr>
            <w:r>
              <w:rPr>
                <w:rFonts w:hint="eastAsia" w:ascii="宋体" w:hAnsi="宋体" w:cs="宋体"/>
                <w:kern w:val="0"/>
                <w:sz w:val="24"/>
                <w:szCs w:val="23"/>
              </w:rPr>
              <w:t>⑤</w:t>
            </w:r>
            <w:r>
              <w:rPr>
                <w:kern w:val="0"/>
                <w:sz w:val="24"/>
                <w:szCs w:val="23"/>
              </w:rPr>
              <w:t>贮存、处置场的使用单位，应建立档案制度。应将入场的一般工业固体废物的种类和数量等资料详细记录在案，长期保存，供随时查阅。</w:t>
            </w:r>
          </w:p>
          <w:p>
            <w:pPr>
              <w:spacing w:line="480" w:lineRule="exact"/>
              <w:rPr>
                <w:b/>
                <w:kern w:val="0"/>
                <w:sz w:val="24"/>
                <w:szCs w:val="24"/>
              </w:rPr>
            </w:pPr>
            <w:r>
              <w:rPr>
                <w:rFonts w:hint="eastAsia"/>
                <w:b/>
                <w:kern w:val="0"/>
                <w:sz w:val="24"/>
                <w:szCs w:val="24"/>
              </w:rPr>
              <w:t>3、</w:t>
            </w:r>
            <w:r>
              <w:rPr>
                <w:b/>
                <w:kern w:val="0"/>
                <w:sz w:val="24"/>
                <w:szCs w:val="24"/>
              </w:rPr>
              <w:t>固废影响分析结论</w:t>
            </w:r>
          </w:p>
          <w:p>
            <w:pPr>
              <w:snapToGrid w:val="0"/>
              <w:spacing w:line="360" w:lineRule="auto"/>
              <w:ind w:firstLine="480" w:firstLineChars="200"/>
              <w:contextualSpacing/>
              <w:rPr>
                <w:sz w:val="24"/>
              </w:rPr>
            </w:pPr>
            <w:r>
              <w:rPr>
                <w:kern w:val="0"/>
                <w:sz w:val="24"/>
                <w:szCs w:val="23"/>
              </w:rPr>
              <w:t>通过采取措施后，拟建项目一般工业固体废物处理措施和处置方案满足《一般工业固体废物贮存、处置场污染控制标准》（GB18599-2001）及修改单要求，危险废物处置措施满足《危险废物贮存污染控制标准》（GB18597-2001）及修改单要求，对周围环境产生影响较小。</w:t>
            </w:r>
          </w:p>
          <w:p>
            <w:pPr>
              <w:autoSpaceDE w:val="0"/>
              <w:autoSpaceDN w:val="0"/>
              <w:adjustRightInd w:val="0"/>
              <w:spacing w:line="480" w:lineRule="exact"/>
              <w:jc w:val="left"/>
              <w:rPr>
                <w:b/>
                <w:bCs/>
                <w:kern w:val="0"/>
                <w:sz w:val="24"/>
                <w:szCs w:val="23"/>
              </w:rPr>
            </w:pPr>
            <w:r>
              <w:rPr>
                <w:rFonts w:hint="eastAsia"/>
                <w:b/>
                <w:bCs/>
                <w:kern w:val="0"/>
                <w:sz w:val="24"/>
                <w:szCs w:val="23"/>
              </w:rPr>
              <w:t>五、土壤环境影响分析</w:t>
            </w:r>
          </w:p>
          <w:p>
            <w:pPr>
              <w:autoSpaceDE w:val="0"/>
              <w:autoSpaceDN w:val="0"/>
              <w:adjustRightInd w:val="0"/>
              <w:spacing w:line="480" w:lineRule="exact"/>
              <w:ind w:firstLine="480" w:firstLineChars="200"/>
              <w:jc w:val="left"/>
              <w:rPr>
                <w:kern w:val="0"/>
                <w:sz w:val="24"/>
                <w:szCs w:val="23"/>
              </w:rPr>
            </w:pPr>
            <w:r>
              <w:rPr>
                <w:rFonts w:hint="eastAsia"/>
                <w:kern w:val="0"/>
                <w:sz w:val="24"/>
                <w:szCs w:val="23"/>
              </w:rPr>
              <w:t>根据《环境影响评价技术导则</w:t>
            </w:r>
            <w:r>
              <w:rPr>
                <w:kern w:val="0"/>
                <w:sz w:val="24"/>
                <w:szCs w:val="23"/>
              </w:rPr>
              <w:t>-</w:t>
            </w:r>
            <w:r>
              <w:rPr>
                <w:rFonts w:hint="eastAsia"/>
                <w:kern w:val="0"/>
                <w:sz w:val="24"/>
                <w:szCs w:val="23"/>
              </w:rPr>
              <w:t>土壤环境》（</w:t>
            </w:r>
            <w:r>
              <w:rPr>
                <w:kern w:val="0"/>
                <w:sz w:val="24"/>
                <w:szCs w:val="23"/>
              </w:rPr>
              <w:t>HJ</w:t>
            </w:r>
            <w:r>
              <w:rPr>
                <w:rFonts w:hint="eastAsia"/>
                <w:kern w:val="0"/>
                <w:sz w:val="24"/>
                <w:szCs w:val="23"/>
              </w:rPr>
              <w:t>964-2018）附录</w:t>
            </w:r>
            <w:r>
              <w:rPr>
                <w:kern w:val="0"/>
                <w:sz w:val="24"/>
                <w:szCs w:val="23"/>
              </w:rPr>
              <w:t>A</w:t>
            </w:r>
            <w:r>
              <w:rPr>
                <w:rFonts w:hint="eastAsia"/>
                <w:kern w:val="0"/>
                <w:sz w:val="24"/>
                <w:szCs w:val="23"/>
              </w:rPr>
              <w:t>土壤环境影响评价项目类别表可知，本项目属于“其他行业”，属于Ⅳ类。根据《环境影响评价技术导则</w:t>
            </w:r>
            <w:r>
              <w:rPr>
                <w:kern w:val="0"/>
                <w:sz w:val="24"/>
                <w:szCs w:val="23"/>
              </w:rPr>
              <w:t>-</w:t>
            </w:r>
            <w:r>
              <w:rPr>
                <w:rFonts w:hint="eastAsia"/>
                <w:kern w:val="0"/>
                <w:sz w:val="24"/>
                <w:szCs w:val="23"/>
              </w:rPr>
              <w:t>土壤环境》（</w:t>
            </w:r>
            <w:r>
              <w:rPr>
                <w:kern w:val="0"/>
                <w:sz w:val="24"/>
                <w:szCs w:val="23"/>
              </w:rPr>
              <w:t>HJ</w:t>
            </w:r>
            <w:r>
              <w:rPr>
                <w:rFonts w:hint="eastAsia"/>
                <w:kern w:val="0"/>
                <w:sz w:val="24"/>
                <w:szCs w:val="23"/>
              </w:rPr>
              <w:t>964-2018），Ⅳ类项目可不开展土壤环境影响评价工作。</w:t>
            </w:r>
          </w:p>
          <w:p>
            <w:pPr>
              <w:autoSpaceDE w:val="0"/>
              <w:autoSpaceDN w:val="0"/>
              <w:adjustRightInd w:val="0"/>
              <w:spacing w:line="440" w:lineRule="exact"/>
              <w:rPr>
                <w:b/>
                <w:bCs/>
                <w:kern w:val="0"/>
                <w:sz w:val="24"/>
              </w:rPr>
            </w:pPr>
            <w:r>
              <w:rPr>
                <w:rFonts w:hint="eastAsia"/>
                <w:b/>
                <w:bCs/>
                <w:kern w:val="0"/>
                <w:sz w:val="24"/>
              </w:rPr>
              <w:t>六、环境监测计划</w:t>
            </w:r>
          </w:p>
          <w:p>
            <w:pPr>
              <w:spacing w:line="360" w:lineRule="auto"/>
              <w:ind w:firstLine="480" w:firstLineChars="200"/>
              <w:rPr>
                <w:bCs/>
                <w:sz w:val="24"/>
              </w:rPr>
            </w:pPr>
            <w:r>
              <w:rPr>
                <w:rFonts w:hint="eastAsia"/>
                <w:bCs/>
                <w:sz w:val="24"/>
              </w:rPr>
              <w:t>1.设置环境管理</w:t>
            </w:r>
            <w:r>
              <w:rPr>
                <w:bCs/>
                <w:sz w:val="24"/>
              </w:rPr>
              <w:t>机构</w:t>
            </w:r>
          </w:p>
          <w:p>
            <w:pPr>
              <w:spacing w:line="360" w:lineRule="auto"/>
              <w:ind w:firstLine="480" w:firstLineChars="200"/>
              <w:rPr>
                <w:bCs/>
                <w:sz w:val="24"/>
              </w:rPr>
            </w:pPr>
            <w:r>
              <w:rPr>
                <w:rFonts w:hint="eastAsia"/>
                <w:bCs/>
                <w:sz w:val="24"/>
              </w:rPr>
              <w:t>项目单位应按照现行的环保管理要求，设置环境管理机构。机构负责人应有副经理或生产厂长担任，机构应设置办公室，安排具体人员担任办公室主任，负责日常环境管理。同时要制定相关的环境管理制度，将本公司的环境保护工作落实到</w:t>
            </w:r>
          </w:p>
          <w:p>
            <w:pPr>
              <w:spacing w:line="360" w:lineRule="auto"/>
              <w:ind w:firstLine="480" w:firstLineChars="200"/>
              <w:rPr>
                <w:bCs/>
                <w:sz w:val="24"/>
              </w:rPr>
            </w:pPr>
            <w:r>
              <w:rPr>
                <w:rFonts w:hint="eastAsia"/>
                <w:bCs/>
                <w:sz w:val="24"/>
              </w:rPr>
              <w:t>2.制定运营期监测计划</w:t>
            </w:r>
          </w:p>
          <w:p>
            <w:pPr>
              <w:pStyle w:val="231"/>
              <w:adjustRightInd/>
              <w:snapToGrid/>
              <w:ind w:firstLine="480"/>
              <w:rPr>
                <w:rFonts w:eastAsia="宋体"/>
              </w:rPr>
            </w:pPr>
            <w:r>
              <w:rPr>
                <w:rFonts w:eastAsia="宋体"/>
                <w:bCs/>
                <w:kern w:val="0"/>
              </w:rPr>
              <w:t>根据本项目生产工艺特点以及《排污单位自行监测技术指南总则》（HJ819-2017），本项目属于非重点排污单位，本项目废气排放口不属于主要排放口，因此确定废气监测频次为1次/年；本项目废水排放污染物COD、BOD</w:t>
            </w:r>
            <w:r>
              <w:rPr>
                <w:rFonts w:eastAsia="宋体"/>
                <w:bCs/>
                <w:kern w:val="0"/>
                <w:vertAlign w:val="subscript"/>
              </w:rPr>
              <w:t>5</w:t>
            </w:r>
            <w:r>
              <w:rPr>
                <w:rFonts w:eastAsia="宋体"/>
                <w:bCs/>
                <w:kern w:val="0"/>
              </w:rPr>
              <w:t>、SS、NH</w:t>
            </w:r>
            <w:r>
              <w:rPr>
                <w:rFonts w:eastAsia="宋体"/>
                <w:bCs/>
                <w:kern w:val="0"/>
                <w:vertAlign w:val="subscript"/>
              </w:rPr>
              <w:t>3</w:t>
            </w:r>
            <w:r>
              <w:rPr>
                <w:rFonts w:eastAsia="宋体"/>
                <w:bCs/>
                <w:kern w:val="0"/>
              </w:rPr>
              <w:t>-N等排放量均不大，因此确定废水监测频次为1次/年；厂界环境噪声每季度开展一次监测，具体内容如下：</w:t>
            </w:r>
          </w:p>
          <w:p>
            <w:pPr>
              <w:pStyle w:val="231"/>
              <w:spacing w:line="240" w:lineRule="auto"/>
              <w:ind w:firstLine="0" w:firstLineChars="0"/>
              <w:jc w:val="center"/>
              <w:rPr>
                <w:rFonts w:eastAsia="宋体"/>
                <w:b/>
                <w:bCs/>
                <w:sz w:val="21"/>
                <w:szCs w:val="21"/>
              </w:rPr>
            </w:pPr>
            <w:r>
              <w:rPr>
                <w:rFonts w:eastAsia="宋体"/>
                <w:b/>
                <w:bCs/>
                <w:sz w:val="21"/>
                <w:szCs w:val="21"/>
              </w:rPr>
              <w:t>表</w:t>
            </w:r>
            <w:r>
              <w:rPr>
                <w:rFonts w:hint="eastAsia" w:eastAsia="宋体"/>
                <w:b/>
                <w:bCs/>
                <w:sz w:val="21"/>
                <w:szCs w:val="21"/>
              </w:rPr>
              <w:t>3</w:t>
            </w:r>
            <w:r>
              <w:rPr>
                <w:rFonts w:hint="eastAsia" w:eastAsia="宋体"/>
                <w:b/>
                <w:bCs/>
                <w:sz w:val="21"/>
                <w:szCs w:val="21"/>
                <w:lang w:val="en-US" w:eastAsia="zh-CN"/>
              </w:rPr>
              <w:t>8</w:t>
            </w:r>
            <w:r>
              <w:rPr>
                <w:rFonts w:hint="eastAsia" w:eastAsia="宋体"/>
                <w:b/>
                <w:bCs/>
                <w:sz w:val="21"/>
                <w:szCs w:val="21"/>
              </w:rPr>
              <w:t>污染源</w:t>
            </w:r>
            <w:r>
              <w:rPr>
                <w:rFonts w:eastAsia="宋体"/>
                <w:b/>
                <w:bCs/>
                <w:sz w:val="21"/>
                <w:szCs w:val="21"/>
              </w:rPr>
              <w:t>监测计划</w:t>
            </w:r>
          </w:p>
          <w:tbl>
            <w:tblPr>
              <w:tblStyle w:val="3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4"/>
              <w:gridCol w:w="1276"/>
              <w:gridCol w:w="1134"/>
              <w:gridCol w:w="1843"/>
              <w:gridCol w:w="1156"/>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trPr>
              <w:tc>
                <w:tcPr>
                  <w:tcW w:w="694"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分类</w:t>
                  </w:r>
                </w:p>
              </w:tc>
              <w:tc>
                <w:tcPr>
                  <w:tcW w:w="127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监测位置</w:t>
                  </w:r>
                </w:p>
              </w:tc>
              <w:tc>
                <w:tcPr>
                  <w:tcW w:w="1134"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监测点位数</w:t>
                  </w:r>
                </w:p>
              </w:tc>
              <w:tc>
                <w:tcPr>
                  <w:tcW w:w="1843"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监测指标</w:t>
                  </w:r>
                </w:p>
              </w:tc>
              <w:tc>
                <w:tcPr>
                  <w:tcW w:w="115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监测频次</w:t>
                  </w:r>
                </w:p>
              </w:tc>
              <w:tc>
                <w:tcPr>
                  <w:tcW w:w="2937"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4" w:type="dxa"/>
                  <w:vMerge w:val="restart"/>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废气</w:t>
                  </w:r>
                </w:p>
              </w:tc>
              <w:tc>
                <w:tcPr>
                  <w:tcW w:w="127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厂界上风向</w:t>
                  </w:r>
                </w:p>
              </w:tc>
              <w:tc>
                <w:tcPr>
                  <w:tcW w:w="1134"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1个</w:t>
                  </w:r>
                </w:p>
              </w:tc>
              <w:tc>
                <w:tcPr>
                  <w:tcW w:w="1843"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颗粒物</w:t>
                  </w:r>
                </w:p>
              </w:tc>
              <w:tc>
                <w:tcPr>
                  <w:tcW w:w="115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1次/年</w:t>
                  </w:r>
                </w:p>
              </w:tc>
              <w:tc>
                <w:tcPr>
                  <w:tcW w:w="2937" w:type="dxa"/>
                  <w:vMerge w:val="restart"/>
                  <w:vAlign w:val="center"/>
                </w:tcPr>
                <w:p>
                  <w:pPr>
                    <w:adjustRightInd w:val="0"/>
                    <w:snapToGrid w:val="0"/>
                    <w:jc w:val="center"/>
                    <w:rPr>
                      <w:bCs/>
                      <w:szCs w:val="21"/>
                    </w:rPr>
                  </w:pPr>
                  <w:r>
                    <w:rPr>
                      <w:bCs/>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694" w:type="dxa"/>
                  <w:vMerge w:val="continue"/>
                  <w:vAlign w:val="center"/>
                </w:tcPr>
                <w:p>
                  <w:pPr>
                    <w:pStyle w:val="231"/>
                    <w:spacing w:line="240" w:lineRule="auto"/>
                    <w:ind w:firstLine="0" w:firstLineChars="0"/>
                    <w:jc w:val="center"/>
                    <w:rPr>
                      <w:rFonts w:eastAsia="宋体"/>
                      <w:bCs/>
                      <w:kern w:val="0"/>
                      <w:sz w:val="21"/>
                      <w:szCs w:val="21"/>
                    </w:rPr>
                  </w:pPr>
                </w:p>
              </w:tc>
              <w:tc>
                <w:tcPr>
                  <w:tcW w:w="127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厂界下风向</w:t>
                  </w:r>
                </w:p>
              </w:tc>
              <w:tc>
                <w:tcPr>
                  <w:tcW w:w="1134"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2~4个</w:t>
                  </w:r>
                </w:p>
              </w:tc>
              <w:tc>
                <w:tcPr>
                  <w:tcW w:w="1843"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颗粒物</w:t>
                  </w:r>
                </w:p>
              </w:tc>
              <w:tc>
                <w:tcPr>
                  <w:tcW w:w="115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1次/年</w:t>
                  </w:r>
                </w:p>
              </w:tc>
              <w:tc>
                <w:tcPr>
                  <w:tcW w:w="2937" w:type="dxa"/>
                  <w:vMerge w:val="continue"/>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694"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废水</w:t>
                  </w:r>
                </w:p>
              </w:tc>
              <w:tc>
                <w:tcPr>
                  <w:tcW w:w="127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厂区总排口</w:t>
                  </w:r>
                </w:p>
              </w:tc>
              <w:tc>
                <w:tcPr>
                  <w:tcW w:w="1134"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1个</w:t>
                  </w:r>
                </w:p>
              </w:tc>
              <w:tc>
                <w:tcPr>
                  <w:tcW w:w="1843"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COD、BOD</w:t>
                  </w:r>
                  <w:r>
                    <w:rPr>
                      <w:rFonts w:eastAsia="宋体"/>
                      <w:bCs/>
                      <w:kern w:val="0"/>
                      <w:sz w:val="21"/>
                      <w:szCs w:val="21"/>
                      <w:vertAlign w:val="subscript"/>
                    </w:rPr>
                    <w:t>5</w:t>
                  </w:r>
                  <w:r>
                    <w:rPr>
                      <w:rFonts w:eastAsia="宋体"/>
                      <w:bCs/>
                      <w:kern w:val="0"/>
                      <w:sz w:val="21"/>
                      <w:szCs w:val="21"/>
                    </w:rPr>
                    <w:t>、SS、NH</w:t>
                  </w:r>
                  <w:r>
                    <w:rPr>
                      <w:rFonts w:eastAsia="宋体"/>
                      <w:bCs/>
                      <w:kern w:val="0"/>
                      <w:sz w:val="21"/>
                      <w:szCs w:val="21"/>
                      <w:vertAlign w:val="subscript"/>
                    </w:rPr>
                    <w:t>3</w:t>
                  </w:r>
                  <w:r>
                    <w:rPr>
                      <w:rFonts w:eastAsia="宋体"/>
                      <w:bCs/>
                      <w:kern w:val="0"/>
                      <w:sz w:val="21"/>
                      <w:szCs w:val="21"/>
                    </w:rPr>
                    <w:t xml:space="preserve">-N </w:t>
                  </w:r>
                </w:p>
              </w:tc>
              <w:tc>
                <w:tcPr>
                  <w:tcW w:w="115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1次/年</w:t>
                  </w:r>
                </w:p>
              </w:tc>
              <w:tc>
                <w:tcPr>
                  <w:tcW w:w="2937" w:type="dxa"/>
                  <w:vAlign w:val="center"/>
                </w:tcPr>
                <w:p>
                  <w:pPr>
                    <w:adjustRightInd w:val="0"/>
                    <w:snapToGrid w:val="0"/>
                    <w:jc w:val="center"/>
                    <w:rPr>
                      <w:bCs/>
                      <w:szCs w:val="21"/>
                    </w:rPr>
                  </w:pPr>
                  <w:r>
                    <w:rPr>
                      <w:rFonts w:hint="eastAsia"/>
                      <w:szCs w:val="21"/>
                    </w:rPr>
                    <w:t>《污水排入城市下水道水质标准》（GB/T 31962-2015）B级标准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4"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噪声</w:t>
                  </w:r>
                </w:p>
              </w:tc>
              <w:tc>
                <w:tcPr>
                  <w:tcW w:w="127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厂界外1m处</w:t>
                  </w:r>
                </w:p>
              </w:tc>
              <w:tc>
                <w:tcPr>
                  <w:tcW w:w="1134"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4个</w:t>
                  </w:r>
                </w:p>
              </w:tc>
              <w:tc>
                <w:tcPr>
                  <w:tcW w:w="1843"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等效连续A声级</w:t>
                  </w:r>
                </w:p>
              </w:tc>
              <w:tc>
                <w:tcPr>
                  <w:tcW w:w="1156"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1次/季度</w:t>
                  </w:r>
                </w:p>
              </w:tc>
              <w:tc>
                <w:tcPr>
                  <w:tcW w:w="2937" w:type="dxa"/>
                  <w:vAlign w:val="center"/>
                </w:tcPr>
                <w:p>
                  <w:pPr>
                    <w:pStyle w:val="231"/>
                    <w:spacing w:line="240" w:lineRule="auto"/>
                    <w:ind w:firstLine="0" w:firstLineChars="0"/>
                    <w:jc w:val="center"/>
                    <w:rPr>
                      <w:rFonts w:eastAsia="宋体"/>
                      <w:bCs/>
                      <w:kern w:val="0"/>
                      <w:sz w:val="21"/>
                      <w:szCs w:val="21"/>
                    </w:rPr>
                  </w:pPr>
                  <w:r>
                    <w:rPr>
                      <w:rFonts w:eastAsia="宋体"/>
                      <w:bCs/>
                      <w:kern w:val="0"/>
                      <w:sz w:val="21"/>
                      <w:szCs w:val="21"/>
                    </w:rPr>
                    <w:t>《工业企业厂界环境噪声排放标准》(GB12348-2008)</w:t>
                  </w:r>
                </w:p>
              </w:tc>
            </w:tr>
          </w:tbl>
          <w:p>
            <w:pPr>
              <w:spacing w:line="360" w:lineRule="auto"/>
              <w:ind w:firstLine="480" w:firstLineChars="200"/>
              <w:rPr>
                <w:sz w:val="24"/>
                <w:szCs w:val="24"/>
              </w:rPr>
            </w:pPr>
            <w:r>
              <w:rPr>
                <w:sz w:val="24"/>
                <w:szCs w:val="24"/>
              </w:rPr>
              <w:t>委托有资质单位负责监测，设置监测报告年报制度。环境监测年报内容包括：对全年的监测结果进行统计，综合评价营运期污染状况；对营运期环保措施的效果进行分析</w:t>
            </w:r>
            <w:r>
              <w:rPr>
                <w:rFonts w:hint="eastAsia"/>
                <w:sz w:val="24"/>
                <w:szCs w:val="24"/>
              </w:rPr>
              <w:t>和优化</w:t>
            </w:r>
            <w:r>
              <w:rPr>
                <w:sz w:val="24"/>
                <w:szCs w:val="24"/>
              </w:rPr>
              <w:t>。</w:t>
            </w:r>
          </w:p>
          <w:p>
            <w:pPr>
              <w:spacing w:line="360" w:lineRule="auto"/>
              <w:ind w:firstLine="480" w:firstLineChars="200"/>
              <w:rPr>
                <w:sz w:val="24"/>
                <w:szCs w:val="24"/>
              </w:rPr>
            </w:pPr>
          </w:p>
          <w:p>
            <w:pPr>
              <w:autoSpaceDE w:val="0"/>
              <w:autoSpaceDN w:val="0"/>
              <w:adjustRightInd w:val="0"/>
              <w:spacing w:line="440" w:lineRule="exact"/>
              <w:rPr>
                <w:b/>
                <w:bCs/>
                <w:kern w:val="0"/>
                <w:sz w:val="24"/>
              </w:rPr>
            </w:pPr>
            <w:r>
              <w:rPr>
                <w:rFonts w:hint="eastAsia"/>
                <w:b/>
                <w:bCs/>
                <w:kern w:val="0"/>
                <w:sz w:val="24"/>
              </w:rPr>
              <w:t>七</w:t>
            </w:r>
            <w:r>
              <w:rPr>
                <w:b/>
                <w:bCs/>
                <w:kern w:val="0"/>
                <w:sz w:val="24"/>
              </w:rPr>
              <w:t>、项目环保投资一览表</w:t>
            </w:r>
            <w:r>
              <w:rPr>
                <w:rFonts w:hint="eastAsia"/>
                <w:b/>
                <w:bCs/>
                <w:kern w:val="0"/>
                <w:sz w:val="24"/>
              </w:rPr>
              <w:t>和“三同时”验收一览表</w:t>
            </w:r>
          </w:p>
          <w:p>
            <w:pPr>
              <w:spacing w:line="440" w:lineRule="exact"/>
              <w:ind w:firstLine="480" w:firstLineChars="200"/>
              <w:rPr>
                <w:sz w:val="24"/>
                <w:szCs w:val="24"/>
              </w:rPr>
            </w:pPr>
            <w:r>
              <w:rPr>
                <w:sz w:val="24"/>
                <w:szCs w:val="24"/>
              </w:rPr>
              <w:t>本项目总投资</w:t>
            </w:r>
            <w:r>
              <w:rPr>
                <w:rFonts w:hint="eastAsia"/>
                <w:sz w:val="24"/>
                <w:szCs w:val="24"/>
                <w:lang w:eastAsia="zh-CN"/>
              </w:rPr>
              <w:t>20000万元</w:t>
            </w:r>
            <w:r>
              <w:rPr>
                <w:sz w:val="24"/>
                <w:szCs w:val="24"/>
              </w:rPr>
              <w:t>，环保投资约</w:t>
            </w:r>
            <w:r>
              <w:rPr>
                <w:rFonts w:hint="eastAsia"/>
                <w:sz w:val="24"/>
                <w:szCs w:val="24"/>
                <w:lang w:val="en-US" w:eastAsia="zh-CN"/>
              </w:rPr>
              <w:t>42.5</w:t>
            </w:r>
            <w:r>
              <w:rPr>
                <w:sz w:val="24"/>
                <w:szCs w:val="24"/>
              </w:rPr>
              <w:t>万元，占投资总额</w:t>
            </w:r>
            <w:r>
              <w:rPr>
                <w:rFonts w:hint="eastAsia"/>
                <w:sz w:val="24"/>
                <w:szCs w:val="24"/>
              </w:rPr>
              <w:t>0.</w:t>
            </w:r>
            <w:r>
              <w:rPr>
                <w:rFonts w:hint="eastAsia"/>
                <w:sz w:val="24"/>
                <w:szCs w:val="24"/>
                <w:lang w:val="en-US" w:eastAsia="zh-CN"/>
              </w:rPr>
              <w:t>21</w:t>
            </w:r>
            <w:r>
              <w:rPr>
                <w:sz w:val="24"/>
                <w:szCs w:val="24"/>
              </w:rPr>
              <w:t>％，环境保护投资估算详见下表</w:t>
            </w:r>
            <w:r>
              <w:rPr>
                <w:rFonts w:hint="eastAsia"/>
                <w:sz w:val="24"/>
                <w:szCs w:val="24"/>
              </w:rPr>
              <w:t>：</w:t>
            </w:r>
          </w:p>
          <w:p>
            <w:pPr>
              <w:snapToGrid w:val="0"/>
              <w:jc w:val="center"/>
              <w:rPr>
                <w:b/>
                <w:szCs w:val="21"/>
              </w:rPr>
            </w:pPr>
            <w:r>
              <w:rPr>
                <w:b/>
                <w:szCs w:val="21"/>
              </w:rPr>
              <w:t>表</w:t>
            </w:r>
            <w:r>
              <w:rPr>
                <w:rFonts w:hint="eastAsia"/>
                <w:b/>
                <w:szCs w:val="21"/>
              </w:rPr>
              <w:t>3</w:t>
            </w:r>
            <w:r>
              <w:rPr>
                <w:rFonts w:hint="eastAsia"/>
                <w:b/>
                <w:szCs w:val="21"/>
                <w:lang w:val="en-US" w:eastAsia="zh-CN"/>
              </w:rPr>
              <w:t>9</w:t>
            </w:r>
            <w:r>
              <w:rPr>
                <w:b/>
                <w:szCs w:val="21"/>
              </w:rPr>
              <w:t>环保设施及其估算一览表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1984"/>
              <w:gridCol w:w="141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Align w:val="center"/>
                </w:tcPr>
                <w:p>
                  <w:pPr>
                    <w:jc w:val="center"/>
                    <w:rPr>
                      <w:bCs/>
                      <w:szCs w:val="21"/>
                    </w:rPr>
                  </w:pPr>
                  <w:r>
                    <w:rPr>
                      <w:bCs/>
                      <w:szCs w:val="21"/>
                    </w:rPr>
                    <w:t>环保投资名称</w:t>
                  </w:r>
                </w:p>
              </w:tc>
              <w:tc>
                <w:tcPr>
                  <w:tcW w:w="1984" w:type="dxa"/>
                  <w:vAlign w:val="center"/>
                </w:tcPr>
                <w:p>
                  <w:pPr>
                    <w:pStyle w:val="83"/>
                    <w:widowControl w:val="0"/>
                    <w:spacing w:before="0" w:beforeAutospacing="0" w:after="0" w:afterAutospacing="0"/>
                    <w:rPr>
                      <w:rFonts w:ascii="Times New Roman" w:hAnsi="Times New Roman"/>
                      <w:bCs/>
                      <w:kern w:val="2"/>
                      <w:sz w:val="21"/>
                      <w:szCs w:val="21"/>
                    </w:rPr>
                  </w:pPr>
                  <w:r>
                    <w:rPr>
                      <w:rFonts w:hint="eastAsia" w:ascii="Times New Roman" w:hAnsi="Times New Roman"/>
                      <w:bCs/>
                      <w:kern w:val="2"/>
                      <w:sz w:val="21"/>
                      <w:szCs w:val="21"/>
                    </w:rPr>
                    <w:t>处理内容</w:t>
                  </w:r>
                </w:p>
              </w:tc>
              <w:tc>
                <w:tcPr>
                  <w:tcW w:w="1418" w:type="dxa"/>
                  <w:vAlign w:val="center"/>
                </w:tcPr>
                <w:p>
                  <w:pPr>
                    <w:jc w:val="center"/>
                    <w:rPr>
                      <w:bCs/>
                      <w:szCs w:val="21"/>
                    </w:rPr>
                  </w:pPr>
                  <w:r>
                    <w:rPr>
                      <w:bCs/>
                      <w:szCs w:val="21"/>
                    </w:rPr>
                    <w:t>费用（万元）</w:t>
                  </w:r>
                </w:p>
              </w:tc>
              <w:tc>
                <w:tcPr>
                  <w:tcW w:w="1486" w:type="dxa"/>
                  <w:vAlign w:val="center"/>
                </w:tcPr>
                <w:p>
                  <w:pPr>
                    <w:jc w:val="center"/>
                    <w:rPr>
                      <w:bCs/>
                      <w:szCs w:val="21"/>
                    </w:rPr>
                  </w:pPr>
                  <w:r>
                    <w:rPr>
                      <w:rFonts w:hint="eastAsia"/>
                      <w:bCs/>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Align w:val="center"/>
                </w:tcPr>
                <w:p>
                  <w:pPr>
                    <w:jc w:val="center"/>
                    <w:rPr>
                      <w:bCs/>
                      <w:szCs w:val="21"/>
                    </w:rPr>
                  </w:pPr>
                  <w:r>
                    <w:rPr>
                      <w:rFonts w:hint="eastAsia"/>
                      <w:bCs/>
                      <w:szCs w:val="21"/>
                    </w:rPr>
                    <w:t>雨污分流、化粪池</w:t>
                  </w:r>
                </w:p>
              </w:tc>
              <w:tc>
                <w:tcPr>
                  <w:tcW w:w="1984" w:type="dxa"/>
                  <w:vAlign w:val="center"/>
                </w:tcPr>
                <w:p>
                  <w:pPr>
                    <w:jc w:val="center"/>
                    <w:rPr>
                      <w:bCs/>
                      <w:szCs w:val="21"/>
                    </w:rPr>
                  </w:pPr>
                  <w:r>
                    <w:rPr>
                      <w:rFonts w:hint="eastAsia"/>
                      <w:bCs/>
                      <w:szCs w:val="21"/>
                    </w:rPr>
                    <w:t>污水治理</w:t>
                  </w:r>
                </w:p>
              </w:tc>
              <w:tc>
                <w:tcPr>
                  <w:tcW w:w="1418" w:type="dxa"/>
                  <w:vAlign w:val="center"/>
                </w:tcPr>
                <w:p>
                  <w:pPr>
                    <w:jc w:val="center"/>
                    <w:rPr>
                      <w:bCs/>
                      <w:szCs w:val="21"/>
                    </w:rPr>
                  </w:pPr>
                  <w:r>
                    <w:rPr>
                      <w:rFonts w:hint="eastAsia"/>
                      <w:bCs/>
                      <w:szCs w:val="21"/>
                    </w:rPr>
                    <w:t>依托现有</w:t>
                  </w:r>
                </w:p>
              </w:tc>
              <w:tc>
                <w:tcPr>
                  <w:tcW w:w="1486" w:type="dxa"/>
                  <w:vMerge w:val="restart"/>
                  <w:vAlign w:val="center"/>
                </w:tcPr>
                <w:p>
                  <w:pPr>
                    <w:jc w:val="center"/>
                    <w:rPr>
                      <w:bCs/>
                      <w:szCs w:val="21"/>
                    </w:rPr>
                  </w:pPr>
                  <w:r>
                    <w:rPr>
                      <w:rFonts w:hint="eastAsia"/>
                      <w:szCs w:val="21"/>
                    </w:rPr>
                    <w:t>与主体工程同时设计、同时施工、同时投入使用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Align w:val="center"/>
                </w:tcPr>
                <w:p>
                  <w:pPr>
                    <w:jc w:val="center"/>
                    <w:rPr>
                      <w:bCs/>
                      <w:szCs w:val="21"/>
                    </w:rPr>
                  </w:pPr>
                  <w:r>
                    <w:rPr>
                      <w:rFonts w:hint="eastAsia"/>
                      <w:bCs/>
                      <w:szCs w:val="21"/>
                    </w:rPr>
                    <w:t>集气罩及配套管道，</w:t>
                  </w:r>
                  <w:r>
                    <w:rPr>
                      <w:rFonts w:hint="eastAsia"/>
                      <w:bCs/>
                      <w:szCs w:val="21"/>
                      <w:lang w:val="en-US" w:eastAsia="zh-CN"/>
                    </w:rPr>
                    <w:t>1</w:t>
                  </w:r>
                  <w:r>
                    <w:rPr>
                      <w:rFonts w:hint="eastAsia"/>
                      <w:bCs/>
                      <w:szCs w:val="21"/>
                    </w:rPr>
                    <w:t>台移动式焊烟净化器</w:t>
                  </w:r>
                </w:p>
              </w:tc>
              <w:tc>
                <w:tcPr>
                  <w:tcW w:w="1984" w:type="dxa"/>
                  <w:vAlign w:val="center"/>
                </w:tcPr>
                <w:p>
                  <w:pPr>
                    <w:jc w:val="center"/>
                    <w:rPr>
                      <w:bCs/>
                      <w:szCs w:val="21"/>
                    </w:rPr>
                  </w:pPr>
                  <w:r>
                    <w:rPr>
                      <w:rFonts w:hint="eastAsia"/>
                      <w:bCs/>
                      <w:szCs w:val="21"/>
                    </w:rPr>
                    <w:t>切割烟尘治理</w:t>
                  </w:r>
                </w:p>
              </w:tc>
              <w:tc>
                <w:tcPr>
                  <w:tcW w:w="1418" w:type="dxa"/>
                  <w:vAlign w:val="center"/>
                </w:tcPr>
                <w:p>
                  <w:pPr>
                    <w:jc w:val="center"/>
                    <w:rPr>
                      <w:bCs/>
                      <w:szCs w:val="21"/>
                    </w:rPr>
                  </w:pPr>
                  <w:r>
                    <w:rPr>
                      <w:rFonts w:hint="eastAsia"/>
                      <w:bCs/>
                      <w:szCs w:val="21"/>
                      <w:lang w:val="en-US" w:eastAsia="zh-CN"/>
                    </w:rPr>
                    <w:t>6</w:t>
                  </w:r>
                  <w:r>
                    <w:rPr>
                      <w:rFonts w:hint="eastAsia"/>
                      <w:bCs/>
                      <w:szCs w:val="21"/>
                    </w:rPr>
                    <w:t>.5</w:t>
                  </w:r>
                </w:p>
              </w:tc>
              <w:tc>
                <w:tcPr>
                  <w:tcW w:w="1486"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Align w:val="center"/>
                </w:tcPr>
                <w:p>
                  <w:pPr>
                    <w:jc w:val="center"/>
                    <w:rPr>
                      <w:bCs/>
                      <w:szCs w:val="21"/>
                    </w:rPr>
                  </w:pPr>
                  <w:r>
                    <w:rPr>
                      <w:rFonts w:hint="eastAsia"/>
                      <w:bCs/>
                      <w:szCs w:val="21"/>
                    </w:rPr>
                    <w:t>集气罩及配套管道，</w:t>
                  </w:r>
                  <w:r>
                    <w:rPr>
                      <w:rFonts w:hint="eastAsia"/>
                      <w:bCs/>
                      <w:szCs w:val="21"/>
                      <w:lang w:val="en-US" w:eastAsia="zh-CN"/>
                    </w:rPr>
                    <w:t>5</w:t>
                  </w:r>
                  <w:r>
                    <w:rPr>
                      <w:rFonts w:hint="eastAsia"/>
                      <w:bCs/>
                      <w:szCs w:val="21"/>
                    </w:rPr>
                    <w:t>台移动式焊烟净化器</w:t>
                  </w:r>
                </w:p>
              </w:tc>
              <w:tc>
                <w:tcPr>
                  <w:tcW w:w="1984" w:type="dxa"/>
                  <w:vAlign w:val="center"/>
                </w:tcPr>
                <w:p>
                  <w:pPr>
                    <w:jc w:val="center"/>
                    <w:rPr>
                      <w:bCs/>
                      <w:szCs w:val="21"/>
                    </w:rPr>
                  </w:pPr>
                  <w:r>
                    <w:rPr>
                      <w:rFonts w:hint="eastAsia"/>
                      <w:bCs/>
                      <w:szCs w:val="21"/>
                      <w:lang w:eastAsia="zh-CN"/>
                    </w:rPr>
                    <w:t>打磨粉尘</w:t>
                  </w:r>
                  <w:r>
                    <w:rPr>
                      <w:rFonts w:hint="eastAsia"/>
                      <w:bCs/>
                      <w:szCs w:val="21"/>
                    </w:rPr>
                    <w:t>治理</w:t>
                  </w:r>
                </w:p>
              </w:tc>
              <w:tc>
                <w:tcPr>
                  <w:tcW w:w="1418" w:type="dxa"/>
                  <w:vAlign w:val="center"/>
                </w:tcPr>
                <w:p>
                  <w:pPr>
                    <w:jc w:val="center"/>
                    <w:rPr>
                      <w:bCs/>
                      <w:szCs w:val="21"/>
                    </w:rPr>
                  </w:pPr>
                  <w:r>
                    <w:rPr>
                      <w:rFonts w:hint="eastAsia"/>
                      <w:bCs/>
                      <w:szCs w:val="21"/>
                      <w:lang w:val="en-US" w:eastAsia="zh-CN"/>
                    </w:rPr>
                    <w:t>18</w:t>
                  </w:r>
                  <w:r>
                    <w:rPr>
                      <w:rFonts w:hint="eastAsia"/>
                      <w:bCs/>
                      <w:szCs w:val="21"/>
                    </w:rPr>
                    <w:t>.5</w:t>
                  </w:r>
                </w:p>
              </w:tc>
              <w:tc>
                <w:tcPr>
                  <w:tcW w:w="1486"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Align w:val="center"/>
                </w:tcPr>
                <w:p>
                  <w:pPr>
                    <w:jc w:val="center"/>
                    <w:rPr>
                      <w:szCs w:val="21"/>
                    </w:rPr>
                  </w:pPr>
                  <w:r>
                    <w:rPr>
                      <w:szCs w:val="21"/>
                    </w:rPr>
                    <w:t>减</w:t>
                  </w:r>
                  <w:r>
                    <w:rPr>
                      <w:rFonts w:hint="eastAsia"/>
                      <w:szCs w:val="21"/>
                    </w:rPr>
                    <w:t>振机座</w:t>
                  </w:r>
                  <w:r>
                    <w:rPr>
                      <w:szCs w:val="21"/>
                    </w:rPr>
                    <w:t>、</w:t>
                  </w:r>
                  <w:r>
                    <w:rPr>
                      <w:rFonts w:hint="eastAsia"/>
                      <w:szCs w:val="21"/>
                    </w:rPr>
                    <w:t>橡皮垫等</w:t>
                  </w:r>
                </w:p>
              </w:tc>
              <w:tc>
                <w:tcPr>
                  <w:tcW w:w="1984" w:type="dxa"/>
                  <w:vAlign w:val="center"/>
                </w:tcPr>
                <w:p>
                  <w:pPr>
                    <w:jc w:val="center"/>
                    <w:rPr>
                      <w:szCs w:val="21"/>
                    </w:rPr>
                  </w:pPr>
                  <w:r>
                    <w:rPr>
                      <w:rFonts w:hint="eastAsia"/>
                      <w:szCs w:val="21"/>
                    </w:rPr>
                    <w:t>设备</w:t>
                  </w:r>
                  <w:r>
                    <w:rPr>
                      <w:szCs w:val="21"/>
                    </w:rPr>
                    <w:t>噪声</w:t>
                  </w:r>
                  <w:r>
                    <w:rPr>
                      <w:rFonts w:hint="eastAsia"/>
                      <w:szCs w:val="21"/>
                    </w:rPr>
                    <w:t>治理</w:t>
                  </w:r>
                </w:p>
              </w:tc>
              <w:tc>
                <w:tcPr>
                  <w:tcW w:w="1418" w:type="dxa"/>
                  <w:vAlign w:val="center"/>
                </w:tcPr>
                <w:p>
                  <w:pPr>
                    <w:jc w:val="center"/>
                    <w:rPr>
                      <w:kern w:val="0"/>
                      <w:szCs w:val="21"/>
                    </w:rPr>
                  </w:pPr>
                  <w:r>
                    <w:rPr>
                      <w:rFonts w:hint="eastAsia"/>
                      <w:kern w:val="0"/>
                      <w:szCs w:val="21"/>
                    </w:rPr>
                    <w:t>2.5</w:t>
                  </w:r>
                </w:p>
              </w:tc>
              <w:tc>
                <w:tcPr>
                  <w:tcW w:w="1486" w:type="dxa"/>
                  <w:vMerge w:val="continue"/>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48" w:type="dxa"/>
                  <w:vAlign w:val="center"/>
                </w:tcPr>
                <w:p>
                  <w:pPr>
                    <w:jc w:val="center"/>
                    <w:rPr>
                      <w:szCs w:val="21"/>
                    </w:rPr>
                  </w:pPr>
                  <w:r>
                    <w:rPr>
                      <w:rFonts w:hint="eastAsia"/>
                      <w:szCs w:val="21"/>
                    </w:rPr>
                    <w:t>垃圾桶、一般固废收集点</w:t>
                  </w:r>
                  <w:r>
                    <w:rPr>
                      <w:rFonts w:hint="eastAsia"/>
                      <w:szCs w:val="21"/>
                      <w:lang w:eastAsia="zh-CN"/>
                    </w:rPr>
                    <w:t>、</w:t>
                  </w:r>
                  <w:r>
                    <w:rPr>
                      <w:rFonts w:hint="eastAsia"/>
                      <w:szCs w:val="21"/>
                    </w:rPr>
                    <w:t>危险废物临时贮存点设置等</w:t>
                  </w:r>
                </w:p>
              </w:tc>
              <w:tc>
                <w:tcPr>
                  <w:tcW w:w="1984" w:type="dxa"/>
                  <w:vAlign w:val="center"/>
                </w:tcPr>
                <w:p>
                  <w:pPr>
                    <w:jc w:val="center"/>
                    <w:rPr>
                      <w:szCs w:val="21"/>
                    </w:rPr>
                  </w:pPr>
                  <w:r>
                    <w:rPr>
                      <w:rFonts w:hint="eastAsia"/>
                      <w:szCs w:val="21"/>
                    </w:rPr>
                    <w:t>固废收集</w:t>
                  </w:r>
                </w:p>
              </w:tc>
              <w:tc>
                <w:tcPr>
                  <w:tcW w:w="1418" w:type="dxa"/>
                  <w:vAlign w:val="center"/>
                </w:tcPr>
                <w:p>
                  <w:pPr>
                    <w:jc w:val="center"/>
                    <w:rPr>
                      <w:kern w:val="0"/>
                      <w:szCs w:val="21"/>
                    </w:rPr>
                  </w:pPr>
                  <w:r>
                    <w:rPr>
                      <w:rFonts w:hint="eastAsia"/>
                      <w:kern w:val="0"/>
                      <w:szCs w:val="21"/>
                      <w:lang w:val="en-US" w:eastAsia="zh-CN"/>
                    </w:rPr>
                    <w:t>1</w:t>
                  </w:r>
                  <w:r>
                    <w:rPr>
                      <w:rFonts w:hint="eastAsia"/>
                      <w:kern w:val="0"/>
                      <w:szCs w:val="21"/>
                    </w:rPr>
                    <w:t>5</w:t>
                  </w:r>
                </w:p>
              </w:tc>
              <w:tc>
                <w:tcPr>
                  <w:tcW w:w="1486" w:type="dxa"/>
                  <w:vMerge w:val="continue"/>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4248" w:type="dxa"/>
                  <w:vAlign w:val="center"/>
                </w:tcPr>
                <w:p>
                  <w:pPr>
                    <w:jc w:val="center"/>
                    <w:rPr>
                      <w:bCs/>
                      <w:szCs w:val="21"/>
                    </w:rPr>
                  </w:pPr>
                  <w:r>
                    <w:rPr>
                      <w:bCs/>
                      <w:szCs w:val="21"/>
                    </w:rPr>
                    <w:t>总计</w:t>
                  </w:r>
                </w:p>
              </w:tc>
              <w:tc>
                <w:tcPr>
                  <w:tcW w:w="4888" w:type="dxa"/>
                  <w:gridSpan w:val="3"/>
                </w:tcPr>
                <w:p>
                  <w:pPr>
                    <w:jc w:val="center"/>
                    <w:rPr>
                      <w:rFonts w:hint="default" w:eastAsia="宋体"/>
                      <w:bCs/>
                      <w:szCs w:val="21"/>
                      <w:lang w:val="en-US" w:eastAsia="zh-CN"/>
                    </w:rPr>
                  </w:pPr>
                  <w:r>
                    <w:rPr>
                      <w:rFonts w:hint="eastAsia"/>
                      <w:bCs/>
                      <w:szCs w:val="21"/>
                      <w:lang w:val="en-US" w:eastAsia="zh-CN"/>
                    </w:rPr>
                    <w:t>42.5</w:t>
                  </w:r>
                </w:p>
              </w:tc>
            </w:tr>
          </w:tbl>
          <w:p>
            <w:pPr>
              <w:snapToGrid w:val="0"/>
              <w:jc w:val="center"/>
              <w:rPr>
                <w:b/>
                <w:bCs/>
                <w:kern w:val="0"/>
                <w:szCs w:val="21"/>
              </w:rPr>
            </w:pPr>
            <w:r>
              <w:rPr>
                <w:b/>
                <w:szCs w:val="21"/>
              </w:rPr>
              <w:t>表</w:t>
            </w:r>
            <w:r>
              <w:rPr>
                <w:rFonts w:hint="eastAsia"/>
                <w:b/>
                <w:szCs w:val="21"/>
                <w:lang w:val="en-US" w:eastAsia="zh-CN"/>
              </w:rPr>
              <w:t>40</w:t>
            </w:r>
            <w:r>
              <w:rPr>
                <w:rFonts w:hint="eastAsia"/>
                <w:b/>
                <w:bCs/>
                <w:kern w:val="0"/>
                <w:szCs w:val="21"/>
              </w:rPr>
              <w:t>“三同时”验收一览表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10"/>
              <w:gridCol w:w="1487"/>
              <w:gridCol w:w="2683"/>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00" w:type="dxa"/>
                  <w:vAlign w:val="center"/>
                </w:tcPr>
                <w:p>
                  <w:pPr>
                    <w:snapToGrid w:val="0"/>
                    <w:jc w:val="center"/>
                    <w:rPr>
                      <w:szCs w:val="21"/>
                    </w:rPr>
                  </w:pPr>
                  <w:r>
                    <w:rPr>
                      <w:rFonts w:hint="eastAsia"/>
                      <w:szCs w:val="21"/>
                    </w:rPr>
                    <w:t>内容</w:t>
                  </w:r>
                </w:p>
              </w:tc>
              <w:tc>
                <w:tcPr>
                  <w:tcW w:w="1210" w:type="dxa"/>
                  <w:vAlign w:val="center"/>
                </w:tcPr>
                <w:p>
                  <w:pPr>
                    <w:snapToGrid w:val="0"/>
                    <w:jc w:val="center"/>
                    <w:rPr>
                      <w:szCs w:val="21"/>
                    </w:rPr>
                  </w:pPr>
                  <w:r>
                    <w:rPr>
                      <w:rFonts w:hint="eastAsia"/>
                      <w:szCs w:val="21"/>
                    </w:rPr>
                    <w:t>排放源</w:t>
                  </w:r>
                </w:p>
              </w:tc>
              <w:tc>
                <w:tcPr>
                  <w:tcW w:w="1487" w:type="dxa"/>
                  <w:vAlign w:val="center"/>
                </w:tcPr>
                <w:p>
                  <w:pPr>
                    <w:snapToGrid w:val="0"/>
                    <w:jc w:val="center"/>
                    <w:rPr>
                      <w:szCs w:val="21"/>
                    </w:rPr>
                  </w:pPr>
                  <w:r>
                    <w:rPr>
                      <w:rFonts w:hint="eastAsia"/>
                      <w:szCs w:val="21"/>
                    </w:rPr>
                    <w:t>污染物名称</w:t>
                  </w:r>
                </w:p>
              </w:tc>
              <w:tc>
                <w:tcPr>
                  <w:tcW w:w="2683" w:type="dxa"/>
                  <w:vAlign w:val="center"/>
                </w:tcPr>
                <w:p>
                  <w:pPr>
                    <w:snapToGrid w:val="0"/>
                    <w:jc w:val="center"/>
                    <w:rPr>
                      <w:szCs w:val="21"/>
                    </w:rPr>
                  </w:pPr>
                  <w:r>
                    <w:rPr>
                      <w:rFonts w:hint="eastAsia"/>
                      <w:szCs w:val="21"/>
                    </w:rPr>
                    <w:t>防治措施</w:t>
                  </w:r>
                </w:p>
              </w:tc>
              <w:tc>
                <w:tcPr>
                  <w:tcW w:w="3056" w:type="dxa"/>
                  <w:vAlign w:val="center"/>
                </w:tcPr>
                <w:p>
                  <w:pPr>
                    <w:snapToGrid w:val="0"/>
                    <w:jc w:val="center"/>
                    <w:rPr>
                      <w:szCs w:val="21"/>
                    </w:rPr>
                  </w:pPr>
                  <w:r>
                    <w:rPr>
                      <w:rFonts w:hint="eastAsia"/>
                      <w:szCs w:val="21"/>
                    </w:rPr>
                    <w:t>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00" w:type="dxa"/>
                  <w:vAlign w:val="center"/>
                </w:tcPr>
                <w:p>
                  <w:pPr>
                    <w:snapToGrid w:val="0"/>
                    <w:jc w:val="center"/>
                    <w:rPr>
                      <w:szCs w:val="21"/>
                    </w:rPr>
                  </w:pPr>
                  <w:r>
                    <w:rPr>
                      <w:rFonts w:hint="eastAsia"/>
                      <w:szCs w:val="21"/>
                    </w:rPr>
                    <w:t>废水</w:t>
                  </w:r>
                </w:p>
              </w:tc>
              <w:tc>
                <w:tcPr>
                  <w:tcW w:w="1210" w:type="dxa"/>
                  <w:vAlign w:val="center"/>
                </w:tcPr>
                <w:p>
                  <w:pPr>
                    <w:snapToGrid w:val="0"/>
                    <w:jc w:val="center"/>
                    <w:rPr>
                      <w:szCs w:val="21"/>
                    </w:rPr>
                  </w:pPr>
                  <w:r>
                    <w:rPr>
                      <w:rFonts w:hint="eastAsia"/>
                      <w:szCs w:val="21"/>
                    </w:rPr>
                    <w:t>生活污水</w:t>
                  </w:r>
                </w:p>
              </w:tc>
              <w:tc>
                <w:tcPr>
                  <w:tcW w:w="1487" w:type="dxa"/>
                  <w:vAlign w:val="center"/>
                </w:tcPr>
                <w:p>
                  <w:pPr>
                    <w:snapToGrid w:val="0"/>
                    <w:jc w:val="center"/>
                    <w:rPr>
                      <w:szCs w:val="21"/>
                    </w:rPr>
                  </w:pPr>
                  <w:r>
                    <w:rPr>
                      <w:rFonts w:hint="eastAsia"/>
                      <w:szCs w:val="21"/>
                    </w:rPr>
                    <w:t>COD</w:t>
                  </w:r>
                  <w:r>
                    <w:rPr>
                      <w:rFonts w:hint="eastAsia"/>
                      <w:szCs w:val="21"/>
                      <w:vertAlign w:val="subscript"/>
                    </w:rPr>
                    <w:t>cr</w:t>
                  </w:r>
                  <w:r>
                    <w:rPr>
                      <w:rFonts w:hint="eastAsia"/>
                      <w:szCs w:val="21"/>
                    </w:rPr>
                    <w:t>、BOD、氨氮SS等</w:t>
                  </w:r>
                </w:p>
              </w:tc>
              <w:tc>
                <w:tcPr>
                  <w:tcW w:w="2683" w:type="dxa"/>
                  <w:vAlign w:val="center"/>
                </w:tcPr>
                <w:p>
                  <w:pPr>
                    <w:snapToGrid w:val="0"/>
                    <w:jc w:val="center"/>
                    <w:rPr>
                      <w:bCs/>
                      <w:szCs w:val="21"/>
                    </w:rPr>
                  </w:pPr>
                  <w:r>
                    <w:rPr>
                      <w:rFonts w:hint="eastAsia"/>
                      <w:bCs/>
                      <w:szCs w:val="21"/>
                    </w:rPr>
                    <w:t>雨污分流、化粪池（依托现有）</w:t>
                  </w:r>
                </w:p>
              </w:tc>
              <w:tc>
                <w:tcPr>
                  <w:tcW w:w="3056" w:type="dxa"/>
                  <w:vAlign w:val="center"/>
                </w:tcPr>
                <w:p>
                  <w:pPr>
                    <w:snapToGrid w:val="0"/>
                    <w:jc w:val="center"/>
                    <w:rPr>
                      <w:bCs/>
                      <w:szCs w:val="21"/>
                    </w:rPr>
                  </w:pPr>
                  <w:r>
                    <w:rPr>
                      <w:bCs/>
                      <w:szCs w:val="21"/>
                    </w:rPr>
                    <w:t>达到</w:t>
                  </w:r>
                  <w:r>
                    <w:rPr>
                      <w:rFonts w:hint="eastAsia"/>
                      <w:bCs/>
                      <w:szCs w:val="21"/>
                    </w:rPr>
                    <w:t>《污水排入城镇下水道水质标准》（GB/T 31962-2015）中B等级放标准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00" w:type="dxa"/>
                  <w:vMerge w:val="restart"/>
                  <w:vAlign w:val="center"/>
                </w:tcPr>
                <w:p>
                  <w:pPr>
                    <w:snapToGrid w:val="0"/>
                    <w:jc w:val="center"/>
                    <w:rPr>
                      <w:szCs w:val="21"/>
                    </w:rPr>
                  </w:pPr>
                  <w:r>
                    <w:rPr>
                      <w:rFonts w:hint="eastAsia"/>
                      <w:szCs w:val="21"/>
                    </w:rPr>
                    <w:t>废气</w:t>
                  </w:r>
                </w:p>
              </w:tc>
              <w:tc>
                <w:tcPr>
                  <w:tcW w:w="1210" w:type="dxa"/>
                  <w:vAlign w:val="center"/>
                </w:tcPr>
                <w:p>
                  <w:pPr>
                    <w:jc w:val="center"/>
                    <w:rPr>
                      <w:szCs w:val="21"/>
                    </w:rPr>
                  </w:pPr>
                  <w:r>
                    <w:rPr>
                      <w:rFonts w:hint="eastAsia"/>
                      <w:szCs w:val="21"/>
                    </w:rPr>
                    <w:t>切割工段</w:t>
                  </w:r>
                </w:p>
              </w:tc>
              <w:tc>
                <w:tcPr>
                  <w:tcW w:w="1487" w:type="dxa"/>
                  <w:vAlign w:val="center"/>
                </w:tcPr>
                <w:p>
                  <w:pPr>
                    <w:jc w:val="center"/>
                    <w:rPr>
                      <w:szCs w:val="21"/>
                    </w:rPr>
                  </w:pPr>
                  <w:r>
                    <w:rPr>
                      <w:rFonts w:hint="eastAsia"/>
                      <w:szCs w:val="21"/>
                    </w:rPr>
                    <w:t>颗粒物</w:t>
                  </w:r>
                </w:p>
              </w:tc>
              <w:tc>
                <w:tcPr>
                  <w:tcW w:w="2683" w:type="dxa"/>
                  <w:vAlign w:val="center"/>
                </w:tcPr>
                <w:p>
                  <w:pPr>
                    <w:snapToGrid w:val="0"/>
                    <w:jc w:val="center"/>
                    <w:rPr>
                      <w:bCs/>
                      <w:szCs w:val="21"/>
                    </w:rPr>
                  </w:pPr>
                  <w:r>
                    <w:rPr>
                      <w:rFonts w:hint="eastAsia"/>
                      <w:bCs/>
                      <w:szCs w:val="21"/>
                      <w:lang w:val="en-US" w:eastAsia="zh-CN"/>
                    </w:rPr>
                    <w:t>1</w:t>
                  </w:r>
                  <w:r>
                    <w:rPr>
                      <w:rFonts w:hint="eastAsia"/>
                      <w:bCs/>
                      <w:szCs w:val="21"/>
                    </w:rPr>
                    <w:t>台移动式焊烟净化器</w:t>
                  </w:r>
                </w:p>
              </w:tc>
              <w:tc>
                <w:tcPr>
                  <w:tcW w:w="3056" w:type="dxa"/>
                  <w:vAlign w:val="center"/>
                </w:tcPr>
                <w:p>
                  <w:pPr>
                    <w:snapToGrid w:val="0"/>
                    <w:jc w:val="center"/>
                    <w:rPr>
                      <w:bCs/>
                      <w:szCs w:val="21"/>
                    </w:rPr>
                  </w:pPr>
                  <w:r>
                    <w:rPr>
                      <w:bCs/>
                      <w:szCs w:val="21"/>
                    </w:rPr>
                    <w:t>达到《大气污染物综合排放标准》（GB16297-1996）无组织排放浓度限值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00" w:type="dxa"/>
                  <w:vMerge w:val="continue"/>
                  <w:vAlign w:val="center"/>
                </w:tcPr>
                <w:p>
                  <w:pPr>
                    <w:snapToGrid w:val="0"/>
                    <w:jc w:val="center"/>
                    <w:rPr>
                      <w:szCs w:val="21"/>
                    </w:rPr>
                  </w:pPr>
                </w:p>
              </w:tc>
              <w:tc>
                <w:tcPr>
                  <w:tcW w:w="1210" w:type="dxa"/>
                  <w:vAlign w:val="center"/>
                </w:tcPr>
                <w:p>
                  <w:pPr>
                    <w:jc w:val="center"/>
                    <w:rPr>
                      <w:szCs w:val="21"/>
                    </w:rPr>
                  </w:pPr>
                  <w:r>
                    <w:rPr>
                      <w:rFonts w:hint="eastAsia"/>
                      <w:szCs w:val="21"/>
                      <w:lang w:eastAsia="zh-CN"/>
                    </w:rPr>
                    <w:t>打磨</w:t>
                  </w:r>
                  <w:r>
                    <w:rPr>
                      <w:rFonts w:hint="eastAsia"/>
                      <w:szCs w:val="21"/>
                    </w:rPr>
                    <w:t>工段</w:t>
                  </w:r>
                </w:p>
              </w:tc>
              <w:tc>
                <w:tcPr>
                  <w:tcW w:w="1487" w:type="dxa"/>
                  <w:vAlign w:val="center"/>
                </w:tcPr>
                <w:p>
                  <w:pPr>
                    <w:jc w:val="center"/>
                    <w:rPr>
                      <w:rFonts w:hint="eastAsia" w:eastAsia="宋体"/>
                      <w:szCs w:val="21"/>
                      <w:lang w:eastAsia="zh-CN"/>
                    </w:rPr>
                  </w:pPr>
                  <w:r>
                    <w:rPr>
                      <w:rFonts w:hint="eastAsia"/>
                      <w:szCs w:val="21"/>
                    </w:rPr>
                    <w:t>颗粒物</w:t>
                  </w:r>
                </w:p>
              </w:tc>
              <w:tc>
                <w:tcPr>
                  <w:tcW w:w="2683" w:type="dxa"/>
                  <w:vAlign w:val="center"/>
                </w:tcPr>
                <w:p>
                  <w:pPr>
                    <w:snapToGrid w:val="0"/>
                    <w:jc w:val="center"/>
                    <w:rPr>
                      <w:bCs/>
                      <w:szCs w:val="21"/>
                    </w:rPr>
                  </w:pPr>
                  <w:r>
                    <w:rPr>
                      <w:rFonts w:hint="eastAsia"/>
                      <w:bCs/>
                      <w:szCs w:val="21"/>
                      <w:lang w:val="en-US" w:eastAsia="zh-CN"/>
                    </w:rPr>
                    <w:t>1</w:t>
                  </w:r>
                  <w:r>
                    <w:rPr>
                      <w:rFonts w:hint="eastAsia"/>
                      <w:bCs/>
                      <w:szCs w:val="21"/>
                    </w:rPr>
                    <w:t>台移动式焊烟净化器</w:t>
                  </w:r>
                </w:p>
              </w:tc>
              <w:tc>
                <w:tcPr>
                  <w:tcW w:w="3056" w:type="dxa"/>
                  <w:vAlign w:val="center"/>
                </w:tcPr>
                <w:p>
                  <w:pPr>
                    <w:snapToGrid w:val="0"/>
                    <w:jc w:val="center"/>
                    <w:rPr>
                      <w:bCs/>
                      <w:szCs w:val="21"/>
                    </w:rPr>
                  </w:pPr>
                  <w:r>
                    <w:rPr>
                      <w:bCs/>
                      <w:szCs w:val="21"/>
                    </w:rPr>
                    <w:t>达到《大气污染物综合排放标准》（GB16297-1996）无组织排放浓度限值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00" w:type="dxa"/>
                  <w:vAlign w:val="center"/>
                </w:tcPr>
                <w:p>
                  <w:pPr>
                    <w:jc w:val="center"/>
                    <w:rPr>
                      <w:szCs w:val="21"/>
                    </w:rPr>
                  </w:pPr>
                  <w:r>
                    <w:rPr>
                      <w:rFonts w:hint="eastAsia"/>
                      <w:szCs w:val="21"/>
                    </w:rPr>
                    <w:t>噪声</w:t>
                  </w:r>
                </w:p>
              </w:tc>
              <w:tc>
                <w:tcPr>
                  <w:tcW w:w="1210" w:type="dxa"/>
                  <w:vAlign w:val="center"/>
                </w:tcPr>
                <w:p>
                  <w:pPr>
                    <w:jc w:val="center"/>
                    <w:rPr>
                      <w:szCs w:val="21"/>
                    </w:rPr>
                  </w:pPr>
                  <w:r>
                    <w:rPr>
                      <w:rFonts w:hint="eastAsia"/>
                      <w:szCs w:val="21"/>
                    </w:rPr>
                    <w:t>生产</w:t>
                  </w:r>
                </w:p>
                <w:p>
                  <w:pPr>
                    <w:jc w:val="center"/>
                    <w:rPr>
                      <w:szCs w:val="21"/>
                    </w:rPr>
                  </w:pPr>
                  <w:r>
                    <w:rPr>
                      <w:rFonts w:hint="eastAsia"/>
                      <w:szCs w:val="21"/>
                    </w:rPr>
                    <w:t>车间</w:t>
                  </w:r>
                </w:p>
              </w:tc>
              <w:tc>
                <w:tcPr>
                  <w:tcW w:w="1487" w:type="dxa"/>
                  <w:vAlign w:val="center"/>
                </w:tcPr>
                <w:p>
                  <w:pPr>
                    <w:jc w:val="center"/>
                    <w:rPr>
                      <w:szCs w:val="21"/>
                    </w:rPr>
                  </w:pPr>
                  <w:r>
                    <w:rPr>
                      <w:rFonts w:hint="eastAsia"/>
                      <w:szCs w:val="21"/>
                    </w:rPr>
                    <w:t>噪声</w:t>
                  </w:r>
                </w:p>
              </w:tc>
              <w:tc>
                <w:tcPr>
                  <w:tcW w:w="2683" w:type="dxa"/>
                  <w:vAlign w:val="center"/>
                </w:tcPr>
                <w:p>
                  <w:pPr>
                    <w:jc w:val="center"/>
                    <w:rPr>
                      <w:szCs w:val="21"/>
                    </w:rPr>
                  </w:pPr>
                  <w:r>
                    <w:rPr>
                      <w:rFonts w:hint="eastAsia"/>
                      <w:szCs w:val="21"/>
                    </w:rPr>
                    <w:t>合理布局、</w:t>
                  </w:r>
                  <w:r>
                    <w:rPr>
                      <w:szCs w:val="21"/>
                    </w:rPr>
                    <w:t>减</w:t>
                  </w:r>
                  <w:r>
                    <w:rPr>
                      <w:rFonts w:hint="eastAsia"/>
                      <w:szCs w:val="21"/>
                    </w:rPr>
                    <w:t>振基座</w:t>
                  </w:r>
                  <w:r>
                    <w:rPr>
                      <w:szCs w:val="21"/>
                    </w:rPr>
                    <w:t>、</w:t>
                  </w:r>
                  <w:r>
                    <w:rPr>
                      <w:rFonts w:hint="eastAsia"/>
                      <w:szCs w:val="21"/>
                    </w:rPr>
                    <w:t>橡皮垫等</w:t>
                  </w:r>
                </w:p>
              </w:tc>
              <w:tc>
                <w:tcPr>
                  <w:tcW w:w="3056" w:type="dxa"/>
                  <w:vAlign w:val="center"/>
                </w:tcPr>
                <w:p>
                  <w:pPr>
                    <w:snapToGrid w:val="0"/>
                    <w:jc w:val="center"/>
                    <w:rPr>
                      <w:szCs w:val="21"/>
                    </w:rPr>
                  </w:pPr>
                  <w:r>
                    <w:rPr>
                      <w:rFonts w:hint="eastAsia"/>
                      <w:szCs w:val="21"/>
                    </w:rPr>
                    <w:t>噪声源对厂界的噪声贡献值为低于</w:t>
                  </w:r>
                  <w:r>
                    <w:rPr>
                      <w:szCs w:val="21"/>
                    </w:rPr>
                    <w:t>《工业企业厂界环境噪声排放标准》</w:t>
                  </w:r>
                  <w:r>
                    <w:rPr>
                      <w:rFonts w:hint="eastAsia"/>
                      <w:szCs w:val="21"/>
                    </w:rPr>
                    <w:t>（</w:t>
                  </w:r>
                  <w:r>
                    <w:rPr>
                      <w:szCs w:val="21"/>
                    </w:rPr>
                    <w:t>GB12348-2008</w:t>
                  </w:r>
                  <w:r>
                    <w:rPr>
                      <w:rFonts w:hint="eastAsia"/>
                      <w:szCs w:val="21"/>
                    </w:rPr>
                    <w:t>）</w:t>
                  </w:r>
                  <w:r>
                    <w:rPr>
                      <w:szCs w:val="21"/>
                    </w:rPr>
                    <w:t>中</w:t>
                  </w:r>
                  <w:r>
                    <w:rPr>
                      <w:rFonts w:hint="eastAsia"/>
                      <w:szCs w:val="21"/>
                    </w:rPr>
                    <w:t>3</w:t>
                  </w:r>
                  <w:r>
                    <w:rPr>
                      <w:szCs w:val="21"/>
                    </w:rPr>
                    <w:t>类标准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0" w:type="dxa"/>
                  <w:vMerge w:val="restart"/>
                  <w:vAlign w:val="center"/>
                </w:tcPr>
                <w:p>
                  <w:pPr>
                    <w:snapToGrid w:val="0"/>
                    <w:jc w:val="center"/>
                    <w:rPr>
                      <w:szCs w:val="21"/>
                    </w:rPr>
                  </w:pPr>
                  <w:r>
                    <w:rPr>
                      <w:rFonts w:hint="eastAsia"/>
                      <w:szCs w:val="21"/>
                    </w:rPr>
                    <w:t>固废</w:t>
                  </w:r>
                </w:p>
              </w:tc>
              <w:tc>
                <w:tcPr>
                  <w:tcW w:w="1210" w:type="dxa"/>
                  <w:vMerge w:val="restart"/>
                  <w:vAlign w:val="center"/>
                </w:tcPr>
                <w:p>
                  <w:pPr>
                    <w:snapToGrid w:val="0"/>
                    <w:jc w:val="center"/>
                    <w:rPr>
                      <w:szCs w:val="21"/>
                    </w:rPr>
                  </w:pPr>
                  <w:r>
                    <w:rPr>
                      <w:rFonts w:hint="eastAsia"/>
                      <w:szCs w:val="21"/>
                    </w:rPr>
                    <w:t>生产车间</w:t>
                  </w:r>
                </w:p>
              </w:tc>
              <w:tc>
                <w:tcPr>
                  <w:tcW w:w="1487" w:type="dxa"/>
                  <w:vAlign w:val="center"/>
                </w:tcPr>
                <w:p>
                  <w:pPr>
                    <w:snapToGrid w:val="0"/>
                    <w:jc w:val="center"/>
                    <w:rPr>
                      <w:szCs w:val="21"/>
                    </w:rPr>
                  </w:pPr>
                  <w:r>
                    <w:rPr>
                      <w:rFonts w:hint="eastAsia"/>
                      <w:szCs w:val="21"/>
                    </w:rPr>
                    <w:t>生活垃圾</w:t>
                  </w:r>
                </w:p>
              </w:tc>
              <w:tc>
                <w:tcPr>
                  <w:tcW w:w="2683" w:type="dxa"/>
                  <w:vAlign w:val="center"/>
                </w:tcPr>
                <w:p>
                  <w:pPr>
                    <w:snapToGrid w:val="0"/>
                    <w:jc w:val="center"/>
                    <w:rPr>
                      <w:szCs w:val="21"/>
                    </w:rPr>
                  </w:pPr>
                  <w:r>
                    <w:rPr>
                      <w:rFonts w:hint="eastAsia"/>
                      <w:szCs w:val="21"/>
                    </w:rPr>
                    <w:t>收集后环卫部门统一处理</w:t>
                  </w:r>
                </w:p>
              </w:tc>
              <w:tc>
                <w:tcPr>
                  <w:tcW w:w="3056" w:type="dxa"/>
                  <w:vMerge w:val="restart"/>
                  <w:vAlign w:val="center"/>
                </w:tcPr>
                <w:p>
                  <w:pPr>
                    <w:snapToGrid w:val="0"/>
                    <w:jc w:val="center"/>
                    <w:rPr>
                      <w:szCs w:val="21"/>
                    </w:rPr>
                  </w:pPr>
                  <w:r>
                    <w:rPr>
                      <w:rFonts w:hint="eastAsia"/>
                      <w:szCs w:val="21"/>
                    </w:rPr>
                    <w:t>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0" w:type="dxa"/>
                  <w:vMerge w:val="continue"/>
                  <w:vAlign w:val="center"/>
                </w:tcPr>
                <w:p>
                  <w:pPr>
                    <w:snapToGrid w:val="0"/>
                    <w:jc w:val="center"/>
                    <w:rPr>
                      <w:szCs w:val="21"/>
                    </w:rPr>
                  </w:pPr>
                </w:p>
              </w:tc>
              <w:tc>
                <w:tcPr>
                  <w:tcW w:w="1210" w:type="dxa"/>
                  <w:vMerge w:val="continue"/>
                  <w:vAlign w:val="center"/>
                </w:tcPr>
                <w:p>
                  <w:pPr>
                    <w:snapToGrid w:val="0"/>
                    <w:jc w:val="center"/>
                    <w:rPr>
                      <w:szCs w:val="21"/>
                    </w:rPr>
                  </w:pPr>
                </w:p>
              </w:tc>
              <w:tc>
                <w:tcPr>
                  <w:tcW w:w="1487" w:type="dxa"/>
                  <w:vAlign w:val="center"/>
                </w:tcPr>
                <w:p>
                  <w:pPr>
                    <w:snapToGrid w:val="0"/>
                    <w:jc w:val="center"/>
                    <w:rPr>
                      <w:szCs w:val="21"/>
                    </w:rPr>
                  </w:pPr>
                  <w:r>
                    <w:rPr>
                      <w:rFonts w:hint="eastAsia"/>
                      <w:bCs/>
                      <w:szCs w:val="21"/>
                    </w:rPr>
                    <w:t>边角料和</w:t>
                  </w:r>
                  <w:r>
                    <w:rPr>
                      <w:rFonts w:hint="eastAsia"/>
                      <w:bCs/>
                      <w:szCs w:val="21"/>
                      <w:lang w:eastAsia="zh-CN"/>
                    </w:rPr>
                    <w:t>废铝屑</w:t>
                  </w:r>
                </w:p>
              </w:tc>
              <w:tc>
                <w:tcPr>
                  <w:tcW w:w="2683" w:type="dxa"/>
                  <w:vAlign w:val="center"/>
                </w:tcPr>
                <w:p>
                  <w:pPr>
                    <w:snapToGrid w:val="0"/>
                    <w:jc w:val="center"/>
                    <w:rPr>
                      <w:szCs w:val="21"/>
                    </w:rPr>
                  </w:pPr>
                  <w:r>
                    <w:rPr>
                      <w:rFonts w:hint="eastAsia"/>
                      <w:bCs/>
                      <w:szCs w:val="21"/>
                    </w:rPr>
                    <w:t>定点收集于厂区一般固废临时贮存点，定期集中外售</w:t>
                  </w:r>
                </w:p>
              </w:tc>
              <w:tc>
                <w:tcPr>
                  <w:tcW w:w="3056"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0" w:type="dxa"/>
                  <w:vMerge w:val="continue"/>
                  <w:vAlign w:val="center"/>
                </w:tcPr>
                <w:p>
                  <w:pPr>
                    <w:snapToGrid w:val="0"/>
                    <w:jc w:val="center"/>
                    <w:rPr>
                      <w:szCs w:val="21"/>
                    </w:rPr>
                  </w:pPr>
                </w:p>
              </w:tc>
              <w:tc>
                <w:tcPr>
                  <w:tcW w:w="1210" w:type="dxa"/>
                  <w:vMerge w:val="continue"/>
                  <w:vAlign w:val="center"/>
                </w:tcPr>
                <w:p>
                  <w:pPr>
                    <w:snapToGrid w:val="0"/>
                    <w:jc w:val="center"/>
                    <w:rPr>
                      <w:szCs w:val="21"/>
                    </w:rPr>
                  </w:pPr>
                </w:p>
              </w:tc>
              <w:tc>
                <w:tcPr>
                  <w:tcW w:w="1487" w:type="dxa"/>
                  <w:vAlign w:val="center"/>
                </w:tcPr>
                <w:p>
                  <w:pPr>
                    <w:snapToGrid w:val="0"/>
                    <w:rPr>
                      <w:rFonts w:hint="eastAsia" w:ascii="Times New Roman" w:hAnsi="Times New Roman" w:eastAsia="宋体" w:cs="Times New Roman"/>
                      <w:bCs/>
                      <w:kern w:val="2"/>
                      <w:sz w:val="21"/>
                      <w:szCs w:val="21"/>
                      <w:lang w:val="en-US" w:eastAsia="zh-CN" w:bidi="ar-SA"/>
                    </w:rPr>
                  </w:pPr>
                  <w:r>
                    <w:rPr>
                      <w:rFonts w:hint="eastAsia"/>
                      <w:bCs/>
                      <w:szCs w:val="21"/>
                    </w:rPr>
                    <w:t>含油抹布、手套</w:t>
                  </w:r>
                </w:p>
              </w:tc>
              <w:tc>
                <w:tcPr>
                  <w:tcW w:w="2683" w:type="dxa"/>
                  <w:vAlign w:val="center"/>
                </w:tcPr>
                <w:p>
                  <w:pPr>
                    <w:snapToGrid w:val="0"/>
                    <w:rPr>
                      <w:rFonts w:hint="eastAsia"/>
                      <w:bCs/>
                      <w:szCs w:val="21"/>
                    </w:rPr>
                  </w:pPr>
                  <w:r>
                    <w:rPr>
                      <w:rFonts w:hint="eastAsia"/>
                      <w:bCs/>
                      <w:szCs w:val="21"/>
                    </w:rPr>
                    <w:t>满足豁免条件，收集后与生活垃圾一并</w:t>
                  </w:r>
                  <w:r>
                    <w:rPr>
                      <w:bCs/>
                      <w:szCs w:val="21"/>
                    </w:rPr>
                    <w:t>由环卫部门统一收集、</w:t>
                  </w:r>
                  <w:r>
                    <w:rPr>
                      <w:rFonts w:hint="eastAsia"/>
                      <w:bCs/>
                      <w:szCs w:val="21"/>
                    </w:rPr>
                    <w:t>处置</w:t>
                  </w:r>
                </w:p>
              </w:tc>
              <w:tc>
                <w:tcPr>
                  <w:tcW w:w="3056" w:type="dxa"/>
                  <w:vAlign w:val="center"/>
                </w:tcPr>
                <w:p>
                  <w:pPr>
                    <w:snapToGrid w:val="0"/>
                    <w:jc w:val="center"/>
                    <w:rPr>
                      <w:szCs w:val="21"/>
                    </w:rPr>
                  </w:pPr>
                  <w:r>
                    <w:rPr>
                      <w:rFonts w:hint="eastAsia"/>
                      <w:szCs w:val="21"/>
                    </w:rPr>
                    <w:t>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0" w:type="dxa"/>
                  <w:vMerge w:val="continue"/>
                </w:tcPr>
                <w:p>
                  <w:pPr>
                    <w:snapToGrid w:val="0"/>
                    <w:jc w:val="center"/>
                    <w:rPr>
                      <w:szCs w:val="21"/>
                    </w:rPr>
                  </w:pPr>
                </w:p>
              </w:tc>
              <w:tc>
                <w:tcPr>
                  <w:tcW w:w="1210" w:type="dxa"/>
                  <w:vMerge w:val="continue"/>
                </w:tcPr>
                <w:p>
                  <w:pPr>
                    <w:snapToGrid w:val="0"/>
                    <w:jc w:val="center"/>
                    <w:rPr>
                      <w:szCs w:val="21"/>
                    </w:rPr>
                  </w:pPr>
                </w:p>
              </w:tc>
              <w:tc>
                <w:tcPr>
                  <w:tcW w:w="0" w:type="auto"/>
                  <w:vAlign w:val="center"/>
                </w:tcPr>
                <w:p>
                  <w:pPr>
                    <w:snapToGrid w:val="0"/>
                    <w:rPr>
                      <w:rFonts w:hint="eastAsia" w:ascii="Times New Roman" w:hAnsi="Times New Roman" w:eastAsia="宋体" w:cs="Times New Roman"/>
                      <w:bCs/>
                      <w:kern w:val="2"/>
                      <w:sz w:val="21"/>
                      <w:szCs w:val="21"/>
                      <w:lang w:val="en-US" w:eastAsia="zh-CN" w:bidi="ar-SA"/>
                    </w:rPr>
                  </w:pPr>
                  <w:r>
                    <w:rPr>
                      <w:rFonts w:hint="eastAsia"/>
                      <w:bCs/>
                      <w:szCs w:val="21"/>
                    </w:rPr>
                    <w:t>废乳化液</w:t>
                  </w:r>
                </w:p>
              </w:tc>
              <w:tc>
                <w:tcPr>
                  <w:tcW w:w="2683" w:type="dxa"/>
                  <w:vAlign w:val="center"/>
                </w:tcPr>
                <w:p>
                  <w:pPr>
                    <w:snapToGrid w:val="0"/>
                    <w:rPr>
                      <w:rFonts w:hint="eastAsia"/>
                      <w:bCs/>
                      <w:szCs w:val="21"/>
                    </w:rPr>
                  </w:pPr>
                  <w:r>
                    <w:rPr>
                      <w:rFonts w:hint="eastAsia"/>
                      <w:bCs/>
                      <w:szCs w:val="21"/>
                    </w:rPr>
                    <w:t>定期收集后暂存于项目区危险废物临时贮存点，定期交有资质单位处理</w:t>
                  </w:r>
                </w:p>
              </w:tc>
              <w:tc>
                <w:tcPr>
                  <w:tcW w:w="0" w:type="auto"/>
                </w:tcPr>
                <w:p>
                  <w:pPr>
                    <w:snapToGrid w:val="0"/>
                    <w:jc w:val="center"/>
                    <w:rPr>
                      <w:szCs w:val="21"/>
                    </w:rPr>
                  </w:pPr>
                  <w:r>
                    <w:rPr>
                      <w:rFonts w:hint="eastAsia"/>
                      <w:szCs w:val="21"/>
                    </w:rPr>
                    <w:t>妥善处置</w:t>
                  </w:r>
                </w:p>
              </w:tc>
            </w:tr>
          </w:tbl>
          <w:p>
            <w:pPr>
              <w:spacing w:line="440" w:lineRule="exact"/>
              <w:jc w:val="center"/>
              <w:rPr>
                <w:b/>
                <w:szCs w:val="21"/>
              </w:rPr>
            </w:pPr>
          </w:p>
          <w:p>
            <w:pPr>
              <w:spacing w:line="440" w:lineRule="exact"/>
              <w:rPr>
                <w:bCs/>
                <w:sz w:val="24"/>
              </w:rPr>
            </w:pPr>
          </w:p>
          <w:p>
            <w:pPr>
              <w:spacing w:line="440" w:lineRule="exact"/>
              <w:rPr>
                <w:bCs/>
                <w:sz w:val="24"/>
              </w:rPr>
            </w:pPr>
          </w:p>
          <w:p>
            <w:pPr>
              <w:spacing w:line="440" w:lineRule="exact"/>
              <w:rPr>
                <w:bCs/>
                <w:sz w:val="24"/>
              </w:rPr>
            </w:pPr>
          </w:p>
          <w:p>
            <w:pPr>
              <w:spacing w:line="440" w:lineRule="exact"/>
              <w:rPr>
                <w:bCs/>
                <w:sz w:val="24"/>
              </w:rPr>
            </w:pPr>
          </w:p>
          <w:p>
            <w:pPr>
              <w:spacing w:line="440" w:lineRule="exact"/>
              <w:rPr>
                <w:bCs/>
                <w:sz w:val="24"/>
              </w:rPr>
            </w:pPr>
          </w:p>
        </w:tc>
      </w:tr>
    </w:tbl>
    <w:p>
      <w:pPr>
        <w:spacing w:line="480" w:lineRule="auto"/>
        <w:rPr>
          <w:b/>
          <w:sz w:val="32"/>
          <w:szCs w:val="32"/>
        </w:rPr>
      </w:pPr>
      <w:r>
        <w:rPr>
          <w:b/>
          <w:sz w:val="32"/>
          <w:szCs w:val="32"/>
        </w:rPr>
        <w:t>建设项目拟采取的防治措施及预期治理效果</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20"/>
        <w:gridCol w:w="1309"/>
        <w:gridCol w:w="2231"/>
        <w:gridCol w:w="3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934" w:type="dxa"/>
            <w:tcBorders>
              <w:bottom w:val="single" w:color="auto" w:sz="4" w:space="0"/>
              <w:tl2br w:val="single" w:color="auto" w:sz="4" w:space="0"/>
            </w:tcBorders>
            <w:vAlign w:val="center"/>
          </w:tcPr>
          <w:p>
            <w:pPr>
              <w:snapToGrid w:val="0"/>
              <w:spacing w:line="360" w:lineRule="auto"/>
              <w:jc w:val="right"/>
              <w:rPr>
                <w:sz w:val="24"/>
                <w:szCs w:val="24"/>
              </w:rPr>
            </w:pPr>
            <w:r>
              <w:rPr>
                <w:sz w:val="24"/>
                <w:szCs w:val="24"/>
              </w:rPr>
              <w:t>内容</w:t>
            </w:r>
          </w:p>
          <w:p>
            <w:pPr>
              <w:snapToGrid w:val="0"/>
              <w:spacing w:line="360" w:lineRule="auto"/>
              <w:rPr>
                <w:sz w:val="24"/>
                <w:szCs w:val="24"/>
              </w:rPr>
            </w:pPr>
            <w:r>
              <w:rPr>
                <w:sz w:val="24"/>
                <w:szCs w:val="24"/>
              </w:rPr>
              <w:t>类型</w:t>
            </w:r>
          </w:p>
        </w:tc>
        <w:tc>
          <w:tcPr>
            <w:tcW w:w="1420" w:type="dxa"/>
            <w:tcBorders>
              <w:bottom w:val="single" w:color="auto" w:sz="4" w:space="0"/>
            </w:tcBorders>
            <w:vAlign w:val="center"/>
          </w:tcPr>
          <w:p>
            <w:pPr>
              <w:snapToGrid w:val="0"/>
              <w:spacing w:line="360" w:lineRule="auto"/>
              <w:jc w:val="center"/>
              <w:rPr>
                <w:sz w:val="24"/>
                <w:szCs w:val="24"/>
              </w:rPr>
            </w:pPr>
            <w:r>
              <w:rPr>
                <w:sz w:val="24"/>
                <w:szCs w:val="24"/>
              </w:rPr>
              <w:t>排放源</w:t>
            </w:r>
          </w:p>
        </w:tc>
        <w:tc>
          <w:tcPr>
            <w:tcW w:w="1309" w:type="dxa"/>
            <w:tcBorders>
              <w:bottom w:val="single" w:color="auto" w:sz="4" w:space="0"/>
            </w:tcBorders>
            <w:vAlign w:val="center"/>
          </w:tcPr>
          <w:p>
            <w:pPr>
              <w:snapToGrid w:val="0"/>
              <w:spacing w:line="360" w:lineRule="auto"/>
              <w:jc w:val="center"/>
              <w:rPr>
                <w:sz w:val="24"/>
                <w:szCs w:val="24"/>
              </w:rPr>
            </w:pPr>
            <w:r>
              <w:rPr>
                <w:sz w:val="24"/>
                <w:szCs w:val="24"/>
              </w:rPr>
              <w:t>污染物</w:t>
            </w:r>
          </w:p>
          <w:p>
            <w:pPr>
              <w:snapToGrid w:val="0"/>
              <w:spacing w:line="360" w:lineRule="auto"/>
              <w:jc w:val="center"/>
              <w:rPr>
                <w:sz w:val="24"/>
                <w:szCs w:val="24"/>
              </w:rPr>
            </w:pPr>
            <w:r>
              <w:rPr>
                <w:sz w:val="24"/>
                <w:szCs w:val="24"/>
              </w:rPr>
              <w:t>名称</w:t>
            </w:r>
          </w:p>
        </w:tc>
        <w:tc>
          <w:tcPr>
            <w:tcW w:w="2231" w:type="dxa"/>
            <w:tcBorders>
              <w:bottom w:val="single" w:color="auto" w:sz="4" w:space="0"/>
            </w:tcBorders>
            <w:vAlign w:val="center"/>
          </w:tcPr>
          <w:p>
            <w:pPr>
              <w:snapToGrid w:val="0"/>
              <w:spacing w:line="360" w:lineRule="auto"/>
              <w:jc w:val="center"/>
              <w:rPr>
                <w:sz w:val="24"/>
                <w:szCs w:val="24"/>
              </w:rPr>
            </w:pPr>
            <w:r>
              <w:rPr>
                <w:sz w:val="24"/>
                <w:szCs w:val="24"/>
              </w:rPr>
              <w:t>防治措施</w:t>
            </w:r>
          </w:p>
        </w:tc>
        <w:tc>
          <w:tcPr>
            <w:tcW w:w="3214" w:type="dxa"/>
            <w:tcBorders>
              <w:bottom w:val="single" w:color="auto" w:sz="4" w:space="0"/>
            </w:tcBorders>
            <w:vAlign w:val="center"/>
          </w:tcPr>
          <w:p>
            <w:pPr>
              <w:snapToGrid w:val="0"/>
              <w:spacing w:line="360" w:lineRule="auto"/>
              <w:jc w:val="center"/>
              <w:rPr>
                <w:sz w:val="24"/>
                <w:szCs w:val="24"/>
              </w:rPr>
            </w:pPr>
            <w:r>
              <w:rPr>
                <w:sz w:val="24"/>
                <w:szCs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34" w:type="dxa"/>
            <w:vMerge w:val="restart"/>
            <w:vAlign w:val="center"/>
          </w:tcPr>
          <w:p>
            <w:pPr>
              <w:snapToGrid w:val="0"/>
              <w:spacing w:line="360" w:lineRule="auto"/>
              <w:jc w:val="center"/>
              <w:rPr>
                <w:sz w:val="24"/>
                <w:szCs w:val="24"/>
              </w:rPr>
            </w:pPr>
            <w:r>
              <w:rPr>
                <w:rFonts w:hint="eastAsia"/>
                <w:sz w:val="24"/>
                <w:szCs w:val="24"/>
              </w:rPr>
              <w:t>大气污染物质</w:t>
            </w:r>
          </w:p>
        </w:tc>
        <w:tc>
          <w:tcPr>
            <w:tcW w:w="1420" w:type="dxa"/>
            <w:vAlign w:val="center"/>
          </w:tcPr>
          <w:p>
            <w:pPr>
              <w:jc w:val="center"/>
              <w:rPr>
                <w:sz w:val="24"/>
                <w:szCs w:val="24"/>
              </w:rPr>
            </w:pPr>
            <w:r>
              <w:rPr>
                <w:rFonts w:hint="eastAsia"/>
                <w:sz w:val="24"/>
                <w:szCs w:val="24"/>
              </w:rPr>
              <w:t>切割工段</w:t>
            </w:r>
          </w:p>
        </w:tc>
        <w:tc>
          <w:tcPr>
            <w:tcW w:w="1309" w:type="dxa"/>
            <w:vAlign w:val="center"/>
          </w:tcPr>
          <w:p>
            <w:pPr>
              <w:jc w:val="center"/>
              <w:rPr>
                <w:sz w:val="24"/>
                <w:szCs w:val="24"/>
              </w:rPr>
            </w:pPr>
            <w:r>
              <w:rPr>
                <w:rFonts w:hint="eastAsia"/>
                <w:sz w:val="24"/>
                <w:szCs w:val="24"/>
              </w:rPr>
              <w:t>颗粒物</w:t>
            </w:r>
          </w:p>
        </w:tc>
        <w:tc>
          <w:tcPr>
            <w:tcW w:w="2231" w:type="dxa"/>
            <w:vAlign w:val="center"/>
          </w:tcPr>
          <w:p>
            <w:pPr>
              <w:snapToGrid w:val="0"/>
              <w:jc w:val="center"/>
              <w:rPr>
                <w:bCs/>
                <w:sz w:val="24"/>
                <w:szCs w:val="24"/>
              </w:rPr>
            </w:pPr>
            <w:r>
              <w:rPr>
                <w:rFonts w:hint="eastAsia"/>
                <w:bCs/>
                <w:sz w:val="24"/>
                <w:szCs w:val="24"/>
                <w:lang w:val="en-US" w:eastAsia="zh-CN"/>
              </w:rPr>
              <w:t>1</w:t>
            </w:r>
            <w:r>
              <w:rPr>
                <w:rFonts w:hint="eastAsia"/>
                <w:bCs/>
                <w:sz w:val="24"/>
                <w:szCs w:val="24"/>
              </w:rPr>
              <w:t>台移动式焊烟净化器</w:t>
            </w:r>
          </w:p>
        </w:tc>
        <w:tc>
          <w:tcPr>
            <w:tcW w:w="3214" w:type="dxa"/>
            <w:vAlign w:val="center"/>
          </w:tcPr>
          <w:p>
            <w:pPr>
              <w:snapToGrid w:val="0"/>
              <w:jc w:val="center"/>
              <w:rPr>
                <w:bCs/>
                <w:sz w:val="24"/>
                <w:szCs w:val="24"/>
              </w:rPr>
            </w:pPr>
            <w:r>
              <w:rPr>
                <w:bCs/>
                <w:sz w:val="24"/>
                <w:szCs w:val="24"/>
              </w:rPr>
              <w:t>达到《大气污染物综合排放标准》（GB16297-1996）无组织排放浓度限值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34" w:type="dxa"/>
            <w:vMerge w:val="continue"/>
            <w:vAlign w:val="center"/>
          </w:tcPr>
          <w:p>
            <w:pPr>
              <w:snapToGrid w:val="0"/>
              <w:spacing w:line="360" w:lineRule="auto"/>
              <w:jc w:val="center"/>
              <w:rPr>
                <w:sz w:val="24"/>
                <w:szCs w:val="24"/>
              </w:rPr>
            </w:pPr>
          </w:p>
        </w:tc>
        <w:tc>
          <w:tcPr>
            <w:tcW w:w="1420" w:type="dxa"/>
            <w:vAlign w:val="center"/>
          </w:tcPr>
          <w:p>
            <w:pPr>
              <w:jc w:val="center"/>
              <w:rPr>
                <w:sz w:val="24"/>
                <w:szCs w:val="24"/>
              </w:rPr>
            </w:pPr>
            <w:r>
              <w:rPr>
                <w:rFonts w:hint="eastAsia"/>
                <w:sz w:val="24"/>
                <w:szCs w:val="24"/>
                <w:lang w:eastAsia="zh-CN"/>
              </w:rPr>
              <w:t>打磨</w:t>
            </w:r>
            <w:r>
              <w:rPr>
                <w:rFonts w:hint="eastAsia"/>
                <w:sz w:val="24"/>
                <w:szCs w:val="24"/>
              </w:rPr>
              <w:t>工段</w:t>
            </w:r>
          </w:p>
        </w:tc>
        <w:tc>
          <w:tcPr>
            <w:tcW w:w="1309" w:type="dxa"/>
            <w:vAlign w:val="center"/>
          </w:tcPr>
          <w:p>
            <w:pPr>
              <w:jc w:val="center"/>
              <w:rPr>
                <w:rFonts w:hint="eastAsia" w:eastAsia="宋体"/>
                <w:sz w:val="24"/>
                <w:szCs w:val="24"/>
                <w:lang w:eastAsia="zh-CN"/>
              </w:rPr>
            </w:pPr>
            <w:r>
              <w:rPr>
                <w:rFonts w:hint="eastAsia"/>
                <w:sz w:val="24"/>
                <w:szCs w:val="24"/>
              </w:rPr>
              <w:t>颗粒物</w:t>
            </w:r>
          </w:p>
        </w:tc>
        <w:tc>
          <w:tcPr>
            <w:tcW w:w="2231" w:type="dxa"/>
            <w:vAlign w:val="center"/>
          </w:tcPr>
          <w:p>
            <w:pPr>
              <w:snapToGrid w:val="0"/>
              <w:jc w:val="center"/>
              <w:rPr>
                <w:bCs/>
                <w:sz w:val="24"/>
                <w:szCs w:val="24"/>
              </w:rPr>
            </w:pPr>
            <w:r>
              <w:rPr>
                <w:rFonts w:hint="eastAsia"/>
                <w:bCs/>
                <w:sz w:val="24"/>
                <w:szCs w:val="24"/>
                <w:lang w:val="en-US" w:eastAsia="zh-CN"/>
              </w:rPr>
              <w:t>1</w:t>
            </w:r>
            <w:r>
              <w:rPr>
                <w:rFonts w:hint="eastAsia"/>
                <w:bCs/>
                <w:sz w:val="24"/>
                <w:szCs w:val="24"/>
              </w:rPr>
              <w:t>台移动式焊烟净化器</w:t>
            </w:r>
          </w:p>
        </w:tc>
        <w:tc>
          <w:tcPr>
            <w:tcW w:w="3214" w:type="dxa"/>
            <w:vAlign w:val="center"/>
          </w:tcPr>
          <w:p>
            <w:pPr>
              <w:snapToGrid w:val="0"/>
              <w:jc w:val="center"/>
              <w:rPr>
                <w:bCs/>
                <w:sz w:val="24"/>
                <w:szCs w:val="24"/>
              </w:rPr>
            </w:pPr>
            <w:r>
              <w:rPr>
                <w:bCs/>
                <w:sz w:val="24"/>
                <w:szCs w:val="24"/>
              </w:rPr>
              <w:t>达到《大气污染物综合排放标准》（GB16297-1996）无组织排放浓度限值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34" w:type="dxa"/>
            <w:vAlign w:val="center"/>
          </w:tcPr>
          <w:p>
            <w:pPr>
              <w:snapToGrid w:val="0"/>
              <w:spacing w:line="360" w:lineRule="auto"/>
              <w:jc w:val="center"/>
              <w:rPr>
                <w:sz w:val="24"/>
                <w:szCs w:val="24"/>
              </w:rPr>
            </w:pPr>
            <w:r>
              <w:rPr>
                <w:sz w:val="24"/>
                <w:szCs w:val="24"/>
              </w:rPr>
              <w:t>水污染物质</w:t>
            </w:r>
          </w:p>
        </w:tc>
        <w:tc>
          <w:tcPr>
            <w:tcW w:w="1420" w:type="dxa"/>
            <w:vAlign w:val="center"/>
          </w:tcPr>
          <w:p>
            <w:pPr>
              <w:snapToGrid w:val="0"/>
              <w:spacing w:line="360" w:lineRule="auto"/>
              <w:jc w:val="center"/>
              <w:rPr>
                <w:sz w:val="24"/>
                <w:szCs w:val="24"/>
              </w:rPr>
            </w:pPr>
            <w:r>
              <w:rPr>
                <w:rFonts w:hint="eastAsia"/>
                <w:sz w:val="24"/>
                <w:szCs w:val="24"/>
              </w:rPr>
              <w:t>生活污水</w:t>
            </w:r>
          </w:p>
        </w:tc>
        <w:tc>
          <w:tcPr>
            <w:tcW w:w="1309" w:type="dxa"/>
            <w:vAlign w:val="center"/>
          </w:tcPr>
          <w:p>
            <w:pPr>
              <w:snapToGrid w:val="0"/>
              <w:spacing w:line="360" w:lineRule="auto"/>
              <w:jc w:val="center"/>
              <w:rPr>
                <w:sz w:val="24"/>
                <w:szCs w:val="24"/>
              </w:rPr>
            </w:pPr>
            <w:r>
              <w:rPr>
                <w:rFonts w:hint="eastAsia"/>
                <w:sz w:val="24"/>
                <w:szCs w:val="24"/>
              </w:rPr>
              <w:t>COD</w:t>
            </w:r>
            <w:r>
              <w:rPr>
                <w:rFonts w:hint="eastAsia"/>
                <w:sz w:val="24"/>
                <w:szCs w:val="24"/>
                <w:vertAlign w:val="subscript"/>
              </w:rPr>
              <w:t>cr</w:t>
            </w:r>
            <w:r>
              <w:rPr>
                <w:rFonts w:hint="eastAsia"/>
                <w:sz w:val="24"/>
                <w:szCs w:val="24"/>
              </w:rPr>
              <w:t>、BOD、氨氮SS等</w:t>
            </w:r>
          </w:p>
        </w:tc>
        <w:tc>
          <w:tcPr>
            <w:tcW w:w="2231" w:type="dxa"/>
            <w:vAlign w:val="center"/>
          </w:tcPr>
          <w:p>
            <w:pPr>
              <w:snapToGrid w:val="0"/>
              <w:spacing w:line="360" w:lineRule="auto"/>
              <w:jc w:val="center"/>
              <w:rPr>
                <w:sz w:val="24"/>
                <w:szCs w:val="24"/>
              </w:rPr>
            </w:pPr>
            <w:r>
              <w:rPr>
                <w:rFonts w:hint="eastAsia"/>
                <w:bCs/>
                <w:sz w:val="24"/>
                <w:szCs w:val="24"/>
              </w:rPr>
              <w:t>雨污分流、</w:t>
            </w:r>
            <w:r>
              <w:rPr>
                <w:rFonts w:hint="eastAsia"/>
                <w:sz w:val="24"/>
                <w:szCs w:val="24"/>
              </w:rPr>
              <w:t>化粪池（依托现有）</w:t>
            </w:r>
          </w:p>
        </w:tc>
        <w:tc>
          <w:tcPr>
            <w:tcW w:w="3214" w:type="dxa"/>
            <w:vAlign w:val="center"/>
          </w:tcPr>
          <w:p>
            <w:pPr>
              <w:snapToGrid w:val="0"/>
              <w:spacing w:line="360" w:lineRule="auto"/>
              <w:jc w:val="center"/>
              <w:rPr>
                <w:sz w:val="24"/>
                <w:szCs w:val="24"/>
              </w:rPr>
            </w:pPr>
            <w:r>
              <w:rPr>
                <w:bCs/>
                <w:sz w:val="24"/>
                <w:szCs w:val="24"/>
              </w:rPr>
              <w:t>达到</w:t>
            </w:r>
            <w:r>
              <w:rPr>
                <w:rFonts w:hint="eastAsia"/>
                <w:bCs/>
                <w:sz w:val="24"/>
                <w:szCs w:val="24"/>
              </w:rPr>
              <w:t>《污水排入城镇下水道水质标准》（GB/T 31962-2015）中B等级放标准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34" w:type="dxa"/>
            <w:vMerge w:val="restart"/>
            <w:vAlign w:val="center"/>
          </w:tcPr>
          <w:p>
            <w:pPr>
              <w:snapToGrid w:val="0"/>
              <w:spacing w:line="360" w:lineRule="auto"/>
              <w:jc w:val="center"/>
              <w:rPr>
                <w:sz w:val="24"/>
                <w:szCs w:val="24"/>
              </w:rPr>
            </w:pPr>
            <w:r>
              <w:rPr>
                <w:sz w:val="24"/>
                <w:szCs w:val="24"/>
              </w:rPr>
              <w:t>固体废弃物</w:t>
            </w:r>
          </w:p>
        </w:tc>
        <w:tc>
          <w:tcPr>
            <w:tcW w:w="2729" w:type="dxa"/>
            <w:gridSpan w:val="2"/>
            <w:vAlign w:val="center"/>
          </w:tcPr>
          <w:p>
            <w:pPr>
              <w:snapToGrid w:val="0"/>
              <w:jc w:val="center"/>
              <w:rPr>
                <w:sz w:val="24"/>
                <w:szCs w:val="24"/>
              </w:rPr>
            </w:pPr>
            <w:r>
              <w:rPr>
                <w:rFonts w:hint="eastAsia"/>
                <w:sz w:val="24"/>
                <w:szCs w:val="24"/>
              </w:rPr>
              <w:t>生活垃圾</w:t>
            </w:r>
          </w:p>
        </w:tc>
        <w:tc>
          <w:tcPr>
            <w:tcW w:w="2231" w:type="dxa"/>
            <w:vAlign w:val="center"/>
          </w:tcPr>
          <w:p>
            <w:pPr>
              <w:snapToGrid w:val="0"/>
              <w:jc w:val="center"/>
              <w:rPr>
                <w:sz w:val="24"/>
                <w:szCs w:val="24"/>
              </w:rPr>
            </w:pPr>
            <w:r>
              <w:rPr>
                <w:rFonts w:hint="eastAsia"/>
                <w:sz w:val="24"/>
                <w:szCs w:val="24"/>
              </w:rPr>
              <w:t>收集后环卫部门统一处理</w:t>
            </w:r>
          </w:p>
        </w:tc>
        <w:tc>
          <w:tcPr>
            <w:tcW w:w="3214" w:type="dxa"/>
            <w:vMerge w:val="restart"/>
            <w:vAlign w:val="center"/>
          </w:tcPr>
          <w:p>
            <w:pPr>
              <w:snapToGrid w:val="0"/>
              <w:spacing w:line="360" w:lineRule="auto"/>
              <w:jc w:val="center"/>
              <w:rPr>
                <w:sz w:val="24"/>
                <w:szCs w:val="24"/>
              </w:rPr>
            </w:pPr>
            <w:r>
              <w:rPr>
                <w:rFonts w:hint="eastAsia"/>
                <w:sz w:val="24"/>
                <w:szCs w:val="24"/>
              </w:rPr>
              <w:t>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34" w:type="dxa"/>
            <w:vMerge w:val="continue"/>
            <w:vAlign w:val="center"/>
          </w:tcPr>
          <w:p>
            <w:pPr>
              <w:snapToGrid w:val="0"/>
              <w:spacing w:line="360" w:lineRule="auto"/>
              <w:jc w:val="center"/>
              <w:rPr>
                <w:sz w:val="24"/>
                <w:szCs w:val="24"/>
              </w:rPr>
            </w:pPr>
          </w:p>
        </w:tc>
        <w:tc>
          <w:tcPr>
            <w:tcW w:w="2729" w:type="dxa"/>
            <w:gridSpan w:val="2"/>
            <w:vAlign w:val="center"/>
          </w:tcPr>
          <w:p>
            <w:pPr>
              <w:snapToGrid w:val="0"/>
              <w:jc w:val="center"/>
              <w:rPr>
                <w:sz w:val="24"/>
                <w:szCs w:val="24"/>
              </w:rPr>
            </w:pPr>
            <w:r>
              <w:rPr>
                <w:rFonts w:hint="eastAsia"/>
                <w:bCs/>
                <w:sz w:val="24"/>
                <w:szCs w:val="24"/>
              </w:rPr>
              <w:t>边角料和</w:t>
            </w:r>
            <w:r>
              <w:rPr>
                <w:rFonts w:hint="eastAsia"/>
                <w:bCs/>
                <w:sz w:val="24"/>
                <w:szCs w:val="24"/>
                <w:lang w:eastAsia="zh-CN"/>
              </w:rPr>
              <w:t>废铝屑</w:t>
            </w:r>
          </w:p>
        </w:tc>
        <w:tc>
          <w:tcPr>
            <w:tcW w:w="2231" w:type="dxa"/>
            <w:vAlign w:val="center"/>
          </w:tcPr>
          <w:p>
            <w:pPr>
              <w:snapToGrid w:val="0"/>
              <w:jc w:val="center"/>
              <w:rPr>
                <w:sz w:val="24"/>
                <w:szCs w:val="24"/>
              </w:rPr>
            </w:pPr>
            <w:r>
              <w:rPr>
                <w:rFonts w:hint="eastAsia"/>
                <w:bCs/>
                <w:sz w:val="24"/>
                <w:szCs w:val="24"/>
              </w:rPr>
              <w:t>定点收集于厂区一般固废临时贮存点，定期集中外售</w:t>
            </w:r>
          </w:p>
        </w:tc>
        <w:tc>
          <w:tcPr>
            <w:tcW w:w="3214" w:type="dxa"/>
            <w:vMerge w:val="continue"/>
            <w:vAlign w:val="center"/>
          </w:tcPr>
          <w:p>
            <w:pPr>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34" w:type="dxa"/>
            <w:vMerge w:val="continue"/>
            <w:vAlign w:val="center"/>
          </w:tcPr>
          <w:p>
            <w:pPr>
              <w:snapToGrid w:val="0"/>
              <w:spacing w:line="360" w:lineRule="auto"/>
              <w:jc w:val="center"/>
              <w:rPr>
                <w:sz w:val="24"/>
                <w:szCs w:val="24"/>
              </w:rPr>
            </w:pPr>
          </w:p>
        </w:tc>
        <w:tc>
          <w:tcPr>
            <w:tcW w:w="2729" w:type="dxa"/>
            <w:gridSpan w:val="2"/>
            <w:vAlign w:val="center"/>
          </w:tcPr>
          <w:p>
            <w:pPr>
              <w:snapToGrid w:val="0"/>
              <w:rPr>
                <w:rFonts w:hint="eastAsia"/>
                <w:bCs/>
                <w:sz w:val="24"/>
                <w:szCs w:val="24"/>
              </w:rPr>
            </w:pPr>
            <w:r>
              <w:rPr>
                <w:rFonts w:hint="eastAsia"/>
                <w:bCs/>
                <w:sz w:val="24"/>
                <w:szCs w:val="24"/>
              </w:rPr>
              <w:t>含油抹布、手套</w:t>
            </w:r>
          </w:p>
        </w:tc>
        <w:tc>
          <w:tcPr>
            <w:tcW w:w="2231" w:type="dxa"/>
            <w:vAlign w:val="center"/>
          </w:tcPr>
          <w:p>
            <w:pPr>
              <w:snapToGrid w:val="0"/>
              <w:rPr>
                <w:rFonts w:hint="eastAsia"/>
                <w:bCs/>
                <w:sz w:val="24"/>
                <w:szCs w:val="24"/>
              </w:rPr>
            </w:pPr>
            <w:r>
              <w:rPr>
                <w:rFonts w:hint="eastAsia"/>
                <w:bCs/>
                <w:sz w:val="24"/>
                <w:szCs w:val="24"/>
              </w:rPr>
              <w:t>满足豁免条件，收集后与生活垃圾一并</w:t>
            </w:r>
            <w:r>
              <w:rPr>
                <w:bCs/>
                <w:sz w:val="24"/>
                <w:szCs w:val="24"/>
              </w:rPr>
              <w:t>由环卫部门统一收集、</w:t>
            </w:r>
            <w:r>
              <w:rPr>
                <w:rFonts w:hint="eastAsia"/>
                <w:bCs/>
                <w:sz w:val="24"/>
                <w:szCs w:val="24"/>
              </w:rPr>
              <w:t>处置</w:t>
            </w:r>
          </w:p>
        </w:tc>
        <w:tc>
          <w:tcPr>
            <w:tcW w:w="3214" w:type="dxa"/>
            <w:vAlign w:val="center"/>
          </w:tcPr>
          <w:p>
            <w:pPr>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34" w:type="dxa"/>
            <w:vMerge w:val="continue"/>
            <w:vAlign w:val="center"/>
          </w:tcPr>
          <w:p>
            <w:pPr>
              <w:snapToGrid w:val="0"/>
              <w:spacing w:line="360" w:lineRule="auto"/>
              <w:jc w:val="center"/>
              <w:rPr>
                <w:sz w:val="24"/>
                <w:szCs w:val="24"/>
              </w:rPr>
            </w:pPr>
          </w:p>
        </w:tc>
        <w:tc>
          <w:tcPr>
            <w:tcW w:w="2729" w:type="dxa"/>
            <w:gridSpan w:val="2"/>
            <w:vAlign w:val="center"/>
          </w:tcPr>
          <w:p>
            <w:pPr>
              <w:snapToGrid w:val="0"/>
              <w:rPr>
                <w:rFonts w:hint="eastAsia"/>
                <w:bCs/>
                <w:sz w:val="24"/>
                <w:szCs w:val="24"/>
              </w:rPr>
            </w:pPr>
            <w:r>
              <w:rPr>
                <w:rFonts w:hint="eastAsia"/>
                <w:bCs/>
                <w:sz w:val="24"/>
                <w:szCs w:val="24"/>
              </w:rPr>
              <w:t>废乳化液</w:t>
            </w:r>
          </w:p>
        </w:tc>
        <w:tc>
          <w:tcPr>
            <w:tcW w:w="2231" w:type="dxa"/>
            <w:vAlign w:val="center"/>
          </w:tcPr>
          <w:p>
            <w:pPr>
              <w:snapToGrid w:val="0"/>
              <w:rPr>
                <w:rFonts w:hint="eastAsia"/>
                <w:bCs/>
                <w:sz w:val="24"/>
                <w:szCs w:val="24"/>
              </w:rPr>
            </w:pPr>
            <w:r>
              <w:rPr>
                <w:rFonts w:hint="eastAsia"/>
                <w:bCs/>
                <w:sz w:val="24"/>
                <w:szCs w:val="24"/>
              </w:rPr>
              <w:t>定期收集后暂存于项目区危险废物临时贮存点，定期交有资质单位处理</w:t>
            </w:r>
          </w:p>
        </w:tc>
        <w:tc>
          <w:tcPr>
            <w:tcW w:w="3214" w:type="dxa"/>
            <w:vAlign w:val="center"/>
          </w:tcPr>
          <w:p>
            <w:pPr>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4" w:type="dxa"/>
            <w:vAlign w:val="center"/>
          </w:tcPr>
          <w:p>
            <w:pPr>
              <w:snapToGrid w:val="0"/>
              <w:spacing w:line="360" w:lineRule="auto"/>
              <w:jc w:val="center"/>
              <w:rPr>
                <w:sz w:val="24"/>
                <w:szCs w:val="24"/>
              </w:rPr>
            </w:pPr>
            <w:r>
              <w:rPr>
                <w:sz w:val="24"/>
                <w:szCs w:val="24"/>
              </w:rPr>
              <w:t>噪声</w:t>
            </w:r>
          </w:p>
        </w:tc>
        <w:tc>
          <w:tcPr>
            <w:tcW w:w="1420" w:type="dxa"/>
            <w:vAlign w:val="center"/>
          </w:tcPr>
          <w:p>
            <w:pPr>
              <w:snapToGrid w:val="0"/>
              <w:spacing w:line="360" w:lineRule="auto"/>
              <w:jc w:val="center"/>
              <w:rPr>
                <w:sz w:val="24"/>
                <w:szCs w:val="24"/>
              </w:rPr>
            </w:pPr>
            <w:r>
              <w:rPr>
                <w:sz w:val="24"/>
                <w:szCs w:val="24"/>
              </w:rPr>
              <w:t>运营期</w:t>
            </w:r>
          </w:p>
        </w:tc>
        <w:tc>
          <w:tcPr>
            <w:tcW w:w="1309" w:type="dxa"/>
            <w:vAlign w:val="center"/>
          </w:tcPr>
          <w:p>
            <w:pPr>
              <w:snapToGrid w:val="0"/>
              <w:spacing w:line="360" w:lineRule="auto"/>
              <w:jc w:val="center"/>
              <w:rPr>
                <w:sz w:val="24"/>
                <w:szCs w:val="24"/>
              </w:rPr>
            </w:pPr>
            <w:r>
              <w:rPr>
                <w:rFonts w:hint="eastAsia"/>
                <w:sz w:val="24"/>
                <w:szCs w:val="24"/>
              </w:rPr>
              <w:t>生产设备</w:t>
            </w:r>
            <w:r>
              <w:rPr>
                <w:sz w:val="24"/>
                <w:szCs w:val="24"/>
              </w:rPr>
              <w:t>噪声</w:t>
            </w:r>
          </w:p>
        </w:tc>
        <w:tc>
          <w:tcPr>
            <w:tcW w:w="2231" w:type="dxa"/>
            <w:vAlign w:val="center"/>
          </w:tcPr>
          <w:p>
            <w:pPr>
              <w:snapToGrid w:val="0"/>
              <w:spacing w:line="360" w:lineRule="auto"/>
              <w:rPr>
                <w:sz w:val="24"/>
                <w:szCs w:val="24"/>
              </w:rPr>
            </w:pPr>
            <w:r>
              <w:rPr>
                <w:sz w:val="24"/>
                <w:szCs w:val="24"/>
              </w:rPr>
              <w:t>减</w:t>
            </w:r>
            <w:r>
              <w:rPr>
                <w:rFonts w:hint="eastAsia"/>
                <w:sz w:val="24"/>
                <w:szCs w:val="24"/>
              </w:rPr>
              <w:t>振机座</w:t>
            </w:r>
            <w:r>
              <w:rPr>
                <w:sz w:val="24"/>
                <w:szCs w:val="24"/>
              </w:rPr>
              <w:t>、</w:t>
            </w:r>
            <w:r>
              <w:rPr>
                <w:rFonts w:hint="eastAsia"/>
                <w:sz w:val="24"/>
                <w:szCs w:val="24"/>
              </w:rPr>
              <w:t>橡皮垫等</w:t>
            </w:r>
          </w:p>
        </w:tc>
        <w:tc>
          <w:tcPr>
            <w:tcW w:w="3214" w:type="dxa"/>
            <w:vAlign w:val="center"/>
          </w:tcPr>
          <w:p>
            <w:pPr>
              <w:snapToGrid w:val="0"/>
              <w:spacing w:line="360" w:lineRule="auto"/>
              <w:jc w:val="center"/>
              <w:rPr>
                <w:sz w:val="24"/>
                <w:szCs w:val="24"/>
              </w:rPr>
            </w:pPr>
            <w:r>
              <w:rPr>
                <w:sz w:val="24"/>
                <w:szCs w:val="24"/>
              </w:rPr>
              <w:t>不影响区域声学环境，不改变区域现有的声环境功能级别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5"/>
            <w:vAlign w:val="center"/>
          </w:tcPr>
          <w:p>
            <w:pPr>
              <w:snapToGrid w:val="0"/>
              <w:spacing w:line="360" w:lineRule="auto"/>
              <w:rPr>
                <w:sz w:val="24"/>
                <w:szCs w:val="24"/>
              </w:rPr>
            </w:pPr>
            <w:r>
              <w:rPr>
                <w:sz w:val="24"/>
                <w:szCs w:val="24"/>
              </w:rPr>
              <w:t>生态保护措施及预期结果</w:t>
            </w: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tc>
      </w:tr>
    </w:tbl>
    <w:p>
      <w:pPr>
        <w:spacing w:line="480" w:lineRule="auto"/>
        <w:rPr>
          <w:rFonts w:eastAsia="仿宋_GB2312"/>
          <w:sz w:val="24"/>
        </w:rPr>
        <w:sectPr>
          <w:pgSz w:w="11906" w:h="16838"/>
          <w:pgMar w:top="1440" w:right="1286" w:bottom="1440" w:left="1474" w:header="851" w:footer="992" w:gutter="0"/>
          <w:cols w:space="720" w:num="1"/>
          <w:docGrid w:type="lines" w:linePitch="312" w:charSpace="0"/>
        </w:sectPr>
      </w:pPr>
    </w:p>
    <w:p>
      <w:pPr>
        <w:pStyle w:val="18"/>
        <w:spacing w:line="480" w:lineRule="auto"/>
        <w:rPr>
          <w:b/>
          <w:bCs/>
          <w:sz w:val="32"/>
          <w:szCs w:val="32"/>
        </w:rPr>
      </w:pPr>
      <w:r>
        <w:rPr>
          <w:b/>
          <w:bCs/>
          <w:sz w:val="32"/>
          <w:szCs w:val="32"/>
        </w:rPr>
        <w:t>结论及建议</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5" w:hRule="atLeast"/>
        </w:trPr>
        <w:tc>
          <w:tcPr>
            <w:tcW w:w="9474" w:type="dxa"/>
          </w:tcPr>
          <w:p>
            <w:pPr>
              <w:pStyle w:val="19"/>
              <w:spacing w:line="360" w:lineRule="auto"/>
              <w:ind w:left="0" w:leftChars="0"/>
              <w:rPr>
                <w:b/>
                <w:sz w:val="24"/>
                <w:szCs w:val="24"/>
              </w:rPr>
            </w:pPr>
            <w:r>
              <w:rPr>
                <w:b/>
                <w:sz w:val="24"/>
                <w:szCs w:val="24"/>
              </w:rPr>
              <w:t>结论</w:t>
            </w:r>
          </w:p>
          <w:p>
            <w:pPr>
              <w:snapToGrid w:val="0"/>
              <w:spacing w:line="360" w:lineRule="auto"/>
              <w:ind w:firstLine="482"/>
              <w:rPr>
                <w:sz w:val="24"/>
                <w:szCs w:val="24"/>
              </w:rPr>
            </w:pPr>
            <w:r>
              <w:rPr>
                <w:sz w:val="24"/>
                <w:szCs w:val="24"/>
              </w:rPr>
              <w:t>1、</w:t>
            </w:r>
            <w:r>
              <w:rPr>
                <w:rFonts w:hint="eastAsia"/>
                <w:sz w:val="24"/>
                <w:szCs w:val="24"/>
              </w:rPr>
              <w:t>项目概况</w:t>
            </w:r>
          </w:p>
          <w:p>
            <w:pPr>
              <w:adjustRightInd w:val="0"/>
              <w:snapToGrid w:val="0"/>
              <w:spacing w:line="360" w:lineRule="auto"/>
              <w:ind w:firstLine="360" w:firstLineChars="150"/>
              <w:rPr>
                <w:kern w:val="0"/>
                <w:sz w:val="24"/>
                <w:szCs w:val="24"/>
              </w:rPr>
            </w:pPr>
            <w:r>
              <w:rPr>
                <w:rFonts w:hint="eastAsia"/>
                <w:sz w:val="24"/>
                <w:szCs w:val="24"/>
              </w:rPr>
              <w:t>拟建项目投资</w:t>
            </w:r>
            <w:r>
              <w:rPr>
                <w:rFonts w:hint="eastAsia"/>
                <w:sz w:val="24"/>
                <w:szCs w:val="24"/>
                <w:lang w:eastAsia="zh-CN"/>
              </w:rPr>
              <w:t>20000万元</w:t>
            </w:r>
            <w:r>
              <w:rPr>
                <w:rFonts w:hint="eastAsia"/>
                <w:sz w:val="24"/>
                <w:szCs w:val="24"/>
              </w:rPr>
              <w:t>，</w:t>
            </w:r>
            <w:r>
              <w:rPr>
                <w:rFonts w:hint="eastAsia"/>
                <w:sz w:val="24"/>
                <w:szCs w:val="24"/>
                <w:lang w:eastAsia="zh-CN"/>
              </w:rPr>
              <w:t>租赁大通区工业新区标准化厂房</w:t>
            </w:r>
            <w:r>
              <w:rPr>
                <w:rFonts w:hint="eastAsia" w:hAnsi="宋体"/>
                <w:kern w:val="0"/>
                <w:sz w:val="24"/>
                <w:szCs w:val="24"/>
              </w:rPr>
              <w:t>，</w:t>
            </w:r>
            <w:r>
              <w:rPr>
                <w:rFonts w:hint="eastAsia" w:hAnsi="宋体"/>
                <w:kern w:val="0"/>
                <w:sz w:val="24"/>
                <w:szCs w:val="24"/>
                <w:lang w:eastAsia="zh-CN"/>
              </w:rPr>
              <w:t>租赁</w:t>
            </w:r>
            <w:r>
              <w:rPr>
                <w:rFonts w:hint="eastAsia" w:hAnsi="宋体"/>
                <w:kern w:val="0"/>
                <w:sz w:val="24"/>
                <w:szCs w:val="24"/>
              </w:rPr>
              <w:t>厂房面积</w:t>
            </w:r>
            <w:r>
              <w:rPr>
                <w:rFonts w:hint="eastAsia" w:hAnsi="宋体"/>
                <w:kern w:val="0"/>
                <w:sz w:val="24"/>
                <w:szCs w:val="24"/>
                <w:lang w:val="en-US" w:eastAsia="zh-CN"/>
              </w:rPr>
              <w:t>48</w:t>
            </w:r>
            <w:r>
              <w:rPr>
                <w:rFonts w:hint="eastAsia" w:hAnsi="宋体"/>
                <w:kern w:val="0"/>
                <w:sz w:val="24"/>
                <w:szCs w:val="24"/>
              </w:rPr>
              <w:t>00m</w:t>
            </w:r>
            <w:r>
              <w:rPr>
                <w:rFonts w:hint="eastAsia" w:hAnsi="宋体"/>
                <w:kern w:val="0"/>
                <w:sz w:val="24"/>
                <w:szCs w:val="24"/>
                <w:vertAlign w:val="superscript"/>
              </w:rPr>
              <w:t>2</w:t>
            </w:r>
            <w:r>
              <w:rPr>
                <w:rFonts w:hint="eastAsia" w:hAnsi="宋体"/>
                <w:kern w:val="0"/>
                <w:sz w:val="24"/>
                <w:szCs w:val="24"/>
              </w:rPr>
              <w:t>，购置</w:t>
            </w:r>
            <w:r>
              <w:rPr>
                <w:rFonts w:hint="eastAsia"/>
                <w:sz w:val="24"/>
                <w:szCs w:val="24"/>
                <w:lang w:val="en-US" w:eastAsia="zh-CN"/>
              </w:rPr>
              <w:t>10</w:t>
            </w:r>
            <w:r>
              <w:rPr>
                <w:rFonts w:hint="eastAsia"/>
                <w:sz w:val="24"/>
                <w:szCs w:val="24"/>
              </w:rPr>
              <w:t>台车床、</w:t>
            </w:r>
            <w:r>
              <w:rPr>
                <w:rFonts w:hint="eastAsia"/>
                <w:sz w:val="24"/>
                <w:szCs w:val="24"/>
                <w:lang w:val="en-US" w:eastAsia="zh-CN"/>
              </w:rPr>
              <w:t>10</w:t>
            </w:r>
            <w:r>
              <w:rPr>
                <w:rFonts w:hint="eastAsia"/>
                <w:sz w:val="24"/>
                <w:szCs w:val="24"/>
              </w:rPr>
              <w:t>台铣床、</w:t>
            </w:r>
            <w:r>
              <w:rPr>
                <w:rFonts w:hint="eastAsia"/>
                <w:sz w:val="24"/>
                <w:szCs w:val="24"/>
                <w:lang w:val="en-US" w:eastAsia="zh-CN"/>
              </w:rPr>
              <w:t>5</w:t>
            </w:r>
            <w:r>
              <w:rPr>
                <w:rFonts w:hint="eastAsia"/>
                <w:sz w:val="24"/>
                <w:szCs w:val="24"/>
              </w:rPr>
              <w:t>台钻床、</w:t>
            </w:r>
            <w:r>
              <w:rPr>
                <w:rFonts w:hint="eastAsia"/>
                <w:sz w:val="24"/>
                <w:szCs w:val="24"/>
                <w:lang w:val="en-US" w:eastAsia="zh-CN"/>
              </w:rPr>
              <w:t>5台雕刻机、2台切割机、1</w:t>
            </w:r>
            <w:r>
              <w:rPr>
                <w:rFonts w:hint="eastAsia"/>
                <w:sz w:val="24"/>
                <w:szCs w:val="24"/>
              </w:rPr>
              <w:t>6台CNC数控加工机床等设备</w:t>
            </w:r>
            <w:r>
              <w:rPr>
                <w:rFonts w:hint="eastAsia"/>
                <w:sz w:val="24"/>
                <w:szCs w:val="24"/>
                <w:lang w:eastAsia="zh-CN"/>
              </w:rPr>
              <w:t>、</w:t>
            </w:r>
            <w:r>
              <w:rPr>
                <w:rFonts w:hint="eastAsia"/>
                <w:sz w:val="24"/>
                <w:szCs w:val="24"/>
                <w:lang w:val="en-US" w:eastAsia="zh-CN"/>
              </w:rPr>
              <w:t>10台</w:t>
            </w:r>
            <w:r>
              <w:rPr>
                <w:rFonts w:hint="eastAsia"/>
                <w:sz w:val="24"/>
                <w:szCs w:val="24"/>
                <w:lang w:eastAsia="zh-CN"/>
              </w:rPr>
              <w:t>手磨机</w:t>
            </w:r>
            <w:r>
              <w:rPr>
                <w:rFonts w:hint="eastAsia" w:hAnsi="宋体"/>
                <w:kern w:val="0"/>
                <w:sz w:val="24"/>
                <w:szCs w:val="24"/>
              </w:rPr>
              <w:t>等生产设备进行生产</w:t>
            </w:r>
            <w:r>
              <w:rPr>
                <w:rFonts w:hint="eastAsia"/>
                <w:sz w:val="24"/>
                <w:szCs w:val="24"/>
              </w:rPr>
              <w:t>。</w:t>
            </w:r>
            <w:r>
              <w:rPr>
                <w:rFonts w:hint="eastAsia" w:hAnsi="宋体"/>
                <w:kern w:val="0"/>
                <w:sz w:val="24"/>
                <w:szCs w:val="24"/>
              </w:rPr>
              <w:t>项目建成后将形成</w:t>
            </w:r>
            <w:r>
              <w:rPr>
                <w:rFonts w:hint="eastAsia" w:hAnsi="宋体"/>
                <w:kern w:val="0"/>
                <w:sz w:val="24"/>
                <w:szCs w:val="24"/>
                <w:lang w:eastAsia="zh-CN"/>
              </w:rPr>
              <w:t>年产1000万件精密金属结构件</w:t>
            </w:r>
            <w:r>
              <w:rPr>
                <w:rFonts w:hint="eastAsia" w:hAnsi="宋体"/>
                <w:kern w:val="0"/>
                <w:sz w:val="24"/>
                <w:szCs w:val="24"/>
              </w:rPr>
              <w:t>的生产能力</w:t>
            </w:r>
            <w:r>
              <w:rPr>
                <w:rFonts w:hint="eastAsia" w:hAnsi="宋体"/>
                <w:kern w:val="0"/>
                <w:sz w:val="24"/>
                <w:szCs w:val="24"/>
                <w:lang w:eastAsia="zh-CN"/>
              </w:rPr>
              <w:t>，主要产品包括</w:t>
            </w:r>
            <w:r>
              <w:rPr>
                <w:rFonts w:hint="eastAsia" w:ascii="宋体" w:hAnsi="宋体"/>
                <w:sz w:val="24"/>
                <w:szCs w:val="24"/>
              </w:rPr>
              <w:t>手机外壳</w:t>
            </w:r>
            <w:r>
              <w:rPr>
                <w:rFonts w:hint="eastAsia" w:ascii="宋体" w:hAnsi="宋体"/>
                <w:sz w:val="24"/>
                <w:szCs w:val="24"/>
                <w:lang w:eastAsia="zh-CN"/>
              </w:rPr>
              <w:t>、</w:t>
            </w:r>
            <w:r>
              <w:rPr>
                <w:rFonts w:hint="eastAsia" w:ascii="宋体" w:hAnsi="宋体"/>
                <w:sz w:val="24"/>
                <w:szCs w:val="24"/>
              </w:rPr>
              <w:t>手机卡托</w:t>
            </w:r>
            <w:r>
              <w:rPr>
                <w:rFonts w:hint="eastAsia" w:ascii="宋体" w:hAnsi="宋体"/>
                <w:sz w:val="24"/>
                <w:szCs w:val="24"/>
                <w:lang w:eastAsia="zh-CN"/>
              </w:rPr>
              <w:t>、</w:t>
            </w:r>
            <w:r>
              <w:rPr>
                <w:rFonts w:hint="eastAsia" w:ascii="宋体" w:hAnsi="宋体"/>
                <w:sz w:val="24"/>
                <w:szCs w:val="24"/>
              </w:rPr>
              <w:t>手机音量键</w:t>
            </w:r>
            <w:r>
              <w:rPr>
                <w:rFonts w:hint="eastAsia" w:ascii="宋体" w:hAnsi="宋体"/>
                <w:sz w:val="24"/>
                <w:szCs w:val="24"/>
                <w:lang w:eastAsia="zh-CN"/>
              </w:rPr>
              <w:t>、</w:t>
            </w:r>
            <w:r>
              <w:rPr>
                <w:rFonts w:hint="eastAsia" w:ascii="宋体" w:hAnsi="宋体"/>
                <w:sz w:val="24"/>
                <w:szCs w:val="24"/>
              </w:rPr>
              <w:t>手机开关键</w:t>
            </w:r>
            <w:r>
              <w:rPr>
                <w:rFonts w:hint="eastAsia" w:ascii="宋体" w:hAnsi="宋体"/>
                <w:sz w:val="24"/>
                <w:szCs w:val="24"/>
                <w:lang w:eastAsia="zh-CN"/>
              </w:rPr>
              <w:t>、</w:t>
            </w:r>
            <w:r>
              <w:rPr>
                <w:rFonts w:hint="eastAsia" w:ascii="宋体" w:hAnsi="宋体"/>
                <w:sz w:val="24"/>
                <w:szCs w:val="24"/>
              </w:rPr>
              <w:t>手环扣</w:t>
            </w:r>
            <w:r>
              <w:rPr>
                <w:rFonts w:hint="eastAsia" w:ascii="宋体" w:hAnsi="宋体"/>
                <w:sz w:val="24"/>
                <w:szCs w:val="24"/>
                <w:lang w:eastAsia="zh-CN"/>
              </w:rPr>
              <w:t>、</w:t>
            </w:r>
            <w:r>
              <w:rPr>
                <w:rFonts w:hint="eastAsia" w:ascii="宋体" w:hAnsi="宋体"/>
                <w:sz w:val="24"/>
                <w:szCs w:val="24"/>
              </w:rPr>
              <w:t>相机键</w:t>
            </w:r>
            <w:r>
              <w:rPr>
                <w:rFonts w:hint="eastAsia" w:hAnsi="宋体"/>
                <w:kern w:val="0"/>
                <w:sz w:val="24"/>
                <w:szCs w:val="24"/>
              </w:rPr>
              <w:t>。</w:t>
            </w:r>
          </w:p>
          <w:p>
            <w:pPr>
              <w:snapToGrid w:val="0"/>
              <w:spacing w:line="360" w:lineRule="auto"/>
              <w:ind w:firstLine="482"/>
              <w:rPr>
                <w:sz w:val="24"/>
                <w:szCs w:val="24"/>
              </w:rPr>
            </w:pPr>
            <w:r>
              <w:rPr>
                <w:sz w:val="24"/>
                <w:szCs w:val="24"/>
              </w:rPr>
              <w:t>2、产业政策符合性分析</w:t>
            </w:r>
          </w:p>
          <w:p>
            <w:pPr>
              <w:snapToGrid w:val="0"/>
              <w:spacing w:line="360" w:lineRule="auto"/>
              <w:ind w:firstLine="480" w:firstLineChars="200"/>
              <w:rPr>
                <w:bCs/>
                <w:kern w:val="0"/>
                <w:sz w:val="24"/>
              </w:rPr>
            </w:pPr>
            <w:r>
              <w:rPr>
                <w:kern w:val="0"/>
                <w:sz w:val="24"/>
              </w:rPr>
              <w:t>根据《产业结构调整指导目录（2019年本）》，拟建项目不属于其中鼓励类、限制类和淘汰类，视为允许类，符合国家的产业政策。</w:t>
            </w:r>
            <w:r>
              <w:rPr>
                <w:bCs/>
                <w:kern w:val="0"/>
                <w:sz w:val="24"/>
              </w:rPr>
              <w:t>本项目经合淮南市大通区发展和改革委员会同意备案，项目编号为</w:t>
            </w:r>
            <w:r>
              <w:rPr>
                <w:rFonts w:hint="eastAsia"/>
                <w:bCs/>
                <w:kern w:val="0"/>
                <w:sz w:val="24"/>
                <w:lang w:eastAsia="zh-CN"/>
              </w:rPr>
              <w:t>2018-340402-33-03-0011897</w:t>
            </w:r>
            <w:r>
              <w:rPr>
                <w:bCs/>
                <w:kern w:val="0"/>
                <w:sz w:val="24"/>
              </w:rPr>
              <w:t>，本项目的建设符合国家和地方的产业政策要求。</w:t>
            </w:r>
          </w:p>
          <w:p>
            <w:pPr>
              <w:snapToGrid w:val="0"/>
              <w:spacing w:line="360" w:lineRule="auto"/>
              <w:ind w:firstLine="480" w:firstLineChars="200"/>
              <w:rPr>
                <w:bCs/>
                <w:sz w:val="24"/>
                <w:szCs w:val="24"/>
              </w:rPr>
            </w:pPr>
            <w:r>
              <w:rPr>
                <w:rFonts w:hint="eastAsia"/>
                <w:bCs/>
                <w:sz w:val="24"/>
                <w:szCs w:val="24"/>
              </w:rPr>
              <w:t>3</w:t>
            </w:r>
            <w:r>
              <w:rPr>
                <w:bCs/>
                <w:sz w:val="24"/>
                <w:szCs w:val="24"/>
              </w:rPr>
              <w:t>、</w:t>
            </w:r>
            <w:r>
              <w:rPr>
                <w:rFonts w:hint="eastAsia"/>
                <w:bCs/>
                <w:sz w:val="24"/>
                <w:szCs w:val="24"/>
              </w:rPr>
              <w:t>环境质量现状</w:t>
            </w:r>
          </w:p>
          <w:p>
            <w:pPr>
              <w:snapToGrid w:val="0"/>
              <w:spacing w:line="360" w:lineRule="auto"/>
              <w:ind w:firstLine="480" w:firstLineChars="200"/>
              <w:rPr>
                <w:sz w:val="24"/>
              </w:rPr>
            </w:pPr>
            <w:r>
              <w:rPr>
                <w:sz w:val="24"/>
                <w:szCs w:val="24"/>
              </w:rPr>
              <w:t>建设项目所在地区域环境空气质量</w:t>
            </w:r>
            <w:r>
              <w:rPr>
                <w:rFonts w:hint="eastAsia"/>
                <w:sz w:val="24"/>
                <w:szCs w:val="24"/>
              </w:rPr>
              <w:t>不能</w:t>
            </w:r>
            <w:r>
              <w:rPr>
                <w:sz w:val="24"/>
                <w:szCs w:val="24"/>
              </w:rPr>
              <w:t>满足《环境空气质量标准》</w:t>
            </w:r>
            <w:r>
              <w:rPr>
                <w:rFonts w:hint="eastAsia"/>
                <w:sz w:val="24"/>
                <w:szCs w:val="24"/>
              </w:rPr>
              <w:t>（</w:t>
            </w:r>
            <w:r>
              <w:rPr>
                <w:sz w:val="24"/>
                <w:szCs w:val="24"/>
              </w:rPr>
              <w:t>GB3095-2012</w:t>
            </w:r>
            <w:r>
              <w:rPr>
                <w:rFonts w:hint="eastAsia"/>
                <w:sz w:val="24"/>
                <w:szCs w:val="24"/>
              </w:rPr>
              <w:t>）</w:t>
            </w:r>
            <w:r>
              <w:rPr>
                <w:sz w:val="24"/>
                <w:szCs w:val="24"/>
              </w:rPr>
              <w:t>二级标准浓度限值；</w:t>
            </w:r>
            <w:r>
              <w:rPr>
                <w:rFonts w:hint="eastAsia"/>
                <w:sz w:val="24"/>
              </w:rPr>
              <w:t>项目区地表水淮河能满足《地表水环境质量标准》（GB3838-2002）中</w:t>
            </w:r>
            <w:r>
              <w:rPr>
                <w:rFonts w:hint="eastAsia" w:ascii="宋体" w:hAnsi="宋体"/>
                <w:sz w:val="24"/>
              </w:rPr>
              <w:t>的Ⅲ</w:t>
            </w:r>
            <w:r>
              <w:rPr>
                <w:rFonts w:hint="eastAsia"/>
                <w:sz w:val="24"/>
              </w:rPr>
              <w:t>类标准，</w:t>
            </w:r>
            <w:r>
              <w:rPr>
                <w:sz w:val="24"/>
                <w:szCs w:val="24"/>
              </w:rPr>
              <w:t>项目区域声环境质量良好</w:t>
            </w:r>
            <w:r>
              <w:rPr>
                <w:rFonts w:hint="eastAsia"/>
                <w:sz w:val="24"/>
                <w:szCs w:val="24"/>
              </w:rPr>
              <w:t>，</w:t>
            </w:r>
            <w:r>
              <w:rPr>
                <w:sz w:val="24"/>
              </w:rPr>
              <w:t>项目</w:t>
            </w:r>
            <w:r>
              <w:rPr>
                <w:rFonts w:hint="eastAsia"/>
                <w:sz w:val="24"/>
              </w:rPr>
              <w:t>区声环境</w:t>
            </w:r>
            <w:r>
              <w:rPr>
                <w:sz w:val="24"/>
              </w:rPr>
              <w:t>昼间</w:t>
            </w:r>
            <w:r>
              <w:rPr>
                <w:rFonts w:hint="eastAsia"/>
                <w:sz w:val="24"/>
              </w:rPr>
              <w:t>和</w:t>
            </w:r>
            <w:r>
              <w:rPr>
                <w:sz w:val="24"/>
              </w:rPr>
              <w:t>夜间</w:t>
            </w:r>
            <w:r>
              <w:rPr>
                <w:rFonts w:hint="eastAsia"/>
                <w:sz w:val="24"/>
              </w:rPr>
              <w:t>均达到</w:t>
            </w:r>
            <w:r>
              <w:rPr>
                <w:sz w:val="24"/>
              </w:rPr>
              <w:t>《</w:t>
            </w:r>
            <w:r>
              <w:rPr>
                <w:rFonts w:hint="eastAsia"/>
                <w:sz w:val="24"/>
              </w:rPr>
              <w:t>声环境质量标准</w:t>
            </w:r>
            <w:r>
              <w:rPr>
                <w:sz w:val="24"/>
              </w:rPr>
              <w:t>》</w:t>
            </w:r>
            <w:r>
              <w:rPr>
                <w:rFonts w:hint="eastAsia"/>
                <w:sz w:val="24"/>
              </w:rPr>
              <w:t>（</w:t>
            </w:r>
            <w:r>
              <w:rPr>
                <w:sz w:val="24"/>
              </w:rPr>
              <w:t>GB3096－</w:t>
            </w:r>
            <w:r>
              <w:rPr>
                <w:rFonts w:hint="eastAsia"/>
                <w:sz w:val="24"/>
              </w:rPr>
              <w:t>2008）</w:t>
            </w:r>
            <w:r>
              <w:rPr>
                <w:sz w:val="24"/>
              </w:rPr>
              <w:t>中</w:t>
            </w:r>
            <w:r>
              <w:rPr>
                <w:rFonts w:hint="eastAsia"/>
                <w:sz w:val="24"/>
              </w:rPr>
              <w:t>3</w:t>
            </w:r>
            <w:r>
              <w:rPr>
                <w:sz w:val="24"/>
              </w:rPr>
              <w:t>类标准</w:t>
            </w:r>
            <w:r>
              <w:rPr>
                <w:rFonts w:hint="eastAsia"/>
                <w:sz w:val="24"/>
              </w:rPr>
              <w:t>。</w:t>
            </w:r>
          </w:p>
          <w:p>
            <w:pPr>
              <w:snapToGrid w:val="0"/>
              <w:spacing w:line="360" w:lineRule="auto"/>
              <w:ind w:firstLine="480" w:firstLineChars="200"/>
              <w:rPr>
                <w:sz w:val="24"/>
                <w:szCs w:val="24"/>
              </w:rPr>
            </w:pPr>
            <w:r>
              <w:rPr>
                <w:rFonts w:hint="eastAsia"/>
                <w:sz w:val="24"/>
                <w:szCs w:val="24"/>
              </w:rPr>
              <w:t>4</w:t>
            </w:r>
            <w:r>
              <w:rPr>
                <w:sz w:val="24"/>
                <w:szCs w:val="24"/>
              </w:rPr>
              <w:t>、</w:t>
            </w:r>
            <w:r>
              <w:rPr>
                <w:rFonts w:hint="eastAsia"/>
                <w:sz w:val="24"/>
                <w:szCs w:val="24"/>
              </w:rPr>
              <w:t>营运期</w:t>
            </w:r>
            <w:r>
              <w:rPr>
                <w:sz w:val="24"/>
                <w:szCs w:val="24"/>
              </w:rPr>
              <w:t>环境影响分析</w:t>
            </w:r>
          </w:p>
          <w:p>
            <w:pPr>
              <w:snapToGrid w:val="0"/>
              <w:spacing w:line="360" w:lineRule="auto"/>
              <w:ind w:firstLine="480" w:firstLineChars="200"/>
              <w:rPr>
                <w:sz w:val="24"/>
                <w:szCs w:val="24"/>
              </w:rPr>
            </w:pPr>
            <w:r>
              <w:rPr>
                <w:sz w:val="24"/>
                <w:szCs w:val="24"/>
              </w:rPr>
              <w:t>（1）水环境影响分析</w:t>
            </w:r>
          </w:p>
          <w:p>
            <w:pPr>
              <w:snapToGrid w:val="0"/>
              <w:spacing w:line="360" w:lineRule="auto"/>
              <w:ind w:firstLine="480" w:firstLineChars="200"/>
              <w:rPr>
                <w:sz w:val="24"/>
                <w:lang w:val="en-GB"/>
              </w:rPr>
            </w:pPr>
            <w:r>
              <w:rPr>
                <w:sz w:val="24"/>
                <w:szCs w:val="24"/>
              </w:rPr>
              <w:t>项目产生的废水主要为生活污水，</w:t>
            </w:r>
            <w:r>
              <w:rPr>
                <w:rFonts w:hint="eastAsia"/>
                <w:sz w:val="24"/>
                <w:szCs w:val="24"/>
              </w:rPr>
              <w:t>经过托现有化粪池处理达到达到《污水排入城镇下水道水质标准》（GB/T 31962-2015）中B等级放标准</w:t>
            </w:r>
            <w:r>
              <w:rPr>
                <w:rFonts w:hint="eastAsia"/>
                <w:sz w:val="24"/>
                <w:lang w:val="en-GB"/>
              </w:rPr>
              <w:t>，经市政管网进入淮南首创第一污水处理厂处理，对周围地表水环境影响较小。</w:t>
            </w:r>
          </w:p>
          <w:p>
            <w:pPr>
              <w:snapToGrid w:val="0"/>
              <w:spacing w:line="360" w:lineRule="auto"/>
              <w:ind w:firstLine="480" w:firstLineChars="200"/>
              <w:rPr>
                <w:sz w:val="24"/>
                <w:lang w:val="en-GB"/>
              </w:rPr>
            </w:pPr>
            <w:r>
              <w:rPr>
                <w:rFonts w:hint="eastAsia"/>
                <w:sz w:val="24"/>
                <w:lang w:val="en-GB"/>
              </w:rPr>
              <w:t>（2）大气环境影响分析</w:t>
            </w:r>
          </w:p>
          <w:p>
            <w:pPr>
              <w:snapToGrid w:val="0"/>
              <w:spacing w:line="360" w:lineRule="auto"/>
              <w:ind w:firstLine="480" w:firstLineChars="200"/>
              <w:rPr>
                <w:sz w:val="24"/>
                <w:szCs w:val="24"/>
              </w:rPr>
            </w:pPr>
            <w:r>
              <w:rPr>
                <w:sz w:val="24"/>
                <w:szCs w:val="24"/>
              </w:rPr>
              <w:t>本项目营运期</w:t>
            </w:r>
            <w:r>
              <w:rPr>
                <w:rFonts w:hint="eastAsia"/>
                <w:sz w:val="24"/>
                <w:szCs w:val="24"/>
              </w:rPr>
              <w:t>产生的废气主要为切割机切割过程中产生的切割烟尘、</w:t>
            </w:r>
            <w:r>
              <w:rPr>
                <w:rFonts w:hint="eastAsia"/>
                <w:sz w:val="24"/>
                <w:szCs w:val="24"/>
                <w:lang w:eastAsia="zh-CN"/>
              </w:rPr>
              <w:t>打磨过程中产生的粉尘</w:t>
            </w:r>
            <w:r>
              <w:rPr>
                <w:rFonts w:hint="eastAsia"/>
                <w:sz w:val="24"/>
                <w:szCs w:val="24"/>
              </w:rPr>
              <w:t>。</w:t>
            </w:r>
            <w:r>
              <w:rPr>
                <w:rFonts w:hint="eastAsia"/>
                <w:bCs/>
                <w:sz w:val="24"/>
                <w:szCs w:val="24"/>
              </w:rPr>
              <w:t>项目产生的切割烟尘</w:t>
            </w:r>
            <w:r>
              <w:rPr>
                <w:rFonts w:hint="eastAsia"/>
                <w:bCs/>
                <w:sz w:val="24"/>
                <w:szCs w:val="24"/>
                <w:lang w:eastAsia="zh-CN"/>
              </w:rPr>
              <w:t>、打磨粉尘</w:t>
            </w:r>
            <w:r>
              <w:rPr>
                <w:rFonts w:hint="eastAsia"/>
                <w:bCs/>
                <w:sz w:val="24"/>
                <w:szCs w:val="24"/>
              </w:rPr>
              <w:t>经移动焊烟净化器处理后以无组织形式排放。项目烟尘无组织排放量为</w:t>
            </w:r>
            <w:r>
              <w:rPr>
                <w:rFonts w:hint="eastAsia"/>
                <w:bCs/>
                <w:sz w:val="24"/>
                <w:szCs w:val="24"/>
                <w:lang w:val="en-US" w:eastAsia="zh-CN"/>
              </w:rPr>
              <w:t>0.113t/a，0.115kg/h</w:t>
            </w:r>
            <w:r>
              <w:rPr>
                <w:rFonts w:hint="eastAsia"/>
                <w:bCs/>
                <w:sz w:val="24"/>
                <w:szCs w:val="24"/>
                <w:lang w:eastAsia="zh-CN"/>
              </w:rPr>
              <w:t>。</w:t>
            </w:r>
          </w:p>
          <w:p>
            <w:pPr>
              <w:tabs>
                <w:tab w:val="left" w:pos="3558"/>
                <w:tab w:val="left" w:pos="4173"/>
              </w:tabs>
              <w:snapToGrid w:val="0"/>
              <w:spacing w:line="360" w:lineRule="auto"/>
              <w:ind w:firstLine="480" w:firstLineChars="200"/>
              <w:rPr>
                <w:sz w:val="24"/>
                <w:szCs w:val="24"/>
              </w:rPr>
            </w:pPr>
            <w:r>
              <w:rPr>
                <w:sz w:val="24"/>
                <w:szCs w:val="24"/>
              </w:rPr>
              <w:t>（</w:t>
            </w:r>
            <w:r>
              <w:rPr>
                <w:rFonts w:hint="eastAsia"/>
                <w:sz w:val="24"/>
                <w:szCs w:val="24"/>
              </w:rPr>
              <w:t>2</w:t>
            </w:r>
            <w:r>
              <w:rPr>
                <w:sz w:val="24"/>
                <w:szCs w:val="24"/>
              </w:rPr>
              <w:t>）噪声环境影响分析</w:t>
            </w:r>
          </w:p>
          <w:p>
            <w:pPr>
              <w:snapToGrid w:val="0"/>
              <w:spacing w:line="360" w:lineRule="auto"/>
              <w:ind w:firstLine="480" w:firstLineChars="200"/>
              <w:rPr>
                <w:b/>
                <w:sz w:val="24"/>
                <w:szCs w:val="24"/>
              </w:rPr>
            </w:pPr>
            <w:r>
              <w:rPr>
                <w:rFonts w:hint="eastAsia"/>
                <w:sz w:val="24"/>
              </w:rPr>
              <w:t>拟建</w:t>
            </w:r>
            <w:r>
              <w:rPr>
                <w:sz w:val="24"/>
              </w:rPr>
              <w:t>项目</w:t>
            </w:r>
            <w:r>
              <w:rPr>
                <w:rFonts w:hint="eastAsia"/>
                <w:sz w:val="24"/>
                <w:szCs w:val="24"/>
              </w:rPr>
              <w:t>主要噪声源为</w:t>
            </w:r>
            <w:r>
              <w:rPr>
                <w:rFonts w:hint="eastAsia"/>
                <w:sz w:val="24"/>
                <w:szCs w:val="24"/>
                <w:lang w:eastAsia="zh-CN"/>
              </w:rPr>
              <w:t>车床、铣床、钻床、雕刻机、切割机、CNC数控加工机床、空压机</w:t>
            </w:r>
            <w:r>
              <w:rPr>
                <w:rFonts w:hint="eastAsia"/>
                <w:sz w:val="24"/>
                <w:szCs w:val="24"/>
              </w:rPr>
              <w:t>等生产设备产生的噪声。</w:t>
            </w:r>
            <w:r>
              <w:rPr>
                <w:sz w:val="24"/>
                <w:szCs w:val="24"/>
              </w:rPr>
              <w:t>经预测</w:t>
            </w:r>
            <w:r>
              <w:rPr>
                <w:rFonts w:hint="eastAsia"/>
                <w:sz w:val="24"/>
              </w:rPr>
              <w:t>项目区</w:t>
            </w:r>
            <w:r>
              <w:rPr>
                <w:sz w:val="24"/>
              </w:rPr>
              <w:t>噪声执行《工业企业厂界环境噪声排放标准》</w:t>
            </w:r>
            <w:r>
              <w:rPr>
                <w:rFonts w:hint="eastAsia"/>
                <w:sz w:val="24"/>
              </w:rPr>
              <w:t>（</w:t>
            </w:r>
            <w:r>
              <w:rPr>
                <w:sz w:val="24"/>
              </w:rPr>
              <w:t>GB12348-2008</w:t>
            </w:r>
            <w:r>
              <w:rPr>
                <w:rFonts w:hint="eastAsia"/>
                <w:sz w:val="24"/>
              </w:rPr>
              <w:t>）</w:t>
            </w:r>
            <w:r>
              <w:rPr>
                <w:sz w:val="24"/>
              </w:rPr>
              <w:t>中</w:t>
            </w:r>
            <w:r>
              <w:rPr>
                <w:rFonts w:hint="eastAsia"/>
                <w:sz w:val="24"/>
              </w:rPr>
              <w:t>3</w:t>
            </w:r>
            <w:r>
              <w:rPr>
                <w:sz w:val="24"/>
              </w:rPr>
              <w:t>类标准</w:t>
            </w:r>
            <w:r>
              <w:rPr>
                <w:rFonts w:hint="eastAsia" w:hAnsi="宋体"/>
                <w:sz w:val="24"/>
                <w:szCs w:val="24"/>
              </w:rPr>
              <w:t>。</w:t>
            </w:r>
            <w:r>
              <w:rPr>
                <w:rFonts w:hint="eastAsia" w:ascii="宋体" w:hAnsi="宋体"/>
                <w:sz w:val="24"/>
              </w:rPr>
              <w:t>拟建项目投产后，对区域声环境质量无明显影响。</w:t>
            </w:r>
          </w:p>
          <w:p>
            <w:pPr>
              <w:snapToGrid w:val="0"/>
              <w:spacing w:line="360" w:lineRule="auto"/>
              <w:ind w:firstLine="480" w:firstLineChars="200"/>
              <w:rPr>
                <w:sz w:val="24"/>
                <w:szCs w:val="24"/>
              </w:rPr>
            </w:pPr>
            <w:r>
              <w:rPr>
                <w:sz w:val="24"/>
                <w:szCs w:val="24"/>
              </w:rPr>
              <w:t>（</w:t>
            </w:r>
            <w:r>
              <w:rPr>
                <w:rFonts w:hint="eastAsia"/>
                <w:sz w:val="24"/>
                <w:szCs w:val="24"/>
              </w:rPr>
              <w:t>3</w:t>
            </w:r>
            <w:r>
              <w:rPr>
                <w:sz w:val="24"/>
                <w:szCs w:val="24"/>
              </w:rPr>
              <w:t>）固体废弃物环境影响分析</w:t>
            </w:r>
          </w:p>
          <w:p>
            <w:pPr>
              <w:snapToGrid w:val="0"/>
              <w:spacing w:line="360" w:lineRule="auto"/>
              <w:ind w:firstLine="480" w:firstLineChars="200"/>
              <w:rPr>
                <w:bCs/>
                <w:sz w:val="24"/>
                <w:szCs w:val="24"/>
              </w:rPr>
            </w:pPr>
            <w:r>
              <w:rPr>
                <w:bCs/>
                <w:sz w:val="24"/>
                <w:szCs w:val="24"/>
              </w:rPr>
              <w:t>本项目产生</w:t>
            </w:r>
            <w:r>
              <w:rPr>
                <w:rFonts w:hint="eastAsia"/>
                <w:bCs/>
                <w:sz w:val="24"/>
                <w:szCs w:val="24"/>
              </w:rPr>
              <w:t>的</w:t>
            </w:r>
            <w:r>
              <w:rPr>
                <w:bCs/>
                <w:sz w:val="24"/>
                <w:szCs w:val="24"/>
              </w:rPr>
              <w:t>固废主要为：</w:t>
            </w:r>
            <w:r>
              <w:rPr>
                <w:rFonts w:hint="eastAsia"/>
                <w:sz w:val="24"/>
                <w:szCs w:val="24"/>
              </w:rPr>
              <w:t>生产车间产生边角料、</w:t>
            </w:r>
            <w:r>
              <w:rPr>
                <w:rFonts w:hint="eastAsia"/>
                <w:sz w:val="24"/>
                <w:szCs w:val="24"/>
                <w:lang w:eastAsia="zh-CN"/>
              </w:rPr>
              <w:t>废铝屑</w:t>
            </w:r>
            <w:r>
              <w:rPr>
                <w:rFonts w:hint="eastAsia"/>
                <w:sz w:val="24"/>
                <w:szCs w:val="24"/>
              </w:rPr>
              <w:t>、维修设备产生的含油抹布手套、废乳化液等、职工生活垃圾</w:t>
            </w:r>
            <w:r>
              <w:rPr>
                <w:sz w:val="24"/>
                <w:szCs w:val="24"/>
              </w:rPr>
              <w:t>。</w:t>
            </w:r>
            <w:r>
              <w:rPr>
                <w:rFonts w:hint="eastAsia"/>
                <w:bCs/>
                <w:sz w:val="24"/>
              </w:rPr>
              <w:t>产生的</w:t>
            </w:r>
            <w:r>
              <w:rPr>
                <w:bCs/>
                <w:sz w:val="24"/>
              </w:rPr>
              <w:t>生活垃圾</w:t>
            </w:r>
            <w:r>
              <w:rPr>
                <w:rFonts w:hint="eastAsia"/>
                <w:bCs/>
                <w:sz w:val="24"/>
              </w:rPr>
              <w:t>和含油抹布手套经</w:t>
            </w:r>
            <w:r>
              <w:rPr>
                <w:bCs/>
                <w:sz w:val="24"/>
              </w:rPr>
              <w:t>袋装化后，由环卫部门统一收集</w:t>
            </w:r>
            <w:r>
              <w:rPr>
                <w:rFonts w:hint="eastAsia"/>
                <w:bCs/>
                <w:sz w:val="24"/>
              </w:rPr>
              <w:t>处置。产生的生产车间产生边角料、</w:t>
            </w:r>
            <w:r>
              <w:rPr>
                <w:rFonts w:hint="eastAsia"/>
                <w:bCs/>
                <w:sz w:val="24"/>
                <w:lang w:eastAsia="zh-CN"/>
              </w:rPr>
              <w:t>废铝屑</w:t>
            </w:r>
            <w:r>
              <w:rPr>
                <w:rFonts w:hint="eastAsia"/>
                <w:bCs/>
                <w:sz w:val="24"/>
              </w:rPr>
              <w:t>，收集后暂存于厂区一般固废临时贮存点，定期交物资回收公司回收利用。项目产生的废乳化液，属于危险废物，收集后暂存于项目区危险废物临时贮存点，再交由有资质单位</w:t>
            </w:r>
            <w:r>
              <w:rPr>
                <w:bCs/>
                <w:sz w:val="24"/>
              </w:rPr>
              <w:t>处理。</w:t>
            </w:r>
          </w:p>
          <w:p>
            <w:pPr>
              <w:snapToGrid w:val="0"/>
              <w:spacing w:line="360" w:lineRule="auto"/>
              <w:ind w:firstLine="480" w:firstLineChars="200"/>
              <w:rPr>
                <w:bCs/>
                <w:sz w:val="24"/>
                <w:szCs w:val="24"/>
              </w:rPr>
            </w:pPr>
            <w:r>
              <w:rPr>
                <w:bCs/>
                <w:sz w:val="24"/>
                <w:szCs w:val="24"/>
              </w:rPr>
              <w:t>综上所述，</w:t>
            </w:r>
            <w:r>
              <w:rPr>
                <w:rFonts w:hint="eastAsia"/>
                <w:bCs/>
                <w:sz w:val="24"/>
                <w:szCs w:val="24"/>
              </w:rPr>
              <w:t>本项目</w:t>
            </w:r>
            <w:r>
              <w:rPr>
                <w:bCs/>
                <w:sz w:val="24"/>
                <w:szCs w:val="24"/>
              </w:rPr>
              <w:t>采用本报告表的各项污染防治措施，各项污染物实现达标排放，且不会降低评价区域原有环境质量功能级别。实施过程中要严格执行</w:t>
            </w:r>
            <w:r>
              <w:rPr>
                <w:rFonts w:hint="eastAsia"/>
                <w:bCs/>
                <w:sz w:val="24"/>
                <w:szCs w:val="24"/>
              </w:rPr>
              <w:t>“</w:t>
            </w:r>
            <w:r>
              <w:rPr>
                <w:bCs/>
                <w:sz w:val="24"/>
                <w:szCs w:val="24"/>
              </w:rPr>
              <w:t>三同时</w:t>
            </w:r>
            <w:r>
              <w:rPr>
                <w:rFonts w:hint="eastAsia"/>
                <w:bCs/>
                <w:sz w:val="24"/>
                <w:szCs w:val="24"/>
              </w:rPr>
              <w:t>”</w:t>
            </w:r>
            <w:r>
              <w:rPr>
                <w:bCs/>
                <w:sz w:val="24"/>
                <w:szCs w:val="24"/>
              </w:rPr>
              <w:t>制度，在严格执行各项环保措施的前提下，从环境</w:t>
            </w:r>
            <w:r>
              <w:rPr>
                <w:rFonts w:hint="eastAsia"/>
                <w:bCs/>
                <w:sz w:val="24"/>
                <w:szCs w:val="24"/>
              </w:rPr>
              <w:t>影响</w:t>
            </w:r>
            <w:r>
              <w:rPr>
                <w:bCs/>
                <w:sz w:val="24"/>
                <w:szCs w:val="24"/>
              </w:rPr>
              <w:t>角度而言，该项目是可行的。</w:t>
            </w:r>
          </w:p>
          <w:p>
            <w:pPr>
              <w:spacing w:line="360" w:lineRule="auto"/>
              <w:ind w:firstLine="482" w:firstLineChars="200"/>
              <w:rPr>
                <w:b/>
                <w:bCs/>
                <w:sz w:val="24"/>
                <w:szCs w:val="24"/>
              </w:rPr>
            </w:pPr>
            <w:r>
              <w:rPr>
                <w:b/>
                <w:sz w:val="24"/>
                <w:szCs w:val="24"/>
              </w:rPr>
              <w:t>二、建议</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生产过程中加强运行管理，严格执行操作规程，确保安全生产。</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加强环境监测，防止污染物超标排放。</w:t>
            </w:r>
          </w:p>
          <w:p>
            <w:pPr>
              <w:spacing w:line="360" w:lineRule="auto"/>
              <w:ind w:firstLine="456" w:firstLineChars="200"/>
              <w:rPr>
                <w:rFonts w:ascii="宋体" w:hAnsi="宋体"/>
                <w:spacing w:val="-6"/>
                <w:sz w:val="24"/>
              </w:rPr>
            </w:pPr>
            <w:r>
              <w:rPr>
                <w:rFonts w:hint="eastAsia" w:ascii="宋体" w:hAnsi="宋体"/>
                <w:spacing w:val="-6"/>
                <w:sz w:val="24"/>
              </w:rPr>
              <w:t>3、严把产品质量关，各类产品符合相应质量标准。</w:t>
            </w: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p>
            <w:pPr>
              <w:autoSpaceDE w:val="0"/>
              <w:autoSpaceDN w:val="0"/>
              <w:adjustRightIn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4" w:type="dxa"/>
          </w:tcPr>
          <w:p>
            <w:pPr>
              <w:spacing w:line="360" w:lineRule="auto"/>
              <w:rPr>
                <w:rFonts w:hAnsi="宋体"/>
                <w:b/>
                <w:bCs/>
                <w:sz w:val="24"/>
                <w:szCs w:val="28"/>
              </w:rPr>
            </w:pPr>
            <w:r>
              <w:rPr>
                <w:rFonts w:hAnsi="宋体"/>
                <w:b/>
                <w:bCs/>
                <w:sz w:val="24"/>
                <w:szCs w:val="28"/>
              </w:rPr>
              <w:t>行业主管部门预审意见：</w:t>
            </w: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ind w:firstLine="7197" w:firstLineChars="2987"/>
              <w:rPr>
                <w:rFonts w:hAnsi="宋体"/>
                <w:b/>
                <w:bCs/>
                <w:sz w:val="24"/>
                <w:szCs w:val="28"/>
              </w:rPr>
            </w:pPr>
            <w:r>
              <w:rPr>
                <w:rFonts w:hAnsi="宋体"/>
                <w:b/>
                <w:bCs/>
                <w:sz w:val="24"/>
                <w:szCs w:val="28"/>
              </w:rPr>
              <w:t>公章</w:t>
            </w:r>
          </w:p>
          <w:p>
            <w:pPr>
              <w:spacing w:line="360" w:lineRule="auto"/>
              <w:rPr>
                <w:rFonts w:eastAsia="仿宋_GB2312"/>
                <w:sz w:val="24"/>
              </w:rPr>
            </w:pPr>
            <w:r>
              <w:rPr>
                <w:rFonts w:hAnsi="宋体"/>
                <w:b/>
                <w:bCs/>
                <w:sz w:val="24"/>
                <w:szCs w:val="28"/>
              </w:rPr>
              <w:t>经办人</w:t>
            </w:r>
            <w:r>
              <w:rPr>
                <w:rFonts w:hint="eastAsia" w:hAnsi="宋体"/>
                <w:b/>
                <w:bCs/>
                <w:sz w:val="24"/>
                <w:szCs w:val="28"/>
              </w:rPr>
              <w:t xml:space="preserve"> </w:t>
            </w:r>
            <w:r>
              <w:rPr>
                <w:rFonts w:hAnsi="宋体"/>
                <w:b/>
                <w:bCs/>
                <w:sz w:val="24"/>
                <w:szCs w:val="28"/>
              </w:rPr>
              <w:t>：</w:t>
            </w:r>
            <w:r>
              <w:rPr>
                <w:rFonts w:hint="eastAsia" w:hAnsi="宋体"/>
                <w:b/>
                <w:bCs/>
                <w:sz w:val="24"/>
                <w:szCs w:val="28"/>
              </w:rPr>
              <w:t xml:space="preserve">   </w:t>
            </w:r>
            <w:r>
              <w:rPr>
                <w:rFonts w:hAnsi="宋体"/>
                <w:b/>
                <w:bCs/>
                <w:sz w:val="24"/>
                <w:szCs w:val="28"/>
              </w:rPr>
              <w:t>年</w:t>
            </w:r>
            <w:r>
              <w:rPr>
                <w:rFonts w:hint="eastAsia" w:hAnsi="宋体"/>
                <w:b/>
                <w:bCs/>
                <w:sz w:val="24"/>
                <w:szCs w:val="28"/>
              </w:rPr>
              <w:t xml:space="preserve">   </w:t>
            </w:r>
            <w:r>
              <w:rPr>
                <w:rFonts w:hAnsi="宋体"/>
                <w:b/>
                <w:bCs/>
                <w:sz w:val="24"/>
                <w:szCs w:val="28"/>
              </w:rPr>
              <w:t>月</w:t>
            </w:r>
            <w:r>
              <w:rPr>
                <w:rFonts w:hint="eastAsia" w:hAnsi="宋体"/>
                <w:b/>
                <w:bCs/>
                <w:sz w:val="24"/>
                <w:szCs w:val="28"/>
              </w:rPr>
              <w:t xml:space="preserve">    </w:t>
            </w:r>
            <w:r>
              <w:rPr>
                <w:rFonts w:hAnsi="宋体"/>
                <w:b/>
                <w:bCs/>
                <w:sz w:val="24"/>
                <w:szCs w:val="28"/>
              </w:rPr>
              <w:t>日</w:t>
            </w:r>
            <w:r>
              <w:rPr>
                <w:rFonts w:hint="eastAsia" w:hAnsi="宋体"/>
                <w:b/>
                <w:bCs/>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4" w:type="dxa"/>
          </w:tcPr>
          <w:p>
            <w:pPr>
              <w:spacing w:line="360" w:lineRule="auto"/>
              <w:rPr>
                <w:rFonts w:hAnsi="宋体"/>
                <w:b/>
                <w:bCs/>
                <w:sz w:val="24"/>
                <w:szCs w:val="28"/>
              </w:rPr>
            </w:pPr>
            <w:r>
              <w:rPr>
                <w:rFonts w:hAnsi="宋体"/>
                <w:b/>
                <w:bCs/>
                <w:sz w:val="24"/>
                <w:szCs w:val="28"/>
              </w:rPr>
              <w:t>下一级环境保护行政主管部门审查意见：</w:t>
            </w: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ind w:firstLine="7197" w:firstLineChars="2987"/>
              <w:rPr>
                <w:rFonts w:hAnsi="宋体"/>
                <w:b/>
                <w:bCs/>
                <w:sz w:val="24"/>
                <w:szCs w:val="28"/>
              </w:rPr>
            </w:pPr>
            <w:r>
              <w:rPr>
                <w:rFonts w:hAnsi="宋体"/>
                <w:b/>
                <w:bCs/>
                <w:sz w:val="24"/>
                <w:szCs w:val="28"/>
              </w:rPr>
              <w:t>公章</w:t>
            </w:r>
          </w:p>
          <w:p>
            <w:pPr>
              <w:spacing w:line="360" w:lineRule="auto"/>
              <w:rPr>
                <w:rFonts w:hAnsi="宋体"/>
                <w:b/>
                <w:bCs/>
                <w:sz w:val="24"/>
                <w:szCs w:val="28"/>
              </w:rPr>
            </w:pPr>
            <w:r>
              <w:rPr>
                <w:rFonts w:hAnsi="宋体"/>
                <w:b/>
                <w:bCs/>
                <w:sz w:val="24"/>
                <w:szCs w:val="28"/>
              </w:rPr>
              <w:t>经办人</w:t>
            </w:r>
            <w:r>
              <w:rPr>
                <w:rFonts w:hint="eastAsia" w:hAnsi="宋体"/>
                <w:b/>
                <w:bCs/>
                <w:sz w:val="24"/>
                <w:szCs w:val="28"/>
              </w:rPr>
              <w:t xml:space="preserve"> </w:t>
            </w:r>
            <w:r>
              <w:rPr>
                <w:rFonts w:hAnsi="宋体"/>
                <w:b/>
                <w:bCs/>
                <w:sz w:val="24"/>
                <w:szCs w:val="28"/>
              </w:rPr>
              <w:t>：</w:t>
            </w:r>
            <w:r>
              <w:rPr>
                <w:rFonts w:hint="eastAsia" w:hAnsi="宋体"/>
                <w:b/>
                <w:bCs/>
                <w:sz w:val="24"/>
                <w:szCs w:val="28"/>
              </w:rPr>
              <w:t xml:space="preserve">   </w:t>
            </w:r>
            <w:r>
              <w:rPr>
                <w:rFonts w:hAnsi="宋体"/>
                <w:b/>
                <w:bCs/>
                <w:sz w:val="24"/>
                <w:szCs w:val="28"/>
              </w:rPr>
              <w:t>年</w:t>
            </w:r>
            <w:r>
              <w:rPr>
                <w:rFonts w:hint="eastAsia" w:hAnsi="宋体"/>
                <w:b/>
                <w:bCs/>
                <w:sz w:val="24"/>
                <w:szCs w:val="28"/>
              </w:rPr>
              <w:t xml:space="preserve">   </w:t>
            </w:r>
            <w:r>
              <w:rPr>
                <w:rFonts w:hAnsi="宋体"/>
                <w:b/>
                <w:bCs/>
                <w:sz w:val="24"/>
                <w:szCs w:val="28"/>
              </w:rPr>
              <w:t>月</w:t>
            </w:r>
            <w:r>
              <w:rPr>
                <w:rFonts w:hint="eastAsia" w:hAnsi="宋体"/>
                <w:b/>
                <w:bCs/>
                <w:sz w:val="24"/>
                <w:szCs w:val="28"/>
              </w:rPr>
              <w:t xml:space="preserve">    </w:t>
            </w:r>
            <w:r>
              <w:rPr>
                <w:rFonts w:hAnsi="宋体"/>
                <w:b/>
                <w:bCs/>
                <w:sz w:val="24"/>
                <w:szCs w:val="28"/>
              </w:rPr>
              <w:t>日</w:t>
            </w:r>
          </w:p>
          <w:p>
            <w:pPr>
              <w:spacing w:line="360" w:lineRule="auto"/>
            </w:pPr>
            <w:r>
              <w:rPr>
                <w:rFonts w:hAnsi="宋体"/>
                <w:b/>
                <w:bCs/>
                <w:sz w:val="24"/>
                <w:szCs w:val="28"/>
              </w:rPr>
              <w:t>审批意见：</w:t>
            </w: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rFonts w:hAnsi="宋体"/>
                <w:b/>
                <w:bCs/>
                <w:sz w:val="24"/>
                <w:szCs w:val="28"/>
              </w:rPr>
            </w:pPr>
          </w:p>
          <w:p>
            <w:pPr>
              <w:spacing w:line="360" w:lineRule="auto"/>
              <w:rPr>
                <w:b/>
                <w:sz w:val="36"/>
                <w:szCs w:val="36"/>
              </w:rPr>
            </w:pPr>
          </w:p>
          <w:p>
            <w:pPr>
              <w:spacing w:line="360" w:lineRule="auto"/>
              <w:rPr>
                <w:b/>
                <w:sz w:val="36"/>
                <w:szCs w:val="36"/>
              </w:rPr>
            </w:pPr>
          </w:p>
          <w:p>
            <w:pPr>
              <w:spacing w:line="360" w:lineRule="auto"/>
              <w:rPr>
                <w:b/>
                <w:sz w:val="36"/>
                <w:szCs w:val="36"/>
              </w:rPr>
            </w:pPr>
          </w:p>
          <w:p>
            <w:pPr>
              <w:spacing w:line="360" w:lineRule="auto"/>
              <w:rPr>
                <w:b/>
                <w:sz w:val="36"/>
                <w:szCs w:val="36"/>
              </w:rPr>
            </w:pPr>
          </w:p>
          <w:p>
            <w:pPr>
              <w:spacing w:line="360" w:lineRule="auto"/>
              <w:ind w:firstLine="7197" w:firstLineChars="2987"/>
              <w:rPr>
                <w:rFonts w:hAnsi="宋体"/>
                <w:b/>
                <w:bCs/>
                <w:sz w:val="24"/>
                <w:szCs w:val="28"/>
              </w:rPr>
            </w:pPr>
            <w:r>
              <w:rPr>
                <w:rFonts w:hAnsi="宋体"/>
                <w:b/>
                <w:bCs/>
                <w:sz w:val="24"/>
                <w:szCs w:val="28"/>
              </w:rPr>
              <w:t>公章</w:t>
            </w:r>
          </w:p>
          <w:p>
            <w:pPr>
              <w:spacing w:line="480" w:lineRule="auto"/>
              <w:rPr>
                <w:rFonts w:eastAsia="仿宋_GB2312"/>
                <w:sz w:val="24"/>
              </w:rPr>
            </w:pPr>
            <w:r>
              <w:rPr>
                <w:rFonts w:hAnsi="宋体"/>
                <w:b/>
                <w:bCs/>
                <w:sz w:val="24"/>
                <w:szCs w:val="28"/>
              </w:rPr>
              <w:t>经办人</w:t>
            </w:r>
            <w:r>
              <w:rPr>
                <w:rFonts w:hint="eastAsia" w:hAnsi="宋体"/>
                <w:b/>
                <w:bCs/>
                <w:sz w:val="24"/>
                <w:szCs w:val="28"/>
              </w:rPr>
              <w:t xml:space="preserve"> </w:t>
            </w:r>
            <w:r>
              <w:rPr>
                <w:rFonts w:hAnsi="宋体"/>
                <w:b/>
                <w:bCs/>
                <w:sz w:val="24"/>
                <w:szCs w:val="28"/>
              </w:rPr>
              <w:t>：</w:t>
            </w:r>
            <w:r>
              <w:rPr>
                <w:rFonts w:hint="eastAsia" w:hAnsi="宋体"/>
                <w:b/>
                <w:bCs/>
                <w:sz w:val="24"/>
                <w:szCs w:val="28"/>
              </w:rPr>
              <w:t xml:space="preserve">   </w:t>
            </w:r>
            <w:r>
              <w:rPr>
                <w:rFonts w:hAnsi="宋体"/>
                <w:b/>
                <w:bCs/>
                <w:sz w:val="24"/>
                <w:szCs w:val="28"/>
              </w:rPr>
              <w:t>年</w:t>
            </w:r>
            <w:r>
              <w:rPr>
                <w:rFonts w:hint="eastAsia" w:hAnsi="宋体"/>
                <w:b/>
                <w:bCs/>
                <w:sz w:val="24"/>
                <w:szCs w:val="28"/>
              </w:rPr>
              <w:t xml:space="preserve">   </w:t>
            </w:r>
            <w:r>
              <w:rPr>
                <w:rFonts w:hAnsi="宋体"/>
                <w:b/>
                <w:bCs/>
                <w:sz w:val="24"/>
                <w:szCs w:val="28"/>
              </w:rPr>
              <w:t>月</w:t>
            </w:r>
            <w:r>
              <w:rPr>
                <w:rFonts w:hint="eastAsia" w:hAnsi="宋体"/>
                <w:b/>
                <w:bCs/>
                <w:sz w:val="24"/>
                <w:szCs w:val="28"/>
              </w:rPr>
              <w:t xml:space="preserve">    </w:t>
            </w:r>
            <w:r>
              <w:rPr>
                <w:rFonts w:hAnsi="宋体"/>
                <w:b/>
                <w:bCs/>
                <w:sz w:val="24"/>
                <w:szCs w:val="28"/>
              </w:rPr>
              <w:t>日</w:t>
            </w:r>
          </w:p>
        </w:tc>
      </w:tr>
    </w:tbl>
    <w:p>
      <w:pPr>
        <w:spacing w:line="480" w:lineRule="auto"/>
        <w:rPr>
          <w:rFonts w:eastAsia="仿宋_GB2312"/>
          <w:sz w:val="24"/>
        </w:rPr>
        <w:sectPr>
          <w:pgSz w:w="11906" w:h="16838"/>
          <w:pgMar w:top="1440" w:right="1174" w:bottom="1440" w:left="1474" w:header="851" w:footer="992" w:gutter="0"/>
          <w:cols w:space="720" w:num="1"/>
          <w:docGrid w:type="lines" w:linePitch="312" w:charSpace="0"/>
        </w:sect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trPr>
        <w:tc>
          <w:tcPr>
            <w:tcW w:w="9493" w:type="dxa"/>
          </w:tcPr>
          <w:p>
            <w:pPr>
              <w:spacing w:line="480" w:lineRule="auto"/>
              <w:jc w:val="center"/>
              <w:rPr>
                <w:sz w:val="52"/>
                <w:szCs w:val="52"/>
              </w:rPr>
            </w:pPr>
            <w:r>
              <w:rPr>
                <w:sz w:val="52"/>
                <w:szCs w:val="52"/>
              </w:rPr>
              <w:t>注释</w:t>
            </w:r>
          </w:p>
          <w:p>
            <w:pPr>
              <w:spacing w:line="480" w:lineRule="auto"/>
              <w:ind w:firstLine="360" w:firstLineChars="150"/>
              <w:rPr>
                <w:sz w:val="52"/>
                <w:szCs w:val="52"/>
              </w:rPr>
            </w:pPr>
            <w:r>
              <w:rPr>
                <w:sz w:val="24"/>
              </w:rPr>
              <w:t>一、本报告表应附以下附件、附图:</w:t>
            </w:r>
          </w:p>
          <w:p>
            <w:pPr>
              <w:spacing w:line="480" w:lineRule="auto"/>
              <w:ind w:firstLine="480" w:firstLineChars="200"/>
              <w:rPr>
                <w:sz w:val="24"/>
              </w:rPr>
            </w:pPr>
            <w:r>
              <w:rPr>
                <w:sz w:val="24"/>
              </w:rPr>
              <w:t>附件1</w:t>
            </w:r>
            <w:r>
              <w:rPr>
                <w:rFonts w:hint="eastAsia"/>
                <w:sz w:val="24"/>
              </w:rPr>
              <w:t>立项批准文件</w:t>
            </w:r>
          </w:p>
          <w:p>
            <w:pPr>
              <w:spacing w:line="480" w:lineRule="auto"/>
              <w:ind w:firstLine="480" w:firstLineChars="200"/>
              <w:rPr>
                <w:sz w:val="24"/>
              </w:rPr>
            </w:pPr>
            <w:r>
              <w:rPr>
                <w:sz w:val="24"/>
              </w:rPr>
              <w:t>附件2</w:t>
            </w:r>
            <w:r>
              <w:rPr>
                <w:rFonts w:hint="eastAsia"/>
                <w:sz w:val="24"/>
              </w:rPr>
              <w:t>其他与环境评价有关的行政管理文件</w:t>
            </w:r>
          </w:p>
          <w:p>
            <w:pPr>
              <w:spacing w:line="480" w:lineRule="auto"/>
              <w:ind w:firstLine="480" w:firstLineChars="200"/>
              <w:rPr>
                <w:sz w:val="24"/>
              </w:rPr>
            </w:pPr>
            <w:r>
              <w:rPr>
                <w:sz w:val="24"/>
              </w:rPr>
              <w:t>附图1项目地理位置图</w:t>
            </w:r>
          </w:p>
          <w:p>
            <w:pPr>
              <w:spacing w:line="480" w:lineRule="auto"/>
              <w:ind w:firstLine="480" w:firstLineChars="200"/>
              <w:rPr>
                <w:sz w:val="24"/>
              </w:rPr>
            </w:pPr>
            <w:r>
              <w:rPr>
                <w:sz w:val="24"/>
              </w:rPr>
              <w:t>附图</w:t>
            </w:r>
            <w:r>
              <w:rPr>
                <w:rFonts w:hint="eastAsia"/>
                <w:sz w:val="24"/>
              </w:rPr>
              <w:t>2</w:t>
            </w:r>
            <w:r>
              <w:rPr>
                <w:sz w:val="24"/>
              </w:rPr>
              <w:t>项目</w:t>
            </w:r>
            <w:r>
              <w:rPr>
                <w:rFonts w:hint="eastAsia"/>
                <w:sz w:val="24"/>
              </w:rPr>
              <w:t>四周</w:t>
            </w:r>
            <w:r>
              <w:rPr>
                <w:sz w:val="24"/>
              </w:rPr>
              <w:t>图</w:t>
            </w:r>
          </w:p>
          <w:p>
            <w:pPr>
              <w:spacing w:line="480" w:lineRule="auto"/>
              <w:ind w:firstLine="480" w:firstLineChars="200"/>
              <w:rPr>
                <w:sz w:val="24"/>
              </w:rPr>
            </w:pPr>
            <w:r>
              <w:rPr>
                <w:sz w:val="24"/>
              </w:rPr>
              <w:t>附图</w:t>
            </w:r>
            <w:r>
              <w:rPr>
                <w:rFonts w:hint="eastAsia"/>
                <w:sz w:val="24"/>
              </w:rPr>
              <w:t>3</w:t>
            </w:r>
            <w:r>
              <w:rPr>
                <w:sz w:val="24"/>
              </w:rPr>
              <w:t>项目</w:t>
            </w:r>
            <w:r>
              <w:rPr>
                <w:rFonts w:hint="eastAsia"/>
                <w:sz w:val="24"/>
              </w:rPr>
              <w:t>平</w:t>
            </w:r>
            <w:r>
              <w:rPr>
                <w:sz w:val="24"/>
              </w:rPr>
              <w:t>面而置图</w:t>
            </w:r>
          </w:p>
          <w:p>
            <w:pPr>
              <w:spacing w:line="480" w:lineRule="auto"/>
              <w:rPr>
                <w:sz w:val="24"/>
              </w:rPr>
            </w:pPr>
            <w:r>
              <w:rPr>
                <w:sz w:val="24"/>
              </w:rPr>
              <w:t>二、如果本报告表不能说明项目产生的污染及对环境造成的影响，应进行专项评价。根据建设项目的特点和当地环境境征，应选下列1-2项进行专项评价。</w:t>
            </w:r>
          </w:p>
          <w:p>
            <w:pPr>
              <w:spacing w:line="480" w:lineRule="auto"/>
              <w:ind w:firstLine="480" w:firstLineChars="200"/>
              <w:rPr>
                <w:sz w:val="24"/>
              </w:rPr>
            </w:pPr>
            <w:r>
              <w:rPr>
                <w:sz w:val="24"/>
              </w:rPr>
              <w:t>1.大气环境影响专项评价</w:t>
            </w:r>
          </w:p>
          <w:p>
            <w:pPr>
              <w:spacing w:line="480" w:lineRule="auto"/>
              <w:ind w:firstLine="480" w:firstLineChars="200"/>
              <w:rPr>
                <w:sz w:val="24"/>
              </w:rPr>
            </w:pPr>
            <w:r>
              <w:rPr>
                <w:sz w:val="24"/>
              </w:rPr>
              <w:t>2.水环境影响专项评价(包括地表水和地下水)</w:t>
            </w:r>
          </w:p>
          <w:p>
            <w:pPr>
              <w:spacing w:line="480" w:lineRule="auto"/>
              <w:ind w:firstLine="480" w:firstLineChars="200"/>
              <w:rPr>
                <w:sz w:val="24"/>
              </w:rPr>
            </w:pPr>
            <w:r>
              <w:rPr>
                <w:sz w:val="24"/>
              </w:rPr>
              <w:t>3.生态影响专项评价</w:t>
            </w:r>
          </w:p>
          <w:p>
            <w:pPr>
              <w:spacing w:line="480" w:lineRule="auto"/>
              <w:ind w:firstLine="480" w:firstLineChars="200"/>
              <w:rPr>
                <w:sz w:val="24"/>
              </w:rPr>
            </w:pPr>
            <w:r>
              <w:rPr>
                <w:sz w:val="24"/>
              </w:rPr>
              <w:t>4.声影响专项评价</w:t>
            </w:r>
          </w:p>
          <w:p>
            <w:pPr>
              <w:spacing w:line="480" w:lineRule="auto"/>
              <w:ind w:firstLine="480" w:firstLineChars="200"/>
              <w:rPr>
                <w:sz w:val="24"/>
              </w:rPr>
            </w:pPr>
            <w:r>
              <w:rPr>
                <w:sz w:val="24"/>
              </w:rPr>
              <w:t>5.土壤影响专项评价</w:t>
            </w:r>
          </w:p>
          <w:p>
            <w:pPr>
              <w:spacing w:line="480" w:lineRule="auto"/>
              <w:ind w:firstLine="480" w:firstLineChars="200"/>
              <w:rPr>
                <w:sz w:val="24"/>
              </w:rPr>
            </w:pPr>
            <w:r>
              <w:rPr>
                <w:sz w:val="24"/>
              </w:rPr>
              <w:t>6.固体废弃物影响专项评价</w:t>
            </w:r>
          </w:p>
          <w:p>
            <w:pPr>
              <w:spacing w:line="480" w:lineRule="auto"/>
              <w:ind w:firstLine="480" w:firstLineChars="200"/>
              <w:rPr>
                <w:sz w:val="24"/>
              </w:rPr>
            </w:pPr>
            <w:r>
              <w:rPr>
                <w:sz w:val="24"/>
              </w:rPr>
              <w:t>以上专项评价木包括的可另列专项，专项评价按照《环境影响评价技术导则》中的要求进行</w:t>
            </w:r>
            <w:r>
              <w:rPr>
                <w:rFonts w:hint="eastAsia"/>
                <w:sz w:val="24"/>
              </w:rPr>
              <w:t>。</w:t>
            </w:r>
          </w:p>
          <w:p>
            <w:pPr>
              <w:spacing w:line="480" w:lineRule="auto"/>
              <w:rPr>
                <w:sz w:val="24"/>
              </w:rPr>
            </w:pPr>
          </w:p>
          <w:p>
            <w:pPr>
              <w:spacing w:line="480" w:lineRule="auto"/>
              <w:rPr>
                <w:sz w:val="24"/>
              </w:rPr>
            </w:pPr>
          </w:p>
          <w:p>
            <w:pPr>
              <w:spacing w:line="480" w:lineRule="auto"/>
              <w:rPr>
                <w:sz w:val="24"/>
              </w:rPr>
            </w:pPr>
          </w:p>
        </w:tc>
      </w:tr>
    </w:tbl>
    <w:p/>
    <w:sectPr>
      <w:footerReference r:id="rId7" w:type="default"/>
      <w:pgSz w:w="11906" w:h="16838"/>
      <w:pgMar w:top="1440" w:right="1174" w:bottom="1440" w:left="1474" w:header="0" w:footer="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39</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3C0DA"/>
    <w:multiLevelType w:val="singleLevel"/>
    <w:tmpl w:val="53A3C0DA"/>
    <w:lvl w:ilvl="0" w:tentative="0">
      <w:start w:val="1"/>
      <w:numFmt w:val="decimal"/>
      <w:suff w:val="nothing"/>
      <w:lvlText w:val="（%1）"/>
      <w:lvlJc w:val="left"/>
    </w:lvl>
  </w:abstractNum>
  <w:abstractNum w:abstractNumId="1">
    <w:nsid w:val="5A0B2BF2"/>
    <w:multiLevelType w:val="multilevel"/>
    <w:tmpl w:val="5A0B2BF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FBDD17B"/>
    <w:multiLevelType w:val="singleLevel"/>
    <w:tmpl w:val="5FBDD17B"/>
    <w:lvl w:ilvl="0" w:tentative="0">
      <w:start w:val="3"/>
      <w:numFmt w:val="upperLetter"/>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2D"/>
    <w:rsid w:val="000004FA"/>
    <w:rsid w:val="00000895"/>
    <w:rsid w:val="00001203"/>
    <w:rsid w:val="00001BA6"/>
    <w:rsid w:val="0000219C"/>
    <w:rsid w:val="00003331"/>
    <w:rsid w:val="00004E60"/>
    <w:rsid w:val="00005015"/>
    <w:rsid w:val="00005AB4"/>
    <w:rsid w:val="00005EA8"/>
    <w:rsid w:val="00007887"/>
    <w:rsid w:val="00007E43"/>
    <w:rsid w:val="00012209"/>
    <w:rsid w:val="00012247"/>
    <w:rsid w:val="0001261E"/>
    <w:rsid w:val="00014597"/>
    <w:rsid w:val="0001696D"/>
    <w:rsid w:val="00016E9C"/>
    <w:rsid w:val="0001713B"/>
    <w:rsid w:val="00017288"/>
    <w:rsid w:val="00024EF6"/>
    <w:rsid w:val="000256A6"/>
    <w:rsid w:val="0002715B"/>
    <w:rsid w:val="000305C5"/>
    <w:rsid w:val="00030BC8"/>
    <w:rsid w:val="00032309"/>
    <w:rsid w:val="000328D9"/>
    <w:rsid w:val="00032E21"/>
    <w:rsid w:val="00033CA7"/>
    <w:rsid w:val="000348AB"/>
    <w:rsid w:val="00034915"/>
    <w:rsid w:val="0003592E"/>
    <w:rsid w:val="000374EF"/>
    <w:rsid w:val="000409E9"/>
    <w:rsid w:val="00040C1B"/>
    <w:rsid w:val="00041C18"/>
    <w:rsid w:val="00042910"/>
    <w:rsid w:val="000449CF"/>
    <w:rsid w:val="000449EA"/>
    <w:rsid w:val="00045AF0"/>
    <w:rsid w:val="000500E1"/>
    <w:rsid w:val="0005081D"/>
    <w:rsid w:val="000526A9"/>
    <w:rsid w:val="00052CD6"/>
    <w:rsid w:val="00053C6B"/>
    <w:rsid w:val="00053ED9"/>
    <w:rsid w:val="0005453E"/>
    <w:rsid w:val="00054CA4"/>
    <w:rsid w:val="000562DA"/>
    <w:rsid w:val="0005672E"/>
    <w:rsid w:val="000573C4"/>
    <w:rsid w:val="000600BF"/>
    <w:rsid w:val="000613AB"/>
    <w:rsid w:val="00064BB8"/>
    <w:rsid w:val="00065672"/>
    <w:rsid w:val="00065ABB"/>
    <w:rsid w:val="00065D7A"/>
    <w:rsid w:val="000671FE"/>
    <w:rsid w:val="000674A0"/>
    <w:rsid w:val="0007021B"/>
    <w:rsid w:val="00071620"/>
    <w:rsid w:val="00071D1C"/>
    <w:rsid w:val="00072776"/>
    <w:rsid w:val="000735B0"/>
    <w:rsid w:val="00077146"/>
    <w:rsid w:val="00077AD4"/>
    <w:rsid w:val="000802F7"/>
    <w:rsid w:val="00080993"/>
    <w:rsid w:val="00080ABE"/>
    <w:rsid w:val="00081E18"/>
    <w:rsid w:val="0008240F"/>
    <w:rsid w:val="00082AEE"/>
    <w:rsid w:val="00083476"/>
    <w:rsid w:val="00083C7C"/>
    <w:rsid w:val="000847F7"/>
    <w:rsid w:val="0008512F"/>
    <w:rsid w:val="00086434"/>
    <w:rsid w:val="00086989"/>
    <w:rsid w:val="000873FE"/>
    <w:rsid w:val="00087B4B"/>
    <w:rsid w:val="00090A0B"/>
    <w:rsid w:val="00090B3B"/>
    <w:rsid w:val="00091164"/>
    <w:rsid w:val="00091368"/>
    <w:rsid w:val="00091E56"/>
    <w:rsid w:val="000925E8"/>
    <w:rsid w:val="000928C4"/>
    <w:rsid w:val="00092BA8"/>
    <w:rsid w:val="00092EC6"/>
    <w:rsid w:val="0009380C"/>
    <w:rsid w:val="00093E97"/>
    <w:rsid w:val="000958E1"/>
    <w:rsid w:val="00095C26"/>
    <w:rsid w:val="000A0DD4"/>
    <w:rsid w:val="000A140A"/>
    <w:rsid w:val="000A293B"/>
    <w:rsid w:val="000A2C27"/>
    <w:rsid w:val="000A34FC"/>
    <w:rsid w:val="000A3559"/>
    <w:rsid w:val="000A3CA7"/>
    <w:rsid w:val="000A4015"/>
    <w:rsid w:val="000A4481"/>
    <w:rsid w:val="000A5D8C"/>
    <w:rsid w:val="000A627A"/>
    <w:rsid w:val="000A7545"/>
    <w:rsid w:val="000A785D"/>
    <w:rsid w:val="000B0BB8"/>
    <w:rsid w:val="000B1803"/>
    <w:rsid w:val="000B1D5B"/>
    <w:rsid w:val="000B24E6"/>
    <w:rsid w:val="000B27B1"/>
    <w:rsid w:val="000B2FBE"/>
    <w:rsid w:val="000B34E7"/>
    <w:rsid w:val="000B3B41"/>
    <w:rsid w:val="000B48F1"/>
    <w:rsid w:val="000B53E6"/>
    <w:rsid w:val="000B5402"/>
    <w:rsid w:val="000B5F2D"/>
    <w:rsid w:val="000B7279"/>
    <w:rsid w:val="000B7B1E"/>
    <w:rsid w:val="000B7B2C"/>
    <w:rsid w:val="000C0EC1"/>
    <w:rsid w:val="000C1D6C"/>
    <w:rsid w:val="000C2EA2"/>
    <w:rsid w:val="000C3329"/>
    <w:rsid w:val="000C41AA"/>
    <w:rsid w:val="000C451F"/>
    <w:rsid w:val="000C4526"/>
    <w:rsid w:val="000C4535"/>
    <w:rsid w:val="000C562A"/>
    <w:rsid w:val="000C6076"/>
    <w:rsid w:val="000C6F5B"/>
    <w:rsid w:val="000D039D"/>
    <w:rsid w:val="000D180E"/>
    <w:rsid w:val="000D1D3F"/>
    <w:rsid w:val="000D222E"/>
    <w:rsid w:val="000D36CD"/>
    <w:rsid w:val="000D49E7"/>
    <w:rsid w:val="000D590E"/>
    <w:rsid w:val="000D5BEA"/>
    <w:rsid w:val="000D67CD"/>
    <w:rsid w:val="000D6A59"/>
    <w:rsid w:val="000D71A3"/>
    <w:rsid w:val="000D7F8E"/>
    <w:rsid w:val="000E04CE"/>
    <w:rsid w:val="000E0EA3"/>
    <w:rsid w:val="000E2709"/>
    <w:rsid w:val="000E29FF"/>
    <w:rsid w:val="000E2D9E"/>
    <w:rsid w:val="000E3685"/>
    <w:rsid w:val="000E3FAB"/>
    <w:rsid w:val="000E5340"/>
    <w:rsid w:val="000E5B2A"/>
    <w:rsid w:val="000E5B36"/>
    <w:rsid w:val="000E5F1F"/>
    <w:rsid w:val="000E6152"/>
    <w:rsid w:val="000E6C97"/>
    <w:rsid w:val="000F0D96"/>
    <w:rsid w:val="000F17D9"/>
    <w:rsid w:val="000F17FA"/>
    <w:rsid w:val="000F186E"/>
    <w:rsid w:val="000F1BEE"/>
    <w:rsid w:val="000F1C5D"/>
    <w:rsid w:val="000F1CD8"/>
    <w:rsid w:val="000F68A4"/>
    <w:rsid w:val="000F6A56"/>
    <w:rsid w:val="000F6F9E"/>
    <w:rsid w:val="00100216"/>
    <w:rsid w:val="00101525"/>
    <w:rsid w:val="00101D54"/>
    <w:rsid w:val="00101EC1"/>
    <w:rsid w:val="0010288C"/>
    <w:rsid w:val="00102D1B"/>
    <w:rsid w:val="00102DDB"/>
    <w:rsid w:val="0010323B"/>
    <w:rsid w:val="00104360"/>
    <w:rsid w:val="00105987"/>
    <w:rsid w:val="00106424"/>
    <w:rsid w:val="00107E4A"/>
    <w:rsid w:val="0011039D"/>
    <w:rsid w:val="00110E0A"/>
    <w:rsid w:val="00110F51"/>
    <w:rsid w:val="0011135D"/>
    <w:rsid w:val="00111A84"/>
    <w:rsid w:val="00111F6F"/>
    <w:rsid w:val="00112B4B"/>
    <w:rsid w:val="001135DA"/>
    <w:rsid w:val="00113C44"/>
    <w:rsid w:val="0011498F"/>
    <w:rsid w:val="00115010"/>
    <w:rsid w:val="001156B0"/>
    <w:rsid w:val="00115B46"/>
    <w:rsid w:val="00116E37"/>
    <w:rsid w:val="00117D99"/>
    <w:rsid w:val="001200F8"/>
    <w:rsid w:val="00121FD1"/>
    <w:rsid w:val="001225E9"/>
    <w:rsid w:val="00124041"/>
    <w:rsid w:val="00125612"/>
    <w:rsid w:val="00126578"/>
    <w:rsid w:val="001276C6"/>
    <w:rsid w:val="00131010"/>
    <w:rsid w:val="00131A63"/>
    <w:rsid w:val="00131AFC"/>
    <w:rsid w:val="00131F77"/>
    <w:rsid w:val="00132180"/>
    <w:rsid w:val="00132209"/>
    <w:rsid w:val="00133CF4"/>
    <w:rsid w:val="00133D20"/>
    <w:rsid w:val="001342B5"/>
    <w:rsid w:val="00134D5D"/>
    <w:rsid w:val="001352EA"/>
    <w:rsid w:val="00135732"/>
    <w:rsid w:val="00135AAA"/>
    <w:rsid w:val="00135FC9"/>
    <w:rsid w:val="001364A6"/>
    <w:rsid w:val="00137220"/>
    <w:rsid w:val="001378FA"/>
    <w:rsid w:val="001402B1"/>
    <w:rsid w:val="00140EED"/>
    <w:rsid w:val="00141CE3"/>
    <w:rsid w:val="0014250F"/>
    <w:rsid w:val="00142651"/>
    <w:rsid w:val="00142DC5"/>
    <w:rsid w:val="0014460D"/>
    <w:rsid w:val="00145246"/>
    <w:rsid w:val="00145E66"/>
    <w:rsid w:val="00145F2A"/>
    <w:rsid w:val="00146197"/>
    <w:rsid w:val="001469D1"/>
    <w:rsid w:val="00147222"/>
    <w:rsid w:val="00147AE6"/>
    <w:rsid w:val="001507C3"/>
    <w:rsid w:val="00150901"/>
    <w:rsid w:val="00150CCD"/>
    <w:rsid w:val="001511DB"/>
    <w:rsid w:val="00151C8D"/>
    <w:rsid w:val="00152D35"/>
    <w:rsid w:val="0015316E"/>
    <w:rsid w:val="0015331C"/>
    <w:rsid w:val="00155DA7"/>
    <w:rsid w:val="00156517"/>
    <w:rsid w:val="0015718D"/>
    <w:rsid w:val="00157300"/>
    <w:rsid w:val="00157BF8"/>
    <w:rsid w:val="00161654"/>
    <w:rsid w:val="00161E7B"/>
    <w:rsid w:val="00161FEB"/>
    <w:rsid w:val="00162F2B"/>
    <w:rsid w:val="00163E92"/>
    <w:rsid w:val="00163FA9"/>
    <w:rsid w:val="0016565C"/>
    <w:rsid w:val="001668BE"/>
    <w:rsid w:val="0016752A"/>
    <w:rsid w:val="00167C76"/>
    <w:rsid w:val="0017085E"/>
    <w:rsid w:val="00171730"/>
    <w:rsid w:val="00171A31"/>
    <w:rsid w:val="00171F7B"/>
    <w:rsid w:val="00172014"/>
    <w:rsid w:val="0017258E"/>
    <w:rsid w:val="00172EB8"/>
    <w:rsid w:val="00173BF9"/>
    <w:rsid w:val="001748A1"/>
    <w:rsid w:val="00176115"/>
    <w:rsid w:val="0017630A"/>
    <w:rsid w:val="00180C4B"/>
    <w:rsid w:val="001812F1"/>
    <w:rsid w:val="00181655"/>
    <w:rsid w:val="00181AD9"/>
    <w:rsid w:val="00181B17"/>
    <w:rsid w:val="00182CF1"/>
    <w:rsid w:val="00183BF9"/>
    <w:rsid w:val="0018610D"/>
    <w:rsid w:val="0018787E"/>
    <w:rsid w:val="00187FC5"/>
    <w:rsid w:val="0019173A"/>
    <w:rsid w:val="0019175A"/>
    <w:rsid w:val="00192803"/>
    <w:rsid w:val="00192932"/>
    <w:rsid w:val="00194CEF"/>
    <w:rsid w:val="001951E2"/>
    <w:rsid w:val="001952C8"/>
    <w:rsid w:val="001952ED"/>
    <w:rsid w:val="00197AB3"/>
    <w:rsid w:val="001A03FE"/>
    <w:rsid w:val="001A0F33"/>
    <w:rsid w:val="001A102E"/>
    <w:rsid w:val="001A1310"/>
    <w:rsid w:val="001A1A77"/>
    <w:rsid w:val="001A3200"/>
    <w:rsid w:val="001A35C0"/>
    <w:rsid w:val="001A3F63"/>
    <w:rsid w:val="001A4834"/>
    <w:rsid w:val="001A4AED"/>
    <w:rsid w:val="001A6082"/>
    <w:rsid w:val="001A7FC6"/>
    <w:rsid w:val="001B020E"/>
    <w:rsid w:val="001B1023"/>
    <w:rsid w:val="001B38D5"/>
    <w:rsid w:val="001B40B8"/>
    <w:rsid w:val="001B4BBF"/>
    <w:rsid w:val="001B4D8A"/>
    <w:rsid w:val="001B6680"/>
    <w:rsid w:val="001B7DEA"/>
    <w:rsid w:val="001C07B1"/>
    <w:rsid w:val="001C0F21"/>
    <w:rsid w:val="001C2DA8"/>
    <w:rsid w:val="001C31B5"/>
    <w:rsid w:val="001C38E6"/>
    <w:rsid w:val="001D3551"/>
    <w:rsid w:val="001D368C"/>
    <w:rsid w:val="001D3693"/>
    <w:rsid w:val="001D3E67"/>
    <w:rsid w:val="001D6328"/>
    <w:rsid w:val="001D6331"/>
    <w:rsid w:val="001D673E"/>
    <w:rsid w:val="001D69A6"/>
    <w:rsid w:val="001E1A06"/>
    <w:rsid w:val="001E265B"/>
    <w:rsid w:val="001E2A9F"/>
    <w:rsid w:val="001E34D3"/>
    <w:rsid w:val="001E3B3B"/>
    <w:rsid w:val="001E47E7"/>
    <w:rsid w:val="001E4C61"/>
    <w:rsid w:val="001E4F41"/>
    <w:rsid w:val="001E538D"/>
    <w:rsid w:val="001F07A3"/>
    <w:rsid w:val="001F199E"/>
    <w:rsid w:val="001F1EC2"/>
    <w:rsid w:val="001F249B"/>
    <w:rsid w:val="001F278B"/>
    <w:rsid w:val="001F327E"/>
    <w:rsid w:val="001F4EC1"/>
    <w:rsid w:val="001F5041"/>
    <w:rsid w:val="001F5649"/>
    <w:rsid w:val="001F6DF1"/>
    <w:rsid w:val="001F7262"/>
    <w:rsid w:val="00200174"/>
    <w:rsid w:val="00200234"/>
    <w:rsid w:val="00200977"/>
    <w:rsid w:val="00201061"/>
    <w:rsid w:val="002014EF"/>
    <w:rsid w:val="002023F3"/>
    <w:rsid w:val="00202B52"/>
    <w:rsid w:val="0020403D"/>
    <w:rsid w:val="0020488D"/>
    <w:rsid w:val="00205DD9"/>
    <w:rsid w:val="002065AA"/>
    <w:rsid w:val="002122DD"/>
    <w:rsid w:val="00212C63"/>
    <w:rsid w:val="00212DEC"/>
    <w:rsid w:val="002139C4"/>
    <w:rsid w:val="002143B5"/>
    <w:rsid w:val="00215271"/>
    <w:rsid w:val="00215CD3"/>
    <w:rsid w:val="00215FB7"/>
    <w:rsid w:val="002167F7"/>
    <w:rsid w:val="002173E2"/>
    <w:rsid w:val="00217E82"/>
    <w:rsid w:val="00217FBE"/>
    <w:rsid w:val="0022074D"/>
    <w:rsid w:val="00220FC6"/>
    <w:rsid w:val="00223426"/>
    <w:rsid w:val="0022388D"/>
    <w:rsid w:val="002244BF"/>
    <w:rsid w:val="00224D02"/>
    <w:rsid w:val="002251D7"/>
    <w:rsid w:val="002262F9"/>
    <w:rsid w:val="002316E6"/>
    <w:rsid w:val="0023178D"/>
    <w:rsid w:val="00231D40"/>
    <w:rsid w:val="00232546"/>
    <w:rsid w:val="00232BCA"/>
    <w:rsid w:val="00232C67"/>
    <w:rsid w:val="00232D6E"/>
    <w:rsid w:val="00232E0A"/>
    <w:rsid w:val="00233537"/>
    <w:rsid w:val="00233CCC"/>
    <w:rsid w:val="002353EC"/>
    <w:rsid w:val="002365C3"/>
    <w:rsid w:val="00236FBA"/>
    <w:rsid w:val="002379C9"/>
    <w:rsid w:val="00237EF0"/>
    <w:rsid w:val="00240D2B"/>
    <w:rsid w:val="002426FF"/>
    <w:rsid w:val="00242C85"/>
    <w:rsid w:val="00243D4B"/>
    <w:rsid w:val="00244B7E"/>
    <w:rsid w:val="002453D8"/>
    <w:rsid w:val="002465AE"/>
    <w:rsid w:val="002469E1"/>
    <w:rsid w:val="00246FCA"/>
    <w:rsid w:val="002474B0"/>
    <w:rsid w:val="00247C35"/>
    <w:rsid w:val="00247D1C"/>
    <w:rsid w:val="00250E4D"/>
    <w:rsid w:val="00250E7B"/>
    <w:rsid w:val="0025264E"/>
    <w:rsid w:val="00252EAA"/>
    <w:rsid w:val="00253AEE"/>
    <w:rsid w:val="002543DF"/>
    <w:rsid w:val="00257330"/>
    <w:rsid w:val="0026025A"/>
    <w:rsid w:val="00261434"/>
    <w:rsid w:val="00262D10"/>
    <w:rsid w:val="00263F60"/>
    <w:rsid w:val="00264A48"/>
    <w:rsid w:val="00264BBF"/>
    <w:rsid w:val="00267527"/>
    <w:rsid w:val="002675AD"/>
    <w:rsid w:val="002710E6"/>
    <w:rsid w:val="0027143A"/>
    <w:rsid w:val="00271F46"/>
    <w:rsid w:val="00274B02"/>
    <w:rsid w:val="00275D62"/>
    <w:rsid w:val="00276FC2"/>
    <w:rsid w:val="00277EB5"/>
    <w:rsid w:val="002807CD"/>
    <w:rsid w:val="00282F48"/>
    <w:rsid w:val="00283EE6"/>
    <w:rsid w:val="002844F8"/>
    <w:rsid w:val="00284B54"/>
    <w:rsid w:val="00285030"/>
    <w:rsid w:val="00286296"/>
    <w:rsid w:val="0028657A"/>
    <w:rsid w:val="00287094"/>
    <w:rsid w:val="0029140C"/>
    <w:rsid w:val="00292C3F"/>
    <w:rsid w:val="00292D35"/>
    <w:rsid w:val="00292D54"/>
    <w:rsid w:val="00293010"/>
    <w:rsid w:val="002946DD"/>
    <w:rsid w:val="00294975"/>
    <w:rsid w:val="00294B3B"/>
    <w:rsid w:val="00294CDB"/>
    <w:rsid w:val="002956F8"/>
    <w:rsid w:val="00295AC7"/>
    <w:rsid w:val="002962EF"/>
    <w:rsid w:val="0029639F"/>
    <w:rsid w:val="00297482"/>
    <w:rsid w:val="002A0548"/>
    <w:rsid w:val="002A08ED"/>
    <w:rsid w:val="002A1373"/>
    <w:rsid w:val="002A1B44"/>
    <w:rsid w:val="002A2805"/>
    <w:rsid w:val="002A2DBF"/>
    <w:rsid w:val="002A4D23"/>
    <w:rsid w:val="002A547C"/>
    <w:rsid w:val="002A587A"/>
    <w:rsid w:val="002A5971"/>
    <w:rsid w:val="002A73A5"/>
    <w:rsid w:val="002A7427"/>
    <w:rsid w:val="002B0132"/>
    <w:rsid w:val="002B0462"/>
    <w:rsid w:val="002B0683"/>
    <w:rsid w:val="002B078F"/>
    <w:rsid w:val="002B1637"/>
    <w:rsid w:val="002B16F3"/>
    <w:rsid w:val="002B1D13"/>
    <w:rsid w:val="002B2F8D"/>
    <w:rsid w:val="002B323C"/>
    <w:rsid w:val="002B34DA"/>
    <w:rsid w:val="002B3B1D"/>
    <w:rsid w:val="002B4830"/>
    <w:rsid w:val="002B67CA"/>
    <w:rsid w:val="002C0526"/>
    <w:rsid w:val="002C0722"/>
    <w:rsid w:val="002C1C94"/>
    <w:rsid w:val="002C300C"/>
    <w:rsid w:val="002C408B"/>
    <w:rsid w:val="002C582F"/>
    <w:rsid w:val="002C6D4B"/>
    <w:rsid w:val="002C761A"/>
    <w:rsid w:val="002D1623"/>
    <w:rsid w:val="002D2399"/>
    <w:rsid w:val="002D531A"/>
    <w:rsid w:val="002D5EF1"/>
    <w:rsid w:val="002D6CF5"/>
    <w:rsid w:val="002D73F0"/>
    <w:rsid w:val="002D77AA"/>
    <w:rsid w:val="002E08C7"/>
    <w:rsid w:val="002E11F4"/>
    <w:rsid w:val="002E21B5"/>
    <w:rsid w:val="002E2424"/>
    <w:rsid w:val="002E24A6"/>
    <w:rsid w:val="002E2CAF"/>
    <w:rsid w:val="002E31C9"/>
    <w:rsid w:val="002E3ACB"/>
    <w:rsid w:val="002E3D87"/>
    <w:rsid w:val="002E464E"/>
    <w:rsid w:val="002E4749"/>
    <w:rsid w:val="002E485D"/>
    <w:rsid w:val="002E4995"/>
    <w:rsid w:val="002E4FD3"/>
    <w:rsid w:val="002E585A"/>
    <w:rsid w:val="002E6030"/>
    <w:rsid w:val="002E6BD4"/>
    <w:rsid w:val="002F1792"/>
    <w:rsid w:val="002F2AE7"/>
    <w:rsid w:val="002F3F48"/>
    <w:rsid w:val="002F44EB"/>
    <w:rsid w:val="002F4FFC"/>
    <w:rsid w:val="002F50D0"/>
    <w:rsid w:val="002F5A0A"/>
    <w:rsid w:val="002F658B"/>
    <w:rsid w:val="002F6689"/>
    <w:rsid w:val="002F6AC2"/>
    <w:rsid w:val="002F7259"/>
    <w:rsid w:val="002F788B"/>
    <w:rsid w:val="0030031E"/>
    <w:rsid w:val="003024AC"/>
    <w:rsid w:val="00302DC9"/>
    <w:rsid w:val="00303D2A"/>
    <w:rsid w:val="00306080"/>
    <w:rsid w:val="00306CE8"/>
    <w:rsid w:val="00311481"/>
    <w:rsid w:val="003116A7"/>
    <w:rsid w:val="00311A91"/>
    <w:rsid w:val="00311CBC"/>
    <w:rsid w:val="003121C1"/>
    <w:rsid w:val="0031393B"/>
    <w:rsid w:val="00313ACA"/>
    <w:rsid w:val="00313F20"/>
    <w:rsid w:val="0031471C"/>
    <w:rsid w:val="00314CEE"/>
    <w:rsid w:val="003162AF"/>
    <w:rsid w:val="00316FFD"/>
    <w:rsid w:val="003172F5"/>
    <w:rsid w:val="00317D17"/>
    <w:rsid w:val="003200B7"/>
    <w:rsid w:val="0032037E"/>
    <w:rsid w:val="003222BC"/>
    <w:rsid w:val="003230E0"/>
    <w:rsid w:val="00325115"/>
    <w:rsid w:val="00325617"/>
    <w:rsid w:val="0032611C"/>
    <w:rsid w:val="00326395"/>
    <w:rsid w:val="00326A3A"/>
    <w:rsid w:val="00327217"/>
    <w:rsid w:val="00327252"/>
    <w:rsid w:val="00327FEE"/>
    <w:rsid w:val="003312B9"/>
    <w:rsid w:val="00331424"/>
    <w:rsid w:val="00331E03"/>
    <w:rsid w:val="0033221A"/>
    <w:rsid w:val="00332684"/>
    <w:rsid w:val="00332D07"/>
    <w:rsid w:val="003343D8"/>
    <w:rsid w:val="00335352"/>
    <w:rsid w:val="00336779"/>
    <w:rsid w:val="00341377"/>
    <w:rsid w:val="00341507"/>
    <w:rsid w:val="00341695"/>
    <w:rsid w:val="003420FF"/>
    <w:rsid w:val="00342A6A"/>
    <w:rsid w:val="00343EF8"/>
    <w:rsid w:val="00345E9B"/>
    <w:rsid w:val="00345F3C"/>
    <w:rsid w:val="0034611C"/>
    <w:rsid w:val="00346C37"/>
    <w:rsid w:val="003470C5"/>
    <w:rsid w:val="0034769A"/>
    <w:rsid w:val="003521C5"/>
    <w:rsid w:val="003522EF"/>
    <w:rsid w:val="003542CA"/>
    <w:rsid w:val="0035598D"/>
    <w:rsid w:val="00355C80"/>
    <w:rsid w:val="00355E62"/>
    <w:rsid w:val="003561D7"/>
    <w:rsid w:val="003561E2"/>
    <w:rsid w:val="003564C8"/>
    <w:rsid w:val="0035663D"/>
    <w:rsid w:val="003575F3"/>
    <w:rsid w:val="00362284"/>
    <w:rsid w:val="003625DB"/>
    <w:rsid w:val="003634B6"/>
    <w:rsid w:val="00363EB9"/>
    <w:rsid w:val="003645DD"/>
    <w:rsid w:val="003653F6"/>
    <w:rsid w:val="003654A7"/>
    <w:rsid w:val="003700E1"/>
    <w:rsid w:val="0037305A"/>
    <w:rsid w:val="00373FCF"/>
    <w:rsid w:val="0037433C"/>
    <w:rsid w:val="003758F2"/>
    <w:rsid w:val="00375C96"/>
    <w:rsid w:val="00375F07"/>
    <w:rsid w:val="003767CF"/>
    <w:rsid w:val="00376A70"/>
    <w:rsid w:val="00376D4A"/>
    <w:rsid w:val="00377461"/>
    <w:rsid w:val="0037790E"/>
    <w:rsid w:val="003804D0"/>
    <w:rsid w:val="00381B88"/>
    <w:rsid w:val="00382749"/>
    <w:rsid w:val="00382DBF"/>
    <w:rsid w:val="003838E5"/>
    <w:rsid w:val="003839F5"/>
    <w:rsid w:val="00383AD5"/>
    <w:rsid w:val="00383B56"/>
    <w:rsid w:val="003854C4"/>
    <w:rsid w:val="00385666"/>
    <w:rsid w:val="0038652A"/>
    <w:rsid w:val="00386551"/>
    <w:rsid w:val="00391405"/>
    <w:rsid w:val="003920C2"/>
    <w:rsid w:val="003922A6"/>
    <w:rsid w:val="00392FA5"/>
    <w:rsid w:val="00393BA2"/>
    <w:rsid w:val="00393F48"/>
    <w:rsid w:val="003957DB"/>
    <w:rsid w:val="003966E6"/>
    <w:rsid w:val="00397451"/>
    <w:rsid w:val="003975FC"/>
    <w:rsid w:val="003A0089"/>
    <w:rsid w:val="003A09DB"/>
    <w:rsid w:val="003A12C9"/>
    <w:rsid w:val="003A245E"/>
    <w:rsid w:val="003A31D7"/>
    <w:rsid w:val="003A59E9"/>
    <w:rsid w:val="003A5C79"/>
    <w:rsid w:val="003A678F"/>
    <w:rsid w:val="003A6935"/>
    <w:rsid w:val="003A7B1D"/>
    <w:rsid w:val="003B01E8"/>
    <w:rsid w:val="003B0791"/>
    <w:rsid w:val="003B0F19"/>
    <w:rsid w:val="003B1847"/>
    <w:rsid w:val="003B2419"/>
    <w:rsid w:val="003B2A97"/>
    <w:rsid w:val="003B2DB5"/>
    <w:rsid w:val="003B3A52"/>
    <w:rsid w:val="003B42FE"/>
    <w:rsid w:val="003B568C"/>
    <w:rsid w:val="003B7B9C"/>
    <w:rsid w:val="003C0D91"/>
    <w:rsid w:val="003C1381"/>
    <w:rsid w:val="003C1C16"/>
    <w:rsid w:val="003C1D22"/>
    <w:rsid w:val="003C3691"/>
    <w:rsid w:val="003C3F7E"/>
    <w:rsid w:val="003C4B8C"/>
    <w:rsid w:val="003C4CE6"/>
    <w:rsid w:val="003C5F46"/>
    <w:rsid w:val="003D0E5A"/>
    <w:rsid w:val="003D129B"/>
    <w:rsid w:val="003D139E"/>
    <w:rsid w:val="003D2556"/>
    <w:rsid w:val="003D3541"/>
    <w:rsid w:val="003D420D"/>
    <w:rsid w:val="003D6188"/>
    <w:rsid w:val="003D72C4"/>
    <w:rsid w:val="003D7492"/>
    <w:rsid w:val="003E078D"/>
    <w:rsid w:val="003E26F2"/>
    <w:rsid w:val="003E3458"/>
    <w:rsid w:val="003E4B04"/>
    <w:rsid w:val="003E4D45"/>
    <w:rsid w:val="003E4F74"/>
    <w:rsid w:val="003E58C1"/>
    <w:rsid w:val="003F0E8F"/>
    <w:rsid w:val="003F210E"/>
    <w:rsid w:val="003F3508"/>
    <w:rsid w:val="003F4019"/>
    <w:rsid w:val="003F5926"/>
    <w:rsid w:val="003F5B70"/>
    <w:rsid w:val="003F6258"/>
    <w:rsid w:val="003F748E"/>
    <w:rsid w:val="003F7E6B"/>
    <w:rsid w:val="003F7E74"/>
    <w:rsid w:val="0040149F"/>
    <w:rsid w:val="0040298B"/>
    <w:rsid w:val="00404B0A"/>
    <w:rsid w:val="00404CAC"/>
    <w:rsid w:val="004053CB"/>
    <w:rsid w:val="00405C75"/>
    <w:rsid w:val="00406979"/>
    <w:rsid w:val="0040783A"/>
    <w:rsid w:val="004103EC"/>
    <w:rsid w:val="004106DC"/>
    <w:rsid w:val="00411416"/>
    <w:rsid w:val="0041319B"/>
    <w:rsid w:val="004137C0"/>
    <w:rsid w:val="00414CE9"/>
    <w:rsid w:val="004154F3"/>
    <w:rsid w:val="0041596E"/>
    <w:rsid w:val="004169D9"/>
    <w:rsid w:val="00416DF6"/>
    <w:rsid w:val="004177C7"/>
    <w:rsid w:val="0042032F"/>
    <w:rsid w:val="00422F30"/>
    <w:rsid w:val="004247A0"/>
    <w:rsid w:val="00425140"/>
    <w:rsid w:val="00426129"/>
    <w:rsid w:val="004275D4"/>
    <w:rsid w:val="0042763D"/>
    <w:rsid w:val="00427C4F"/>
    <w:rsid w:val="004310C8"/>
    <w:rsid w:val="004312F2"/>
    <w:rsid w:val="00431547"/>
    <w:rsid w:val="0043221D"/>
    <w:rsid w:val="00432B7C"/>
    <w:rsid w:val="00433649"/>
    <w:rsid w:val="00433918"/>
    <w:rsid w:val="00434A74"/>
    <w:rsid w:val="00434FB5"/>
    <w:rsid w:val="004352E7"/>
    <w:rsid w:val="00437A67"/>
    <w:rsid w:val="00440D7F"/>
    <w:rsid w:val="004421C2"/>
    <w:rsid w:val="004442A5"/>
    <w:rsid w:val="004449A7"/>
    <w:rsid w:val="00444DCA"/>
    <w:rsid w:val="004458B6"/>
    <w:rsid w:val="004471DE"/>
    <w:rsid w:val="00447389"/>
    <w:rsid w:val="00447A86"/>
    <w:rsid w:val="00447F00"/>
    <w:rsid w:val="0045087E"/>
    <w:rsid w:val="00450D9E"/>
    <w:rsid w:val="00451A37"/>
    <w:rsid w:val="00453E07"/>
    <w:rsid w:val="00454042"/>
    <w:rsid w:val="00454F31"/>
    <w:rsid w:val="00455601"/>
    <w:rsid w:val="00455A92"/>
    <w:rsid w:val="00455CF9"/>
    <w:rsid w:val="004565BA"/>
    <w:rsid w:val="00456797"/>
    <w:rsid w:val="0045756D"/>
    <w:rsid w:val="00457CE4"/>
    <w:rsid w:val="00457E61"/>
    <w:rsid w:val="004629DF"/>
    <w:rsid w:val="00466661"/>
    <w:rsid w:val="00466FD6"/>
    <w:rsid w:val="004701D8"/>
    <w:rsid w:val="004708EE"/>
    <w:rsid w:val="00471892"/>
    <w:rsid w:val="00471EB6"/>
    <w:rsid w:val="00472CB8"/>
    <w:rsid w:val="00473C39"/>
    <w:rsid w:val="00473C5A"/>
    <w:rsid w:val="00473E57"/>
    <w:rsid w:val="00475C40"/>
    <w:rsid w:val="004760B0"/>
    <w:rsid w:val="00476C81"/>
    <w:rsid w:val="00477158"/>
    <w:rsid w:val="00477185"/>
    <w:rsid w:val="00477A91"/>
    <w:rsid w:val="00477F63"/>
    <w:rsid w:val="00477FCE"/>
    <w:rsid w:val="00480ADD"/>
    <w:rsid w:val="00480B26"/>
    <w:rsid w:val="00480C29"/>
    <w:rsid w:val="00481240"/>
    <w:rsid w:val="0048144A"/>
    <w:rsid w:val="00481CC4"/>
    <w:rsid w:val="004828AF"/>
    <w:rsid w:val="00482E66"/>
    <w:rsid w:val="00482EF5"/>
    <w:rsid w:val="004838DE"/>
    <w:rsid w:val="0048399A"/>
    <w:rsid w:val="004847B8"/>
    <w:rsid w:val="00484D86"/>
    <w:rsid w:val="00485B44"/>
    <w:rsid w:val="00486C52"/>
    <w:rsid w:val="004871DC"/>
    <w:rsid w:val="00487BF9"/>
    <w:rsid w:val="00490A2C"/>
    <w:rsid w:val="00490DE4"/>
    <w:rsid w:val="00491D7E"/>
    <w:rsid w:val="00492A9A"/>
    <w:rsid w:val="00492B74"/>
    <w:rsid w:val="00494403"/>
    <w:rsid w:val="00494992"/>
    <w:rsid w:val="00496CF3"/>
    <w:rsid w:val="0049750E"/>
    <w:rsid w:val="004A054B"/>
    <w:rsid w:val="004A2179"/>
    <w:rsid w:val="004A2896"/>
    <w:rsid w:val="004A3437"/>
    <w:rsid w:val="004A345D"/>
    <w:rsid w:val="004A5646"/>
    <w:rsid w:val="004A7A50"/>
    <w:rsid w:val="004B05C6"/>
    <w:rsid w:val="004B0EBA"/>
    <w:rsid w:val="004B1712"/>
    <w:rsid w:val="004B1E19"/>
    <w:rsid w:val="004B2E88"/>
    <w:rsid w:val="004B319E"/>
    <w:rsid w:val="004B384F"/>
    <w:rsid w:val="004B4317"/>
    <w:rsid w:val="004B43A2"/>
    <w:rsid w:val="004B4B75"/>
    <w:rsid w:val="004B4F19"/>
    <w:rsid w:val="004B5376"/>
    <w:rsid w:val="004B6A3B"/>
    <w:rsid w:val="004C0BAB"/>
    <w:rsid w:val="004C0CCC"/>
    <w:rsid w:val="004C0E9B"/>
    <w:rsid w:val="004C2586"/>
    <w:rsid w:val="004C36AC"/>
    <w:rsid w:val="004C5F97"/>
    <w:rsid w:val="004C61D6"/>
    <w:rsid w:val="004C70C7"/>
    <w:rsid w:val="004D0767"/>
    <w:rsid w:val="004D0C6C"/>
    <w:rsid w:val="004D243D"/>
    <w:rsid w:val="004D2FA3"/>
    <w:rsid w:val="004D360C"/>
    <w:rsid w:val="004D3976"/>
    <w:rsid w:val="004D50FB"/>
    <w:rsid w:val="004D51D7"/>
    <w:rsid w:val="004D6016"/>
    <w:rsid w:val="004D7A2D"/>
    <w:rsid w:val="004D7E2F"/>
    <w:rsid w:val="004E07AB"/>
    <w:rsid w:val="004E155C"/>
    <w:rsid w:val="004E1702"/>
    <w:rsid w:val="004E1CDF"/>
    <w:rsid w:val="004E270B"/>
    <w:rsid w:val="004E2B40"/>
    <w:rsid w:val="004E5675"/>
    <w:rsid w:val="004E583D"/>
    <w:rsid w:val="004E5FE4"/>
    <w:rsid w:val="004E670B"/>
    <w:rsid w:val="004F095E"/>
    <w:rsid w:val="004F1800"/>
    <w:rsid w:val="004F250B"/>
    <w:rsid w:val="004F29FD"/>
    <w:rsid w:val="004F2AF4"/>
    <w:rsid w:val="004F3AA3"/>
    <w:rsid w:val="004F3DF7"/>
    <w:rsid w:val="004F47D8"/>
    <w:rsid w:val="004F71A7"/>
    <w:rsid w:val="004F71E8"/>
    <w:rsid w:val="004F7456"/>
    <w:rsid w:val="004F7643"/>
    <w:rsid w:val="004F7784"/>
    <w:rsid w:val="0050029E"/>
    <w:rsid w:val="005014E5"/>
    <w:rsid w:val="00501E89"/>
    <w:rsid w:val="0050283A"/>
    <w:rsid w:val="005043E5"/>
    <w:rsid w:val="00506ECD"/>
    <w:rsid w:val="00511318"/>
    <w:rsid w:val="0051256C"/>
    <w:rsid w:val="005127EE"/>
    <w:rsid w:val="00512D10"/>
    <w:rsid w:val="00513005"/>
    <w:rsid w:val="0051360A"/>
    <w:rsid w:val="00513865"/>
    <w:rsid w:val="005139D5"/>
    <w:rsid w:val="00513DB8"/>
    <w:rsid w:val="00516AA3"/>
    <w:rsid w:val="00517380"/>
    <w:rsid w:val="00517A88"/>
    <w:rsid w:val="00517C1D"/>
    <w:rsid w:val="00517C77"/>
    <w:rsid w:val="00517D7B"/>
    <w:rsid w:val="00520442"/>
    <w:rsid w:val="00520DC5"/>
    <w:rsid w:val="0052118C"/>
    <w:rsid w:val="005220EF"/>
    <w:rsid w:val="00522A87"/>
    <w:rsid w:val="00524483"/>
    <w:rsid w:val="00524B93"/>
    <w:rsid w:val="0052547B"/>
    <w:rsid w:val="00527F80"/>
    <w:rsid w:val="00527F90"/>
    <w:rsid w:val="00532899"/>
    <w:rsid w:val="005332D5"/>
    <w:rsid w:val="00536902"/>
    <w:rsid w:val="00540E38"/>
    <w:rsid w:val="00541750"/>
    <w:rsid w:val="005427BF"/>
    <w:rsid w:val="00542CB8"/>
    <w:rsid w:val="00542FFF"/>
    <w:rsid w:val="005439B9"/>
    <w:rsid w:val="00543F27"/>
    <w:rsid w:val="00543F4F"/>
    <w:rsid w:val="005457A6"/>
    <w:rsid w:val="005467DC"/>
    <w:rsid w:val="0055131D"/>
    <w:rsid w:val="00551405"/>
    <w:rsid w:val="005530C3"/>
    <w:rsid w:val="005556EC"/>
    <w:rsid w:val="005577B2"/>
    <w:rsid w:val="005600B8"/>
    <w:rsid w:val="00560D47"/>
    <w:rsid w:val="0056158C"/>
    <w:rsid w:val="005615BD"/>
    <w:rsid w:val="00561CEA"/>
    <w:rsid w:val="00561ECC"/>
    <w:rsid w:val="00562157"/>
    <w:rsid w:val="00562CD2"/>
    <w:rsid w:val="00564832"/>
    <w:rsid w:val="00565E65"/>
    <w:rsid w:val="00565FFF"/>
    <w:rsid w:val="0056727E"/>
    <w:rsid w:val="00567D2A"/>
    <w:rsid w:val="00570597"/>
    <w:rsid w:val="00570711"/>
    <w:rsid w:val="00571176"/>
    <w:rsid w:val="005721FA"/>
    <w:rsid w:val="0057333F"/>
    <w:rsid w:val="005736EF"/>
    <w:rsid w:val="005739AA"/>
    <w:rsid w:val="00573AC0"/>
    <w:rsid w:val="00573FBD"/>
    <w:rsid w:val="00574AD6"/>
    <w:rsid w:val="005757AE"/>
    <w:rsid w:val="0057608F"/>
    <w:rsid w:val="00577F78"/>
    <w:rsid w:val="00577FA5"/>
    <w:rsid w:val="00580A10"/>
    <w:rsid w:val="00580B72"/>
    <w:rsid w:val="00581167"/>
    <w:rsid w:val="00581FF7"/>
    <w:rsid w:val="00582091"/>
    <w:rsid w:val="00583D4E"/>
    <w:rsid w:val="00584E66"/>
    <w:rsid w:val="0058500A"/>
    <w:rsid w:val="00585641"/>
    <w:rsid w:val="00585F6D"/>
    <w:rsid w:val="00587B2C"/>
    <w:rsid w:val="00590651"/>
    <w:rsid w:val="00590A64"/>
    <w:rsid w:val="00592552"/>
    <w:rsid w:val="00592579"/>
    <w:rsid w:val="0059322F"/>
    <w:rsid w:val="0059335D"/>
    <w:rsid w:val="00593EBE"/>
    <w:rsid w:val="00594294"/>
    <w:rsid w:val="00595289"/>
    <w:rsid w:val="005955F1"/>
    <w:rsid w:val="00596F95"/>
    <w:rsid w:val="005A1B69"/>
    <w:rsid w:val="005A1BA6"/>
    <w:rsid w:val="005A2FB8"/>
    <w:rsid w:val="005A31C2"/>
    <w:rsid w:val="005A3FBD"/>
    <w:rsid w:val="005A4DAA"/>
    <w:rsid w:val="005A5446"/>
    <w:rsid w:val="005A5634"/>
    <w:rsid w:val="005B1BA5"/>
    <w:rsid w:val="005B1C84"/>
    <w:rsid w:val="005B26C7"/>
    <w:rsid w:val="005B51D3"/>
    <w:rsid w:val="005B5FEE"/>
    <w:rsid w:val="005B655E"/>
    <w:rsid w:val="005B7BC7"/>
    <w:rsid w:val="005C0B51"/>
    <w:rsid w:val="005C19E8"/>
    <w:rsid w:val="005C1BCB"/>
    <w:rsid w:val="005C2EC3"/>
    <w:rsid w:val="005C4553"/>
    <w:rsid w:val="005C4692"/>
    <w:rsid w:val="005C515B"/>
    <w:rsid w:val="005C5250"/>
    <w:rsid w:val="005C57CF"/>
    <w:rsid w:val="005C5874"/>
    <w:rsid w:val="005C667C"/>
    <w:rsid w:val="005C7671"/>
    <w:rsid w:val="005D0160"/>
    <w:rsid w:val="005D02A7"/>
    <w:rsid w:val="005D02AA"/>
    <w:rsid w:val="005D1993"/>
    <w:rsid w:val="005D2A71"/>
    <w:rsid w:val="005D373C"/>
    <w:rsid w:val="005D4124"/>
    <w:rsid w:val="005D7EE5"/>
    <w:rsid w:val="005E0368"/>
    <w:rsid w:val="005E2681"/>
    <w:rsid w:val="005E269E"/>
    <w:rsid w:val="005E2D84"/>
    <w:rsid w:val="005E4155"/>
    <w:rsid w:val="005E4A4A"/>
    <w:rsid w:val="005E4DDF"/>
    <w:rsid w:val="005E5029"/>
    <w:rsid w:val="005E5129"/>
    <w:rsid w:val="005E7082"/>
    <w:rsid w:val="005F216A"/>
    <w:rsid w:val="005F2973"/>
    <w:rsid w:val="005F3E80"/>
    <w:rsid w:val="005F45CB"/>
    <w:rsid w:val="005F4FD0"/>
    <w:rsid w:val="005F59A0"/>
    <w:rsid w:val="006002EE"/>
    <w:rsid w:val="006025EB"/>
    <w:rsid w:val="00603663"/>
    <w:rsid w:val="006049E2"/>
    <w:rsid w:val="006056A1"/>
    <w:rsid w:val="00606D0F"/>
    <w:rsid w:val="00607938"/>
    <w:rsid w:val="00610C0E"/>
    <w:rsid w:val="00611329"/>
    <w:rsid w:val="00613765"/>
    <w:rsid w:val="00614192"/>
    <w:rsid w:val="006143E0"/>
    <w:rsid w:val="0061473B"/>
    <w:rsid w:val="00615E5A"/>
    <w:rsid w:val="00620A9B"/>
    <w:rsid w:val="00621C81"/>
    <w:rsid w:val="006222FA"/>
    <w:rsid w:val="00624658"/>
    <w:rsid w:val="006250C7"/>
    <w:rsid w:val="00627DDD"/>
    <w:rsid w:val="00631B6D"/>
    <w:rsid w:val="0064174F"/>
    <w:rsid w:val="00643273"/>
    <w:rsid w:val="006450CD"/>
    <w:rsid w:val="00645826"/>
    <w:rsid w:val="00646BAF"/>
    <w:rsid w:val="00646F8D"/>
    <w:rsid w:val="0064705C"/>
    <w:rsid w:val="00647125"/>
    <w:rsid w:val="00647F88"/>
    <w:rsid w:val="006500E8"/>
    <w:rsid w:val="00651F7B"/>
    <w:rsid w:val="0065237D"/>
    <w:rsid w:val="006529A8"/>
    <w:rsid w:val="00653FAC"/>
    <w:rsid w:val="00655429"/>
    <w:rsid w:val="006554B0"/>
    <w:rsid w:val="00655804"/>
    <w:rsid w:val="006567B1"/>
    <w:rsid w:val="00656A4C"/>
    <w:rsid w:val="00656B35"/>
    <w:rsid w:val="00657C67"/>
    <w:rsid w:val="00657E0B"/>
    <w:rsid w:val="00660832"/>
    <w:rsid w:val="00661C61"/>
    <w:rsid w:val="00662594"/>
    <w:rsid w:val="00663B30"/>
    <w:rsid w:val="0066423E"/>
    <w:rsid w:val="006644B9"/>
    <w:rsid w:val="006648EF"/>
    <w:rsid w:val="0066548C"/>
    <w:rsid w:val="00665627"/>
    <w:rsid w:val="00665D33"/>
    <w:rsid w:val="00666311"/>
    <w:rsid w:val="00671226"/>
    <w:rsid w:val="00672F33"/>
    <w:rsid w:val="0067494F"/>
    <w:rsid w:val="00676D01"/>
    <w:rsid w:val="006804A9"/>
    <w:rsid w:val="00680D8B"/>
    <w:rsid w:val="0068162E"/>
    <w:rsid w:val="00681D04"/>
    <w:rsid w:val="00684575"/>
    <w:rsid w:val="00685294"/>
    <w:rsid w:val="0068563F"/>
    <w:rsid w:val="00685EE7"/>
    <w:rsid w:val="00686085"/>
    <w:rsid w:val="00687129"/>
    <w:rsid w:val="006876AD"/>
    <w:rsid w:val="0069036A"/>
    <w:rsid w:val="0069104C"/>
    <w:rsid w:val="0069138F"/>
    <w:rsid w:val="00691ABF"/>
    <w:rsid w:val="006925FB"/>
    <w:rsid w:val="00692634"/>
    <w:rsid w:val="006928B0"/>
    <w:rsid w:val="0069394A"/>
    <w:rsid w:val="00694169"/>
    <w:rsid w:val="00694432"/>
    <w:rsid w:val="0069461A"/>
    <w:rsid w:val="00696882"/>
    <w:rsid w:val="00696E4D"/>
    <w:rsid w:val="00697999"/>
    <w:rsid w:val="006A1787"/>
    <w:rsid w:val="006A1D78"/>
    <w:rsid w:val="006A239E"/>
    <w:rsid w:val="006A2F3C"/>
    <w:rsid w:val="006A59E0"/>
    <w:rsid w:val="006A5C1C"/>
    <w:rsid w:val="006A6C17"/>
    <w:rsid w:val="006A72F9"/>
    <w:rsid w:val="006A758D"/>
    <w:rsid w:val="006A766E"/>
    <w:rsid w:val="006A7DB6"/>
    <w:rsid w:val="006B13AE"/>
    <w:rsid w:val="006B23F8"/>
    <w:rsid w:val="006B3A77"/>
    <w:rsid w:val="006B3DFA"/>
    <w:rsid w:val="006B48F7"/>
    <w:rsid w:val="006B5B0E"/>
    <w:rsid w:val="006B7D66"/>
    <w:rsid w:val="006C1649"/>
    <w:rsid w:val="006C1898"/>
    <w:rsid w:val="006C22F8"/>
    <w:rsid w:val="006C2306"/>
    <w:rsid w:val="006C37B5"/>
    <w:rsid w:val="006C38FE"/>
    <w:rsid w:val="006C566D"/>
    <w:rsid w:val="006C61A7"/>
    <w:rsid w:val="006C6582"/>
    <w:rsid w:val="006C76C1"/>
    <w:rsid w:val="006D0A6F"/>
    <w:rsid w:val="006D0F4C"/>
    <w:rsid w:val="006D19C5"/>
    <w:rsid w:val="006D234C"/>
    <w:rsid w:val="006D28EE"/>
    <w:rsid w:val="006D2AB2"/>
    <w:rsid w:val="006D317A"/>
    <w:rsid w:val="006D3F04"/>
    <w:rsid w:val="006D4620"/>
    <w:rsid w:val="006D53A8"/>
    <w:rsid w:val="006D5B5E"/>
    <w:rsid w:val="006D6733"/>
    <w:rsid w:val="006D6A35"/>
    <w:rsid w:val="006D75E7"/>
    <w:rsid w:val="006D770A"/>
    <w:rsid w:val="006D7A43"/>
    <w:rsid w:val="006D7FE1"/>
    <w:rsid w:val="006E2107"/>
    <w:rsid w:val="006E2465"/>
    <w:rsid w:val="006E2636"/>
    <w:rsid w:val="006E32E9"/>
    <w:rsid w:val="006E3787"/>
    <w:rsid w:val="006E3D4E"/>
    <w:rsid w:val="006E4987"/>
    <w:rsid w:val="006E52BE"/>
    <w:rsid w:val="006E5915"/>
    <w:rsid w:val="006E5B02"/>
    <w:rsid w:val="006E65D5"/>
    <w:rsid w:val="006E76BD"/>
    <w:rsid w:val="006F0817"/>
    <w:rsid w:val="006F2137"/>
    <w:rsid w:val="006F3CAC"/>
    <w:rsid w:val="006F4BE0"/>
    <w:rsid w:val="006F6B76"/>
    <w:rsid w:val="006F7207"/>
    <w:rsid w:val="006F7C35"/>
    <w:rsid w:val="00700361"/>
    <w:rsid w:val="007015D5"/>
    <w:rsid w:val="007033D9"/>
    <w:rsid w:val="007045B6"/>
    <w:rsid w:val="00704D49"/>
    <w:rsid w:val="00704F1E"/>
    <w:rsid w:val="00705A6D"/>
    <w:rsid w:val="007061B9"/>
    <w:rsid w:val="007065FE"/>
    <w:rsid w:val="007068D0"/>
    <w:rsid w:val="00706D31"/>
    <w:rsid w:val="00706E43"/>
    <w:rsid w:val="00707832"/>
    <w:rsid w:val="00710CBA"/>
    <w:rsid w:val="00713205"/>
    <w:rsid w:val="00713985"/>
    <w:rsid w:val="00714476"/>
    <w:rsid w:val="0071647F"/>
    <w:rsid w:val="00716D1C"/>
    <w:rsid w:val="007177AB"/>
    <w:rsid w:val="007204C5"/>
    <w:rsid w:val="0072262C"/>
    <w:rsid w:val="0072393F"/>
    <w:rsid w:val="00723B64"/>
    <w:rsid w:val="007262CF"/>
    <w:rsid w:val="00727A0A"/>
    <w:rsid w:val="0073032B"/>
    <w:rsid w:val="00730984"/>
    <w:rsid w:val="00730EAE"/>
    <w:rsid w:val="00731CA3"/>
    <w:rsid w:val="0073311E"/>
    <w:rsid w:val="00733EBD"/>
    <w:rsid w:val="00734E2E"/>
    <w:rsid w:val="00735647"/>
    <w:rsid w:val="00737AD8"/>
    <w:rsid w:val="0074156A"/>
    <w:rsid w:val="00741664"/>
    <w:rsid w:val="00742A7A"/>
    <w:rsid w:val="0074459C"/>
    <w:rsid w:val="007455F1"/>
    <w:rsid w:val="0074582B"/>
    <w:rsid w:val="00745A78"/>
    <w:rsid w:val="00745B42"/>
    <w:rsid w:val="00746088"/>
    <w:rsid w:val="00746B3B"/>
    <w:rsid w:val="00747992"/>
    <w:rsid w:val="00751412"/>
    <w:rsid w:val="007516FF"/>
    <w:rsid w:val="00751F91"/>
    <w:rsid w:val="00752013"/>
    <w:rsid w:val="00752322"/>
    <w:rsid w:val="00754088"/>
    <w:rsid w:val="007541A0"/>
    <w:rsid w:val="00754C63"/>
    <w:rsid w:val="00754CA8"/>
    <w:rsid w:val="00755196"/>
    <w:rsid w:val="007565EF"/>
    <w:rsid w:val="00756738"/>
    <w:rsid w:val="0075761E"/>
    <w:rsid w:val="007576C3"/>
    <w:rsid w:val="00757DCA"/>
    <w:rsid w:val="007600F3"/>
    <w:rsid w:val="007615E1"/>
    <w:rsid w:val="00761A36"/>
    <w:rsid w:val="00761F22"/>
    <w:rsid w:val="007628D0"/>
    <w:rsid w:val="00762B05"/>
    <w:rsid w:val="00762D23"/>
    <w:rsid w:val="00762E8E"/>
    <w:rsid w:val="0076301A"/>
    <w:rsid w:val="007638A1"/>
    <w:rsid w:val="0076419D"/>
    <w:rsid w:val="0076661A"/>
    <w:rsid w:val="00770E80"/>
    <w:rsid w:val="00775C7C"/>
    <w:rsid w:val="007808E6"/>
    <w:rsid w:val="00781CA9"/>
    <w:rsid w:val="00781F7E"/>
    <w:rsid w:val="00783160"/>
    <w:rsid w:val="00783C55"/>
    <w:rsid w:val="00784774"/>
    <w:rsid w:val="00785C5F"/>
    <w:rsid w:val="007867E7"/>
    <w:rsid w:val="0079044F"/>
    <w:rsid w:val="007937AC"/>
    <w:rsid w:val="007942F1"/>
    <w:rsid w:val="00794AD9"/>
    <w:rsid w:val="0079559E"/>
    <w:rsid w:val="00795C05"/>
    <w:rsid w:val="00795DEE"/>
    <w:rsid w:val="00796319"/>
    <w:rsid w:val="0079648E"/>
    <w:rsid w:val="00797AD3"/>
    <w:rsid w:val="00797DFD"/>
    <w:rsid w:val="00797FEA"/>
    <w:rsid w:val="007A0119"/>
    <w:rsid w:val="007A26E3"/>
    <w:rsid w:val="007A2981"/>
    <w:rsid w:val="007A47CA"/>
    <w:rsid w:val="007A5CE0"/>
    <w:rsid w:val="007A7235"/>
    <w:rsid w:val="007B0832"/>
    <w:rsid w:val="007B1635"/>
    <w:rsid w:val="007B1F9D"/>
    <w:rsid w:val="007B200B"/>
    <w:rsid w:val="007B20D6"/>
    <w:rsid w:val="007B3383"/>
    <w:rsid w:val="007B3A9B"/>
    <w:rsid w:val="007B3FF9"/>
    <w:rsid w:val="007B469B"/>
    <w:rsid w:val="007B565F"/>
    <w:rsid w:val="007B6016"/>
    <w:rsid w:val="007B6054"/>
    <w:rsid w:val="007B6A3A"/>
    <w:rsid w:val="007B6F8F"/>
    <w:rsid w:val="007C0269"/>
    <w:rsid w:val="007C1187"/>
    <w:rsid w:val="007C15AA"/>
    <w:rsid w:val="007C1F25"/>
    <w:rsid w:val="007C26A7"/>
    <w:rsid w:val="007C3A90"/>
    <w:rsid w:val="007C3C22"/>
    <w:rsid w:val="007C3F6F"/>
    <w:rsid w:val="007C4630"/>
    <w:rsid w:val="007C4740"/>
    <w:rsid w:val="007C49D0"/>
    <w:rsid w:val="007C579C"/>
    <w:rsid w:val="007C6B32"/>
    <w:rsid w:val="007C7BE1"/>
    <w:rsid w:val="007D1397"/>
    <w:rsid w:val="007D17E5"/>
    <w:rsid w:val="007D1AC0"/>
    <w:rsid w:val="007D1C97"/>
    <w:rsid w:val="007D1EDB"/>
    <w:rsid w:val="007D2564"/>
    <w:rsid w:val="007D326D"/>
    <w:rsid w:val="007D3D8A"/>
    <w:rsid w:val="007D452D"/>
    <w:rsid w:val="007D4689"/>
    <w:rsid w:val="007D5DBF"/>
    <w:rsid w:val="007D6B97"/>
    <w:rsid w:val="007D6C30"/>
    <w:rsid w:val="007D6D17"/>
    <w:rsid w:val="007D78CF"/>
    <w:rsid w:val="007E0738"/>
    <w:rsid w:val="007E1772"/>
    <w:rsid w:val="007E20C6"/>
    <w:rsid w:val="007E25CB"/>
    <w:rsid w:val="007E28C1"/>
    <w:rsid w:val="007E558E"/>
    <w:rsid w:val="007E773B"/>
    <w:rsid w:val="007E797C"/>
    <w:rsid w:val="007F0A3D"/>
    <w:rsid w:val="007F0B13"/>
    <w:rsid w:val="007F1307"/>
    <w:rsid w:val="007F15EE"/>
    <w:rsid w:val="007F3CD8"/>
    <w:rsid w:val="007F415D"/>
    <w:rsid w:val="007F457E"/>
    <w:rsid w:val="007F4E00"/>
    <w:rsid w:val="007F4E45"/>
    <w:rsid w:val="007F58EF"/>
    <w:rsid w:val="007F6277"/>
    <w:rsid w:val="007F6F7C"/>
    <w:rsid w:val="007F76B8"/>
    <w:rsid w:val="0080021E"/>
    <w:rsid w:val="00800F10"/>
    <w:rsid w:val="00801017"/>
    <w:rsid w:val="00801162"/>
    <w:rsid w:val="00801E5F"/>
    <w:rsid w:val="008045E9"/>
    <w:rsid w:val="008068AD"/>
    <w:rsid w:val="00806E52"/>
    <w:rsid w:val="00806EFB"/>
    <w:rsid w:val="00807C48"/>
    <w:rsid w:val="00810E0B"/>
    <w:rsid w:val="00811A92"/>
    <w:rsid w:val="00813D44"/>
    <w:rsid w:val="00816E1E"/>
    <w:rsid w:val="008214C0"/>
    <w:rsid w:val="00821757"/>
    <w:rsid w:val="008219D0"/>
    <w:rsid w:val="0082238B"/>
    <w:rsid w:val="008224D0"/>
    <w:rsid w:val="00823C8E"/>
    <w:rsid w:val="008265EA"/>
    <w:rsid w:val="00827BC5"/>
    <w:rsid w:val="0083005B"/>
    <w:rsid w:val="00830C5D"/>
    <w:rsid w:val="008326F5"/>
    <w:rsid w:val="00833C52"/>
    <w:rsid w:val="00834055"/>
    <w:rsid w:val="00835085"/>
    <w:rsid w:val="008356FF"/>
    <w:rsid w:val="00837100"/>
    <w:rsid w:val="00841C7C"/>
    <w:rsid w:val="0084237C"/>
    <w:rsid w:val="00842E31"/>
    <w:rsid w:val="0084461A"/>
    <w:rsid w:val="008460F1"/>
    <w:rsid w:val="008463A8"/>
    <w:rsid w:val="00846536"/>
    <w:rsid w:val="008502D2"/>
    <w:rsid w:val="00851902"/>
    <w:rsid w:val="0085206C"/>
    <w:rsid w:val="00852E01"/>
    <w:rsid w:val="0085316A"/>
    <w:rsid w:val="00854920"/>
    <w:rsid w:val="00855F2C"/>
    <w:rsid w:val="008571E9"/>
    <w:rsid w:val="00857A7E"/>
    <w:rsid w:val="00863040"/>
    <w:rsid w:val="00863EB7"/>
    <w:rsid w:val="00865886"/>
    <w:rsid w:val="00865F4F"/>
    <w:rsid w:val="00866815"/>
    <w:rsid w:val="00866F9C"/>
    <w:rsid w:val="00867BF6"/>
    <w:rsid w:val="008700F1"/>
    <w:rsid w:val="00871151"/>
    <w:rsid w:val="008718D7"/>
    <w:rsid w:val="00871E5C"/>
    <w:rsid w:val="00872291"/>
    <w:rsid w:val="00872BF5"/>
    <w:rsid w:val="00873547"/>
    <w:rsid w:val="00873BD8"/>
    <w:rsid w:val="00874F2A"/>
    <w:rsid w:val="00875385"/>
    <w:rsid w:val="00875765"/>
    <w:rsid w:val="00875B93"/>
    <w:rsid w:val="0087609C"/>
    <w:rsid w:val="00876E6A"/>
    <w:rsid w:val="00880277"/>
    <w:rsid w:val="00881981"/>
    <w:rsid w:val="008822DC"/>
    <w:rsid w:val="00883472"/>
    <w:rsid w:val="00883A6A"/>
    <w:rsid w:val="00883C60"/>
    <w:rsid w:val="0088487A"/>
    <w:rsid w:val="00885B5D"/>
    <w:rsid w:val="008869C7"/>
    <w:rsid w:val="00886BBC"/>
    <w:rsid w:val="00887E6E"/>
    <w:rsid w:val="00890CA4"/>
    <w:rsid w:val="00891343"/>
    <w:rsid w:val="00891BAB"/>
    <w:rsid w:val="00891CAC"/>
    <w:rsid w:val="00892225"/>
    <w:rsid w:val="008931EC"/>
    <w:rsid w:val="00893994"/>
    <w:rsid w:val="0089601C"/>
    <w:rsid w:val="00896673"/>
    <w:rsid w:val="008A0703"/>
    <w:rsid w:val="008A0714"/>
    <w:rsid w:val="008A11B4"/>
    <w:rsid w:val="008A1372"/>
    <w:rsid w:val="008A137B"/>
    <w:rsid w:val="008A16CA"/>
    <w:rsid w:val="008A2E41"/>
    <w:rsid w:val="008A3925"/>
    <w:rsid w:val="008A540F"/>
    <w:rsid w:val="008A6A86"/>
    <w:rsid w:val="008B0B87"/>
    <w:rsid w:val="008B1FD5"/>
    <w:rsid w:val="008B2A92"/>
    <w:rsid w:val="008B2B6A"/>
    <w:rsid w:val="008B2B71"/>
    <w:rsid w:val="008B3A26"/>
    <w:rsid w:val="008B4624"/>
    <w:rsid w:val="008B4B53"/>
    <w:rsid w:val="008B5533"/>
    <w:rsid w:val="008B5721"/>
    <w:rsid w:val="008B5CA5"/>
    <w:rsid w:val="008B6BC2"/>
    <w:rsid w:val="008B700D"/>
    <w:rsid w:val="008C01B8"/>
    <w:rsid w:val="008C182A"/>
    <w:rsid w:val="008C1BFE"/>
    <w:rsid w:val="008C46B7"/>
    <w:rsid w:val="008C4812"/>
    <w:rsid w:val="008C58C7"/>
    <w:rsid w:val="008C624E"/>
    <w:rsid w:val="008C65DE"/>
    <w:rsid w:val="008D0B8F"/>
    <w:rsid w:val="008D0FEC"/>
    <w:rsid w:val="008D3A2C"/>
    <w:rsid w:val="008D3CE5"/>
    <w:rsid w:val="008D42BD"/>
    <w:rsid w:val="008D59D4"/>
    <w:rsid w:val="008D7491"/>
    <w:rsid w:val="008E067A"/>
    <w:rsid w:val="008E187E"/>
    <w:rsid w:val="008E2BF5"/>
    <w:rsid w:val="008E4DC5"/>
    <w:rsid w:val="008E505F"/>
    <w:rsid w:val="008E53E6"/>
    <w:rsid w:val="008E5AE1"/>
    <w:rsid w:val="008E603F"/>
    <w:rsid w:val="008E7E0E"/>
    <w:rsid w:val="008F0550"/>
    <w:rsid w:val="008F2278"/>
    <w:rsid w:val="008F29C3"/>
    <w:rsid w:val="008F3AD6"/>
    <w:rsid w:val="008F3CD3"/>
    <w:rsid w:val="008F497E"/>
    <w:rsid w:val="008F50B4"/>
    <w:rsid w:val="008F5105"/>
    <w:rsid w:val="008F5439"/>
    <w:rsid w:val="008F6249"/>
    <w:rsid w:val="009009F5"/>
    <w:rsid w:val="00901F51"/>
    <w:rsid w:val="00902601"/>
    <w:rsid w:val="00903F49"/>
    <w:rsid w:val="009056A0"/>
    <w:rsid w:val="00905D67"/>
    <w:rsid w:val="00906485"/>
    <w:rsid w:val="00906A5D"/>
    <w:rsid w:val="00906FC5"/>
    <w:rsid w:val="0090767E"/>
    <w:rsid w:val="00910E72"/>
    <w:rsid w:val="0091243D"/>
    <w:rsid w:val="009130F5"/>
    <w:rsid w:val="0091403F"/>
    <w:rsid w:val="00914329"/>
    <w:rsid w:val="00914398"/>
    <w:rsid w:val="00917098"/>
    <w:rsid w:val="00917882"/>
    <w:rsid w:val="009178F3"/>
    <w:rsid w:val="0092156A"/>
    <w:rsid w:val="009217E4"/>
    <w:rsid w:val="00921838"/>
    <w:rsid w:val="00921850"/>
    <w:rsid w:val="00921DD2"/>
    <w:rsid w:val="00922037"/>
    <w:rsid w:val="009238CA"/>
    <w:rsid w:val="00923DB4"/>
    <w:rsid w:val="00924A94"/>
    <w:rsid w:val="00927F5E"/>
    <w:rsid w:val="00930848"/>
    <w:rsid w:val="00932EC1"/>
    <w:rsid w:val="009336F2"/>
    <w:rsid w:val="009346AA"/>
    <w:rsid w:val="00935E6B"/>
    <w:rsid w:val="00937849"/>
    <w:rsid w:val="00940256"/>
    <w:rsid w:val="0094085C"/>
    <w:rsid w:val="00940A2F"/>
    <w:rsid w:val="00940C50"/>
    <w:rsid w:val="00940FFF"/>
    <w:rsid w:val="009412DF"/>
    <w:rsid w:val="00941318"/>
    <w:rsid w:val="00941941"/>
    <w:rsid w:val="0094256D"/>
    <w:rsid w:val="009427F3"/>
    <w:rsid w:val="00942EB1"/>
    <w:rsid w:val="00944B43"/>
    <w:rsid w:val="009455EF"/>
    <w:rsid w:val="00947066"/>
    <w:rsid w:val="00953D7F"/>
    <w:rsid w:val="0095482E"/>
    <w:rsid w:val="00955A27"/>
    <w:rsid w:val="00955EAF"/>
    <w:rsid w:val="009563FF"/>
    <w:rsid w:val="00956D98"/>
    <w:rsid w:val="00960A67"/>
    <w:rsid w:val="00962621"/>
    <w:rsid w:val="00962F46"/>
    <w:rsid w:val="00963729"/>
    <w:rsid w:val="00963D09"/>
    <w:rsid w:val="00963EC5"/>
    <w:rsid w:val="00963F46"/>
    <w:rsid w:val="00965C49"/>
    <w:rsid w:val="0096606F"/>
    <w:rsid w:val="009666B3"/>
    <w:rsid w:val="009668BA"/>
    <w:rsid w:val="00966962"/>
    <w:rsid w:val="00966ED1"/>
    <w:rsid w:val="009672D6"/>
    <w:rsid w:val="009713F8"/>
    <w:rsid w:val="00972EEE"/>
    <w:rsid w:val="0097544B"/>
    <w:rsid w:val="00975908"/>
    <w:rsid w:val="00977305"/>
    <w:rsid w:val="00977868"/>
    <w:rsid w:val="0098049B"/>
    <w:rsid w:val="00980BFB"/>
    <w:rsid w:val="00982ACC"/>
    <w:rsid w:val="009832E5"/>
    <w:rsid w:val="00984158"/>
    <w:rsid w:val="009844CB"/>
    <w:rsid w:val="00985503"/>
    <w:rsid w:val="00987751"/>
    <w:rsid w:val="00992658"/>
    <w:rsid w:val="0099382A"/>
    <w:rsid w:val="009938AC"/>
    <w:rsid w:val="00993BB2"/>
    <w:rsid w:val="00993DCE"/>
    <w:rsid w:val="00994B17"/>
    <w:rsid w:val="00994FA4"/>
    <w:rsid w:val="00995934"/>
    <w:rsid w:val="00995D5E"/>
    <w:rsid w:val="00995E9C"/>
    <w:rsid w:val="0099747D"/>
    <w:rsid w:val="00997A01"/>
    <w:rsid w:val="00997F94"/>
    <w:rsid w:val="009A05C3"/>
    <w:rsid w:val="009A1ACF"/>
    <w:rsid w:val="009A1D8C"/>
    <w:rsid w:val="009A1E85"/>
    <w:rsid w:val="009A2E68"/>
    <w:rsid w:val="009A336F"/>
    <w:rsid w:val="009A350B"/>
    <w:rsid w:val="009A5094"/>
    <w:rsid w:val="009A57BC"/>
    <w:rsid w:val="009A5B66"/>
    <w:rsid w:val="009A6573"/>
    <w:rsid w:val="009A768C"/>
    <w:rsid w:val="009A7765"/>
    <w:rsid w:val="009A7A91"/>
    <w:rsid w:val="009A7D02"/>
    <w:rsid w:val="009A7EE1"/>
    <w:rsid w:val="009B0101"/>
    <w:rsid w:val="009B1C60"/>
    <w:rsid w:val="009B3657"/>
    <w:rsid w:val="009B38E7"/>
    <w:rsid w:val="009B4346"/>
    <w:rsid w:val="009B46FC"/>
    <w:rsid w:val="009B5141"/>
    <w:rsid w:val="009B62FB"/>
    <w:rsid w:val="009B727D"/>
    <w:rsid w:val="009C27A5"/>
    <w:rsid w:val="009C384E"/>
    <w:rsid w:val="009C3E0B"/>
    <w:rsid w:val="009C4047"/>
    <w:rsid w:val="009C5299"/>
    <w:rsid w:val="009C571F"/>
    <w:rsid w:val="009C74FC"/>
    <w:rsid w:val="009C781B"/>
    <w:rsid w:val="009C78C8"/>
    <w:rsid w:val="009D228B"/>
    <w:rsid w:val="009D2660"/>
    <w:rsid w:val="009D2700"/>
    <w:rsid w:val="009D375F"/>
    <w:rsid w:val="009D399B"/>
    <w:rsid w:val="009D3A0F"/>
    <w:rsid w:val="009D3DBB"/>
    <w:rsid w:val="009D5028"/>
    <w:rsid w:val="009D5EC6"/>
    <w:rsid w:val="009D6583"/>
    <w:rsid w:val="009D6BDF"/>
    <w:rsid w:val="009D7F48"/>
    <w:rsid w:val="009E048C"/>
    <w:rsid w:val="009E0E26"/>
    <w:rsid w:val="009E1058"/>
    <w:rsid w:val="009E22F7"/>
    <w:rsid w:val="009E2E89"/>
    <w:rsid w:val="009E5156"/>
    <w:rsid w:val="009E58FB"/>
    <w:rsid w:val="009E5A44"/>
    <w:rsid w:val="009E6156"/>
    <w:rsid w:val="009E74C2"/>
    <w:rsid w:val="009F08E3"/>
    <w:rsid w:val="009F36B1"/>
    <w:rsid w:val="009F39F5"/>
    <w:rsid w:val="009F4925"/>
    <w:rsid w:val="009F57C1"/>
    <w:rsid w:val="009F6DEB"/>
    <w:rsid w:val="00A00654"/>
    <w:rsid w:val="00A00821"/>
    <w:rsid w:val="00A0135F"/>
    <w:rsid w:val="00A01B43"/>
    <w:rsid w:val="00A02E30"/>
    <w:rsid w:val="00A037E5"/>
    <w:rsid w:val="00A0609A"/>
    <w:rsid w:val="00A06724"/>
    <w:rsid w:val="00A07016"/>
    <w:rsid w:val="00A10E51"/>
    <w:rsid w:val="00A142F7"/>
    <w:rsid w:val="00A1442C"/>
    <w:rsid w:val="00A146DC"/>
    <w:rsid w:val="00A1541D"/>
    <w:rsid w:val="00A15E43"/>
    <w:rsid w:val="00A167AF"/>
    <w:rsid w:val="00A17093"/>
    <w:rsid w:val="00A20429"/>
    <w:rsid w:val="00A20D30"/>
    <w:rsid w:val="00A217DB"/>
    <w:rsid w:val="00A236F3"/>
    <w:rsid w:val="00A23CDD"/>
    <w:rsid w:val="00A24531"/>
    <w:rsid w:val="00A26BB1"/>
    <w:rsid w:val="00A30575"/>
    <w:rsid w:val="00A31901"/>
    <w:rsid w:val="00A31D98"/>
    <w:rsid w:val="00A32E28"/>
    <w:rsid w:val="00A332EA"/>
    <w:rsid w:val="00A34023"/>
    <w:rsid w:val="00A3422D"/>
    <w:rsid w:val="00A34366"/>
    <w:rsid w:val="00A34B81"/>
    <w:rsid w:val="00A352C7"/>
    <w:rsid w:val="00A359D6"/>
    <w:rsid w:val="00A37BFB"/>
    <w:rsid w:val="00A37E03"/>
    <w:rsid w:val="00A42545"/>
    <w:rsid w:val="00A425D7"/>
    <w:rsid w:val="00A45FF7"/>
    <w:rsid w:val="00A469EF"/>
    <w:rsid w:val="00A510EB"/>
    <w:rsid w:val="00A51A6D"/>
    <w:rsid w:val="00A52428"/>
    <w:rsid w:val="00A52719"/>
    <w:rsid w:val="00A53C89"/>
    <w:rsid w:val="00A540AB"/>
    <w:rsid w:val="00A54337"/>
    <w:rsid w:val="00A54608"/>
    <w:rsid w:val="00A54C07"/>
    <w:rsid w:val="00A550ED"/>
    <w:rsid w:val="00A55E44"/>
    <w:rsid w:val="00A57463"/>
    <w:rsid w:val="00A61C6B"/>
    <w:rsid w:val="00A62F86"/>
    <w:rsid w:val="00A630BF"/>
    <w:rsid w:val="00A63473"/>
    <w:rsid w:val="00A636DD"/>
    <w:rsid w:val="00A64413"/>
    <w:rsid w:val="00A652E7"/>
    <w:rsid w:val="00A65AAC"/>
    <w:rsid w:val="00A67B8E"/>
    <w:rsid w:val="00A67E09"/>
    <w:rsid w:val="00A70121"/>
    <w:rsid w:val="00A701BF"/>
    <w:rsid w:val="00A702B5"/>
    <w:rsid w:val="00A70F99"/>
    <w:rsid w:val="00A714BB"/>
    <w:rsid w:val="00A7218E"/>
    <w:rsid w:val="00A73449"/>
    <w:rsid w:val="00A736C5"/>
    <w:rsid w:val="00A748DC"/>
    <w:rsid w:val="00A74A2F"/>
    <w:rsid w:val="00A76323"/>
    <w:rsid w:val="00A76B30"/>
    <w:rsid w:val="00A7743F"/>
    <w:rsid w:val="00A81FFF"/>
    <w:rsid w:val="00A827EA"/>
    <w:rsid w:val="00A82CF7"/>
    <w:rsid w:val="00A82F71"/>
    <w:rsid w:val="00A84327"/>
    <w:rsid w:val="00A84903"/>
    <w:rsid w:val="00A86059"/>
    <w:rsid w:val="00A8670B"/>
    <w:rsid w:val="00A8783E"/>
    <w:rsid w:val="00A919C6"/>
    <w:rsid w:val="00A93797"/>
    <w:rsid w:val="00A94F6B"/>
    <w:rsid w:val="00A95307"/>
    <w:rsid w:val="00A956CA"/>
    <w:rsid w:val="00A9673C"/>
    <w:rsid w:val="00AA038D"/>
    <w:rsid w:val="00AA1D27"/>
    <w:rsid w:val="00AA2D07"/>
    <w:rsid w:val="00AA3E13"/>
    <w:rsid w:val="00AA592C"/>
    <w:rsid w:val="00AA623D"/>
    <w:rsid w:val="00AA6701"/>
    <w:rsid w:val="00AA6A71"/>
    <w:rsid w:val="00AA72B3"/>
    <w:rsid w:val="00AA76FA"/>
    <w:rsid w:val="00AB02A4"/>
    <w:rsid w:val="00AB2C5B"/>
    <w:rsid w:val="00AB3268"/>
    <w:rsid w:val="00AB3B57"/>
    <w:rsid w:val="00AB3E10"/>
    <w:rsid w:val="00AB4787"/>
    <w:rsid w:val="00AB6388"/>
    <w:rsid w:val="00AB67A7"/>
    <w:rsid w:val="00AB6B10"/>
    <w:rsid w:val="00AC0325"/>
    <w:rsid w:val="00AC1890"/>
    <w:rsid w:val="00AC2271"/>
    <w:rsid w:val="00AC2BA1"/>
    <w:rsid w:val="00AC2C66"/>
    <w:rsid w:val="00AC50AC"/>
    <w:rsid w:val="00AC698C"/>
    <w:rsid w:val="00AC7457"/>
    <w:rsid w:val="00AD5CF3"/>
    <w:rsid w:val="00AD6B1F"/>
    <w:rsid w:val="00AE096B"/>
    <w:rsid w:val="00AE0EEF"/>
    <w:rsid w:val="00AE15C7"/>
    <w:rsid w:val="00AE1B3C"/>
    <w:rsid w:val="00AE1C25"/>
    <w:rsid w:val="00AE2688"/>
    <w:rsid w:val="00AE2E6F"/>
    <w:rsid w:val="00AE2EA9"/>
    <w:rsid w:val="00AE3D01"/>
    <w:rsid w:val="00AE4137"/>
    <w:rsid w:val="00AE4414"/>
    <w:rsid w:val="00AE5149"/>
    <w:rsid w:val="00AE5784"/>
    <w:rsid w:val="00AE5C3E"/>
    <w:rsid w:val="00AE6CEA"/>
    <w:rsid w:val="00AE7E63"/>
    <w:rsid w:val="00AE7EF9"/>
    <w:rsid w:val="00AF1473"/>
    <w:rsid w:val="00AF1CD7"/>
    <w:rsid w:val="00AF1D0D"/>
    <w:rsid w:val="00AF2DEB"/>
    <w:rsid w:val="00AF33B8"/>
    <w:rsid w:val="00AF3FC2"/>
    <w:rsid w:val="00AF4939"/>
    <w:rsid w:val="00AF6170"/>
    <w:rsid w:val="00AF665B"/>
    <w:rsid w:val="00AF671F"/>
    <w:rsid w:val="00AF790E"/>
    <w:rsid w:val="00B01FF3"/>
    <w:rsid w:val="00B0235E"/>
    <w:rsid w:val="00B02426"/>
    <w:rsid w:val="00B02BF8"/>
    <w:rsid w:val="00B03220"/>
    <w:rsid w:val="00B03EE8"/>
    <w:rsid w:val="00B040B6"/>
    <w:rsid w:val="00B04815"/>
    <w:rsid w:val="00B04CE0"/>
    <w:rsid w:val="00B06CF6"/>
    <w:rsid w:val="00B07384"/>
    <w:rsid w:val="00B079A6"/>
    <w:rsid w:val="00B10E74"/>
    <w:rsid w:val="00B128FA"/>
    <w:rsid w:val="00B13C45"/>
    <w:rsid w:val="00B140EC"/>
    <w:rsid w:val="00B1533B"/>
    <w:rsid w:val="00B16B52"/>
    <w:rsid w:val="00B17896"/>
    <w:rsid w:val="00B17B2C"/>
    <w:rsid w:val="00B203E6"/>
    <w:rsid w:val="00B21376"/>
    <w:rsid w:val="00B21EF6"/>
    <w:rsid w:val="00B221A8"/>
    <w:rsid w:val="00B2251F"/>
    <w:rsid w:val="00B2394C"/>
    <w:rsid w:val="00B267A1"/>
    <w:rsid w:val="00B273B6"/>
    <w:rsid w:val="00B27A33"/>
    <w:rsid w:val="00B32F8D"/>
    <w:rsid w:val="00B332A7"/>
    <w:rsid w:val="00B338CA"/>
    <w:rsid w:val="00B34211"/>
    <w:rsid w:val="00B3529B"/>
    <w:rsid w:val="00B35E9B"/>
    <w:rsid w:val="00B36319"/>
    <w:rsid w:val="00B36B9B"/>
    <w:rsid w:val="00B36C77"/>
    <w:rsid w:val="00B36DD9"/>
    <w:rsid w:val="00B37EB0"/>
    <w:rsid w:val="00B40881"/>
    <w:rsid w:val="00B4095A"/>
    <w:rsid w:val="00B410AD"/>
    <w:rsid w:val="00B42B12"/>
    <w:rsid w:val="00B433FA"/>
    <w:rsid w:val="00B44D0C"/>
    <w:rsid w:val="00B45050"/>
    <w:rsid w:val="00B45A66"/>
    <w:rsid w:val="00B506C6"/>
    <w:rsid w:val="00B51982"/>
    <w:rsid w:val="00B51FA9"/>
    <w:rsid w:val="00B5277B"/>
    <w:rsid w:val="00B5289D"/>
    <w:rsid w:val="00B52CA3"/>
    <w:rsid w:val="00B53510"/>
    <w:rsid w:val="00B535DE"/>
    <w:rsid w:val="00B545D2"/>
    <w:rsid w:val="00B546AB"/>
    <w:rsid w:val="00B55A3D"/>
    <w:rsid w:val="00B6079A"/>
    <w:rsid w:val="00B61C8F"/>
    <w:rsid w:val="00B63CF6"/>
    <w:rsid w:val="00B6481A"/>
    <w:rsid w:val="00B64920"/>
    <w:rsid w:val="00B65293"/>
    <w:rsid w:val="00B652EF"/>
    <w:rsid w:val="00B6589D"/>
    <w:rsid w:val="00B6625F"/>
    <w:rsid w:val="00B6648C"/>
    <w:rsid w:val="00B7102D"/>
    <w:rsid w:val="00B710A4"/>
    <w:rsid w:val="00B712B1"/>
    <w:rsid w:val="00B717CE"/>
    <w:rsid w:val="00B717EA"/>
    <w:rsid w:val="00B71A45"/>
    <w:rsid w:val="00B71ED9"/>
    <w:rsid w:val="00B71EEC"/>
    <w:rsid w:val="00B72FD6"/>
    <w:rsid w:val="00B748F2"/>
    <w:rsid w:val="00B74A41"/>
    <w:rsid w:val="00B74C94"/>
    <w:rsid w:val="00B75E76"/>
    <w:rsid w:val="00B76E1D"/>
    <w:rsid w:val="00B77B58"/>
    <w:rsid w:val="00B77F96"/>
    <w:rsid w:val="00B80A2F"/>
    <w:rsid w:val="00B814CA"/>
    <w:rsid w:val="00B81A8A"/>
    <w:rsid w:val="00B83B9E"/>
    <w:rsid w:val="00B8476C"/>
    <w:rsid w:val="00B8524B"/>
    <w:rsid w:val="00B85579"/>
    <w:rsid w:val="00B85D6E"/>
    <w:rsid w:val="00B86677"/>
    <w:rsid w:val="00B86817"/>
    <w:rsid w:val="00B877C2"/>
    <w:rsid w:val="00B87D3A"/>
    <w:rsid w:val="00B90072"/>
    <w:rsid w:val="00B90195"/>
    <w:rsid w:val="00B9077C"/>
    <w:rsid w:val="00B91BF8"/>
    <w:rsid w:val="00B92916"/>
    <w:rsid w:val="00B92FD6"/>
    <w:rsid w:val="00B945C7"/>
    <w:rsid w:val="00B94A21"/>
    <w:rsid w:val="00B95962"/>
    <w:rsid w:val="00B95F40"/>
    <w:rsid w:val="00B96E6B"/>
    <w:rsid w:val="00B97868"/>
    <w:rsid w:val="00BA073C"/>
    <w:rsid w:val="00BA0891"/>
    <w:rsid w:val="00BA0C1C"/>
    <w:rsid w:val="00BA1814"/>
    <w:rsid w:val="00BA2001"/>
    <w:rsid w:val="00BA3D18"/>
    <w:rsid w:val="00BA4236"/>
    <w:rsid w:val="00BA5666"/>
    <w:rsid w:val="00BA6E04"/>
    <w:rsid w:val="00BA742B"/>
    <w:rsid w:val="00BB0387"/>
    <w:rsid w:val="00BB15E5"/>
    <w:rsid w:val="00BB3554"/>
    <w:rsid w:val="00BB5EEA"/>
    <w:rsid w:val="00BB66BE"/>
    <w:rsid w:val="00BB6C8B"/>
    <w:rsid w:val="00BB7706"/>
    <w:rsid w:val="00BC0177"/>
    <w:rsid w:val="00BC088B"/>
    <w:rsid w:val="00BC0F60"/>
    <w:rsid w:val="00BC126C"/>
    <w:rsid w:val="00BC1C7D"/>
    <w:rsid w:val="00BC3416"/>
    <w:rsid w:val="00BC3957"/>
    <w:rsid w:val="00BC4471"/>
    <w:rsid w:val="00BC554D"/>
    <w:rsid w:val="00BC742A"/>
    <w:rsid w:val="00BC75AC"/>
    <w:rsid w:val="00BC7D0A"/>
    <w:rsid w:val="00BC7F0D"/>
    <w:rsid w:val="00BD0413"/>
    <w:rsid w:val="00BD0F1D"/>
    <w:rsid w:val="00BD0F27"/>
    <w:rsid w:val="00BD269A"/>
    <w:rsid w:val="00BD2945"/>
    <w:rsid w:val="00BD2BB6"/>
    <w:rsid w:val="00BD31CC"/>
    <w:rsid w:val="00BD326A"/>
    <w:rsid w:val="00BD3C8C"/>
    <w:rsid w:val="00BD4188"/>
    <w:rsid w:val="00BD4589"/>
    <w:rsid w:val="00BD47E4"/>
    <w:rsid w:val="00BD486D"/>
    <w:rsid w:val="00BD4E16"/>
    <w:rsid w:val="00BD60E5"/>
    <w:rsid w:val="00BD6628"/>
    <w:rsid w:val="00BE033B"/>
    <w:rsid w:val="00BE21B9"/>
    <w:rsid w:val="00BE24DF"/>
    <w:rsid w:val="00BE3302"/>
    <w:rsid w:val="00BE40D7"/>
    <w:rsid w:val="00BE4638"/>
    <w:rsid w:val="00BE4817"/>
    <w:rsid w:val="00BE4912"/>
    <w:rsid w:val="00BE4A53"/>
    <w:rsid w:val="00BE4D3F"/>
    <w:rsid w:val="00BE7E42"/>
    <w:rsid w:val="00BF07F3"/>
    <w:rsid w:val="00BF1807"/>
    <w:rsid w:val="00BF2080"/>
    <w:rsid w:val="00BF2302"/>
    <w:rsid w:val="00BF2A49"/>
    <w:rsid w:val="00BF3ADD"/>
    <w:rsid w:val="00BF3D44"/>
    <w:rsid w:val="00BF5A87"/>
    <w:rsid w:val="00BF5B30"/>
    <w:rsid w:val="00BF6603"/>
    <w:rsid w:val="00BF6DDD"/>
    <w:rsid w:val="00BF7E37"/>
    <w:rsid w:val="00C0039F"/>
    <w:rsid w:val="00C01C2D"/>
    <w:rsid w:val="00C01FA0"/>
    <w:rsid w:val="00C02524"/>
    <w:rsid w:val="00C02E0C"/>
    <w:rsid w:val="00C03BC5"/>
    <w:rsid w:val="00C03BE6"/>
    <w:rsid w:val="00C040C5"/>
    <w:rsid w:val="00C04148"/>
    <w:rsid w:val="00C0479C"/>
    <w:rsid w:val="00C06697"/>
    <w:rsid w:val="00C11053"/>
    <w:rsid w:val="00C1226B"/>
    <w:rsid w:val="00C127E3"/>
    <w:rsid w:val="00C1383F"/>
    <w:rsid w:val="00C14A15"/>
    <w:rsid w:val="00C153FC"/>
    <w:rsid w:val="00C1557A"/>
    <w:rsid w:val="00C15983"/>
    <w:rsid w:val="00C169D2"/>
    <w:rsid w:val="00C16C21"/>
    <w:rsid w:val="00C1716D"/>
    <w:rsid w:val="00C172A4"/>
    <w:rsid w:val="00C1752D"/>
    <w:rsid w:val="00C21506"/>
    <w:rsid w:val="00C21EFB"/>
    <w:rsid w:val="00C21FDF"/>
    <w:rsid w:val="00C24030"/>
    <w:rsid w:val="00C24BDF"/>
    <w:rsid w:val="00C25208"/>
    <w:rsid w:val="00C27349"/>
    <w:rsid w:val="00C27F53"/>
    <w:rsid w:val="00C31035"/>
    <w:rsid w:val="00C34A15"/>
    <w:rsid w:val="00C359A8"/>
    <w:rsid w:val="00C41485"/>
    <w:rsid w:val="00C41B25"/>
    <w:rsid w:val="00C41F5E"/>
    <w:rsid w:val="00C4218C"/>
    <w:rsid w:val="00C4375A"/>
    <w:rsid w:val="00C43ECC"/>
    <w:rsid w:val="00C448C3"/>
    <w:rsid w:val="00C44C3C"/>
    <w:rsid w:val="00C45617"/>
    <w:rsid w:val="00C45DAB"/>
    <w:rsid w:val="00C46178"/>
    <w:rsid w:val="00C4642D"/>
    <w:rsid w:val="00C46E58"/>
    <w:rsid w:val="00C472F4"/>
    <w:rsid w:val="00C473CE"/>
    <w:rsid w:val="00C473E2"/>
    <w:rsid w:val="00C47772"/>
    <w:rsid w:val="00C50C93"/>
    <w:rsid w:val="00C53064"/>
    <w:rsid w:val="00C552A5"/>
    <w:rsid w:val="00C5552B"/>
    <w:rsid w:val="00C55738"/>
    <w:rsid w:val="00C55B7E"/>
    <w:rsid w:val="00C55CC2"/>
    <w:rsid w:val="00C5620D"/>
    <w:rsid w:val="00C56548"/>
    <w:rsid w:val="00C56A41"/>
    <w:rsid w:val="00C57097"/>
    <w:rsid w:val="00C57198"/>
    <w:rsid w:val="00C572C9"/>
    <w:rsid w:val="00C61E54"/>
    <w:rsid w:val="00C6213B"/>
    <w:rsid w:val="00C62D9B"/>
    <w:rsid w:val="00C632C5"/>
    <w:rsid w:val="00C63AF4"/>
    <w:rsid w:val="00C64534"/>
    <w:rsid w:val="00C64734"/>
    <w:rsid w:val="00C65157"/>
    <w:rsid w:val="00C65442"/>
    <w:rsid w:val="00C65E36"/>
    <w:rsid w:val="00C66175"/>
    <w:rsid w:val="00C66C50"/>
    <w:rsid w:val="00C66E4E"/>
    <w:rsid w:val="00C67433"/>
    <w:rsid w:val="00C6767F"/>
    <w:rsid w:val="00C67C28"/>
    <w:rsid w:val="00C703BD"/>
    <w:rsid w:val="00C70833"/>
    <w:rsid w:val="00C7199F"/>
    <w:rsid w:val="00C72ADC"/>
    <w:rsid w:val="00C72FB6"/>
    <w:rsid w:val="00C7340E"/>
    <w:rsid w:val="00C7360B"/>
    <w:rsid w:val="00C737AF"/>
    <w:rsid w:val="00C742AB"/>
    <w:rsid w:val="00C75A61"/>
    <w:rsid w:val="00C77984"/>
    <w:rsid w:val="00C77B27"/>
    <w:rsid w:val="00C807D6"/>
    <w:rsid w:val="00C81E89"/>
    <w:rsid w:val="00C8290C"/>
    <w:rsid w:val="00C8302E"/>
    <w:rsid w:val="00C8357D"/>
    <w:rsid w:val="00C83584"/>
    <w:rsid w:val="00C83902"/>
    <w:rsid w:val="00C83DE8"/>
    <w:rsid w:val="00C841B2"/>
    <w:rsid w:val="00C8465F"/>
    <w:rsid w:val="00C84A4E"/>
    <w:rsid w:val="00C84B88"/>
    <w:rsid w:val="00C856A8"/>
    <w:rsid w:val="00C86635"/>
    <w:rsid w:val="00C86642"/>
    <w:rsid w:val="00C87EE8"/>
    <w:rsid w:val="00C87FE3"/>
    <w:rsid w:val="00C9187C"/>
    <w:rsid w:val="00C918B5"/>
    <w:rsid w:val="00C91A5F"/>
    <w:rsid w:val="00C93BDF"/>
    <w:rsid w:val="00C94FEF"/>
    <w:rsid w:val="00C9529B"/>
    <w:rsid w:val="00C9570D"/>
    <w:rsid w:val="00C9646A"/>
    <w:rsid w:val="00C97AFB"/>
    <w:rsid w:val="00CA127F"/>
    <w:rsid w:val="00CA183C"/>
    <w:rsid w:val="00CA271F"/>
    <w:rsid w:val="00CA2A1C"/>
    <w:rsid w:val="00CA34A7"/>
    <w:rsid w:val="00CA45C8"/>
    <w:rsid w:val="00CA5992"/>
    <w:rsid w:val="00CA5C19"/>
    <w:rsid w:val="00CA7635"/>
    <w:rsid w:val="00CA7775"/>
    <w:rsid w:val="00CB0403"/>
    <w:rsid w:val="00CB1EED"/>
    <w:rsid w:val="00CB264F"/>
    <w:rsid w:val="00CB2E46"/>
    <w:rsid w:val="00CB3EA5"/>
    <w:rsid w:val="00CB60B9"/>
    <w:rsid w:val="00CB6B72"/>
    <w:rsid w:val="00CB7846"/>
    <w:rsid w:val="00CB7A33"/>
    <w:rsid w:val="00CB7CF8"/>
    <w:rsid w:val="00CC0209"/>
    <w:rsid w:val="00CC0382"/>
    <w:rsid w:val="00CC147F"/>
    <w:rsid w:val="00CC1771"/>
    <w:rsid w:val="00CC241D"/>
    <w:rsid w:val="00CC3352"/>
    <w:rsid w:val="00CC543B"/>
    <w:rsid w:val="00CC72F1"/>
    <w:rsid w:val="00CD074C"/>
    <w:rsid w:val="00CD07E9"/>
    <w:rsid w:val="00CD1270"/>
    <w:rsid w:val="00CD199E"/>
    <w:rsid w:val="00CD1A9B"/>
    <w:rsid w:val="00CD219F"/>
    <w:rsid w:val="00CD2D73"/>
    <w:rsid w:val="00CD55E7"/>
    <w:rsid w:val="00CD5895"/>
    <w:rsid w:val="00CD5E5E"/>
    <w:rsid w:val="00CD61BD"/>
    <w:rsid w:val="00CD61C5"/>
    <w:rsid w:val="00CD6574"/>
    <w:rsid w:val="00CD6C71"/>
    <w:rsid w:val="00CD7119"/>
    <w:rsid w:val="00CD77CD"/>
    <w:rsid w:val="00CE0894"/>
    <w:rsid w:val="00CE0BAB"/>
    <w:rsid w:val="00CE152D"/>
    <w:rsid w:val="00CE26B5"/>
    <w:rsid w:val="00CE3708"/>
    <w:rsid w:val="00CE3804"/>
    <w:rsid w:val="00CE38E5"/>
    <w:rsid w:val="00CE4BA0"/>
    <w:rsid w:val="00CE4DF1"/>
    <w:rsid w:val="00CE4E1E"/>
    <w:rsid w:val="00CE533C"/>
    <w:rsid w:val="00CE5C48"/>
    <w:rsid w:val="00CE5E87"/>
    <w:rsid w:val="00CE766D"/>
    <w:rsid w:val="00CF1C0D"/>
    <w:rsid w:val="00CF2FCC"/>
    <w:rsid w:val="00CF4D25"/>
    <w:rsid w:val="00CF5572"/>
    <w:rsid w:val="00CF62B7"/>
    <w:rsid w:val="00CF6514"/>
    <w:rsid w:val="00CF7092"/>
    <w:rsid w:val="00CF7496"/>
    <w:rsid w:val="00D01234"/>
    <w:rsid w:val="00D01819"/>
    <w:rsid w:val="00D01A8C"/>
    <w:rsid w:val="00D0376F"/>
    <w:rsid w:val="00D03965"/>
    <w:rsid w:val="00D043C9"/>
    <w:rsid w:val="00D05670"/>
    <w:rsid w:val="00D06DAC"/>
    <w:rsid w:val="00D06FCC"/>
    <w:rsid w:val="00D11C87"/>
    <w:rsid w:val="00D12157"/>
    <w:rsid w:val="00D12547"/>
    <w:rsid w:val="00D12924"/>
    <w:rsid w:val="00D12B8D"/>
    <w:rsid w:val="00D1315F"/>
    <w:rsid w:val="00D136F3"/>
    <w:rsid w:val="00D13A3E"/>
    <w:rsid w:val="00D14076"/>
    <w:rsid w:val="00D15019"/>
    <w:rsid w:val="00D15B78"/>
    <w:rsid w:val="00D16ED5"/>
    <w:rsid w:val="00D24054"/>
    <w:rsid w:val="00D256AF"/>
    <w:rsid w:val="00D256FB"/>
    <w:rsid w:val="00D25C0D"/>
    <w:rsid w:val="00D25CDE"/>
    <w:rsid w:val="00D2658F"/>
    <w:rsid w:val="00D27C0C"/>
    <w:rsid w:val="00D300DE"/>
    <w:rsid w:val="00D30344"/>
    <w:rsid w:val="00D30475"/>
    <w:rsid w:val="00D31076"/>
    <w:rsid w:val="00D311C5"/>
    <w:rsid w:val="00D316AB"/>
    <w:rsid w:val="00D31D63"/>
    <w:rsid w:val="00D31EF4"/>
    <w:rsid w:val="00D336B6"/>
    <w:rsid w:val="00D33A45"/>
    <w:rsid w:val="00D34AD5"/>
    <w:rsid w:val="00D34B0D"/>
    <w:rsid w:val="00D35351"/>
    <w:rsid w:val="00D360A0"/>
    <w:rsid w:val="00D36283"/>
    <w:rsid w:val="00D365DF"/>
    <w:rsid w:val="00D37CFA"/>
    <w:rsid w:val="00D37E83"/>
    <w:rsid w:val="00D40403"/>
    <w:rsid w:val="00D40C0C"/>
    <w:rsid w:val="00D40C2B"/>
    <w:rsid w:val="00D421C8"/>
    <w:rsid w:val="00D424CF"/>
    <w:rsid w:val="00D43D8E"/>
    <w:rsid w:val="00D43E53"/>
    <w:rsid w:val="00D448F3"/>
    <w:rsid w:val="00D45CAF"/>
    <w:rsid w:val="00D45E07"/>
    <w:rsid w:val="00D45FB2"/>
    <w:rsid w:val="00D46D52"/>
    <w:rsid w:val="00D50112"/>
    <w:rsid w:val="00D52792"/>
    <w:rsid w:val="00D528F7"/>
    <w:rsid w:val="00D52EB4"/>
    <w:rsid w:val="00D5311C"/>
    <w:rsid w:val="00D53294"/>
    <w:rsid w:val="00D53338"/>
    <w:rsid w:val="00D53DBC"/>
    <w:rsid w:val="00D56037"/>
    <w:rsid w:val="00D579CC"/>
    <w:rsid w:val="00D57C3E"/>
    <w:rsid w:val="00D60B4F"/>
    <w:rsid w:val="00D60C10"/>
    <w:rsid w:val="00D61683"/>
    <w:rsid w:val="00D62372"/>
    <w:rsid w:val="00D62C9E"/>
    <w:rsid w:val="00D63196"/>
    <w:rsid w:val="00D63698"/>
    <w:rsid w:val="00D6384A"/>
    <w:rsid w:val="00D64C94"/>
    <w:rsid w:val="00D668A9"/>
    <w:rsid w:val="00D678E5"/>
    <w:rsid w:val="00D70621"/>
    <w:rsid w:val="00D70ACA"/>
    <w:rsid w:val="00D715BB"/>
    <w:rsid w:val="00D71BD4"/>
    <w:rsid w:val="00D71E90"/>
    <w:rsid w:val="00D722A6"/>
    <w:rsid w:val="00D7314F"/>
    <w:rsid w:val="00D732F5"/>
    <w:rsid w:val="00D7411E"/>
    <w:rsid w:val="00D74B54"/>
    <w:rsid w:val="00D75C95"/>
    <w:rsid w:val="00D76032"/>
    <w:rsid w:val="00D76F6E"/>
    <w:rsid w:val="00D77C4F"/>
    <w:rsid w:val="00D8070E"/>
    <w:rsid w:val="00D81AA4"/>
    <w:rsid w:val="00D82321"/>
    <w:rsid w:val="00D83423"/>
    <w:rsid w:val="00D83455"/>
    <w:rsid w:val="00D83A81"/>
    <w:rsid w:val="00D83AE5"/>
    <w:rsid w:val="00D8452A"/>
    <w:rsid w:val="00D84B36"/>
    <w:rsid w:val="00D855D4"/>
    <w:rsid w:val="00D8564D"/>
    <w:rsid w:val="00D858F2"/>
    <w:rsid w:val="00D8614E"/>
    <w:rsid w:val="00D8669E"/>
    <w:rsid w:val="00D90316"/>
    <w:rsid w:val="00D92DBC"/>
    <w:rsid w:val="00D94061"/>
    <w:rsid w:val="00D9755C"/>
    <w:rsid w:val="00DA0497"/>
    <w:rsid w:val="00DA0BC7"/>
    <w:rsid w:val="00DA336F"/>
    <w:rsid w:val="00DA3669"/>
    <w:rsid w:val="00DA43A4"/>
    <w:rsid w:val="00DA5113"/>
    <w:rsid w:val="00DA5910"/>
    <w:rsid w:val="00DA668C"/>
    <w:rsid w:val="00DB3512"/>
    <w:rsid w:val="00DB4C6F"/>
    <w:rsid w:val="00DB5D7B"/>
    <w:rsid w:val="00DB6081"/>
    <w:rsid w:val="00DB6E42"/>
    <w:rsid w:val="00DB7576"/>
    <w:rsid w:val="00DB76BA"/>
    <w:rsid w:val="00DB77EA"/>
    <w:rsid w:val="00DB7811"/>
    <w:rsid w:val="00DC031E"/>
    <w:rsid w:val="00DC046B"/>
    <w:rsid w:val="00DC0FD3"/>
    <w:rsid w:val="00DC15FC"/>
    <w:rsid w:val="00DC23C6"/>
    <w:rsid w:val="00DC2E84"/>
    <w:rsid w:val="00DC4944"/>
    <w:rsid w:val="00DC5F10"/>
    <w:rsid w:val="00DC6230"/>
    <w:rsid w:val="00DC6488"/>
    <w:rsid w:val="00DD1607"/>
    <w:rsid w:val="00DD235E"/>
    <w:rsid w:val="00DD2836"/>
    <w:rsid w:val="00DD44CD"/>
    <w:rsid w:val="00DD4DC2"/>
    <w:rsid w:val="00DD56CF"/>
    <w:rsid w:val="00DD72E7"/>
    <w:rsid w:val="00DD7400"/>
    <w:rsid w:val="00DD7AB1"/>
    <w:rsid w:val="00DD7BE3"/>
    <w:rsid w:val="00DE047F"/>
    <w:rsid w:val="00DE07AF"/>
    <w:rsid w:val="00DE2A59"/>
    <w:rsid w:val="00DE32A1"/>
    <w:rsid w:val="00DE35B7"/>
    <w:rsid w:val="00DE4DDE"/>
    <w:rsid w:val="00DE68A4"/>
    <w:rsid w:val="00DE71D2"/>
    <w:rsid w:val="00DF04E9"/>
    <w:rsid w:val="00DF1291"/>
    <w:rsid w:val="00DF163E"/>
    <w:rsid w:val="00DF23BA"/>
    <w:rsid w:val="00DF2B11"/>
    <w:rsid w:val="00DF3A81"/>
    <w:rsid w:val="00DF4BA4"/>
    <w:rsid w:val="00DF50EB"/>
    <w:rsid w:val="00DF7B6E"/>
    <w:rsid w:val="00E00CF7"/>
    <w:rsid w:val="00E03203"/>
    <w:rsid w:val="00E04729"/>
    <w:rsid w:val="00E0482D"/>
    <w:rsid w:val="00E04FE3"/>
    <w:rsid w:val="00E10264"/>
    <w:rsid w:val="00E105F7"/>
    <w:rsid w:val="00E12324"/>
    <w:rsid w:val="00E12460"/>
    <w:rsid w:val="00E12859"/>
    <w:rsid w:val="00E12957"/>
    <w:rsid w:val="00E16660"/>
    <w:rsid w:val="00E1746D"/>
    <w:rsid w:val="00E218C1"/>
    <w:rsid w:val="00E2234C"/>
    <w:rsid w:val="00E23850"/>
    <w:rsid w:val="00E23DC4"/>
    <w:rsid w:val="00E2650A"/>
    <w:rsid w:val="00E26532"/>
    <w:rsid w:val="00E26B3C"/>
    <w:rsid w:val="00E26BF4"/>
    <w:rsid w:val="00E272C8"/>
    <w:rsid w:val="00E27579"/>
    <w:rsid w:val="00E27C54"/>
    <w:rsid w:val="00E30023"/>
    <w:rsid w:val="00E32321"/>
    <w:rsid w:val="00E329C0"/>
    <w:rsid w:val="00E32DE3"/>
    <w:rsid w:val="00E33998"/>
    <w:rsid w:val="00E33A3C"/>
    <w:rsid w:val="00E3450B"/>
    <w:rsid w:val="00E34596"/>
    <w:rsid w:val="00E353BE"/>
    <w:rsid w:val="00E370E3"/>
    <w:rsid w:val="00E37166"/>
    <w:rsid w:val="00E373FC"/>
    <w:rsid w:val="00E37861"/>
    <w:rsid w:val="00E4183A"/>
    <w:rsid w:val="00E41F66"/>
    <w:rsid w:val="00E42DD3"/>
    <w:rsid w:val="00E43B60"/>
    <w:rsid w:val="00E43B8E"/>
    <w:rsid w:val="00E469D6"/>
    <w:rsid w:val="00E46D07"/>
    <w:rsid w:val="00E470D6"/>
    <w:rsid w:val="00E47550"/>
    <w:rsid w:val="00E52A95"/>
    <w:rsid w:val="00E52AA6"/>
    <w:rsid w:val="00E52E55"/>
    <w:rsid w:val="00E5458B"/>
    <w:rsid w:val="00E54B17"/>
    <w:rsid w:val="00E5731D"/>
    <w:rsid w:val="00E57573"/>
    <w:rsid w:val="00E57C87"/>
    <w:rsid w:val="00E60292"/>
    <w:rsid w:val="00E60B12"/>
    <w:rsid w:val="00E6183E"/>
    <w:rsid w:val="00E61A3A"/>
    <w:rsid w:val="00E63DF9"/>
    <w:rsid w:val="00E64681"/>
    <w:rsid w:val="00E64880"/>
    <w:rsid w:val="00E64967"/>
    <w:rsid w:val="00E65570"/>
    <w:rsid w:val="00E6569D"/>
    <w:rsid w:val="00E666F7"/>
    <w:rsid w:val="00E667F2"/>
    <w:rsid w:val="00E67477"/>
    <w:rsid w:val="00E679BF"/>
    <w:rsid w:val="00E70462"/>
    <w:rsid w:val="00E7169D"/>
    <w:rsid w:val="00E73BA0"/>
    <w:rsid w:val="00E746FA"/>
    <w:rsid w:val="00E757A6"/>
    <w:rsid w:val="00E76117"/>
    <w:rsid w:val="00E76EA2"/>
    <w:rsid w:val="00E775B7"/>
    <w:rsid w:val="00E77F63"/>
    <w:rsid w:val="00E80F20"/>
    <w:rsid w:val="00E81231"/>
    <w:rsid w:val="00E81773"/>
    <w:rsid w:val="00E81C8C"/>
    <w:rsid w:val="00E830E0"/>
    <w:rsid w:val="00E83AE9"/>
    <w:rsid w:val="00E84B8F"/>
    <w:rsid w:val="00E85B2D"/>
    <w:rsid w:val="00E874FB"/>
    <w:rsid w:val="00E91D1F"/>
    <w:rsid w:val="00E940B4"/>
    <w:rsid w:val="00E94250"/>
    <w:rsid w:val="00E94732"/>
    <w:rsid w:val="00E950CF"/>
    <w:rsid w:val="00E95732"/>
    <w:rsid w:val="00E95CEC"/>
    <w:rsid w:val="00E95E76"/>
    <w:rsid w:val="00E97563"/>
    <w:rsid w:val="00E9799E"/>
    <w:rsid w:val="00E97B95"/>
    <w:rsid w:val="00E97BB6"/>
    <w:rsid w:val="00EA0CA9"/>
    <w:rsid w:val="00EA28F9"/>
    <w:rsid w:val="00EA6ACA"/>
    <w:rsid w:val="00EB0CF0"/>
    <w:rsid w:val="00EB14B3"/>
    <w:rsid w:val="00EB22F5"/>
    <w:rsid w:val="00EB3825"/>
    <w:rsid w:val="00EB466E"/>
    <w:rsid w:val="00EB4E16"/>
    <w:rsid w:val="00EB59D3"/>
    <w:rsid w:val="00EB640C"/>
    <w:rsid w:val="00EB6A9C"/>
    <w:rsid w:val="00EB79C0"/>
    <w:rsid w:val="00EB7B6D"/>
    <w:rsid w:val="00EB7BC8"/>
    <w:rsid w:val="00EC0408"/>
    <w:rsid w:val="00EC099F"/>
    <w:rsid w:val="00EC109A"/>
    <w:rsid w:val="00EC1574"/>
    <w:rsid w:val="00EC2511"/>
    <w:rsid w:val="00EC2B93"/>
    <w:rsid w:val="00EC39E1"/>
    <w:rsid w:val="00EC3CBF"/>
    <w:rsid w:val="00EC3E1D"/>
    <w:rsid w:val="00EC50FA"/>
    <w:rsid w:val="00EC51C3"/>
    <w:rsid w:val="00EC6023"/>
    <w:rsid w:val="00EC7329"/>
    <w:rsid w:val="00ED0C15"/>
    <w:rsid w:val="00ED121F"/>
    <w:rsid w:val="00ED1516"/>
    <w:rsid w:val="00ED2614"/>
    <w:rsid w:val="00ED45A7"/>
    <w:rsid w:val="00ED52A9"/>
    <w:rsid w:val="00EE0E97"/>
    <w:rsid w:val="00EE17E0"/>
    <w:rsid w:val="00EE1B1E"/>
    <w:rsid w:val="00EE24F5"/>
    <w:rsid w:val="00EE2B68"/>
    <w:rsid w:val="00EE353C"/>
    <w:rsid w:val="00EE38C4"/>
    <w:rsid w:val="00EE3EF9"/>
    <w:rsid w:val="00EE4925"/>
    <w:rsid w:val="00EF1072"/>
    <w:rsid w:val="00EF12DB"/>
    <w:rsid w:val="00EF1304"/>
    <w:rsid w:val="00EF1592"/>
    <w:rsid w:val="00EF188B"/>
    <w:rsid w:val="00EF1F76"/>
    <w:rsid w:val="00EF2ECB"/>
    <w:rsid w:val="00EF380B"/>
    <w:rsid w:val="00EF40B0"/>
    <w:rsid w:val="00EF5959"/>
    <w:rsid w:val="00EF629D"/>
    <w:rsid w:val="00EF7CC5"/>
    <w:rsid w:val="00F00571"/>
    <w:rsid w:val="00F01113"/>
    <w:rsid w:val="00F01EB8"/>
    <w:rsid w:val="00F02FBF"/>
    <w:rsid w:val="00F04022"/>
    <w:rsid w:val="00F04A0B"/>
    <w:rsid w:val="00F05B5A"/>
    <w:rsid w:val="00F064C3"/>
    <w:rsid w:val="00F06AFE"/>
    <w:rsid w:val="00F1356D"/>
    <w:rsid w:val="00F1365B"/>
    <w:rsid w:val="00F13804"/>
    <w:rsid w:val="00F14898"/>
    <w:rsid w:val="00F15306"/>
    <w:rsid w:val="00F15831"/>
    <w:rsid w:val="00F15E98"/>
    <w:rsid w:val="00F165EB"/>
    <w:rsid w:val="00F16984"/>
    <w:rsid w:val="00F1727C"/>
    <w:rsid w:val="00F179D4"/>
    <w:rsid w:val="00F17F81"/>
    <w:rsid w:val="00F2107F"/>
    <w:rsid w:val="00F22031"/>
    <w:rsid w:val="00F22FCB"/>
    <w:rsid w:val="00F232D5"/>
    <w:rsid w:val="00F233B2"/>
    <w:rsid w:val="00F2406E"/>
    <w:rsid w:val="00F25923"/>
    <w:rsid w:val="00F2790A"/>
    <w:rsid w:val="00F27B0A"/>
    <w:rsid w:val="00F321C8"/>
    <w:rsid w:val="00F32EDB"/>
    <w:rsid w:val="00F3312F"/>
    <w:rsid w:val="00F3393A"/>
    <w:rsid w:val="00F34018"/>
    <w:rsid w:val="00F346A2"/>
    <w:rsid w:val="00F359DD"/>
    <w:rsid w:val="00F408B0"/>
    <w:rsid w:val="00F4230E"/>
    <w:rsid w:val="00F42B84"/>
    <w:rsid w:val="00F42D76"/>
    <w:rsid w:val="00F43EE1"/>
    <w:rsid w:val="00F446A4"/>
    <w:rsid w:val="00F44991"/>
    <w:rsid w:val="00F46404"/>
    <w:rsid w:val="00F468F7"/>
    <w:rsid w:val="00F46BEC"/>
    <w:rsid w:val="00F46C92"/>
    <w:rsid w:val="00F47A24"/>
    <w:rsid w:val="00F50B91"/>
    <w:rsid w:val="00F514BB"/>
    <w:rsid w:val="00F51B2E"/>
    <w:rsid w:val="00F52286"/>
    <w:rsid w:val="00F525B8"/>
    <w:rsid w:val="00F53679"/>
    <w:rsid w:val="00F53834"/>
    <w:rsid w:val="00F5461F"/>
    <w:rsid w:val="00F55171"/>
    <w:rsid w:val="00F558BE"/>
    <w:rsid w:val="00F573D0"/>
    <w:rsid w:val="00F57896"/>
    <w:rsid w:val="00F60857"/>
    <w:rsid w:val="00F60A55"/>
    <w:rsid w:val="00F610F3"/>
    <w:rsid w:val="00F61EDF"/>
    <w:rsid w:val="00F61F3D"/>
    <w:rsid w:val="00F64859"/>
    <w:rsid w:val="00F65672"/>
    <w:rsid w:val="00F66843"/>
    <w:rsid w:val="00F6705C"/>
    <w:rsid w:val="00F749A2"/>
    <w:rsid w:val="00F74B73"/>
    <w:rsid w:val="00F74FBE"/>
    <w:rsid w:val="00F75146"/>
    <w:rsid w:val="00F75FED"/>
    <w:rsid w:val="00F77824"/>
    <w:rsid w:val="00F77F06"/>
    <w:rsid w:val="00F80130"/>
    <w:rsid w:val="00F80A61"/>
    <w:rsid w:val="00F80D26"/>
    <w:rsid w:val="00F80F43"/>
    <w:rsid w:val="00F81A66"/>
    <w:rsid w:val="00F83D34"/>
    <w:rsid w:val="00F83F82"/>
    <w:rsid w:val="00F853F8"/>
    <w:rsid w:val="00F85EF3"/>
    <w:rsid w:val="00F864DC"/>
    <w:rsid w:val="00F87FB0"/>
    <w:rsid w:val="00F910E3"/>
    <w:rsid w:val="00F91935"/>
    <w:rsid w:val="00F934AC"/>
    <w:rsid w:val="00F93A7E"/>
    <w:rsid w:val="00F93AC8"/>
    <w:rsid w:val="00F94704"/>
    <w:rsid w:val="00F9524B"/>
    <w:rsid w:val="00F96106"/>
    <w:rsid w:val="00F96F7E"/>
    <w:rsid w:val="00F97BA6"/>
    <w:rsid w:val="00FA0433"/>
    <w:rsid w:val="00FA0B7F"/>
    <w:rsid w:val="00FA1C99"/>
    <w:rsid w:val="00FA290B"/>
    <w:rsid w:val="00FA3025"/>
    <w:rsid w:val="00FA3F42"/>
    <w:rsid w:val="00FA45E5"/>
    <w:rsid w:val="00FA49A6"/>
    <w:rsid w:val="00FA5182"/>
    <w:rsid w:val="00FA6D0E"/>
    <w:rsid w:val="00FA6E91"/>
    <w:rsid w:val="00FA706B"/>
    <w:rsid w:val="00FA70E6"/>
    <w:rsid w:val="00FA735E"/>
    <w:rsid w:val="00FA76FB"/>
    <w:rsid w:val="00FA7AD4"/>
    <w:rsid w:val="00FB16D2"/>
    <w:rsid w:val="00FB2F07"/>
    <w:rsid w:val="00FB2F33"/>
    <w:rsid w:val="00FB3077"/>
    <w:rsid w:val="00FB3A62"/>
    <w:rsid w:val="00FB3A6F"/>
    <w:rsid w:val="00FB3C7D"/>
    <w:rsid w:val="00FB4136"/>
    <w:rsid w:val="00FB4BB8"/>
    <w:rsid w:val="00FB4DFE"/>
    <w:rsid w:val="00FB4F2A"/>
    <w:rsid w:val="00FB6BDF"/>
    <w:rsid w:val="00FC14A9"/>
    <w:rsid w:val="00FC2AED"/>
    <w:rsid w:val="00FC3BDD"/>
    <w:rsid w:val="00FC5699"/>
    <w:rsid w:val="00FC5A21"/>
    <w:rsid w:val="00FC6A28"/>
    <w:rsid w:val="00FC6DBB"/>
    <w:rsid w:val="00FC731B"/>
    <w:rsid w:val="00FC73A9"/>
    <w:rsid w:val="00FC7B43"/>
    <w:rsid w:val="00FD220F"/>
    <w:rsid w:val="00FD251B"/>
    <w:rsid w:val="00FD260D"/>
    <w:rsid w:val="00FD2C05"/>
    <w:rsid w:val="00FD5648"/>
    <w:rsid w:val="00FE0357"/>
    <w:rsid w:val="00FE0949"/>
    <w:rsid w:val="00FE13C9"/>
    <w:rsid w:val="00FE1474"/>
    <w:rsid w:val="00FE16DA"/>
    <w:rsid w:val="00FE2960"/>
    <w:rsid w:val="00FE32A0"/>
    <w:rsid w:val="00FE365C"/>
    <w:rsid w:val="00FE3B5A"/>
    <w:rsid w:val="00FE4467"/>
    <w:rsid w:val="00FE56BC"/>
    <w:rsid w:val="00FE5757"/>
    <w:rsid w:val="00FE714D"/>
    <w:rsid w:val="00FF4435"/>
    <w:rsid w:val="00FF5AD9"/>
    <w:rsid w:val="00FF6E6B"/>
    <w:rsid w:val="00FF7307"/>
    <w:rsid w:val="00FF7586"/>
    <w:rsid w:val="00FF7A8C"/>
    <w:rsid w:val="00FF7BE5"/>
    <w:rsid w:val="08CA6C4E"/>
    <w:rsid w:val="0A3D79F2"/>
    <w:rsid w:val="0A631D36"/>
    <w:rsid w:val="10FD19B4"/>
    <w:rsid w:val="12F2108B"/>
    <w:rsid w:val="14944CAF"/>
    <w:rsid w:val="15AE1AD4"/>
    <w:rsid w:val="15C3052D"/>
    <w:rsid w:val="16906134"/>
    <w:rsid w:val="19A80F06"/>
    <w:rsid w:val="1D9F012B"/>
    <w:rsid w:val="1DF22416"/>
    <w:rsid w:val="25607EA7"/>
    <w:rsid w:val="25D552EF"/>
    <w:rsid w:val="2A763FE9"/>
    <w:rsid w:val="2E574C50"/>
    <w:rsid w:val="35E65CF9"/>
    <w:rsid w:val="368D339F"/>
    <w:rsid w:val="3D831F17"/>
    <w:rsid w:val="41437FEE"/>
    <w:rsid w:val="44ED01FE"/>
    <w:rsid w:val="46555ED4"/>
    <w:rsid w:val="466E574D"/>
    <w:rsid w:val="480F4CD9"/>
    <w:rsid w:val="4A66352A"/>
    <w:rsid w:val="50C45942"/>
    <w:rsid w:val="552F0C6C"/>
    <w:rsid w:val="572C1464"/>
    <w:rsid w:val="5D84118F"/>
    <w:rsid w:val="5F172BEC"/>
    <w:rsid w:val="604E0686"/>
    <w:rsid w:val="605E27B2"/>
    <w:rsid w:val="63AF3661"/>
    <w:rsid w:val="653D7E5F"/>
    <w:rsid w:val="664960CF"/>
    <w:rsid w:val="687C76DA"/>
    <w:rsid w:val="69117DAB"/>
    <w:rsid w:val="698C2568"/>
    <w:rsid w:val="6AB8182E"/>
    <w:rsid w:val="6C5E0C9B"/>
    <w:rsid w:val="6F48354A"/>
    <w:rsid w:val="70956731"/>
    <w:rsid w:val="714A74CE"/>
    <w:rsid w:val="777A289C"/>
    <w:rsid w:val="794F58F2"/>
    <w:rsid w:val="798555F8"/>
    <w:rsid w:val="7A4D4102"/>
    <w:rsid w:val="7BB9764C"/>
    <w:rsid w:val="7F6853BE"/>
    <w:rsid w:val="7F9E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qFormat/>
    <w:uiPriority w:val="0"/>
    <w:pPr>
      <w:keepNext/>
      <w:keepLines/>
      <w:snapToGrid w:val="0"/>
      <w:spacing w:before="120"/>
      <w:outlineLvl w:val="2"/>
    </w:pPr>
    <w:rPr>
      <w:b/>
      <w:sz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6"/>
    <w:qFormat/>
    <w:uiPriority w:val="0"/>
    <w:pPr>
      <w:ind w:firstLine="420"/>
    </w:pPr>
  </w:style>
  <w:style w:type="paragraph" w:styleId="7">
    <w:name w:val="caption"/>
    <w:basedOn w:val="1"/>
    <w:next w:val="1"/>
    <w:link w:val="59"/>
    <w:qFormat/>
    <w:uiPriority w:val="0"/>
    <w:pPr>
      <w:jc w:val="center"/>
    </w:pPr>
    <w:rPr>
      <w:rFonts w:ascii="宋体" w:hAnsi="Courier New"/>
      <w:szCs w:val="21"/>
    </w:rPr>
  </w:style>
  <w:style w:type="paragraph" w:styleId="8">
    <w:name w:val="Document Map"/>
    <w:basedOn w:val="1"/>
    <w:semiHidden/>
    <w:qFormat/>
    <w:uiPriority w:val="0"/>
    <w:pPr>
      <w:shd w:val="clear" w:color="auto" w:fill="000080"/>
    </w:pPr>
  </w:style>
  <w:style w:type="paragraph" w:styleId="9">
    <w:name w:val="toa heading"/>
    <w:basedOn w:val="1"/>
    <w:next w:val="1"/>
    <w:qFormat/>
    <w:uiPriority w:val="0"/>
    <w:pPr>
      <w:adjustRightInd w:val="0"/>
      <w:snapToGrid w:val="0"/>
      <w:spacing w:before="120" w:line="312" w:lineRule="auto"/>
    </w:pPr>
    <w:rPr>
      <w:rFonts w:ascii="Arial" w:hAnsi="Arial" w:cs="Arial"/>
      <w:sz w:val="24"/>
      <w:szCs w:val="24"/>
    </w:rPr>
  </w:style>
  <w:style w:type="paragraph" w:styleId="10">
    <w:name w:val="annotation text"/>
    <w:basedOn w:val="1"/>
    <w:link w:val="66"/>
    <w:qFormat/>
    <w:uiPriority w:val="0"/>
    <w:pPr>
      <w:jc w:val="left"/>
    </w:pPr>
  </w:style>
  <w:style w:type="paragraph" w:styleId="11">
    <w:name w:val="Body Text 3"/>
    <w:basedOn w:val="1"/>
    <w:qFormat/>
    <w:uiPriority w:val="0"/>
    <w:rPr>
      <w:sz w:val="24"/>
    </w:rPr>
  </w:style>
  <w:style w:type="paragraph" w:styleId="12">
    <w:name w:val="Body Text"/>
    <w:basedOn w:val="1"/>
    <w:link w:val="226"/>
    <w:qFormat/>
    <w:uiPriority w:val="99"/>
    <w:pPr>
      <w:spacing w:after="120"/>
    </w:pPr>
  </w:style>
  <w:style w:type="paragraph" w:styleId="13">
    <w:name w:val="Body Text Indent"/>
    <w:basedOn w:val="1"/>
    <w:qFormat/>
    <w:uiPriority w:val="0"/>
    <w:pPr>
      <w:autoSpaceDE w:val="0"/>
      <w:autoSpaceDN w:val="0"/>
      <w:adjustRightInd w:val="0"/>
      <w:spacing w:line="360" w:lineRule="auto"/>
      <w:ind w:firstLine="480" w:firstLineChars="200"/>
    </w:pPr>
    <w:rPr>
      <w:rFonts w:ascii="宋体" w:hAnsi="宋体"/>
      <w:kern w:val="0"/>
      <w:sz w:val="24"/>
      <w:szCs w:val="21"/>
    </w:rPr>
  </w:style>
  <w:style w:type="paragraph" w:styleId="14">
    <w:name w:val="Block Text"/>
    <w:basedOn w:val="1"/>
    <w:qFormat/>
    <w:uiPriority w:val="0"/>
    <w:pPr>
      <w:spacing w:line="360" w:lineRule="exact"/>
      <w:ind w:left="105" w:leftChars="50" w:right="105" w:rightChars="50"/>
    </w:pPr>
    <w:rPr>
      <w:sz w:val="24"/>
      <w:szCs w:val="24"/>
    </w:rPr>
  </w:style>
  <w:style w:type="paragraph" w:styleId="15">
    <w:name w:val="toc 3"/>
    <w:basedOn w:val="1"/>
    <w:next w:val="1"/>
    <w:qFormat/>
    <w:uiPriority w:val="0"/>
    <w:pPr>
      <w:ind w:left="840"/>
    </w:pPr>
    <w:rPr>
      <w:szCs w:val="24"/>
    </w:rPr>
  </w:style>
  <w:style w:type="paragraph" w:styleId="16">
    <w:name w:val="Plain Text"/>
    <w:basedOn w:val="1"/>
    <w:link w:val="56"/>
    <w:qFormat/>
    <w:uiPriority w:val="0"/>
    <w:rPr>
      <w:rFonts w:ascii="宋体" w:hAnsi="Courier New" w:cs="Courier New"/>
      <w:szCs w:val="21"/>
    </w:rPr>
  </w:style>
  <w:style w:type="paragraph" w:styleId="17">
    <w:name w:val="toc 8"/>
    <w:basedOn w:val="1"/>
    <w:next w:val="1"/>
    <w:qFormat/>
    <w:uiPriority w:val="0"/>
    <w:pPr>
      <w:ind w:left="2940" w:leftChars="1400"/>
    </w:pPr>
    <w:rPr>
      <w:szCs w:val="24"/>
    </w:rPr>
  </w:style>
  <w:style w:type="paragraph" w:styleId="18">
    <w:name w:val="Date"/>
    <w:basedOn w:val="1"/>
    <w:next w:val="1"/>
    <w:qFormat/>
    <w:uiPriority w:val="0"/>
    <w:rPr>
      <w:sz w:val="28"/>
    </w:rPr>
  </w:style>
  <w:style w:type="paragraph" w:styleId="19">
    <w:name w:val="Body Text Indent 2"/>
    <w:basedOn w:val="1"/>
    <w:link w:val="52"/>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snapToGrid w:val="0"/>
      <w:spacing w:line="360" w:lineRule="auto"/>
    </w:pPr>
    <w:rPr>
      <w:rFonts w:ascii="黑体" w:eastAsia="黑体"/>
      <w:bCs/>
      <w:sz w:val="28"/>
      <w:szCs w:val="24"/>
    </w:rPr>
  </w:style>
  <w:style w:type="paragraph" w:styleId="24">
    <w:name w:val="toc 6"/>
    <w:basedOn w:val="1"/>
    <w:next w:val="1"/>
    <w:qFormat/>
    <w:uiPriority w:val="0"/>
    <w:pPr>
      <w:ind w:left="2100" w:leftChars="1000"/>
    </w:pPr>
    <w:rPr>
      <w:szCs w:val="24"/>
    </w:rPr>
  </w:style>
  <w:style w:type="paragraph" w:styleId="25">
    <w:name w:val="Body Text Indent 3"/>
    <w:basedOn w:val="1"/>
    <w:qFormat/>
    <w:uiPriority w:val="0"/>
    <w:pPr>
      <w:ind w:firstLine="560" w:firstLineChars="200"/>
    </w:pPr>
    <w:rPr>
      <w:rFonts w:ascii="宋体" w:hAnsi="宋体"/>
      <w:color w:val="000000"/>
      <w:sz w:val="28"/>
      <w:szCs w:val="24"/>
    </w:rPr>
  </w:style>
  <w:style w:type="paragraph" w:styleId="26">
    <w:name w:val="toc 2"/>
    <w:basedOn w:val="1"/>
    <w:next w:val="1"/>
    <w:qFormat/>
    <w:uiPriority w:val="0"/>
    <w:pPr>
      <w:snapToGrid w:val="0"/>
      <w:spacing w:line="360" w:lineRule="auto"/>
      <w:ind w:left="200" w:leftChars="200"/>
    </w:pPr>
    <w:rPr>
      <w:sz w:val="28"/>
      <w:szCs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8">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29">
    <w:name w:val="annotation subject"/>
    <w:basedOn w:val="10"/>
    <w:next w:val="10"/>
    <w:link w:val="54"/>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Hyperlink"/>
    <w:qFormat/>
    <w:uiPriority w:val="0"/>
    <w:rPr>
      <w:color w:val="000000"/>
      <w:u w:val="none"/>
    </w:rPr>
  </w:style>
  <w:style w:type="character" w:styleId="36">
    <w:name w:val="annotation reference"/>
    <w:qFormat/>
    <w:uiPriority w:val="0"/>
    <w:rPr>
      <w:sz w:val="21"/>
      <w:szCs w:val="21"/>
    </w:rPr>
  </w:style>
  <w:style w:type="character" w:customStyle="1" w:styleId="37">
    <w:name w:val="标题 3 Char Char"/>
    <w:qFormat/>
    <w:uiPriority w:val="0"/>
    <w:rPr>
      <w:rFonts w:eastAsia="宋体"/>
      <w:b/>
      <w:bCs/>
      <w:kern w:val="2"/>
      <w:sz w:val="32"/>
      <w:szCs w:val="32"/>
      <w:lang w:val="en-US" w:eastAsia="zh-CN" w:bidi="ar-SA"/>
    </w:rPr>
  </w:style>
  <w:style w:type="character" w:customStyle="1" w:styleId="38">
    <w:name w:val="zy"/>
    <w:basedOn w:val="32"/>
    <w:qFormat/>
    <w:uiPriority w:val="0"/>
  </w:style>
  <w:style w:type="character" w:customStyle="1" w:styleId="39">
    <w:name w:val="正文首行缩进 2 + Times New Roman Char"/>
    <w:link w:val="40"/>
    <w:qFormat/>
    <w:uiPriority w:val="0"/>
    <w:rPr>
      <w:rFonts w:eastAsia="宋体"/>
      <w:sz w:val="24"/>
      <w:szCs w:val="24"/>
      <w:lang w:val="en-US" w:eastAsia="zh-CN" w:bidi="ar-SA"/>
    </w:rPr>
  </w:style>
  <w:style w:type="paragraph" w:customStyle="1" w:styleId="40">
    <w:name w:val="正文首行缩进 2 + Times New Roman"/>
    <w:basedOn w:val="1"/>
    <w:link w:val="39"/>
    <w:qFormat/>
    <w:uiPriority w:val="0"/>
    <w:pPr>
      <w:tabs>
        <w:tab w:val="left" w:pos="0"/>
        <w:tab w:val="left" w:pos="870"/>
        <w:tab w:val="left" w:pos="3150"/>
      </w:tabs>
      <w:autoSpaceDE w:val="0"/>
      <w:autoSpaceDN w:val="0"/>
      <w:adjustRightInd w:val="0"/>
      <w:snapToGrid w:val="0"/>
      <w:spacing w:line="360" w:lineRule="auto"/>
    </w:pPr>
    <w:rPr>
      <w:kern w:val="0"/>
      <w:sz w:val="24"/>
      <w:szCs w:val="24"/>
    </w:rPr>
  </w:style>
  <w:style w:type="character" w:customStyle="1" w:styleId="41">
    <w:name w:val="君邦正文 Char2"/>
    <w:link w:val="42"/>
    <w:qFormat/>
    <w:uiPriority w:val="0"/>
    <w:rPr>
      <w:bCs/>
      <w:snapToGrid w:val="0"/>
      <w:sz w:val="24"/>
      <w:lang w:val="en-US" w:eastAsia="zh-CN" w:bidi="ar-SA"/>
    </w:rPr>
  </w:style>
  <w:style w:type="paragraph" w:customStyle="1" w:styleId="42">
    <w:name w:val="君邦正文"/>
    <w:link w:val="41"/>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character" w:customStyle="1" w:styleId="43">
    <w:name w:val="apple-converted-space"/>
    <w:basedOn w:val="32"/>
    <w:qFormat/>
    <w:uiPriority w:val="0"/>
  </w:style>
  <w:style w:type="character" w:customStyle="1" w:styleId="44">
    <w:name w:val="报告正文 Char"/>
    <w:link w:val="45"/>
    <w:qFormat/>
    <w:uiPriority w:val="0"/>
    <w:rPr>
      <w:rFonts w:ascii="宋体" w:hAnsi="宋体"/>
      <w:kern w:val="2"/>
      <w:sz w:val="28"/>
      <w:szCs w:val="28"/>
    </w:rPr>
  </w:style>
  <w:style w:type="paragraph" w:customStyle="1" w:styleId="45">
    <w:name w:val="报告正文"/>
    <w:basedOn w:val="16"/>
    <w:link w:val="44"/>
    <w:qFormat/>
    <w:uiPriority w:val="0"/>
    <w:pPr>
      <w:spacing w:line="600" w:lineRule="exact"/>
      <w:ind w:firstLine="567"/>
    </w:pPr>
    <w:rPr>
      <w:rFonts w:hAnsi="宋体" w:cs="Times New Roman"/>
      <w:sz w:val="28"/>
      <w:szCs w:val="28"/>
    </w:rPr>
  </w:style>
  <w:style w:type="character" w:customStyle="1" w:styleId="46">
    <w:name w:val="正文缩进 Char"/>
    <w:link w:val="5"/>
    <w:qFormat/>
    <w:uiPriority w:val="0"/>
    <w:rPr>
      <w:rFonts w:eastAsia="宋体"/>
      <w:kern w:val="2"/>
      <w:sz w:val="21"/>
      <w:lang w:val="en-US" w:eastAsia="zh-CN" w:bidi="ar-SA"/>
    </w:rPr>
  </w:style>
  <w:style w:type="character" w:customStyle="1" w:styleId="47">
    <w:name w:val="表内格式 Char1"/>
    <w:link w:val="48"/>
    <w:qFormat/>
    <w:uiPriority w:val="0"/>
    <w:rPr>
      <w:rFonts w:eastAsia="宋体"/>
      <w:kern w:val="2"/>
      <w:sz w:val="18"/>
      <w:lang w:val="en-US" w:eastAsia="zh-CN" w:bidi="ar-SA"/>
    </w:rPr>
  </w:style>
  <w:style w:type="paragraph" w:customStyle="1" w:styleId="48">
    <w:name w:val="表内格式"/>
    <w:basedOn w:val="1"/>
    <w:link w:val="47"/>
    <w:qFormat/>
    <w:uiPriority w:val="0"/>
    <w:pPr>
      <w:jc w:val="center"/>
    </w:pPr>
    <w:rPr>
      <w:sz w:val="18"/>
    </w:rPr>
  </w:style>
  <w:style w:type="character" w:customStyle="1" w:styleId="49">
    <w:name w:val="可研正文 Char Char Char"/>
    <w:qFormat/>
    <w:uiPriority w:val="0"/>
    <w:rPr>
      <w:rFonts w:ascii="宋体" w:eastAsia="宋体"/>
      <w:kern w:val="2"/>
      <w:sz w:val="28"/>
      <w:szCs w:val="24"/>
      <w:lang w:val="en-US" w:eastAsia="zh-CN" w:bidi="ar-SA"/>
    </w:rPr>
  </w:style>
  <w:style w:type="character" w:customStyle="1" w:styleId="50">
    <w:name w:val="表1 Char"/>
    <w:qFormat/>
    <w:uiPriority w:val="0"/>
    <w:rPr>
      <w:rFonts w:eastAsia="黑体"/>
      <w:color w:val="000000"/>
      <w:spacing w:val="10"/>
      <w:kern w:val="2"/>
      <w:sz w:val="24"/>
      <w:szCs w:val="21"/>
      <w:lang w:val="en-US" w:eastAsia="zh-CN" w:bidi="ar-SA"/>
    </w:rPr>
  </w:style>
  <w:style w:type="character" w:customStyle="1" w:styleId="51">
    <w:name w:val="body21"/>
    <w:qFormat/>
    <w:uiPriority w:val="0"/>
    <w:rPr>
      <w:rFonts w:hint="eastAsia" w:ascii="宋体" w:hAnsi="宋体" w:eastAsia="宋体"/>
      <w:color w:val="006666"/>
      <w:sz w:val="27"/>
      <w:szCs w:val="27"/>
    </w:rPr>
  </w:style>
  <w:style w:type="character" w:customStyle="1" w:styleId="52">
    <w:name w:val="正文文本缩进 2 Char"/>
    <w:link w:val="19"/>
    <w:qFormat/>
    <w:uiPriority w:val="0"/>
    <w:rPr>
      <w:rFonts w:eastAsia="宋体"/>
      <w:kern w:val="2"/>
      <w:sz w:val="21"/>
      <w:lang w:val="en-US" w:eastAsia="zh-CN" w:bidi="ar-SA"/>
    </w:rPr>
  </w:style>
  <w:style w:type="character" w:customStyle="1" w:styleId="53">
    <w:name w:val="yuedu1"/>
    <w:qFormat/>
    <w:uiPriority w:val="0"/>
    <w:rPr>
      <w:rFonts w:hint="default"/>
      <w:color w:val="000000"/>
      <w:sz w:val="21"/>
      <w:szCs w:val="21"/>
    </w:rPr>
  </w:style>
  <w:style w:type="character" w:customStyle="1" w:styleId="54">
    <w:name w:val="批注主题 Char"/>
    <w:link w:val="29"/>
    <w:uiPriority w:val="0"/>
    <w:rPr>
      <w:b/>
      <w:bCs/>
      <w:kern w:val="2"/>
      <w:sz w:val="21"/>
    </w:rPr>
  </w:style>
  <w:style w:type="character" w:customStyle="1" w:styleId="55">
    <w:name w:val="报告正文 Char Char"/>
    <w:uiPriority w:val="0"/>
    <w:rPr>
      <w:rFonts w:ascii="宋体" w:hAnsi="宋体" w:eastAsia="宋体"/>
      <w:kern w:val="2"/>
      <w:sz w:val="28"/>
      <w:szCs w:val="28"/>
      <w:lang w:val="en-US" w:eastAsia="zh-CN" w:bidi="ar-SA"/>
    </w:rPr>
  </w:style>
  <w:style w:type="character" w:customStyle="1" w:styleId="56">
    <w:name w:val="纯文本 Char"/>
    <w:link w:val="16"/>
    <w:uiPriority w:val="0"/>
    <w:rPr>
      <w:rFonts w:ascii="宋体" w:hAnsi="Courier New" w:eastAsia="宋体" w:cs="Courier New"/>
      <w:kern w:val="2"/>
      <w:sz w:val="21"/>
      <w:szCs w:val="21"/>
      <w:lang w:val="en-US" w:eastAsia="zh-CN" w:bidi="ar-SA"/>
    </w:rPr>
  </w:style>
  <w:style w:type="character" w:customStyle="1" w:styleId="57">
    <w:name w:val="正文－1.5行距－段后6磅 Char"/>
    <w:link w:val="58"/>
    <w:qFormat/>
    <w:uiPriority w:val="0"/>
    <w:rPr>
      <w:rFonts w:ascii="Calibri" w:hAnsi="Calibri" w:eastAsia="宋体"/>
      <w:kern w:val="2"/>
      <w:sz w:val="24"/>
      <w:szCs w:val="21"/>
      <w:lang w:val="en-US" w:eastAsia="zh-CN" w:bidi="ar-SA"/>
    </w:rPr>
  </w:style>
  <w:style w:type="paragraph" w:customStyle="1" w:styleId="58">
    <w:name w:val="正文－1.5行距－段后6磅"/>
    <w:basedOn w:val="1"/>
    <w:link w:val="57"/>
    <w:qFormat/>
    <w:uiPriority w:val="0"/>
    <w:pPr>
      <w:spacing w:after="120" w:line="360" w:lineRule="auto"/>
      <w:ind w:firstLine="200" w:firstLineChars="200"/>
    </w:pPr>
    <w:rPr>
      <w:rFonts w:ascii="Calibri" w:hAnsi="Calibri"/>
      <w:sz w:val="24"/>
      <w:szCs w:val="21"/>
    </w:rPr>
  </w:style>
  <w:style w:type="character" w:customStyle="1" w:styleId="59">
    <w:name w:val="题注 Char"/>
    <w:link w:val="7"/>
    <w:qFormat/>
    <w:uiPriority w:val="0"/>
    <w:rPr>
      <w:rFonts w:ascii="宋体" w:hAnsi="Courier New" w:cs="Courier New"/>
      <w:kern w:val="2"/>
      <w:sz w:val="21"/>
      <w:szCs w:val="21"/>
    </w:rPr>
  </w:style>
  <w:style w:type="character" w:customStyle="1" w:styleId="60">
    <w:name w:val="正文文本－5号字 Char"/>
    <w:link w:val="61"/>
    <w:qFormat/>
    <w:uiPriority w:val="0"/>
    <w:rPr>
      <w:rFonts w:eastAsia="宋体"/>
      <w:kern w:val="2"/>
      <w:sz w:val="24"/>
      <w:lang w:val="en-US" w:eastAsia="zh-CN" w:bidi="ar-SA"/>
    </w:rPr>
  </w:style>
  <w:style w:type="paragraph" w:customStyle="1" w:styleId="61">
    <w:name w:val="正文文本－5号字"/>
    <w:basedOn w:val="12"/>
    <w:link w:val="60"/>
    <w:uiPriority w:val="0"/>
    <w:pPr>
      <w:spacing w:before="78" w:after="0" w:line="480" w:lineRule="exact"/>
      <w:ind w:firstLine="480" w:firstLineChars="200"/>
    </w:pPr>
    <w:rPr>
      <w:sz w:val="24"/>
    </w:rPr>
  </w:style>
  <w:style w:type="character" w:customStyle="1" w:styleId="62">
    <w:name w:val="表格文字2 Char"/>
    <w:link w:val="63"/>
    <w:qFormat/>
    <w:uiPriority w:val="0"/>
    <w:rPr>
      <w:rFonts w:ascii="宋体" w:eastAsia="宋体"/>
      <w:sz w:val="24"/>
      <w:lang w:val="en-US" w:eastAsia="zh-CN" w:bidi="ar-SA"/>
    </w:rPr>
  </w:style>
  <w:style w:type="paragraph" w:customStyle="1" w:styleId="63">
    <w:name w:val="表格文字2"/>
    <w:basedOn w:val="1"/>
    <w:link w:val="62"/>
    <w:qFormat/>
    <w:uiPriority w:val="0"/>
    <w:pPr>
      <w:adjustRightInd w:val="0"/>
      <w:spacing w:before="60"/>
      <w:jc w:val="center"/>
      <w:textAlignment w:val="baseline"/>
    </w:pPr>
    <w:rPr>
      <w:rFonts w:ascii="宋体"/>
      <w:kern w:val="0"/>
      <w:sz w:val="24"/>
    </w:rPr>
  </w:style>
  <w:style w:type="character" w:customStyle="1" w:styleId="64">
    <w:name w:val="样式 样式 样式 表内格式 + 左  -0.5 字符 + 左侧:  -0.5 字符 右侧:  -0.5 字符 + 左侧:  -0... Char"/>
    <w:link w:val="65"/>
    <w:qFormat/>
    <w:uiPriority w:val="0"/>
    <w:rPr>
      <w:rFonts w:eastAsia="宋体" w:cs="宋体"/>
      <w:kern w:val="2"/>
      <w:sz w:val="18"/>
      <w:szCs w:val="18"/>
      <w:lang w:val="en-US" w:eastAsia="zh-CN" w:bidi="ar-SA"/>
    </w:rPr>
  </w:style>
  <w:style w:type="paragraph" w:customStyle="1" w:styleId="65">
    <w:name w:val="样式 样式 样式 表内格式 + 左  -0.5 字符 + 左侧:  -0.5 字符 右侧:  -0.5 字符 + 左侧:  -0..."/>
    <w:basedOn w:val="1"/>
    <w:link w:val="64"/>
    <w:qFormat/>
    <w:uiPriority w:val="0"/>
    <w:pPr>
      <w:jc w:val="center"/>
    </w:pPr>
    <w:rPr>
      <w:rFonts w:cs="宋体"/>
      <w:sz w:val="18"/>
      <w:szCs w:val="18"/>
    </w:rPr>
  </w:style>
  <w:style w:type="character" w:customStyle="1" w:styleId="66">
    <w:name w:val="批注文字 Char"/>
    <w:link w:val="10"/>
    <w:qFormat/>
    <w:uiPriority w:val="0"/>
    <w:rPr>
      <w:kern w:val="2"/>
      <w:sz w:val="21"/>
    </w:rPr>
  </w:style>
  <w:style w:type="character" w:customStyle="1" w:styleId="67">
    <w:name w:val="可研正文 Char Char"/>
    <w:link w:val="68"/>
    <w:qFormat/>
    <w:uiPriority w:val="0"/>
    <w:rPr>
      <w:rFonts w:ascii="宋体" w:hAnsi="宋体" w:eastAsia="宋体" w:cs="宋体"/>
      <w:kern w:val="2"/>
      <w:sz w:val="28"/>
      <w:lang w:val="en-US" w:eastAsia="zh-CN" w:bidi="ar-SA"/>
    </w:rPr>
  </w:style>
  <w:style w:type="paragraph" w:customStyle="1" w:styleId="68">
    <w:name w:val="可研正文"/>
    <w:basedOn w:val="1"/>
    <w:link w:val="67"/>
    <w:qFormat/>
    <w:uiPriority w:val="0"/>
    <w:pPr>
      <w:spacing w:line="360" w:lineRule="auto"/>
      <w:ind w:firstLine="560" w:firstLineChars="200"/>
    </w:pPr>
    <w:rPr>
      <w:rFonts w:ascii="宋体" w:hAnsi="宋体" w:cs="宋体"/>
      <w:sz w:val="28"/>
    </w:rPr>
  </w:style>
  <w:style w:type="character" w:customStyle="1" w:styleId="69">
    <w:name w:val="表格 Char"/>
    <w:link w:val="70"/>
    <w:qFormat/>
    <w:uiPriority w:val="0"/>
    <w:rPr>
      <w:rFonts w:eastAsia="仿宋_GB2312"/>
      <w:kern w:val="2"/>
      <w:sz w:val="21"/>
    </w:rPr>
  </w:style>
  <w:style w:type="paragraph" w:customStyle="1" w:styleId="70">
    <w:name w:val="表格"/>
    <w:basedOn w:val="1"/>
    <w:link w:val="69"/>
    <w:qFormat/>
    <w:uiPriority w:val="0"/>
    <w:pPr>
      <w:adjustRightInd w:val="0"/>
      <w:snapToGrid w:val="0"/>
      <w:spacing w:line="240" w:lineRule="atLeast"/>
      <w:jc w:val="center"/>
    </w:pPr>
    <w:rPr>
      <w:rFonts w:eastAsia="仿宋_GB2312"/>
    </w:rPr>
  </w:style>
  <w:style w:type="character" w:customStyle="1" w:styleId="71">
    <w:name w:val="text"/>
    <w:basedOn w:val="32"/>
    <w:qFormat/>
    <w:uiPriority w:val="0"/>
  </w:style>
  <w:style w:type="paragraph" w:customStyle="1" w:styleId="72">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页眉 New New New"/>
    <w:basedOn w:val="7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75">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正文缩进 New New New New New New New"/>
    <w:basedOn w:val="1"/>
    <w:qFormat/>
    <w:uiPriority w:val="0"/>
    <w:pPr>
      <w:ind w:firstLine="420"/>
    </w:pPr>
  </w:style>
  <w:style w:type="paragraph" w:customStyle="1" w:styleId="80">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海尔正文"/>
    <w:basedOn w:val="1"/>
    <w:qFormat/>
    <w:uiPriority w:val="0"/>
    <w:pPr>
      <w:spacing w:line="360" w:lineRule="auto"/>
      <w:ind w:firstLine="560" w:firstLineChars="200"/>
    </w:pPr>
    <w:rPr>
      <w:rFonts w:ascii="宋体" w:hAnsi="宋体" w:cs="宋体"/>
      <w:sz w:val="28"/>
    </w:rPr>
  </w:style>
  <w:style w:type="paragraph" w:customStyle="1" w:styleId="8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84">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文本缩进 3 New"/>
    <w:basedOn w:val="1"/>
    <w:qFormat/>
    <w:uiPriority w:val="0"/>
    <w:pPr>
      <w:spacing w:line="360" w:lineRule="auto"/>
      <w:ind w:firstLine="560" w:firstLineChars="200"/>
    </w:pPr>
    <w:rPr>
      <w:rFonts w:ascii="仿宋_GB2312" w:hAnsi="Arial" w:eastAsia="仿宋_GB2312" w:cs="Arial"/>
      <w:sz w:val="28"/>
      <w:szCs w:val="24"/>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海尔标题2"/>
    <w:basedOn w:val="3"/>
    <w:qFormat/>
    <w:uiPriority w:val="0"/>
    <w:pPr>
      <w:spacing w:line="240" w:lineRule="atLeast"/>
      <w:jc w:val="left"/>
    </w:pPr>
    <w:rPr>
      <w:rFonts w:ascii="黑体" w:hAnsi="宋体"/>
      <w:bCs w:val="0"/>
    </w:rPr>
  </w:style>
  <w:style w:type="paragraph" w:customStyle="1" w:styleId="90">
    <w:name w:val="Char Char Char Char Char Char"/>
    <w:basedOn w:val="1"/>
    <w:qFormat/>
    <w:uiPriority w:val="0"/>
    <w:rPr>
      <w:sz w:val="24"/>
      <w:szCs w:val="24"/>
    </w:rPr>
  </w:style>
  <w:style w:type="paragraph" w:customStyle="1" w:styleId="9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表格001"/>
    <w:basedOn w:val="1"/>
    <w:qFormat/>
    <w:uiPriority w:val="0"/>
    <w:pPr>
      <w:jc w:val="center"/>
    </w:pPr>
  </w:style>
  <w:style w:type="paragraph" w:customStyle="1" w:styleId="93">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94">
    <w:name w:val="Char"/>
    <w:basedOn w:val="1"/>
    <w:qFormat/>
    <w:uiPriority w:val="0"/>
    <w:rPr>
      <w:sz w:val="24"/>
      <w:szCs w:val="24"/>
    </w:rPr>
  </w:style>
  <w:style w:type="paragraph" w:customStyle="1" w:styleId="9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海尔正文 New New New New New New New New New New"/>
    <w:basedOn w:val="1"/>
    <w:qFormat/>
    <w:uiPriority w:val="0"/>
    <w:pPr>
      <w:spacing w:line="360" w:lineRule="auto"/>
      <w:ind w:firstLine="560" w:firstLineChars="200"/>
    </w:pPr>
    <w:rPr>
      <w:rFonts w:ascii="宋体" w:hAnsi="宋体" w:cs="宋体"/>
      <w:sz w:val="28"/>
      <w:szCs w:val="24"/>
      <w:shd w:val="clear" w:color="auto" w:fill="FFFFFF"/>
    </w:rPr>
  </w:style>
  <w:style w:type="paragraph" w:customStyle="1" w:styleId="97">
    <w:name w:val="海尔正文 New New New New"/>
    <w:basedOn w:val="1"/>
    <w:qFormat/>
    <w:uiPriority w:val="0"/>
    <w:pPr>
      <w:spacing w:line="360" w:lineRule="auto"/>
      <w:ind w:firstLine="560" w:firstLineChars="200"/>
    </w:pPr>
    <w:rPr>
      <w:rFonts w:ascii="宋体" w:hAnsi="宋体" w:cs="宋体"/>
      <w:sz w:val="28"/>
      <w:szCs w:val="24"/>
    </w:rPr>
  </w:style>
  <w:style w:type="paragraph" w:customStyle="1" w:styleId="98">
    <w:name w:val="图文框"/>
    <w:basedOn w:val="1"/>
    <w:qFormat/>
    <w:uiPriority w:val="0"/>
    <w:pPr>
      <w:jc w:val="center"/>
    </w:pPr>
    <w:rPr>
      <w:szCs w:val="24"/>
    </w:rPr>
  </w:style>
  <w:style w:type="paragraph" w:customStyle="1" w:styleId="99">
    <w:name w:val="页脚 New New New New"/>
    <w:basedOn w:val="1"/>
    <w:qFormat/>
    <w:uiPriority w:val="0"/>
    <w:pPr>
      <w:tabs>
        <w:tab w:val="center" w:pos="4153"/>
        <w:tab w:val="right" w:pos="8306"/>
      </w:tabs>
      <w:snapToGrid w:val="0"/>
      <w:jc w:val="left"/>
    </w:pPr>
    <w:rPr>
      <w:sz w:val="18"/>
      <w:szCs w:val="18"/>
    </w:rPr>
  </w:style>
  <w:style w:type="paragraph" w:customStyle="1" w:styleId="100">
    <w:name w:val="List Paragraph1"/>
    <w:qFormat/>
    <w:uiPriority w:val="0"/>
    <w:pPr>
      <w:ind w:firstLine="420" w:firstLineChars="200"/>
    </w:pPr>
    <w:rPr>
      <w:rFonts w:ascii="Times New Roman" w:hAnsi="Times New Roman" w:eastAsia="宋体" w:cs="Times New Roman"/>
      <w:lang w:val="en-US" w:eastAsia="zh-CN" w:bidi="ar-SA"/>
    </w:rPr>
  </w:style>
  <w:style w:type="paragraph" w:customStyle="1" w:styleId="101">
    <w:name w:val="海尔标题3 + 加粗"/>
    <w:basedOn w:val="1"/>
    <w:qFormat/>
    <w:uiPriority w:val="0"/>
    <w:pPr>
      <w:spacing w:line="360" w:lineRule="auto"/>
    </w:pPr>
    <w:rPr>
      <w:rFonts w:ascii="宋体" w:hAnsi="宋体" w:eastAsia="黑体" w:cs="宋体"/>
      <w:b/>
      <w:bCs/>
      <w:sz w:val="28"/>
    </w:rPr>
  </w:style>
  <w:style w:type="paragraph" w:customStyle="1" w:styleId="102">
    <w:name w:val="报告正文 New New New"/>
    <w:basedOn w:val="16"/>
    <w:qFormat/>
    <w:uiPriority w:val="0"/>
    <w:pPr>
      <w:spacing w:line="600" w:lineRule="exact"/>
      <w:ind w:firstLine="567"/>
    </w:pPr>
    <w:rPr>
      <w:rFonts w:hAnsi="宋体" w:cs="Times New Roman"/>
      <w:sz w:val="28"/>
      <w:szCs w:val="28"/>
    </w:rPr>
  </w:style>
  <w:style w:type="paragraph" w:customStyle="1" w:styleId="10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样式3"/>
    <w:basedOn w:val="1"/>
    <w:qFormat/>
    <w:uiPriority w:val="0"/>
    <w:pPr>
      <w:autoSpaceDE w:val="0"/>
      <w:autoSpaceDN w:val="0"/>
      <w:snapToGrid w:val="0"/>
      <w:spacing w:before="120" w:line="460" w:lineRule="atLeast"/>
      <w:jc w:val="center"/>
    </w:pPr>
    <w:rPr>
      <w:rFonts w:eastAsia="黑体"/>
      <w:sz w:val="28"/>
      <w:szCs w:val="24"/>
    </w:rPr>
  </w:style>
  <w:style w:type="paragraph" w:customStyle="1" w:styleId="10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页脚 New New"/>
    <w:basedOn w:val="1"/>
    <w:qFormat/>
    <w:uiPriority w:val="0"/>
    <w:pPr>
      <w:tabs>
        <w:tab w:val="center" w:pos="4153"/>
        <w:tab w:val="right" w:pos="8306"/>
      </w:tabs>
      <w:snapToGrid w:val="0"/>
      <w:jc w:val="left"/>
    </w:pPr>
    <w:rPr>
      <w:sz w:val="18"/>
      <w:szCs w:val="18"/>
    </w:rPr>
  </w:style>
  <w:style w:type="paragraph" w:customStyle="1" w:styleId="107">
    <w:name w:val="正文缩进 New"/>
    <w:basedOn w:val="1"/>
    <w:qFormat/>
    <w:uiPriority w:val="0"/>
    <w:pPr>
      <w:ind w:firstLine="420"/>
    </w:pPr>
  </w:style>
  <w:style w:type="paragraph" w:customStyle="1" w:styleId="108">
    <w:name w:val="正文缩进 New New New New New New"/>
    <w:basedOn w:val="1"/>
    <w:qFormat/>
    <w:uiPriority w:val="0"/>
    <w:pPr>
      <w:ind w:firstLine="420"/>
    </w:pPr>
  </w:style>
  <w:style w:type="paragraph" w:customStyle="1" w:styleId="10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页眉 New New New New"/>
    <w:basedOn w:val="7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11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缩进 New New"/>
    <w:basedOn w:val="1"/>
    <w:qFormat/>
    <w:uiPriority w:val="0"/>
    <w:pPr>
      <w:ind w:firstLine="420"/>
    </w:pPr>
  </w:style>
  <w:style w:type="paragraph" w:customStyle="1" w:styleId="114">
    <w:name w:val="页眉 New New New New New New New New"/>
    <w:basedOn w:val="1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115">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海尔正文 New New New"/>
    <w:basedOn w:val="1"/>
    <w:qFormat/>
    <w:uiPriority w:val="0"/>
    <w:pPr>
      <w:spacing w:line="360" w:lineRule="auto"/>
      <w:ind w:firstLine="560" w:firstLineChars="200"/>
    </w:pPr>
    <w:rPr>
      <w:rFonts w:ascii="宋体" w:hAnsi="宋体" w:cs="宋体"/>
      <w:sz w:val="28"/>
      <w:szCs w:val="24"/>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Char1"/>
    <w:basedOn w:val="1"/>
    <w:next w:val="1"/>
    <w:qFormat/>
    <w:uiPriority w:val="0"/>
    <w:pPr>
      <w:spacing w:line="360" w:lineRule="auto"/>
      <w:ind w:firstLine="200" w:firstLineChars="200"/>
    </w:pPr>
  </w:style>
  <w:style w:type="paragraph" w:customStyle="1" w:styleId="120">
    <w:name w:val="1"/>
    <w:basedOn w:val="1"/>
    <w:next w:val="13"/>
    <w:qFormat/>
    <w:uiPriority w:val="0"/>
    <w:pPr>
      <w:spacing w:line="360" w:lineRule="auto"/>
      <w:ind w:firstLine="480" w:firstLineChars="200"/>
    </w:pPr>
    <w:rPr>
      <w:rFonts w:ascii="宋体"/>
      <w:bCs/>
      <w:sz w:val="24"/>
      <w:szCs w:val="24"/>
    </w:rPr>
  </w:style>
  <w:style w:type="paragraph" w:customStyle="1" w:styleId="121">
    <w:name w:val="海尔正文 New"/>
    <w:basedOn w:val="1"/>
    <w:qFormat/>
    <w:uiPriority w:val="0"/>
    <w:pPr>
      <w:spacing w:line="360" w:lineRule="auto"/>
      <w:ind w:firstLine="560" w:firstLineChars="200"/>
    </w:pPr>
    <w:rPr>
      <w:rFonts w:ascii="宋体" w:hAnsi="宋体" w:cs="宋体"/>
      <w:sz w:val="28"/>
      <w:szCs w:val="24"/>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报告正文 New New New New New"/>
    <w:basedOn w:val="16"/>
    <w:qFormat/>
    <w:uiPriority w:val="0"/>
    <w:pPr>
      <w:spacing w:line="600" w:lineRule="exact"/>
      <w:ind w:firstLine="567"/>
    </w:pPr>
    <w:rPr>
      <w:rFonts w:hAnsi="宋体" w:cs="Times New Roman"/>
      <w:sz w:val="28"/>
      <w:szCs w:val="28"/>
    </w:rPr>
  </w:style>
  <w:style w:type="paragraph" w:customStyle="1" w:styleId="125">
    <w:name w:val="111正文文本"/>
    <w:basedOn w:val="1"/>
    <w:qFormat/>
    <w:uiPriority w:val="0"/>
    <w:pPr>
      <w:spacing w:before="78" w:line="400" w:lineRule="exact"/>
      <w:ind w:firstLine="480" w:firstLineChars="200"/>
    </w:pPr>
    <w:rPr>
      <w:sz w:val="24"/>
    </w:rPr>
  </w:style>
  <w:style w:type="paragraph" w:customStyle="1" w:styleId="126">
    <w:name w:val="页脚 New New New"/>
    <w:basedOn w:val="1"/>
    <w:qFormat/>
    <w:uiPriority w:val="0"/>
    <w:pPr>
      <w:tabs>
        <w:tab w:val="center" w:pos="4153"/>
        <w:tab w:val="right" w:pos="8306"/>
      </w:tabs>
      <w:snapToGrid w:val="0"/>
      <w:jc w:val="left"/>
    </w:pPr>
    <w:rPr>
      <w:sz w:val="18"/>
      <w:szCs w:val="18"/>
    </w:rPr>
  </w:style>
  <w:style w:type="paragraph" w:customStyle="1" w:styleId="127">
    <w:name w:val="正文缩进 New New New New"/>
    <w:basedOn w:val="1"/>
    <w:qFormat/>
    <w:uiPriority w:val="0"/>
    <w:pPr>
      <w:ind w:firstLine="420"/>
    </w:pPr>
  </w:style>
  <w:style w:type="paragraph" w:customStyle="1" w:styleId="128">
    <w:name w:val="页脚 New"/>
    <w:basedOn w:val="109"/>
    <w:qFormat/>
    <w:uiPriority w:val="0"/>
    <w:pPr>
      <w:tabs>
        <w:tab w:val="center" w:pos="4153"/>
        <w:tab w:val="right" w:pos="8306"/>
      </w:tabs>
      <w:snapToGrid w:val="0"/>
      <w:jc w:val="left"/>
    </w:pPr>
    <w:rPr>
      <w:sz w:val="18"/>
    </w:rPr>
  </w:style>
  <w:style w:type="paragraph" w:customStyle="1" w:styleId="129">
    <w:name w:val="页眉 New New New New New New New New New"/>
    <w:basedOn w:val="1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130">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har Char Char Char"/>
    <w:basedOn w:val="1"/>
    <w:qFormat/>
    <w:uiPriority w:val="0"/>
    <w:rPr>
      <w:szCs w:val="24"/>
    </w:rPr>
  </w:style>
  <w:style w:type="paragraph" w:customStyle="1" w:styleId="13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样式1"/>
    <w:basedOn w:val="1"/>
    <w:qFormat/>
    <w:uiPriority w:val="0"/>
    <w:pPr>
      <w:spacing w:line="360" w:lineRule="auto"/>
      <w:ind w:firstLine="510"/>
    </w:pPr>
    <w:rPr>
      <w:sz w:val="24"/>
    </w:rPr>
  </w:style>
  <w:style w:type="paragraph" w:customStyle="1" w:styleId="135">
    <w:name w:val="页眉 New New New New New"/>
    <w:basedOn w:val="13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13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表名"/>
    <w:basedOn w:val="1"/>
    <w:qFormat/>
    <w:uiPriority w:val="0"/>
    <w:pPr>
      <w:adjustRightInd w:val="0"/>
      <w:spacing w:before="120" w:after="120" w:line="400" w:lineRule="atLeast"/>
      <w:jc w:val="center"/>
      <w:textAlignment w:val="baseline"/>
    </w:pPr>
    <w:rPr>
      <w:rFonts w:eastAsia="黑体"/>
      <w:bCs/>
      <w:kern w:val="0"/>
      <w:sz w:val="24"/>
    </w:rPr>
  </w:style>
  <w:style w:type="paragraph" w:customStyle="1" w:styleId="138">
    <w:name w:val="Default New"/>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9">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默认段落字体 Para Char"/>
    <w:basedOn w:val="1"/>
    <w:qFormat/>
    <w:uiPriority w:val="0"/>
    <w:rPr>
      <w:sz w:val="24"/>
      <w:szCs w:val="24"/>
    </w:rPr>
  </w:style>
  <w:style w:type="paragraph" w:customStyle="1" w:styleId="148">
    <w:name w:val="页脚 New New New New New New"/>
    <w:basedOn w:val="1"/>
    <w:qFormat/>
    <w:uiPriority w:val="0"/>
    <w:pPr>
      <w:tabs>
        <w:tab w:val="center" w:pos="4153"/>
        <w:tab w:val="right" w:pos="8306"/>
      </w:tabs>
      <w:snapToGrid w:val="0"/>
      <w:jc w:val="left"/>
    </w:pPr>
    <w:rPr>
      <w:sz w:val="18"/>
    </w:rPr>
  </w:style>
  <w:style w:type="paragraph" w:customStyle="1" w:styleId="149">
    <w:name w:val="报告正文 New New New New"/>
    <w:basedOn w:val="16"/>
    <w:qFormat/>
    <w:uiPriority w:val="0"/>
    <w:pPr>
      <w:spacing w:line="600" w:lineRule="exact"/>
      <w:ind w:firstLine="567"/>
    </w:pPr>
    <w:rPr>
      <w:rFonts w:hAnsi="宋体" w:cs="Times New Roman"/>
      <w:sz w:val="28"/>
      <w:szCs w:val="28"/>
    </w:rPr>
  </w:style>
  <w:style w:type="paragraph" w:customStyle="1" w:styleId="150">
    <w:name w:val="中文报告书样式"/>
    <w:basedOn w:val="1"/>
    <w:qFormat/>
    <w:uiPriority w:val="0"/>
    <w:pPr>
      <w:adjustRightInd w:val="0"/>
      <w:spacing w:line="480" w:lineRule="atLeast"/>
      <w:ind w:firstLine="482"/>
      <w:textAlignment w:val="baseline"/>
    </w:pPr>
    <w:rPr>
      <w:kern w:val="24"/>
      <w:sz w:val="24"/>
    </w:rPr>
  </w:style>
  <w:style w:type="paragraph" w:customStyle="1" w:styleId="151">
    <w:name w:val="海尔正文 New New New New New New New"/>
    <w:basedOn w:val="1"/>
    <w:qFormat/>
    <w:uiPriority w:val="0"/>
    <w:pPr>
      <w:spacing w:line="360" w:lineRule="auto"/>
      <w:ind w:firstLine="560" w:firstLineChars="200"/>
    </w:pPr>
    <w:rPr>
      <w:rFonts w:ascii="宋体" w:hAnsi="宋体" w:cs="宋体"/>
      <w:sz w:val="28"/>
      <w:szCs w:val="24"/>
      <w:shd w:val="clear" w:color="auto" w:fill="FFFFFF"/>
    </w:rPr>
  </w:style>
  <w:style w:type="paragraph" w:customStyle="1" w:styleId="15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表内文字"/>
    <w:basedOn w:val="1"/>
    <w:qFormat/>
    <w:uiPriority w:val="0"/>
    <w:pPr>
      <w:widowControl/>
      <w:adjustRightInd w:val="0"/>
      <w:snapToGrid w:val="0"/>
      <w:jc w:val="center"/>
      <w:textAlignment w:val="baseline"/>
    </w:pPr>
    <w:rPr>
      <w:b/>
      <w:snapToGrid w:val="0"/>
      <w:color w:val="000000"/>
      <w:kern w:val="0"/>
      <w:szCs w:val="21"/>
    </w:rPr>
  </w:style>
  <w:style w:type="paragraph" w:customStyle="1" w:styleId="155">
    <w:name w:val="表格文字"/>
    <w:basedOn w:val="1"/>
    <w:qFormat/>
    <w:uiPriority w:val="0"/>
    <w:pPr>
      <w:adjustRightInd w:val="0"/>
      <w:snapToGrid w:val="0"/>
      <w:jc w:val="center"/>
    </w:pPr>
    <w:rPr>
      <w:rFonts w:ascii="仿宋_GB2312" w:hAnsi="Arial Black" w:eastAsia="仿宋_GB2312"/>
      <w:kern w:val="44"/>
      <w:sz w:val="24"/>
    </w:rPr>
  </w:style>
  <w:style w:type="paragraph" w:customStyle="1" w:styleId="156">
    <w:name w:val="Char Char Char Char1"/>
    <w:basedOn w:val="1"/>
    <w:qFormat/>
    <w:uiPriority w:val="0"/>
    <w:rPr>
      <w:szCs w:val="24"/>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海尔正文 New New New New New New New New"/>
    <w:basedOn w:val="1"/>
    <w:qFormat/>
    <w:uiPriority w:val="0"/>
    <w:pPr>
      <w:spacing w:line="360" w:lineRule="auto"/>
      <w:ind w:firstLine="560" w:firstLineChars="200"/>
    </w:pPr>
    <w:rPr>
      <w:rFonts w:ascii="宋体" w:hAnsi="宋体" w:cs="宋体"/>
      <w:sz w:val="28"/>
      <w:szCs w:val="24"/>
      <w:shd w:val="clear" w:color="auto" w:fill="FFFFFF"/>
    </w:rPr>
  </w:style>
  <w:style w:type="paragraph" w:customStyle="1" w:styleId="159">
    <w:name w:val="正文001"/>
    <w:basedOn w:val="1"/>
    <w:qFormat/>
    <w:uiPriority w:val="0"/>
    <w:pPr>
      <w:spacing w:before="60" w:line="420" w:lineRule="exact"/>
      <w:ind w:firstLine="482"/>
    </w:pPr>
    <w:rPr>
      <w:sz w:val="24"/>
    </w:rPr>
  </w:style>
  <w:style w:type="paragraph" w:customStyle="1" w:styleId="16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har Char Char1 Char Char Char Char Char Char Char"/>
    <w:basedOn w:val="1"/>
    <w:qFormat/>
    <w:uiPriority w:val="0"/>
    <w:rPr>
      <w:szCs w:val="24"/>
    </w:rPr>
  </w:style>
  <w:style w:type="paragraph" w:customStyle="1" w:styleId="162">
    <w:name w:val="正文缩进 New New New New New"/>
    <w:basedOn w:val="1"/>
    <w:qFormat/>
    <w:uiPriority w:val="0"/>
    <w:pPr>
      <w:ind w:firstLine="420"/>
    </w:pPr>
  </w:style>
  <w:style w:type="paragraph" w:customStyle="1" w:styleId="16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缩进 New New New"/>
    <w:basedOn w:val="1"/>
    <w:qFormat/>
    <w:uiPriority w:val="0"/>
    <w:pPr>
      <w:ind w:firstLine="420"/>
    </w:pPr>
  </w:style>
  <w:style w:type="paragraph" w:customStyle="1" w:styleId="165">
    <w:name w:val="供销社正文"/>
    <w:basedOn w:val="1"/>
    <w:qFormat/>
    <w:uiPriority w:val="0"/>
    <w:pPr>
      <w:spacing w:line="360" w:lineRule="auto"/>
      <w:ind w:firstLine="560" w:firstLineChars="200"/>
    </w:pPr>
    <w:rPr>
      <w:rFonts w:ascii="宋体" w:hAnsi="宋体" w:cs="宋体"/>
      <w:sz w:val="28"/>
    </w:rPr>
  </w:style>
  <w:style w:type="paragraph" w:customStyle="1" w:styleId="166">
    <w:name w:val="页脚 New New New New New"/>
    <w:basedOn w:val="1"/>
    <w:qFormat/>
    <w:uiPriority w:val="0"/>
    <w:pPr>
      <w:tabs>
        <w:tab w:val="center" w:pos="4153"/>
        <w:tab w:val="right" w:pos="8306"/>
      </w:tabs>
      <w:snapToGrid w:val="0"/>
      <w:jc w:val="left"/>
    </w:pPr>
    <w:rPr>
      <w:sz w:val="18"/>
      <w:szCs w:val="18"/>
    </w:rPr>
  </w:style>
  <w:style w:type="paragraph" w:customStyle="1" w:styleId="167">
    <w:name w:val="Default New New"/>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8">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1 Char Char Char Char Char Char Char Char Char Char Char Char Char"/>
    <w:basedOn w:val="1"/>
    <w:qFormat/>
    <w:uiPriority w:val="0"/>
  </w:style>
  <w:style w:type="paragraph" w:customStyle="1" w:styleId="170">
    <w:name w:val="Char Char1 Char Char Char Char Char Char"/>
    <w:basedOn w:val="1"/>
    <w:qFormat/>
    <w:uiPriority w:val="0"/>
  </w:style>
  <w:style w:type="paragraph" w:customStyle="1" w:styleId="171">
    <w:name w:val="Default"/>
    <w:link w:val="22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2">
    <w:name w:val="Char Char Char1 Char Char Char1 Char Char Char Char Char Char Char Char Char Char Char Char1 Char Char Char Char Char Char Char"/>
    <w:basedOn w:val="1"/>
    <w:qFormat/>
    <w:uiPriority w:val="0"/>
    <w:pPr>
      <w:widowControl/>
      <w:spacing w:after="160" w:line="240" w:lineRule="exact"/>
      <w:jc w:val="left"/>
    </w:pPr>
  </w:style>
  <w:style w:type="paragraph" w:customStyle="1" w:styleId="17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页眉 New"/>
    <w:basedOn w:val="9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17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报告表格"/>
    <w:basedOn w:val="1"/>
    <w:qFormat/>
    <w:uiPriority w:val="0"/>
    <w:pPr>
      <w:autoSpaceDE w:val="0"/>
      <w:autoSpaceDN w:val="0"/>
      <w:adjustRightInd w:val="0"/>
      <w:spacing w:before="40" w:after="40"/>
      <w:jc w:val="center"/>
      <w:textAlignment w:val="baseline"/>
    </w:pPr>
    <w:rPr>
      <w:rFonts w:eastAsia="仿宋_GB2312"/>
      <w:kern w:val="0"/>
      <w:sz w:val="24"/>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2">
    <w:name w:val="普通(网站) New"/>
    <w:basedOn w:val="176"/>
    <w:qFormat/>
    <w:uiPriority w:val="0"/>
    <w:pPr>
      <w:widowControl/>
      <w:spacing w:before="100" w:beforeAutospacing="1" w:after="100" w:afterAutospacing="1"/>
      <w:jc w:val="left"/>
    </w:pPr>
    <w:rPr>
      <w:rFonts w:ascii="宋体" w:hAnsi="宋体"/>
      <w:kern w:val="0"/>
      <w:sz w:val="24"/>
      <w:szCs w:val="24"/>
    </w:rPr>
  </w:style>
  <w:style w:type="paragraph" w:customStyle="1" w:styleId="183">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样式 正文 首行缩进:  2 字符 + 首行缩进:  2 字符"/>
    <w:basedOn w:val="1"/>
    <w:qFormat/>
    <w:uiPriority w:val="0"/>
    <w:pPr>
      <w:spacing w:line="520" w:lineRule="exact"/>
      <w:ind w:firstLine="287" w:firstLineChars="150"/>
      <w:jc w:val="center"/>
      <w:textAlignment w:val="bottom"/>
    </w:pPr>
    <w:rPr>
      <w:rFonts w:ascii="宋体" w:hAnsi="宋体"/>
      <w:bCs/>
      <w:w w:val="80"/>
      <w:sz w:val="24"/>
      <w:szCs w:val="24"/>
    </w:rPr>
  </w:style>
  <w:style w:type="paragraph" w:customStyle="1" w:styleId="185">
    <w:name w:val="样式1 Char Char"/>
    <w:basedOn w:val="1"/>
    <w:qFormat/>
    <w:uiPriority w:val="0"/>
    <w:pPr>
      <w:spacing w:line="360" w:lineRule="auto"/>
      <w:ind w:firstLine="510"/>
    </w:pPr>
    <w:rPr>
      <w:rFonts w:eastAsia="仿宋_GB2312"/>
      <w:sz w:val="24"/>
      <w:szCs w:val="24"/>
    </w:rPr>
  </w:style>
  <w:style w:type="paragraph" w:customStyle="1" w:styleId="186">
    <w:name w:val="修订1"/>
    <w:qFormat/>
    <w:uiPriority w:val="0"/>
    <w:rPr>
      <w:rFonts w:ascii="Times New Roman" w:hAnsi="Times New Roman" w:eastAsia="宋体" w:cs="Times New Roman"/>
      <w:kern w:val="2"/>
      <w:sz w:val="21"/>
      <w:szCs w:val="24"/>
      <w:lang w:val="en-US" w:eastAsia="zh-CN" w:bidi="ar-SA"/>
    </w:rPr>
  </w:style>
  <w:style w:type="paragraph" w:customStyle="1" w:styleId="18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报告"/>
    <w:basedOn w:val="1"/>
    <w:qFormat/>
    <w:uiPriority w:val="0"/>
    <w:pPr>
      <w:spacing w:line="360" w:lineRule="auto"/>
      <w:ind w:firstLine="560" w:firstLineChars="200"/>
    </w:pPr>
    <w:rPr>
      <w:sz w:val="28"/>
      <w:szCs w:val="24"/>
    </w:rPr>
  </w:style>
  <w:style w:type="paragraph" w:customStyle="1" w:styleId="192">
    <w:name w:val="报告正文 New New"/>
    <w:qFormat/>
    <w:uiPriority w:val="0"/>
    <w:pPr>
      <w:spacing w:line="600" w:lineRule="exact"/>
      <w:ind w:firstLine="567"/>
    </w:pPr>
    <w:rPr>
      <w:rFonts w:ascii="宋体" w:hAnsi="宋体" w:eastAsia="宋体" w:cs="Times New Roman"/>
      <w:kern w:val="2"/>
      <w:sz w:val="28"/>
      <w:szCs w:val="28"/>
      <w:lang w:val="en-US" w:eastAsia="zh-CN" w:bidi="ar-SA"/>
    </w:rPr>
  </w:style>
  <w:style w:type="paragraph" w:customStyle="1" w:styleId="193">
    <w:name w:val="duanluo"/>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4">
    <w:name w:val="Char Char Char Char Char Char Char Char Char Char Char Char Char Char Char Char Char Char Char"/>
    <w:basedOn w:val="1"/>
    <w:qFormat/>
    <w:uiPriority w:val="0"/>
    <w:rPr>
      <w:rFonts w:eastAsia="仿宋_GB2312"/>
      <w:sz w:val="24"/>
      <w:szCs w:val="24"/>
    </w:rPr>
  </w:style>
  <w:style w:type="paragraph" w:customStyle="1" w:styleId="195">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页眉 New New New New New New New"/>
    <w:basedOn w:val="13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19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字元 字元"/>
    <w:basedOn w:val="1"/>
    <w:qFormat/>
    <w:uiPriority w:val="0"/>
    <w:rPr>
      <w:szCs w:val="24"/>
    </w:rPr>
  </w:style>
  <w:style w:type="paragraph" w:customStyle="1" w:styleId="19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海尔正文 New New New New New New"/>
    <w:basedOn w:val="1"/>
    <w:qFormat/>
    <w:uiPriority w:val="0"/>
    <w:pPr>
      <w:spacing w:line="360" w:lineRule="auto"/>
      <w:ind w:firstLine="560" w:firstLineChars="200"/>
    </w:pPr>
    <w:rPr>
      <w:rFonts w:ascii="宋体" w:hAnsi="宋体" w:cs="宋体"/>
      <w:sz w:val="28"/>
      <w:szCs w:val="24"/>
      <w:shd w:val="clear" w:color="auto" w:fill="FFFFFF"/>
    </w:rPr>
  </w:style>
  <w:style w:type="paragraph" w:customStyle="1" w:styleId="201">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报告标题3"/>
    <w:basedOn w:val="4"/>
    <w:next w:val="124"/>
    <w:qFormat/>
    <w:uiPriority w:val="0"/>
    <w:pPr>
      <w:spacing w:before="260" w:after="260" w:line="580" w:lineRule="exact"/>
    </w:pPr>
    <w:rPr>
      <w:rFonts w:ascii="Arial" w:hAnsi="Arial" w:eastAsia="黑体"/>
      <w:bCs/>
      <w:sz w:val="28"/>
      <w:szCs w:val="28"/>
    </w:rPr>
  </w:style>
  <w:style w:type="paragraph" w:customStyle="1" w:styleId="203">
    <w:name w:val="页眉 New New"/>
    <w:basedOn w:val="8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204">
    <w:name w:val="海尔正文 New New"/>
    <w:basedOn w:val="1"/>
    <w:qFormat/>
    <w:uiPriority w:val="0"/>
    <w:pPr>
      <w:spacing w:line="360" w:lineRule="auto"/>
      <w:ind w:firstLine="560" w:firstLineChars="200"/>
    </w:pPr>
    <w:rPr>
      <w:rFonts w:ascii="宋体" w:hAnsi="宋体" w:cs="宋体"/>
      <w:sz w:val="28"/>
      <w:szCs w:val="24"/>
    </w:rPr>
  </w:style>
  <w:style w:type="paragraph" w:customStyle="1" w:styleId="205">
    <w:name w:val="默认段落字体 Para Char Char Char Char"/>
    <w:basedOn w:val="1"/>
    <w:qFormat/>
    <w:uiPriority w:val="0"/>
    <w:pPr>
      <w:spacing w:line="360" w:lineRule="auto"/>
      <w:ind w:firstLine="200" w:firstLineChars="200"/>
    </w:pPr>
    <w:rPr>
      <w:kern w:val="0"/>
      <w:szCs w:val="21"/>
    </w:rPr>
  </w:style>
  <w:style w:type="paragraph" w:customStyle="1" w:styleId="206">
    <w:name w:val="报告标题2"/>
    <w:basedOn w:val="3"/>
    <w:qFormat/>
    <w:uiPriority w:val="0"/>
    <w:pPr>
      <w:spacing w:line="600" w:lineRule="exact"/>
    </w:pPr>
  </w:style>
  <w:style w:type="paragraph" w:customStyle="1" w:styleId="207">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Default New New New"/>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9">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海尔正文 New New New New New"/>
    <w:basedOn w:val="1"/>
    <w:qFormat/>
    <w:uiPriority w:val="0"/>
    <w:pPr>
      <w:spacing w:line="360" w:lineRule="auto"/>
      <w:ind w:firstLine="560" w:firstLineChars="200"/>
    </w:pPr>
    <w:rPr>
      <w:rFonts w:ascii="宋体" w:hAnsi="宋体" w:cs="宋体"/>
      <w:sz w:val="28"/>
      <w:szCs w:val="24"/>
      <w:shd w:val="clear" w:color="auto" w:fill="FFFFFF"/>
    </w:rPr>
  </w:style>
  <w:style w:type="paragraph" w:customStyle="1" w:styleId="2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建议书正文"/>
    <w:basedOn w:val="1"/>
    <w:qFormat/>
    <w:uiPriority w:val="0"/>
    <w:pPr>
      <w:spacing w:line="360" w:lineRule="auto"/>
      <w:ind w:firstLine="560" w:firstLineChars="200"/>
    </w:pPr>
    <w:rPr>
      <w:rFonts w:ascii="宋体" w:hAnsi="宋体" w:cs="宋体"/>
      <w:sz w:val="28"/>
    </w:rPr>
  </w:style>
  <w:style w:type="paragraph" w:customStyle="1" w:styleId="213">
    <w:name w:val="报告正文 New"/>
    <w:basedOn w:val="16"/>
    <w:qFormat/>
    <w:uiPriority w:val="0"/>
    <w:pPr>
      <w:spacing w:line="600" w:lineRule="exact"/>
      <w:ind w:firstLine="567"/>
    </w:pPr>
    <w:rPr>
      <w:rFonts w:hAnsi="宋体" w:cs="Times New Roman"/>
      <w:sz w:val="28"/>
      <w:szCs w:val="28"/>
    </w:rPr>
  </w:style>
  <w:style w:type="paragraph" w:customStyle="1" w:styleId="214">
    <w:name w:val="页脚 New New New New New New New"/>
    <w:basedOn w:val="176"/>
    <w:qFormat/>
    <w:uiPriority w:val="0"/>
    <w:pPr>
      <w:tabs>
        <w:tab w:val="center" w:pos="4153"/>
        <w:tab w:val="right" w:pos="8306"/>
      </w:tabs>
      <w:adjustRightInd w:val="0"/>
      <w:ind w:firstLine="680"/>
      <w:jc w:val="left"/>
      <w:textAlignment w:val="baseline"/>
    </w:pPr>
    <w:rPr>
      <w:rFonts w:eastAsia="仿宋_GB2312"/>
      <w:kern w:val="0"/>
      <w:sz w:val="18"/>
    </w:rPr>
  </w:style>
  <w:style w:type="paragraph" w:customStyle="1" w:styleId="215">
    <w:name w:val="报告正文 New New New New New New"/>
    <w:basedOn w:val="16"/>
    <w:qFormat/>
    <w:uiPriority w:val="0"/>
    <w:pPr>
      <w:spacing w:line="600" w:lineRule="exact"/>
      <w:ind w:firstLine="567"/>
    </w:pPr>
    <w:rPr>
      <w:rFonts w:hAnsi="宋体" w:cs="Times New Roman"/>
      <w:sz w:val="28"/>
      <w:szCs w:val="28"/>
    </w:rPr>
  </w:style>
  <w:style w:type="paragraph" w:customStyle="1" w:styleId="216">
    <w:name w:val="Char Char Char Char Char Char Char Char Char Char Char1 Char Char Char Char Char Char Char Char Char"/>
    <w:basedOn w:val="1"/>
    <w:qFormat/>
    <w:uiPriority w:val="0"/>
    <w:rPr>
      <w:rFonts w:ascii="Tahoma" w:hAnsi="Tahoma"/>
      <w:sz w:val="24"/>
      <w:szCs w:val="24"/>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页眉 New New New New New New"/>
    <w:basedOn w:val="1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220">
    <w:name w:val="海尔正文 New New New New New New New New New"/>
    <w:basedOn w:val="1"/>
    <w:qFormat/>
    <w:uiPriority w:val="0"/>
    <w:pPr>
      <w:spacing w:line="360" w:lineRule="auto"/>
      <w:ind w:firstLine="560" w:firstLineChars="200"/>
    </w:pPr>
    <w:rPr>
      <w:rFonts w:ascii="宋体" w:hAnsi="宋体" w:cs="宋体"/>
      <w:sz w:val="28"/>
      <w:szCs w:val="24"/>
      <w:shd w:val="clear" w:color="auto" w:fill="FFFFFF"/>
    </w:rPr>
  </w:style>
  <w:style w:type="character" w:customStyle="1" w:styleId="221">
    <w:name w:val="fontstyle01"/>
    <w:basedOn w:val="32"/>
    <w:qFormat/>
    <w:uiPriority w:val="0"/>
    <w:rPr>
      <w:rFonts w:hint="eastAsia" w:ascii="宋体" w:hAnsi="宋体" w:eastAsia="宋体"/>
      <w:color w:val="000000"/>
      <w:sz w:val="24"/>
      <w:szCs w:val="24"/>
    </w:rPr>
  </w:style>
  <w:style w:type="character" w:customStyle="1" w:styleId="222">
    <w:name w:val="font41"/>
    <w:basedOn w:val="32"/>
    <w:qFormat/>
    <w:uiPriority w:val="0"/>
    <w:rPr>
      <w:rFonts w:hint="default" w:ascii="Times New Roman" w:hAnsi="Times New Roman" w:cs="Times New Roman"/>
      <w:color w:val="000000"/>
      <w:sz w:val="18"/>
      <w:szCs w:val="18"/>
      <w:u w:val="none"/>
    </w:rPr>
  </w:style>
  <w:style w:type="character" w:customStyle="1" w:styleId="223">
    <w:name w:val="font51"/>
    <w:basedOn w:val="32"/>
    <w:qFormat/>
    <w:uiPriority w:val="0"/>
    <w:rPr>
      <w:rFonts w:hint="default" w:ascii="Times New Roman" w:hAnsi="Times New Roman" w:cs="Times New Roman"/>
      <w:color w:val="000000"/>
      <w:sz w:val="24"/>
      <w:szCs w:val="24"/>
      <w:u w:val="none"/>
    </w:rPr>
  </w:style>
  <w:style w:type="character" w:customStyle="1" w:styleId="224">
    <w:name w:val="font21"/>
    <w:basedOn w:val="32"/>
    <w:qFormat/>
    <w:uiPriority w:val="0"/>
    <w:rPr>
      <w:rFonts w:hint="default" w:ascii="Times New Roman" w:hAnsi="Times New Roman" w:cs="Times New Roman"/>
      <w:color w:val="000000"/>
      <w:sz w:val="16"/>
      <w:szCs w:val="16"/>
      <w:u w:val="none"/>
    </w:rPr>
  </w:style>
  <w:style w:type="character" w:customStyle="1" w:styleId="225">
    <w:name w:val="font11"/>
    <w:basedOn w:val="32"/>
    <w:qFormat/>
    <w:uiPriority w:val="0"/>
    <w:rPr>
      <w:sz w:val="18"/>
    </w:rPr>
  </w:style>
  <w:style w:type="character" w:customStyle="1" w:styleId="226">
    <w:name w:val="正文文本 Char"/>
    <w:basedOn w:val="32"/>
    <w:link w:val="12"/>
    <w:qFormat/>
    <w:uiPriority w:val="99"/>
    <w:rPr>
      <w:kern w:val="2"/>
      <w:sz w:val="21"/>
    </w:rPr>
  </w:style>
  <w:style w:type="paragraph" w:styleId="227">
    <w:name w:val="List Paragraph"/>
    <w:basedOn w:val="1"/>
    <w:qFormat/>
    <w:uiPriority w:val="0"/>
    <w:pPr>
      <w:spacing w:line="500" w:lineRule="exact"/>
      <w:ind w:firstLine="420" w:firstLineChars="200"/>
    </w:pPr>
    <w:rPr>
      <w:sz w:val="24"/>
      <w:szCs w:val="24"/>
    </w:rPr>
  </w:style>
  <w:style w:type="character" w:customStyle="1" w:styleId="228">
    <w:name w:val="Default Char Char"/>
    <w:link w:val="171"/>
    <w:qFormat/>
    <w:uiPriority w:val="0"/>
    <w:rPr>
      <w:color w:val="000000"/>
      <w:sz w:val="24"/>
      <w:szCs w:val="24"/>
      <w:lang w:bidi="ar-SA"/>
    </w:rPr>
  </w:style>
  <w:style w:type="paragraph" w:customStyle="1" w:styleId="229">
    <w:name w:val="表头lcc"/>
    <w:basedOn w:val="1"/>
    <w:qFormat/>
    <w:uiPriority w:val="99"/>
    <w:pPr>
      <w:adjustRightInd w:val="0"/>
      <w:spacing w:before="40" w:after="40"/>
      <w:jc w:val="center"/>
      <w:textAlignment w:val="baseline"/>
    </w:pPr>
    <w:rPr>
      <w:rFonts w:ascii="Calibri" w:hAnsi="Calibri"/>
      <w:b/>
      <w:kern w:val="0"/>
      <w:szCs w:val="22"/>
    </w:rPr>
  </w:style>
  <w:style w:type="paragraph" w:customStyle="1" w:styleId="230">
    <w:name w:val="Table Paragraph"/>
    <w:basedOn w:val="1"/>
    <w:unhideWhenUsed/>
    <w:qFormat/>
    <w:uiPriority w:val="1"/>
    <w:rPr>
      <w:sz w:val="24"/>
      <w:szCs w:val="24"/>
    </w:rPr>
  </w:style>
  <w:style w:type="paragraph" w:customStyle="1" w:styleId="231">
    <w:name w:val="正文4号"/>
    <w:qFormat/>
    <w:uiPriority w:val="0"/>
    <w:pPr>
      <w:widowControl w:val="0"/>
      <w:adjustRightInd w:val="0"/>
      <w:snapToGrid w:val="0"/>
      <w:spacing w:line="360" w:lineRule="auto"/>
      <w:ind w:firstLine="200" w:firstLineChars="200"/>
      <w:jc w:val="both"/>
    </w:pPr>
    <w:rPr>
      <w:rFonts w:ascii="Times New Roman" w:hAnsi="Times New Roman" w:eastAsia="Times New Roman"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9525" cap="flat" cmpd="sng">
          <a:solidFill>
            <a:srgbClr val="000000"/>
          </a:solidFill>
          <a:prstDash val="solid"/>
          <a:headEnd type="none" w="med" len="med"/>
          <a:tailEnd type="triangl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87508-7693-4A2D-BD50-E400FA254E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4934</Words>
  <Characters>28130</Characters>
  <Lines>234</Lines>
  <Paragraphs>65</Paragraphs>
  <TotalTime>7</TotalTime>
  <ScaleCrop>false</ScaleCrop>
  <LinksUpToDate>false</LinksUpToDate>
  <CharactersWithSpaces>32999</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2019-05-30T14:10:00Z</dcterms:created>
  <dc:creator>微软系统</dc:creator>
  <cp:lastModifiedBy>Administrator</cp:lastModifiedBy>
  <cp:lastPrinted>2018-10-31T04:50:00Z</cp:lastPrinted>
  <dcterms:modified xsi:type="dcterms:W3CDTF">2020-12-11T02:48:07Z</dcterms:modified>
  <dc:title>建设项目环境影响报告表</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