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eastAsia="黑体"/>
          <w:bCs/>
          <w:color w:val="000000"/>
          <w:sz w:val="32"/>
        </w:rPr>
      </w:pPr>
    </w:p>
    <w:p>
      <w:pPr>
        <w:jc w:val="center"/>
        <w:outlineLvl w:val="0"/>
        <w:rPr>
          <w:rFonts w:ascii="宋体" w:hAnsi="宋体" w:cs="宋体"/>
          <w:b/>
          <w:sz w:val="32"/>
          <w:szCs w:val="32"/>
        </w:rPr>
      </w:pPr>
      <w:r>
        <w:rPr>
          <w:rFonts w:hint="eastAsia" w:ascii="宋体" w:hAnsi="宋体" w:cs="宋体"/>
          <w:b/>
          <w:sz w:val="32"/>
          <w:szCs w:val="32"/>
        </w:rPr>
        <w:t>《建设项目环境影响报告表》编制说明</w:t>
      </w:r>
    </w:p>
    <w:p>
      <w:pPr>
        <w:ind w:firstLine="560" w:firstLineChars="200"/>
        <w:rPr>
          <w:rFonts w:ascii="宋体" w:hAnsi="宋体" w:cs="宋体"/>
          <w:b/>
          <w:sz w:val="32"/>
        </w:rPr>
      </w:pPr>
      <w:r>
        <w:rPr>
          <w:rFonts w:hint="eastAsia" w:ascii="宋体" w:hAnsi="宋体" w:cs="宋体"/>
          <w:sz w:val="28"/>
          <w:szCs w:val="28"/>
        </w:rPr>
        <w:t>《建设项目环境影响报告表》由具有从事环境影响评价工作能力的单位编制。</w:t>
      </w:r>
    </w:p>
    <w:p>
      <w:pPr>
        <w:ind w:firstLine="560" w:firstLineChars="200"/>
        <w:rPr>
          <w:rFonts w:ascii="宋体" w:hAnsi="宋体" w:cs="宋体"/>
          <w:sz w:val="28"/>
          <w:szCs w:val="28"/>
        </w:rPr>
      </w:pPr>
      <w:r>
        <w:rPr>
          <w:rFonts w:hint="eastAsia" w:ascii="宋体" w:hAnsi="宋体" w:cs="宋体"/>
          <w:sz w:val="28"/>
          <w:szCs w:val="28"/>
        </w:rPr>
        <w:t>1、项目名称——指项目立项批复时的名称，应不超过30个字（两个英文字段作一个汉字）。</w:t>
      </w:r>
    </w:p>
    <w:p>
      <w:pPr>
        <w:ind w:firstLine="560" w:firstLineChars="200"/>
        <w:jc w:val="left"/>
        <w:rPr>
          <w:rFonts w:ascii="宋体" w:hAnsi="宋体" w:cs="宋体"/>
          <w:sz w:val="28"/>
          <w:szCs w:val="28"/>
        </w:rPr>
      </w:pPr>
      <w:r>
        <w:rPr>
          <w:rFonts w:hint="eastAsia" w:ascii="宋体" w:hAnsi="宋体" w:cs="宋体"/>
          <w:sz w:val="28"/>
          <w:szCs w:val="28"/>
        </w:rPr>
        <w:t>2、建设地点——指项目所在地详细地址，公路、铁路应填写起止地点。</w:t>
      </w:r>
    </w:p>
    <w:p>
      <w:pPr>
        <w:ind w:firstLine="560" w:firstLineChars="200"/>
        <w:rPr>
          <w:rFonts w:ascii="宋体" w:hAnsi="宋体" w:cs="宋体"/>
          <w:sz w:val="28"/>
          <w:szCs w:val="28"/>
        </w:rPr>
      </w:pPr>
      <w:r>
        <w:rPr>
          <w:rFonts w:hint="eastAsia" w:ascii="宋体" w:hAnsi="宋体" w:cs="宋体"/>
          <w:sz w:val="28"/>
          <w:szCs w:val="28"/>
        </w:rPr>
        <w:t>3、行业类别——按国标填写。</w:t>
      </w:r>
    </w:p>
    <w:p>
      <w:pPr>
        <w:ind w:firstLine="560" w:firstLineChars="200"/>
        <w:rPr>
          <w:rFonts w:ascii="宋体" w:hAnsi="宋体" w:cs="宋体"/>
          <w:sz w:val="28"/>
          <w:szCs w:val="28"/>
        </w:rPr>
      </w:pPr>
      <w:r>
        <w:rPr>
          <w:rFonts w:hint="eastAsia" w:ascii="宋体" w:hAnsi="宋体" w:cs="宋体"/>
          <w:sz w:val="28"/>
          <w:szCs w:val="28"/>
        </w:rPr>
        <w:t>4、总投资——指项目投资总额。</w:t>
      </w:r>
    </w:p>
    <w:p>
      <w:pPr>
        <w:ind w:firstLine="560" w:firstLineChars="200"/>
        <w:rPr>
          <w:rFonts w:ascii="宋体" w:hAnsi="宋体" w:cs="宋体"/>
          <w:sz w:val="28"/>
          <w:szCs w:val="28"/>
        </w:rPr>
      </w:pPr>
      <w:r>
        <w:rPr>
          <w:rFonts w:hint="eastAsia" w:ascii="宋体" w:hAnsi="宋体" w:cs="宋体"/>
          <w:sz w:val="28"/>
          <w:szCs w:val="28"/>
        </w:rPr>
        <w:t>5、主要环境保护目标——指项目区周围一定范围内集中居民住宅区、学校、医院、保护文物、风景名胜区、水源地和生态敏感点等，应尽可能给出保护目标、性质、规模和距边界距离等。</w:t>
      </w:r>
    </w:p>
    <w:p>
      <w:pPr>
        <w:ind w:firstLine="560" w:firstLineChars="200"/>
        <w:rPr>
          <w:rFonts w:ascii="宋体" w:hAnsi="宋体" w:cs="宋体"/>
          <w:sz w:val="28"/>
          <w:szCs w:val="28"/>
        </w:rPr>
      </w:pPr>
      <w:r>
        <w:rPr>
          <w:rFonts w:hint="eastAsia" w:ascii="宋体" w:hAnsi="宋体" w:cs="宋体"/>
          <w:sz w:val="28"/>
          <w:szCs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ind w:firstLine="560" w:firstLineChars="200"/>
        <w:jc w:val="left"/>
        <w:rPr>
          <w:rFonts w:ascii="宋体" w:hAnsi="宋体" w:cs="宋体"/>
          <w:sz w:val="28"/>
          <w:szCs w:val="28"/>
        </w:rPr>
      </w:pPr>
      <w:r>
        <w:rPr>
          <w:rFonts w:hint="eastAsia" w:ascii="宋体" w:hAnsi="宋体" w:cs="宋体"/>
          <w:sz w:val="28"/>
          <w:szCs w:val="28"/>
        </w:rPr>
        <w:t>7、预审意见——由行业主管部门填写答复意见，无主管部门项目，可不填。</w:t>
      </w:r>
    </w:p>
    <w:p>
      <w:pPr>
        <w:ind w:firstLine="560" w:firstLineChars="200"/>
        <w:sectPr>
          <w:footerReference r:id="rId3" w:type="default"/>
          <w:pgSz w:w="11906" w:h="16838"/>
          <w:pgMar w:top="1134" w:right="1077" w:bottom="1276" w:left="1304" w:header="851" w:footer="992" w:gutter="0"/>
          <w:pgBorders>
            <w:top w:val="none" w:sz="0" w:space="0"/>
            <w:left w:val="none" w:sz="0" w:space="0"/>
            <w:bottom w:val="none" w:sz="0" w:space="0"/>
            <w:right w:val="none" w:sz="0" w:space="0"/>
          </w:pgBorders>
          <w:cols w:space="720" w:num="1"/>
          <w:docGrid w:type="lines" w:linePitch="329" w:charSpace="0"/>
        </w:sectPr>
      </w:pPr>
      <w:r>
        <w:rPr>
          <w:rFonts w:hint="eastAsia" w:ascii="宋体" w:hAnsi="宋体" w:cs="宋体"/>
          <w:sz w:val="28"/>
          <w:szCs w:val="28"/>
        </w:rPr>
        <w:t>8、审批意见——由负责审批该项目的环境保护行政主管部门批复</w:t>
      </w:r>
      <w:bookmarkStart w:id="0" w:name="_Toc478739428"/>
      <w:bookmarkStart w:id="1" w:name="_Toc7580"/>
    </w:p>
    <w:p>
      <w:pPr>
        <w:pStyle w:val="3"/>
      </w:pPr>
      <w:r>
        <w:rPr>
          <w:rFonts w:hint="eastAsia"/>
        </w:rPr>
        <w:t>一、建设项目基本情况</w:t>
      </w:r>
    </w:p>
    <w:tbl>
      <w:tblPr>
        <w:tblStyle w:val="23"/>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442"/>
        <w:gridCol w:w="1565"/>
        <w:gridCol w:w="2034"/>
        <w:gridCol w:w="2065"/>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noWrap/>
            <w:vAlign w:val="center"/>
          </w:tcPr>
          <w:p>
            <w:pPr>
              <w:pStyle w:val="40"/>
              <w:rPr>
                <w:rFonts w:ascii="新宋体" w:hAnsi="新宋体" w:cs="新宋体"/>
                <w:szCs w:val="21"/>
              </w:rPr>
            </w:pPr>
            <w:r>
              <w:rPr>
                <w:rFonts w:hint="eastAsia" w:ascii="新宋体" w:hAnsi="新宋体" w:cs="新宋体"/>
                <w:szCs w:val="21"/>
              </w:rPr>
              <w:t>项目名称</w:t>
            </w:r>
          </w:p>
        </w:tc>
        <w:tc>
          <w:tcPr>
            <w:tcW w:w="4360" w:type="pct"/>
            <w:gridSpan w:val="5"/>
            <w:noWrap/>
            <w:vAlign w:val="center"/>
          </w:tcPr>
          <w:p>
            <w:pPr>
              <w:pStyle w:val="40"/>
              <w:rPr>
                <w:rFonts w:ascii="新宋体" w:hAnsi="新宋体" w:cs="新宋体"/>
                <w:szCs w:val="21"/>
              </w:rPr>
            </w:pPr>
            <w:r>
              <w:rPr>
                <w:rFonts w:hint="eastAsia" w:ascii="新宋体" w:hAnsi="新宋体" w:cs="新宋体"/>
                <w:szCs w:val="21"/>
              </w:rPr>
              <w:t>年加工150万平方米纸箱项目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639" w:type="pct"/>
            <w:noWrap/>
            <w:vAlign w:val="center"/>
          </w:tcPr>
          <w:p>
            <w:pPr>
              <w:pStyle w:val="40"/>
              <w:rPr>
                <w:rFonts w:ascii="新宋体" w:hAnsi="新宋体" w:cs="新宋体"/>
                <w:szCs w:val="21"/>
              </w:rPr>
            </w:pPr>
            <w:r>
              <w:rPr>
                <w:rFonts w:hint="eastAsia" w:ascii="新宋体" w:hAnsi="新宋体" w:cs="新宋体"/>
                <w:szCs w:val="21"/>
              </w:rPr>
              <w:t>建设单位</w:t>
            </w:r>
          </w:p>
        </w:tc>
        <w:tc>
          <w:tcPr>
            <w:tcW w:w="4360" w:type="pct"/>
            <w:gridSpan w:val="5"/>
            <w:noWrap/>
            <w:vAlign w:val="center"/>
          </w:tcPr>
          <w:p>
            <w:pPr>
              <w:pStyle w:val="40"/>
              <w:rPr>
                <w:rFonts w:ascii="新宋体" w:hAnsi="新宋体" w:cs="新宋体"/>
                <w:szCs w:val="21"/>
              </w:rPr>
            </w:pPr>
            <w:r>
              <w:rPr>
                <w:rFonts w:hint="eastAsia" w:ascii="新宋体" w:hAnsi="新宋体" w:cs="新宋体"/>
                <w:szCs w:val="21"/>
              </w:rPr>
              <w:t>淮南市永发</w:t>
            </w:r>
            <w:r>
              <w:rPr>
                <w:rFonts w:hint="eastAsia" w:ascii="新宋体" w:hAnsi="新宋体" w:cs="新宋体"/>
                <w:szCs w:val="21"/>
                <w:lang w:val="en-US" w:eastAsia="zh-CN"/>
              </w:rPr>
              <w:t>纸制品</w:t>
            </w:r>
            <w:r>
              <w:rPr>
                <w:rFonts w:hint="eastAsia" w:ascii="新宋体" w:hAnsi="新宋体" w:cs="新宋体"/>
                <w:szCs w:val="21"/>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noWrap/>
            <w:vAlign w:val="center"/>
          </w:tcPr>
          <w:p>
            <w:pPr>
              <w:pStyle w:val="40"/>
              <w:rPr>
                <w:rFonts w:ascii="新宋体" w:hAnsi="新宋体" w:cs="新宋体"/>
                <w:szCs w:val="21"/>
              </w:rPr>
            </w:pPr>
            <w:r>
              <w:rPr>
                <w:rFonts w:hint="eastAsia" w:ascii="新宋体" w:hAnsi="新宋体" w:cs="新宋体"/>
                <w:szCs w:val="21"/>
                <w:highlight w:val="none"/>
              </w:rPr>
              <w:t>法人代表</w:t>
            </w:r>
          </w:p>
        </w:tc>
        <w:tc>
          <w:tcPr>
            <w:tcW w:w="1629" w:type="pct"/>
            <w:gridSpan w:val="2"/>
            <w:noWrap/>
            <w:vAlign w:val="center"/>
          </w:tcPr>
          <w:p>
            <w:pPr>
              <w:pStyle w:val="40"/>
              <w:rPr>
                <w:rFonts w:ascii="新宋体" w:hAnsi="新宋体" w:cs="新宋体"/>
                <w:szCs w:val="21"/>
              </w:rPr>
            </w:pPr>
            <w:r>
              <w:rPr>
                <w:rFonts w:hint="eastAsia" w:ascii="新宋体" w:hAnsi="新宋体" w:cs="新宋体"/>
                <w:szCs w:val="21"/>
              </w:rPr>
              <w:t>李松松</w:t>
            </w:r>
          </w:p>
        </w:tc>
        <w:tc>
          <w:tcPr>
            <w:tcW w:w="1102" w:type="pct"/>
            <w:noWrap/>
            <w:vAlign w:val="center"/>
          </w:tcPr>
          <w:p>
            <w:pPr>
              <w:pStyle w:val="40"/>
              <w:rPr>
                <w:rFonts w:ascii="新宋体" w:hAnsi="新宋体" w:cs="新宋体"/>
                <w:szCs w:val="21"/>
              </w:rPr>
            </w:pPr>
            <w:r>
              <w:rPr>
                <w:rFonts w:hint="eastAsia" w:ascii="新宋体" w:hAnsi="新宋体" w:cs="新宋体"/>
                <w:szCs w:val="21"/>
              </w:rPr>
              <w:t>联系人</w:t>
            </w:r>
          </w:p>
        </w:tc>
        <w:tc>
          <w:tcPr>
            <w:tcW w:w="1628" w:type="pct"/>
            <w:gridSpan w:val="2"/>
            <w:noWrap/>
            <w:vAlign w:val="center"/>
          </w:tcPr>
          <w:p>
            <w:pPr>
              <w:pStyle w:val="40"/>
              <w:rPr>
                <w:rFonts w:ascii="新宋体" w:hAnsi="新宋体" w:cs="新宋体"/>
                <w:szCs w:val="21"/>
              </w:rPr>
            </w:pPr>
            <w:r>
              <w:rPr>
                <w:rFonts w:hint="eastAsia" w:ascii="新宋体" w:hAnsi="新宋体" w:cs="新宋体"/>
                <w:szCs w:val="21"/>
              </w:rPr>
              <w:t>李松松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noWrap/>
            <w:vAlign w:val="center"/>
          </w:tcPr>
          <w:p>
            <w:pPr>
              <w:pStyle w:val="40"/>
              <w:rPr>
                <w:rFonts w:ascii="新宋体" w:hAnsi="新宋体" w:cs="新宋体"/>
                <w:szCs w:val="21"/>
              </w:rPr>
            </w:pPr>
            <w:r>
              <w:rPr>
                <w:rFonts w:hint="eastAsia" w:ascii="新宋体" w:hAnsi="新宋体" w:cs="新宋体"/>
                <w:szCs w:val="21"/>
                <w:highlight w:val="none"/>
              </w:rPr>
              <w:t>通讯地址</w:t>
            </w:r>
          </w:p>
        </w:tc>
        <w:tc>
          <w:tcPr>
            <w:tcW w:w="4360" w:type="pct"/>
            <w:gridSpan w:val="5"/>
            <w:noWrap/>
            <w:vAlign w:val="center"/>
          </w:tcPr>
          <w:p>
            <w:pPr>
              <w:pStyle w:val="40"/>
              <w:rPr>
                <w:rFonts w:ascii="新宋体" w:hAnsi="新宋体" w:cs="新宋体"/>
                <w:szCs w:val="21"/>
              </w:rPr>
            </w:pPr>
            <w:r>
              <w:rPr>
                <w:rFonts w:hint="eastAsia" w:ascii="新宋体" w:hAnsi="新宋体" w:cs="新宋体"/>
                <w:szCs w:val="21"/>
              </w:rPr>
              <w:t>淮南市经济技术开发区永兴路东侧淮南市金安包装有限公司院内3号车间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noWrap/>
            <w:vAlign w:val="center"/>
          </w:tcPr>
          <w:p>
            <w:pPr>
              <w:pStyle w:val="40"/>
              <w:rPr>
                <w:rFonts w:ascii="新宋体" w:hAnsi="新宋体" w:cs="新宋体"/>
                <w:szCs w:val="21"/>
              </w:rPr>
            </w:pPr>
            <w:r>
              <w:rPr>
                <w:rFonts w:hint="eastAsia" w:ascii="新宋体" w:hAnsi="新宋体" w:cs="新宋体"/>
                <w:szCs w:val="21"/>
              </w:rPr>
              <w:t>联系电话</w:t>
            </w:r>
          </w:p>
        </w:tc>
        <w:tc>
          <w:tcPr>
            <w:tcW w:w="781" w:type="pct"/>
            <w:noWrap/>
            <w:vAlign w:val="center"/>
          </w:tcPr>
          <w:p>
            <w:pPr>
              <w:pStyle w:val="40"/>
              <w:rPr>
                <w:rFonts w:ascii="新宋体" w:hAnsi="新宋体" w:cs="新宋体"/>
                <w:szCs w:val="21"/>
              </w:rPr>
            </w:pPr>
            <w:r>
              <w:rPr>
                <w:rFonts w:hint="eastAsia" w:ascii="新宋体" w:hAnsi="新宋体" w:cs="新宋体"/>
                <w:szCs w:val="21"/>
              </w:rPr>
              <w:t>18075452168</w:t>
            </w:r>
          </w:p>
        </w:tc>
        <w:tc>
          <w:tcPr>
            <w:tcW w:w="847" w:type="pct"/>
            <w:noWrap/>
            <w:vAlign w:val="center"/>
          </w:tcPr>
          <w:p>
            <w:pPr>
              <w:pStyle w:val="40"/>
              <w:rPr>
                <w:rFonts w:ascii="新宋体" w:hAnsi="新宋体" w:cs="新宋体"/>
                <w:szCs w:val="21"/>
              </w:rPr>
            </w:pPr>
            <w:r>
              <w:rPr>
                <w:rFonts w:hint="eastAsia" w:ascii="新宋体" w:hAnsi="新宋体" w:cs="新宋体"/>
                <w:szCs w:val="21"/>
              </w:rPr>
              <w:t>传真</w:t>
            </w:r>
          </w:p>
        </w:tc>
        <w:tc>
          <w:tcPr>
            <w:tcW w:w="1102" w:type="pct"/>
            <w:noWrap/>
            <w:vAlign w:val="center"/>
          </w:tcPr>
          <w:p>
            <w:pPr>
              <w:pStyle w:val="40"/>
              <w:rPr>
                <w:rFonts w:ascii="新宋体" w:hAnsi="新宋体" w:cs="新宋体"/>
                <w:szCs w:val="21"/>
              </w:rPr>
            </w:pPr>
            <w:r>
              <w:rPr>
                <w:rFonts w:hint="eastAsia" w:ascii="新宋体" w:hAnsi="新宋体" w:cs="新宋体"/>
                <w:szCs w:val="21"/>
              </w:rPr>
              <w:t>/</w:t>
            </w:r>
          </w:p>
        </w:tc>
        <w:tc>
          <w:tcPr>
            <w:tcW w:w="1119" w:type="pct"/>
            <w:noWrap/>
            <w:vAlign w:val="center"/>
          </w:tcPr>
          <w:p>
            <w:pPr>
              <w:pStyle w:val="40"/>
              <w:rPr>
                <w:rFonts w:ascii="新宋体" w:hAnsi="新宋体" w:cs="新宋体"/>
                <w:szCs w:val="21"/>
              </w:rPr>
            </w:pPr>
            <w:r>
              <w:rPr>
                <w:rFonts w:hint="eastAsia" w:ascii="新宋体" w:hAnsi="新宋体" w:cs="新宋体"/>
                <w:szCs w:val="21"/>
              </w:rPr>
              <w:t>邮政编码</w:t>
            </w:r>
          </w:p>
        </w:tc>
        <w:tc>
          <w:tcPr>
            <w:tcW w:w="509" w:type="pct"/>
            <w:noWrap/>
            <w:vAlign w:val="center"/>
          </w:tcPr>
          <w:p>
            <w:pPr>
              <w:pStyle w:val="40"/>
              <w:rPr>
                <w:rFonts w:ascii="新宋体" w:hAnsi="新宋体" w:cs="新宋体"/>
                <w:szCs w:val="21"/>
              </w:rPr>
            </w:pPr>
            <w:r>
              <w:rPr>
                <w:rFonts w:hint="eastAsia" w:ascii="新宋体" w:hAnsi="新宋体" w:cs="新宋体"/>
                <w:szCs w:val="21"/>
              </w:rPr>
              <w:t>232033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noWrap/>
            <w:vAlign w:val="center"/>
          </w:tcPr>
          <w:p>
            <w:pPr>
              <w:pStyle w:val="40"/>
              <w:rPr>
                <w:rFonts w:ascii="新宋体" w:hAnsi="新宋体" w:cs="新宋体"/>
                <w:szCs w:val="21"/>
              </w:rPr>
            </w:pPr>
            <w:r>
              <w:rPr>
                <w:rFonts w:hint="eastAsia" w:ascii="新宋体" w:hAnsi="新宋体" w:cs="新宋体"/>
                <w:szCs w:val="21"/>
              </w:rPr>
              <w:t>建设地点</w:t>
            </w:r>
          </w:p>
        </w:tc>
        <w:tc>
          <w:tcPr>
            <w:tcW w:w="4360" w:type="pct"/>
            <w:gridSpan w:val="5"/>
            <w:noWrap/>
            <w:vAlign w:val="center"/>
          </w:tcPr>
          <w:p>
            <w:pPr>
              <w:pStyle w:val="40"/>
              <w:rPr>
                <w:rFonts w:ascii="新宋体" w:hAnsi="新宋体" w:cs="新宋体"/>
                <w:szCs w:val="21"/>
              </w:rPr>
            </w:pPr>
            <w:r>
              <w:rPr>
                <w:rFonts w:hint="eastAsia" w:ascii="新宋体" w:hAnsi="新宋体" w:cs="新宋体"/>
                <w:szCs w:val="21"/>
              </w:rPr>
              <w:t>淮南市经济技术开发区永兴路东侧淮南市金安包装有限公司院内3号车间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noWrap/>
            <w:vAlign w:val="center"/>
          </w:tcPr>
          <w:p>
            <w:pPr>
              <w:pStyle w:val="40"/>
              <w:rPr>
                <w:rFonts w:ascii="新宋体" w:hAnsi="新宋体" w:cs="新宋体"/>
                <w:szCs w:val="21"/>
              </w:rPr>
            </w:pPr>
            <w:r>
              <w:rPr>
                <w:rFonts w:hint="eastAsia" w:ascii="新宋体" w:hAnsi="新宋体" w:cs="新宋体"/>
                <w:szCs w:val="21"/>
              </w:rPr>
              <w:t>立项审批</w:t>
            </w:r>
          </w:p>
        </w:tc>
        <w:tc>
          <w:tcPr>
            <w:tcW w:w="1629" w:type="pct"/>
            <w:gridSpan w:val="2"/>
            <w:noWrap/>
            <w:vAlign w:val="center"/>
          </w:tcPr>
          <w:p>
            <w:pPr>
              <w:pStyle w:val="40"/>
              <w:rPr>
                <w:rFonts w:ascii="新宋体" w:hAnsi="新宋体" w:cs="新宋体"/>
                <w:szCs w:val="21"/>
              </w:rPr>
            </w:pPr>
            <w:r>
              <w:rPr>
                <w:rFonts w:hint="eastAsia" w:ascii="新宋体" w:hAnsi="新宋体" w:cs="新宋体"/>
                <w:szCs w:val="21"/>
              </w:rPr>
              <w:t>淮南经济技术开发区管理委员会</w:t>
            </w:r>
          </w:p>
        </w:tc>
        <w:tc>
          <w:tcPr>
            <w:tcW w:w="1102" w:type="pct"/>
            <w:noWrap/>
            <w:vAlign w:val="center"/>
          </w:tcPr>
          <w:p>
            <w:pPr>
              <w:pStyle w:val="40"/>
              <w:rPr>
                <w:rFonts w:ascii="新宋体" w:hAnsi="新宋体" w:cs="新宋体"/>
                <w:szCs w:val="21"/>
              </w:rPr>
            </w:pPr>
            <w:r>
              <w:rPr>
                <w:rFonts w:hint="eastAsia" w:ascii="新宋体" w:hAnsi="新宋体" w:cs="新宋体"/>
                <w:szCs w:val="21"/>
              </w:rPr>
              <w:t>项目代码</w:t>
            </w:r>
          </w:p>
        </w:tc>
        <w:tc>
          <w:tcPr>
            <w:tcW w:w="1628" w:type="pct"/>
            <w:gridSpan w:val="2"/>
            <w:noWrap/>
            <w:vAlign w:val="center"/>
          </w:tcPr>
          <w:p>
            <w:pPr>
              <w:pStyle w:val="40"/>
              <w:rPr>
                <w:rFonts w:ascii="新宋体" w:hAnsi="新宋体" w:cs="新宋体"/>
                <w:szCs w:val="21"/>
              </w:rPr>
            </w:pPr>
            <w:r>
              <w:rPr>
                <w:rFonts w:hint="eastAsia" w:ascii="新宋体" w:hAnsi="新宋体" w:cs="新宋体"/>
                <w:szCs w:val="21"/>
              </w:rPr>
              <w:t>2020-340461-22-03-027957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noWrap/>
            <w:vAlign w:val="center"/>
          </w:tcPr>
          <w:p>
            <w:pPr>
              <w:pStyle w:val="40"/>
              <w:rPr>
                <w:rFonts w:ascii="新宋体" w:hAnsi="新宋体" w:cs="新宋体"/>
                <w:szCs w:val="21"/>
              </w:rPr>
            </w:pPr>
            <w:r>
              <w:rPr>
                <w:rFonts w:hint="eastAsia" w:ascii="新宋体" w:hAnsi="新宋体" w:cs="新宋体"/>
                <w:szCs w:val="21"/>
              </w:rPr>
              <w:t>建设性质</w:t>
            </w:r>
          </w:p>
        </w:tc>
        <w:tc>
          <w:tcPr>
            <w:tcW w:w="1629" w:type="pct"/>
            <w:gridSpan w:val="2"/>
            <w:noWrap/>
            <w:vAlign w:val="center"/>
          </w:tcPr>
          <w:p>
            <w:pPr>
              <w:pStyle w:val="40"/>
              <w:rPr>
                <w:rFonts w:ascii="新宋体" w:hAnsi="新宋体" w:cs="新宋体"/>
                <w:szCs w:val="21"/>
              </w:rPr>
            </w:pPr>
            <w:r>
              <w:rPr>
                <w:rFonts w:hint="eastAsia" w:ascii="新宋体" w:hAnsi="新宋体" w:cs="新宋体"/>
                <w:szCs w:val="21"/>
              </w:rPr>
              <w:t>新建</w:t>
            </w:r>
            <w:r>
              <w:rPr>
                <w:rFonts w:hint="eastAsia" w:ascii="新宋体" w:hAnsi="新宋体" w:cs="新宋体"/>
                <w:szCs w:val="21"/>
                <w:highlight w:val="none"/>
              </w:rPr>
              <w:sym w:font="Wingdings 2" w:char="0052"/>
            </w:r>
            <w:r>
              <w:rPr>
                <w:rFonts w:hint="eastAsia" w:ascii="新宋体" w:hAnsi="新宋体" w:cs="新宋体"/>
                <w:szCs w:val="21"/>
              </w:rPr>
              <w:t xml:space="preserve"> 改扩建□ 技改□</w:t>
            </w:r>
          </w:p>
        </w:tc>
        <w:tc>
          <w:tcPr>
            <w:tcW w:w="1102" w:type="pct"/>
            <w:noWrap/>
            <w:vAlign w:val="center"/>
          </w:tcPr>
          <w:p>
            <w:pPr>
              <w:pStyle w:val="40"/>
              <w:rPr>
                <w:rFonts w:ascii="新宋体" w:hAnsi="新宋体" w:cs="新宋体"/>
                <w:szCs w:val="21"/>
              </w:rPr>
            </w:pPr>
            <w:r>
              <w:rPr>
                <w:rFonts w:hint="eastAsia" w:ascii="新宋体" w:hAnsi="新宋体" w:cs="新宋体"/>
                <w:szCs w:val="21"/>
              </w:rPr>
              <w:t>行业类别及代码</w:t>
            </w:r>
          </w:p>
        </w:tc>
        <w:tc>
          <w:tcPr>
            <w:tcW w:w="1628" w:type="pct"/>
            <w:gridSpan w:val="2"/>
            <w:noWrap/>
            <w:vAlign w:val="center"/>
          </w:tcPr>
          <w:p>
            <w:pPr>
              <w:pStyle w:val="40"/>
              <w:rPr>
                <w:rFonts w:hint="eastAsia" w:ascii="新宋体" w:hAnsi="新宋体" w:cs="新宋体"/>
                <w:szCs w:val="21"/>
              </w:rPr>
            </w:pPr>
            <w:r>
              <w:rPr>
                <w:rFonts w:hint="eastAsia" w:ascii="新宋体" w:hAnsi="新宋体" w:cs="新宋体"/>
                <w:szCs w:val="21"/>
              </w:rPr>
              <w:t>（C2319）包装装潢及其他印刷</w:t>
            </w:r>
          </w:p>
          <w:p>
            <w:pPr>
              <w:pStyle w:val="40"/>
              <w:rPr>
                <w:rFonts w:hint="default" w:ascii="新宋体" w:hAnsi="新宋体" w:eastAsia="新宋体" w:cs="新宋体"/>
                <w:szCs w:val="21"/>
                <w:lang w:val="en-US" w:eastAsia="zh-CN"/>
              </w:rPr>
            </w:pPr>
            <w:r>
              <w:rPr>
                <w:rFonts w:hint="eastAsia" w:ascii="新宋体" w:hAnsi="新宋体" w:cs="新宋体"/>
                <w:szCs w:val="21"/>
                <w:lang w:eastAsia="zh-CN"/>
              </w:rPr>
              <w:t>（</w:t>
            </w:r>
            <w:r>
              <w:rPr>
                <w:rFonts w:hint="eastAsia" w:ascii="新宋体" w:hAnsi="新宋体" w:cs="新宋体"/>
                <w:szCs w:val="21"/>
                <w:lang w:val="en-US" w:eastAsia="zh-CN"/>
              </w:rPr>
              <w:t>C2231</w:t>
            </w:r>
            <w:r>
              <w:rPr>
                <w:rFonts w:hint="eastAsia" w:ascii="新宋体" w:hAnsi="新宋体" w:cs="新宋体"/>
                <w:szCs w:val="21"/>
                <w:lang w:eastAsia="zh-CN"/>
              </w:rPr>
              <w:t>）</w:t>
            </w:r>
            <w:r>
              <w:rPr>
                <w:rFonts w:hint="eastAsia" w:ascii="新宋体" w:hAnsi="新宋体" w:cs="新宋体"/>
                <w:szCs w:val="21"/>
                <w:lang w:val="en-US" w:eastAsia="zh-CN"/>
              </w:rPr>
              <w:t>纸和纸板容器制造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noWrap/>
            <w:vAlign w:val="center"/>
          </w:tcPr>
          <w:p>
            <w:pPr>
              <w:pStyle w:val="40"/>
              <w:rPr>
                <w:rFonts w:ascii="新宋体" w:hAnsi="新宋体" w:cs="新宋体"/>
                <w:szCs w:val="21"/>
              </w:rPr>
            </w:pPr>
            <w:r>
              <w:rPr>
                <w:rFonts w:hint="eastAsia" w:ascii="新宋体" w:hAnsi="新宋体" w:cs="新宋体"/>
                <w:szCs w:val="21"/>
              </w:rPr>
              <w:t>占地面积</w:t>
            </w:r>
          </w:p>
        </w:tc>
        <w:tc>
          <w:tcPr>
            <w:tcW w:w="1629" w:type="pct"/>
            <w:gridSpan w:val="2"/>
            <w:noWrap/>
            <w:vAlign w:val="center"/>
          </w:tcPr>
          <w:p>
            <w:pPr>
              <w:pStyle w:val="40"/>
              <w:rPr>
                <w:rFonts w:ascii="新宋体" w:hAnsi="新宋体" w:cs="新宋体"/>
                <w:szCs w:val="21"/>
              </w:rPr>
            </w:pPr>
            <w:r>
              <w:rPr>
                <w:rFonts w:hint="eastAsia" w:ascii="新宋体" w:hAnsi="新宋体" w:cs="新宋体"/>
                <w:szCs w:val="21"/>
              </w:rPr>
              <w:t>1324.36㎡</w:t>
            </w:r>
          </w:p>
        </w:tc>
        <w:tc>
          <w:tcPr>
            <w:tcW w:w="1102" w:type="pct"/>
            <w:noWrap/>
            <w:vAlign w:val="center"/>
          </w:tcPr>
          <w:p>
            <w:pPr>
              <w:pStyle w:val="40"/>
              <w:rPr>
                <w:rFonts w:ascii="新宋体" w:hAnsi="新宋体" w:cs="新宋体"/>
                <w:szCs w:val="21"/>
              </w:rPr>
            </w:pPr>
            <w:r>
              <w:rPr>
                <w:rFonts w:hint="eastAsia" w:ascii="新宋体" w:hAnsi="新宋体" w:cs="新宋体"/>
                <w:szCs w:val="21"/>
              </w:rPr>
              <w:t>绿化面积</w:t>
            </w:r>
            <w:r>
              <w:rPr>
                <w:rFonts w:hint="eastAsia" w:ascii="新宋体" w:hAnsi="新宋体" w:cs="新宋体"/>
                <w:szCs w:val="21"/>
                <w:highlight w:val="none"/>
              </w:rPr>
              <w:t>(</w:t>
            </w:r>
            <w:r>
              <w:rPr>
                <w:rFonts w:hint="eastAsia" w:ascii="新宋体" w:hAnsi="新宋体" w:cs="新宋体"/>
                <w:szCs w:val="21"/>
              </w:rPr>
              <w:t>平方米</w:t>
            </w:r>
            <w:r>
              <w:rPr>
                <w:rFonts w:hint="eastAsia" w:ascii="新宋体" w:hAnsi="新宋体" w:cs="新宋体"/>
                <w:szCs w:val="21"/>
                <w:highlight w:val="none"/>
              </w:rPr>
              <w:t>)</w:t>
            </w:r>
          </w:p>
        </w:tc>
        <w:tc>
          <w:tcPr>
            <w:tcW w:w="1628" w:type="pct"/>
            <w:gridSpan w:val="2"/>
            <w:noWrap/>
            <w:vAlign w:val="center"/>
          </w:tcPr>
          <w:p>
            <w:pPr>
              <w:pStyle w:val="40"/>
              <w:rPr>
                <w:rFonts w:ascii="新宋体" w:hAnsi="新宋体" w:cs="新宋体"/>
                <w:szCs w:val="21"/>
              </w:rPr>
            </w:pPr>
            <w:r>
              <w:rPr>
                <w:rFonts w:hint="eastAsia" w:ascii="新宋体" w:hAnsi="新宋体" w:cs="新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noWrap/>
            <w:vAlign w:val="center"/>
          </w:tcPr>
          <w:p>
            <w:pPr>
              <w:pStyle w:val="40"/>
              <w:rPr>
                <w:rFonts w:ascii="新宋体" w:hAnsi="新宋体" w:cs="新宋体"/>
                <w:szCs w:val="21"/>
              </w:rPr>
            </w:pPr>
            <w:r>
              <w:rPr>
                <w:rFonts w:hint="eastAsia" w:ascii="新宋体" w:hAnsi="新宋体" w:cs="新宋体"/>
                <w:szCs w:val="21"/>
              </w:rPr>
              <w:t>总投资</w:t>
            </w:r>
          </w:p>
          <w:p>
            <w:pPr>
              <w:pStyle w:val="40"/>
              <w:rPr>
                <w:rFonts w:ascii="新宋体" w:hAnsi="新宋体" w:cs="新宋体"/>
                <w:szCs w:val="21"/>
              </w:rPr>
            </w:pPr>
            <w:r>
              <w:rPr>
                <w:rFonts w:hint="eastAsia" w:ascii="新宋体" w:hAnsi="新宋体" w:cs="新宋体"/>
                <w:szCs w:val="21"/>
                <w:highlight w:val="none"/>
              </w:rPr>
              <w:t>(</w:t>
            </w:r>
            <w:r>
              <w:rPr>
                <w:rFonts w:hint="eastAsia" w:ascii="新宋体" w:hAnsi="新宋体" w:cs="新宋体"/>
                <w:szCs w:val="21"/>
              </w:rPr>
              <w:t>万元</w:t>
            </w:r>
            <w:r>
              <w:rPr>
                <w:rFonts w:hint="eastAsia" w:ascii="新宋体" w:hAnsi="新宋体" w:cs="新宋体"/>
                <w:szCs w:val="21"/>
                <w:highlight w:val="none"/>
              </w:rPr>
              <w:t>)</w:t>
            </w:r>
          </w:p>
        </w:tc>
        <w:tc>
          <w:tcPr>
            <w:tcW w:w="781" w:type="pct"/>
            <w:noWrap/>
            <w:vAlign w:val="center"/>
          </w:tcPr>
          <w:p>
            <w:pPr>
              <w:pStyle w:val="40"/>
              <w:rPr>
                <w:rFonts w:ascii="新宋体" w:hAnsi="新宋体" w:cs="新宋体"/>
                <w:szCs w:val="21"/>
              </w:rPr>
            </w:pPr>
            <w:r>
              <w:rPr>
                <w:rFonts w:hint="eastAsia" w:ascii="新宋体" w:hAnsi="新宋体" w:cs="新宋体"/>
                <w:szCs w:val="21"/>
              </w:rPr>
              <w:t>800</w:t>
            </w:r>
          </w:p>
        </w:tc>
        <w:tc>
          <w:tcPr>
            <w:tcW w:w="847" w:type="pct"/>
            <w:noWrap/>
            <w:vAlign w:val="center"/>
          </w:tcPr>
          <w:p>
            <w:pPr>
              <w:pStyle w:val="40"/>
              <w:rPr>
                <w:rFonts w:ascii="新宋体" w:hAnsi="新宋体" w:cs="新宋体"/>
                <w:szCs w:val="21"/>
              </w:rPr>
            </w:pPr>
            <w:r>
              <w:rPr>
                <w:rFonts w:hint="eastAsia" w:ascii="新宋体" w:hAnsi="新宋体" w:cs="新宋体"/>
                <w:szCs w:val="21"/>
              </w:rPr>
              <w:t>其中:环保投资</w:t>
            </w:r>
            <w:r>
              <w:rPr>
                <w:rFonts w:hint="eastAsia" w:ascii="新宋体" w:hAnsi="新宋体" w:cs="新宋体"/>
                <w:szCs w:val="21"/>
                <w:highlight w:val="none"/>
              </w:rPr>
              <w:t>(</w:t>
            </w:r>
            <w:r>
              <w:rPr>
                <w:rFonts w:hint="eastAsia" w:ascii="新宋体" w:hAnsi="新宋体" w:cs="新宋体"/>
                <w:szCs w:val="21"/>
              </w:rPr>
              <w:t>万元</w:t>
            </w:r>
            <w:r>
              <w:rPr>
                <w:rFonts w:hint="eastAsia" w:ascii="新宋体" w:hAnsi="新宋体" w:cs="新宋体"/>
                <w:szCs w:val="21"/>
                <w:highlight w:val="none"/>
              </w:rPr>
              <w:t>)</w:t>
            </w:r>
          </w:p>
        </w:tc>
        <w:tc>
          <w:tcPr>
            <w:tcW w:w="1102" w:type="pct"/>
            <w:noWrap/>
            <w:vAlign w:val="center"/>
          </w:tcPr>
          <w:p>
            <w:pPr>
              <w:pStyle w:val="40"/>
              <w:rPr>
                <w:rFonts w:ascii="新宋体" w:hAnsi="新宋体" w:cs="新宋体"/>
                <w:szCs w:val="21"/>
              </w:rPr>
            </w:pPr>
            <w:r>
              <w:rPr>
                <w:rFonts w:hint="eastAsia" w:ascii="新宋体" w:hAnsi="新宋体" w:cs="新宋体"/>
                <w:szCs w:val="21"/>
              </w:rPr>
              <w:t>10</w:t>
            </w:r>
          </w:p>
        </w:tc>
        <w:tc>
          <w:tcPr>
            <w:tcW w:w="1119" w:type="pct"/>
            <w:noWrap/>
            <w:vAlign w:val="center"/>
          </w:tcPr>
          <w:p>
            <w:pPr>
              <w:pStyle w:val="40"/>
              <w:rPr>
                <w:rFonts w:ascii="新宋体" w:hAnsi="新宋体" w:cs="新宋体"/>
                <w:szCs w:val="21"/>
              </w:rPr>
            </w:pPr>
            <w:r>
              <w:rPr>
                <w:rFonts w:hint="eastAsia" w:ascii="新宋体" w:hAnsi="新宋体" w:cs="新宋体"/>
                <w:szCs w:val="21"/>
              </w:rPr>
              <w:t>环保投资占总投资比例</w:t>
            </w:r>
          </w:p>
        </w:tc>
        <w:tc>
          <w:tcPr>
            <w:tcW w:w="509" w:type="pct"/>
            <w:noWrap/>
            <w:vAlign w:val="center"/>
          </w:tcPr>
          <w:p>
            <w:pPr>
              <w:pStyle w:val="40"/>
              <w:rPr>
                <w:rFonts w:ascii="新宋体" w:hAnsi="新宋体" w:cs="新宋体"/>
                <w:szCs w:val="21"/>
              </w:rPr>
            </w:pPr>
            <w:r>
              <w:rPr>
                <w:rFonts w:hint="eastAsia" w:ascii="新宋体" w:hAnsi="新宋体" w:cs="新宋体"/>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pct"/>
            <w:noWrap/>
            <w:vAlign w:val="center"/>
          </w:tcPr>
          <w:p>
            <w:pPr>
              <w:pStyle w:val="40"/>
              <w:rPr>
                <w:rFonts w:ascii="新宋体" w:hAnsi="新宋体" w:cs="新宋体"/>
                <w:szCs w:val="21"/>
              </w:rPr>
            </w:pPr>
            <w:r>
              <w:rPr>
                <w:rFonts w:hint="eastAsia" w:ascii="新宋体" w:hAnsi="新宋体" w:cs="新宋体"/>
                <w:szCs w:val="21"/>
              </w:rPr>
              <w:t>评价经费</w:t>
            </w:r>
          </w:p>
          <w:p>
            <w:pPr>
              <w:pStyle w:val="40"/>
              <w:rPr>
                <w:rFonts w:ascii="新宋体" w:hAnsi="新宋体" w:cs="新宋体"/>
                <w:szCs w:val="21"/>
              </w:rPr>
            </w:pPr>
            <w:r>
              <w:rPr>
                <w:rFonts w:hint="eastAsia" w:ascii="新宋体" w:hAnsi="新宋体" w:cs="新宋体"/>
                <w:szCs w:val="21"/>
                <w:highlight w:val="none"/>
              </w:rPr>
              <w:t>(</w:t>
            </w:r>
            <w:r>
              <w:rPr>
                <w:rFonts w:hint="eastAsia" w:ascii="新宋体" w:hAnsi="新宋体" w:cs="新宋体"/>
                <w:szCs w:val="21"/>
              </w:rPr>
              <w:t>万元</w:t>
            </w:r>
            <w:r>
              <w:rPr>
                <w:rFonts w:hint="eastAsia" w:ascii="新宋体" w:hAnsi="新宋体" w:cs="新宋体"/>
                <w:szCs w:val="21"/>
                <w:highlight w:val="none"/>
              </w:rPr>
              <w:t>)</w:t>
            </w:r>
          </w:p>
        </w:tc>
        <w:tc>
          <w:tcPr>
            <w:tcW w:w="781" w:type="pct"/>
            <w:noWrap/>
            <w:vAlign w:val="center"/>
          </w:tcPr>
          <w:p>
            <w:pPr>
              <w:pStyle w:val="40"/>
              <w:rPr>
                <w:rFonts w:ascii="新宋体" w:hAnsi="新宋体" w:cs="新宋体"/>
                <w:szCs w:val="21"/>
              </w:rPr>
            </w:pPr>
            <w:r>
              <w:rPr>
                <w:rFonts w:hint="eastAsia" w:ascii="新宋体" w:hAnsi="新宋体" w:cs="新宋体"/>
                <w:szCs w:val="21"/>
              </w:rPr>
              <w:t>/</w:t>
            </w:r>
          </w:p>
        </w:tc>
        <w:tc>
          <w:tcPr>
            <w:tcW w:w="847" w:type="pct"/>
            <w:noWrap/>
            <w:vAlign w:val="center"/>
          </w:tcPr>
          <w:p>
            <w:pPr>
              <w:pStyle w:val="40"/>
              <w:rPr>
                <w:rFonts w:ascii="新宋体" w:hAnsi="新宋体" w:cs="新宋体"/>
                <w:szCs w:val="21"/>
              </w:rPr>
            </w:pPr>
            <w:r>
              <w:rPr>
                <w:rFonts w:hint="eastAsia" w:ascii="新宋体" w:hAnsi="新宋体" w:cs="新宋体"/>
                <w:szCs w:val="21"/>
              </w:rPr>
              <w:t>预期投产日期</w:t>
            </w:r>
          </w:p>
        </w:tc>
        <w:tc>
          <w:tcPr>
            <w:tcW w:w="2731" w:type="pct"/>
            <w:gridSpan w:val="3"/>
            <w:noWrap/>
            <w:vAlign w:val="center"/>
          </w:tcPr>
          <w:p>
            <w:pPr>
              <w:pStyle w:val="40"/>
              <w:rPr>
                <w:rFonts w:ascii="新宋体" w:hAnsi="新宋体" w:cs="新宋体"/>
                <w:szCs w:val="21"/>
              </w:rPr>
            </w:pPr>
            <w:r>
              <w:rPr>
                <w:rFonts w:hint="eastAsia" w:ascii="新宋体" w:hAnsi="新宋体" w:cs="新宋体"/>
                <w:szCs w:val="21"/>
              </w:rPr>
              <w:t>202</w:t>
            </w:r>
            <w:r>
              <w:rPr>
                <w:rFonts w:hint="eastAsia" w:ascii="新宋体" w:hAnsi="新宋体" w:cs="新宋体"/>
                <w:szCs w:val="21"/>
                <w:lang w:val="en-US" w:eastAsia="zh-CN"/>
              </w:rPr>
              <w:t>1</w:t>
            </w:r>
            <w:r>
              <w:rPr>
                <w:rFonts w:hint="eastAsia" w:ascii="新宋体" w:hAnsi="新宋体" w:cs="新宋体"/>
                <w:szCs w:val="21"/>
              </w:rPr>
              <w:t>年</w:t>
            </w:r>
            <w:r>
              <w:rPr>
                <w:rFonts w:hint="eastAsia" w:ascii="新宋体" w:hAnsi="新宋体" w:cs="新宋体"/>
                <w:szCs w:val="21"/>
                <w:lang w:val="en-US" w:eastAsia="zh-CN"/>
              </w:rPr>
              <w:t>3</w:t>
            </w:r>
            <w:r>
              <w:rPr>
                <w:rFonts w:hint="eastAsia" w:ascii="新宋体" w:hAnsi="新宋体" w:cs="新宋体"/>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2" w:hRule="atLeast"/>
          <w:jc w:val="center"/>
        </w:trPr>
        <w:tc>
          <w:tcPr>
            <w:tcW w:w="5000" w:type="pct"/>
            <w:gridSpan w:val="6"/>
            <w:noWrap/>
          </w:tcPr>
          <w:p>
            <w:pPr>
              <w:pStyle w:val="4"/>
            </w:pPr>
            <w:r>
              <w:rPr>
                <w:rFonts w:hint="eastAsia"/>
              </w:rPr>
              <w:t>工程内容及规模</w:t>
            </w:r>
          </w:p>
          <w:p>
            <w:pPr>
              <w:pStyle w:val="4"/>
            </w:pPr>
            <w:r>
              <w:rPr>
                <w:rFonts w:hint="eastAsia"/>
              </w:rPr>
              <w:t>一、项目由来</w:t>
            </w:r>
          </w:p>
          <w:p>
            <w:pPr>
              <w:pStyle w:val="5"/>
            </w:pPr>
            <w:r>
              <w:rPr>
                <w:rFonts w:hint="eastAsia"/>
              </w:rPr>
              <w:t>本项目建设符合国家产业发展规划及行业要求，随着工业经济的迅猛发展，包装业务的需求量也在不断增加。各行各业对纸质包装箱需求增大，纸箱包装是必需品。为满足市场需求，淮南市永发</w:t>
            </w:r>
            <w:r>
              <w:rPr>
                <w:rFonts w:hint="eastAsia"/>
                <w:lang w:val="en-US" w:eastAsia="zh-CN"/>
              </w:rPr>
              <w:t>纸制品</w:t>
            </w:r>
            <w:r>
              <w:rPr>
                <w:rFonts w:hint="eastAsia"/>
              </w:rPr>
              <w:t>有限公司于2020年投资800万元，在淮南市经济技术开发区永兴路东侧淮南市金安包装有限公司院内租赁了3号厂房进行纸箱加工生产，厂房总面积达到1324.36平方米。（租赁合同见附件3）</w:t>
            </w:r>
            <w:r>
              <w:t>购置主要设备</w:t>
            </w:r>
            <w:r>
              <w:rPr>
                <w:rFonts w:hint="eastAsia"/>
                <w:lang w:val="en-US" w:eastAsia="zh-CN"/>
              </w:rPr>
              <w:t>模切印刷一体机</w:t>
            </w:r>
            <w:r>
              <w:t>、</w:t>
            </w:r>
            <w:r>
              <w:rPr>
                <w:rFonts w:hint="eastAsia"/>
                <w:lang w:val="en-US" w:eastAsia="zh-CN"/>
              </w:rPr>
              <w:t>全自动粘合机</w:t>
            </w:r>
            <w:r>
              <w:t>、</w:t>
            </w:r>
            <w:r>
              <w:rPr>
                <w:rFonts w:hint="eastAsia"/>
                <w:lang w:val="en-US" w:eastAsia="zh-CN"/>
              </w:rPr>
              <w:t>钉针机、打包机</w:t>
            </w:r>
            <w:r>
              <w:t>等，建设2条</w:t>
            </w:r>
            <w:r>
              <w:rPr>
                <w:rFonts w:hint="eastAsia"/>
                <w:lang w:val="en-US" w:eastAsia="zh-CN"/>
              </w:rPr>
              <w:t>全自动</w:t>
            </w:r>
            <w:r>
              <w:t>包装箱</w:t>
            </w:r>
            <w:r>
              <w:rPr>
                <w:rFonts w:hint="eastAsia"/>
                <w:lang w:val="en-US" w:eastAsia="zh-CN"/>
              </w:rPr>
              <w:t>加工</w:t>
            </w:r>
            <w:r>
              <w:t>线</w:t>
            </w:r>
            <w:r>
              <w:rPr>
                <w:rFonts w:hint="eastAsia"/>
              </w:rPr>
              <w:t>，利用油墨、纸板、</w:t>
            </w:r>
            <w:r>
              <w:rPr>
                <w:rFonts w:hint="eastAsia"/>
                <w:lang w:val="en-US" w:eastAsia="zh-CN"/>
              </w:rPr>
              <w:t>胶水</w:t>
            </w:r>
            <w:r>
              <w:rPr>
                <w:rFonts w:hint="eastAsia"/>
              </w:rPr>
              <w:t>等为原料，建设年产纸质包装箱150万平方米的生产线项目，本项目已在</w:t>
            </w:r>
            <w:r>
              <w:t>淮南经济技术开发区</w:t>
            </w:r>
            <w:r>
              <w:rPr>
                <w:rFonts w:hint="eastAsia"/>
              </w:rPr>
              <w:t>管委会进行了备案，代码为2020-340461-22-03-027957。</w:t>
            </w:r>
          </w:p>
          <w:p>
            <w:pPr>
              <w:pStyle w:val="5"/>
              <w:rPr>
                <w:rFonts w:hint="eastAsia"/>
              </w:rPr>
            </w:pPr>
            <w:r>
              <w:rPr>
                <w:rFonts w:hint="eastAsia"/>
                <w:lang w:val="zh-CN"/>
              </w:rPr>
              <w:t>根据《中华人民共和国环境影响评价法》和《建设项目环境保护管理条例》</w:t>
            </w:r>
            <w:r>
              <w:rPr>
                <w:rFonts w:hint="eastAsia"/>
              </w:rPr>
              <w:t>等</w:t>
            </w:r>
            <w:r>
              <w:rPr>
                <w:rFonts w:hint="eastAsia"/>
                <w:lang w:val="zh-CN"/>
              </w:rPr>
              <w:t>有关规定，建设项目必须实行环境影响评价制度。</w:t>
            </w:r>
            <w:r>
              <w:rPr>
                <w:rFonts w:hint="eastAsia"/>
              </w:rPr>
              <w:t>根据</w:t>
            </w:r>
            <w:r>
              <w:rPr>
                <w:rFonts w:hint="eastAsia"/>
                <w:lang w:val="en-US" w:eastAsia="zh-CN"/>
              </w:rPr>
              <w:t>2020</w:t>
            </w:r>
            <w:r>
              <w:rPr>
                <w:rFonts w:hint="eastAsia"/>
              </w:rPr>
              <w:t>年</w:t>
            </w:r>
            <w:r>
              <w:rPr>
                <w:rFonts w:hint="eastAsia"/>
                <w:lang w:val="en-US" w:eastAsia="zh-CN"/>
              </w:rPr>
              <w:t>11</w:t>
            </w:r>
            <w:r>
              <w:rPr>
                <w:rFonts w:hint="eastAsia"/>
              </w:rPr>
              <w:t>月</w:t>
            </w:r>
            <w:r>
              <w:rPr>
                <w:rFonts w:hint="eastAsia"/>
                <w:lang w:val="en-US" w:eastAsia="zh-CN"/>
              </w:rPr>
              <w:t>5</w:t>
            </w:r>
            <w:r>
              <w:rPr>
                <w:rFonts w:hint="eastAsia"/>
              </w:rPr>
              <w:t>日公布的</w:t>
            </w:r>
            <w:r>
              <w:rPr>
                <w:rFonts w:hint="eastAsia"/>
                <w:lang w:val="zh-CN"/>
              </w:rPr>
              <w:t>《建设项目环境影响评价分类管理名录(2021年版)》</w:t>
            </w:r>
            <w:r>
              <w:rPr>
                <w:rFonts w:hint="eastAsia"/>
              </w:rPr>
              <w:t>，本项目属于“十</w:t>
            </w:r>
            <w:r>
              <w:rPr>
                <w:rFonts w:hint="eastAsia"/>
                <w:lang w:val="en-US" w:eastAsia="zh-CN"/>
              </w:rPr>
              <w:t>九</w:t>
            </w:r>
            <w:r>
              <w:rPr>
                <w:rFonts w:hint="eastAsia"/>
              </w:rPr>
              <w:t>、</w:t>
            </w:r>
            <w:r>
              <w:rPr>
                <w:rFonts w:hint="eastAsia"/>
                <w:lang w:val="en-US" w:eastAsia="zh-CN"/>
              </w:rPr>
              <w:t>造纸和纸制品业</w:t>
            </w:r>
            <w:r>
              <w:rPr>
                <w:rFonts w:hint="eastAsia"/>
              </w:rPr>
              <w:t>，</w:t>
            </w:r>
            <w:r>
              <w:rPr>
                <w:rFonts w:hint="eastAsia"/>
                <w:lang w:val="en-US" w:eastAsia="zh-CN"/>
              </w:rPr>
              <w:t>38 纸制品制造。</w:t>
            </w:r>
            <w:r>
              <w:t>”</w:t>
            </w:r>
            <w:r>
              <w:rPr>
                <w:rFonts w:hint="eastAsia"/>
              </w:rPr>
              <w:t>则本项目应编制环境影响报告表。淮南市永发</w:t>
            </w:r>
            <w:r>
              <w:rPr>
                <w:rFonts w:hint="eastAsia"/>
                <w:lang w:val="en-US" w:eastAsia="zh-CN"/>
              </w:rPr>
              <w:t>纸制品</w:t>
            </w:r>
            <w:r>
              <w:rPr>
                <w:rFonts w:hint="eastAsia"/>
              </w:rPr>
              <w:t>有限公司委托</w:t>
            </w:r>
            <w:r>
              <w:rPr>
                <w:rFonts w:hint="eastAsia"/>
                <w:lang w:val="en-US" w:eastAsia="zh-CN"/>
              </w:rPr>
              <w:t>安徽省环晟环保科技有限公司</w:t>
            </w:r>
            <w:r>
              <w:rPr>
                <w:rFonts w:hint="eastAsia"/>
              </w:rPr>
              <w:t>承担该项目的环境影响评价工作（委托书详见附件1），</w:t>
            </w:r>
            <w:r>
              <w:rPr>
                <w:rFonts w:hint="eastAsia"/>
                <w:lang w:val="en-US" w:eastAsia="zh-CN"/>
              </w:rPr>
              <w:t>安徽省环晟环保科技有限公司</w:t>
            </w:r>
            <w:r>
              <w:rPr>
                <w:rFonts w:hint="eastAsia"/>
              </w:rPr>
              <w:t>接受委托后，立即组织技术人员到项目所在地及周围进行了实地调查与踏勘，详细了解与收集本项目的有关资料，并对本项目的环境现状和可能造成的环境影响进行分析后，依据《环境影响评价技术导则》及有关规范要求，编制了本项目环境影响报告表，供环保主管部门审批管理。</w:t>
            </w:r>
          </w:p>
          <w:p>
            <w:pPr>
              <w:keepNext w:val="0"/>
              <w:keepLines w:val="0"/>
              <w:widowControl/>
              <w:suppressLineNumbers w:val="0"/>
              <w:jc w:val="left"/>
            </w:pPr>
            <w:r>
              <w:rPr>
                <w:rFonts w:hint="eastAsia"/>
                <w:lang w:val="en-US" w:eastAsia="zh-CN"/>
              </w:rPr>
              <w:t xml:space="preserve">二、编制依据 </w:t>
            </w:r>
          </w:p>
          <w:p>
            <w:pPr>
              <w:pStyle w:val="5"/>
              <w:bidi w:val="0"/>
            </w:pPr>
            <w:r>
              <w:rPr>
                <w:rFonts w:hint="default"/>
                <w:lang w:val="en-US" w:eastAsia="zh-CN"/>
              </w:rPr>
              <w:t>1</w:t>
            </w:r>
            <w:r>
              <w:rPr>
                <w:rFonts w:hint="eastAsia"/>
                <w:lang w:val="en-US" w:eastAsia="zh-CN"/>
              </w:rPr>
              <w:t xml:space="preserve">、法律法规 </w:t>
            </w:r>
          </w:p>
          <w:p>
            <w:pPr>
              <w:pStyle w:val="5"/>
              <w:bidi w:val="0"/>
            </w:pPr>
            <w:r>
              <w:rPr>
                <w:rFonts w:hint="eastAsia"/>
                <w:lang w:val="en-US" w:eastAsia="zh-CN"/>
              </w:rPr>
              <w:t>（</w:t>
            </w:r>
            <w:r>
              <w:rPr>
                <w:rFonts w:hint="default"/>
                <w:lang w:val="en-US" w:eastAsia="zh-CN"/>
              </w:rPr>
              <w:t>1</w:t>
            </w:r>
            <w:r>
              <w:rPr>
                <w:rFonts w:hint="eastAsia"/>
                <w:lang w:val="en-US" w:eastAsia="zh-CN"/>
              </w:rPr>
              <w:t>）《中华人民共和国环境保护法》，</w:t>
            </w:r>
            <w:r>
              <w:rPr>
                <w:rFonts w:hint="default"/>
                <w:lang w:val="en-US" w:eastAsia="zh-CN"/>
              </w:rPr>
              <w:t>2015</w:t>
            </w:r>
            <w:r>
              <w:rPr>
                <w:rFonts w:hint="eastAsia"/>
                <w:lang w:val="en-US" w:eastAsia="zh-CN"/>
              </w:rPr>
              <w:t>年</w:t>
            </w:r>
            <w:r>
              <w:rPr>
                <w:rFonts w:hint="default"/>
                <w:lang w:val="en-US" w:eastAsia="zh-CN"/>
              </w:rPr>
              <w:t>1</w:t>
            </w:r>
            <w:r>
              <w:rPr>
                <w:rFonts w:hint="eastAsia"/>
                <w:lang w:val="en-US" w:eastAsia="zh-CN"/>
              </w:rPr>
              <w:t>月</w:t>
            </w:r>
            <w:r>
              <w:rPr>
                <w:rFonts w:hint="default"/>
                <w:lang w:val="en-US" w:eastAsia="zh-CN"/>
              </w:rPr>
              <w:t>1</w:t>
            </w:r>
            <w:r>
              <w:rPr>
                <w:rFonts w:hint="eastAsia"/>
                <w:lang w:val="en-US" w:eastAsia="zh-CN"/>
              </w:rPr>
              <w:t xml:space="preserve">日实施； </w:t>
            </w:r>
          </w:p>
          <w:p>
            <w:pPr>
              <w:pStyle w:val="5"/>
              <w:bidi w:val="0"/>
            </w:pPr>
            <w:r>
              <w:rPr>
                <w:rFonts w:hint="eastAsia"/>
                <w:lang w:val="en-US" w:eastAsia="zh-CN"/>
              </w:rPr>
              <w:t>（</w:t>
            </w:r>
            <w:r>
              <w:rPr>
                <w:rFonts w:hint="default"/>
                <w:lang w:val="en-US" w:eastAsia="zh-CN"/>
              </w:rPr>
              <w:t>2</w:t>
            </w:r>
            <w:r>
              <w:rPr>
                <w:rFonts w:hint="eastAsia"/>
                <w:lang w:val="en-US" w:eastAsia="zh-CN"/>
              </w:rPr>
              <w:t>）《中华人民共和国环境影响评价法》，</w:t>
            </w:r>
            <w:r>
              <w:rPr>
                <w:rFonts w:hint="default"/>
                <w:lang w:val="en-US" w:eastAsia="zh-CN"/>
              </w:rPr>
              <w:t>2018</w:t>
            </w:r>
            <w:r>
              <w:rPr>
                <w:rFonts w:hint="eastAsia"/>
                <w:lang w:val="en-US" w:eastAsia="zh-CN"/>
              </w:rPr>
              <w:t>年</w:t>
            </w:r>
            <w:r>
              <w:rPr>
                <w:rFonts w:hint="default"/>
                <w:lang w:val="en-US" w:eastAsia="zh-CN"/>
              </w:rPr>
              <w:t>12</w:t>
            </w:r>
            <w:r>
              <w:rPr>
                <w:rFonts w:hint="eastAsia"/>
                <w:lang w:val="en-US" w:eastAsia="zh-CN"/>
              </w:rPr>
              <w:t>月</w:t>
            </w:r>
            <w:r>
              <w:rPr>
                <w:rFonts w:hint="default"/>
                <w:lang w:val="en-US" w:eastAsia="zh-CN"/>
              </w:rPr>
              <w:t>29</w:t>
            </w:r>
            <w:r>
              <w:rPr>
                <w:rFonts w:hint="eastAsia"/>
                <w:lang w:val="en-US" w:eastAsia="zh-CN"/>
              </w:rPr>
              <w:t xml:space="preserve">日起施行； </w:t>
            </w:r>
          </w:p>
          <w:p>
            <w:pPr>
              <w:pStyle w:val="5"/>
              <w:bidi w:val="0"/>
            </w:pPr>
            <w:r>
              <w:rPr>
                <w:rFonts w:hint="eastAsia"/>
                <w:lang w:val="en-US" w:eastAsia="zh-CN"/>
              </w:rPr>
              <w:t>（</w:t>
            </w:r>
            <w:r>
              <w:rPr>
                <w:rFonts w:hint="default"/>
                <w:lang w:val="en-US" w:eastAsia="zh-CN"/>
              </w:rPr>
              <w:t>3</w:t>
            </w:r>
            <w:r>
              <w:rPr>
                <w:rFonts w:hint="eastAsia"/>
                <w:lang w:val="en-US" w:eastAsia="zh-CN"/>
              </w:rPr>
              <w:t>）《中华人民共和国水污染防治法》，</w:t>
            </w:r>
            <w:r>
              <w:rPr>
                <w:rFonts w:hint="default"/>
                <w:lang w:val="en-US" w:eastAsia="zh-CN"/>
              </w:rPr>
              <w:t>2018</w:t>
            </w:r>
            <w:r>
              <w:rPr>
                <w:rFonts w:hint="eastAsia"/>
                <w:lang w:val="en-US" w:eastAsia="zh-CN"/>
              </w:rPr>
              <w:t>年</w:t>
            </w:r>
            <w:r>
              <w:rPr>
                <w:rFonts w:hint="default"/>
                <w:lang w:val="en-US" w:eastAsia="zh-CN"/>
              </w:rPr>
              <w:t>1</w:t>
            </w:r>
            <w:r>
              <w:rPr>
                <w:rFonts w:hint="eastAsia"/>
                <w:lang w:val="en-US" w:eastAsia="zh-CN"/>
              </w:rPr>
              <w:t>月</w:t>
            </w:r>
            <w:r>
              <w:rPr>
                <w:rFonts w:hint="default"/>
                <w:lang w:val="en-US" w:eastAsia="zh-CN"/>
              </w:rPr>
              <w:t>1</w:t>
            </w:r>
            <w:r>
              <w:rPr>
                <w:rFonts w:hint="eastAsia"/>
                <w:lang w:val="en-US" w:eastAsia="zh-CN"/>
              </w:rPr>
              <w:t xml:space="preserve">日实施； </w:t>
            </w:r>
          </w:p>
          <w:p>
            <w:pPr>
              <w:pStyle w:val="5"/>
              <w:bidi w:val="0"/>
            </w:pPr>
            <w:r>
              <w:rPr>
                <w:rFonts w:hint="eastAsia"/>
                <w:lang w:val="en-US" w:eastAsia="zh-CN"/>
              </w:rPr>
              <w:t>（</w:t>
            </w:r>
            <w:r>
              <w:rPr>
                <w:rFonts w:hint="default"/>
                <w:lang w:val="en-US" w:eastAsia="zh-CN"/>
              </w:rPr>
              <w:t>4</w:t>
            </w:r>
            <w:r>
              <w:rPr>
                <w:rFonts w:hint="eastAsia"/>
                <w:lang w:val="en-US" w:eastAsia="zh-CN"/>
              </w:rPr>
              <w:t>）《中华人民共和国大气污染防治法》，</w:t>
            </w:r>
            <w:r>
              <w:rPr>
                <w:rFonts w:hint="default"/>
                <w:lang w:val="en-US" w:eastAsia="zh-CN"/>
              </w:rPr>
              <w:t>2018</w:t>
            </w:r>
            <w:r>
              <w:rPr>
                <w:rFonts w:hint="eastAsia"/>
                <w:lang w:val="en-US" w:eastAsia="zh-CN"/>
              </w:rPr>
              <w:t>年</w:t>
            </w:r>
            <w:r>
              <w:rPr>
                <w:rFonts w:hint="default"/>
                <w:lang w:val="en-US" w:eastAsia="zh-CN"/>
              </w:rPr>
              <w:t>10</w:t>
            </w:r>
            <w:r>
              <w:rPr>
                <w:rFonts w:hint="eastAsia"/>
                <w:lang w:val="en-US" w:eastAsia="zh-CN"/>
              </w:rPr>
              <w:t>月</w:t>
            </w:r>
            <w:r>
              <w:rPr>
                <w:rFonts w:hint="default"/>
                <w:lang w:val="en-US" w:eastAsia="zh-CN"/>
              </w:rPr>
              <w:t>26</w:t>
            </w:r>
            <w:r>
              <w:rPr>
                <w:rFonts w:hint="eastAsia"/>
                <w:lang w:val="en-US" w:eastAsia="zh-CN"/>
              </w:rPr>
              <w:t xml:space="preserve">日起施行； </w:t>
            </w:r>
          </w:p>
          <w:p>
            <w:pPr>
              <w:pStyle w:val="5"/>
              <w:bidi w:val="0"/>
            </w:pPr>
            <w:r>
              <w:rPr>
                <w:rFonts w:hint="eastAsia"/>
                <w:lang w:val="en-US" w:eastAsia="zh-CN"/>
              </w:rPr>
              <w:t>（</w:t>
            </w:r>
            <w:r>
              <w:rPr>
                <w:rFonts w:hint="default"/>
                <w:lang w:val="en-US" w:eastAsia="zh-CN"/>
              </w:rPr>
              <w:t>5</w:t>
            </w:r>
            <w:r>
              <w:rPr>
                <w:rFonts w:hint="eastAsia"/>
                <w:lang w:val="en-US" w:eastAsia="zh-CN"/>
              </w:rPr>
              <w:t>）《中华人民共和国环境噪声污染防治法》，</w:t>
            </w:r>
            <w:r>
              <w:rPr>
                <w:rFonts w:hint="default"/>
                <w:lang w:val="en-US" w:eastAsia="zh-CN"/>
              </w:rPr>
              <w:t>2018</w:t>
            </w:r>
            <w:r>
              <w:rPr>
                <w:rFonts w:hint="eastAsia"/>
                <w:lang w:val="en-US" w:eastAsia="zh-CN"/>
              </w:rPr>
              <w:t>年</w:t>
            </w:r>
            <w:r>
              <w:rPr>
                <w:rFonts w:hint="default"/>
                <w:lang w:val="en-US" w:eastAsia="zh-CN"/>
              </w:rPr>
              <w:t>12</w:t>
            </w:r>
            <w:r>
              <w:rPr>
                <w:rFonts w:hint="eastAsia"/>
                <w:lang w:val="en-US" w:eastAsia="zh-CN"/>
              </w:rPr>
              <w:t>月</w:t>
            </w:r>
            <w:r>
              <w:rPr>
                <w:rFonts w:hint="default"/>
                <w:lang w:val="en-US" w:eastAsia="zh-CN"/>
              </w:rPr>
              <w:t xml:space="preserve">29 </w:t>
            </w:r>
            <w:r>
              <w:rPr>
                <w:rFonts w:hint="eastAsia"/>
                <w:lang w:val="en-US" w:eastAsia="zh-CN"/>
              </w:rPr>
              <w:t xml:space="preserve">日起施行； </w:t>
            </w:r>
          </w:p>
          <w:p>
            <w:pPr>
              <w:pStyle w:val="5"/>
              <w:bidi w:val="0"/>
            </w:pPr>
            <w:r>
              <w:rPr>
                <w:rFonts w:hint="eastAsia"/>
                <w:lang w:val="en-US" w:eastAsia="zh-CN"/>
              </w:rPr>
              <w:t>（</w:t>
            </w:r>
            <w:r>
              <w:rPr>
                <w:rFonts w:hint="default"/>
                <w:lang w:val="en-US" w:eastAsia="zh-CN"/>
              </w:rPr>
              <w:t>6</w:t>
            </w:r>
            <w:r>
              <w:rPr>
                <w:rFonts w:hint="eastAsia"/>
                <w:lang w:val="en-US" w:eastAsia="zh-CN"/>
              </w:rPr>
              <w:t>）《中华人民共和国固体废物污染环境防治法（</w:t>
            </w:r>
            <w:r>
              <w:rPr>
                <w:rFonts w:hint="default"/>
                <w:lang w:val="en-US" w:eastAsia="zh-CN"/>
              </w:rPr>
              <w:t xml:space="preserve">2020 </w:t>
            </w:r>
            <w:r>
              <w:rPr>
                <w:rFonts w:hint="eastAsia"/>
                <w:lang w:val="en-US" w:eastAsia="zh-CN"/>
              </w:rPr>
              <w:t>版）》，</w:t>
            </w:r>
            <w:r>
              <w:rPr>
                <w:rFonts w:hint="default"/>
                <w:lang w:val="en-US" w:eastAsia="zh-CN"/>
              </w:rPr>
              <w:t>2020</w:t>
            </w:r>
            <w:r>
              <w:rPr>
                <w:rFonts w:hint="eastAsia"/>
                <w:lang w:val="en-US" w:eastAsia="zh-CN"/>
              </w:rPr>
              <w:t>年</w:t>
            </w:r>
            <w:r>
              <w:rPr>
                <w:rFonts w:hint="default"/>
                <w:lang w:val="en-US" w:eastAsia="zh-CN"/>
              </w:rPr>
              <w:t>4</w:t>
            </w:r>
            <w:r>
              <w:rPr>
                <w:rFonts w:hint="eastAsia"/>
                <w:lang w:val="en-US" w:eastAsia="zh-CN"/>
              </w:rPr>
              <w:t>月</w:t>
            </w:r>
            <w:r>
              <w:rPr>
                <w:rFonts w:hint="default"/>
                <w:lang w:val="en-US" w:eastAsia="zh-CN"/>
              </w:rPr>
              <w:t>29</w:t>
            </w:r>
            <w:r>
              <w:rPr>
                <w:rFonts w:hint="eastAsia"/>
                <w:lang w:val="en-US" w:eastAsia="zh-CN"/>
              </w:rPr>
              <w:t xml:space="preserve">日； </w:t>
            </w:r>
          </w:p>
          <w:p>
            <w:pPr>
              <w:pStyle w:val="5"/>
              <w:bidi w:val="0"/>
            </w:pPr>
            <w:r>
              <w:rPr>
                <w:rFonts w:hint="eastAsia"/>
                <w:lang w:val="en-US" w:eastAsia="zh-CN"/>
              </w:rPr>
              <w:t>（</w:t>
            </w:r>
            <w:r>
              <w:rPr>
                <w:rFonts w:hint="default"/>
                <w:lang w:val="en-US" w:eastAsia="zh-CN"/>
              </w:rPr>
              <w:t>7</w:t>
            </w:r>
            <w:r>
              <w:rPr>
                <w:rFonts w:hint="eastAsia"/>
                <w:lang w:val="en-US" w:eastAsia="zh-CN"/>
              </w:rPr>
              <w:t>）《建设项目环境保护管理条例》，国务院令</w:t>
            </w:r>
            <w:r>
              <w:rPr>
                <w:rFonts w:hint="default"/>
                <w:lang w:val="en-US" w:eastAsia="zh-CN"/>
              </w:rPr>
              <w:t>682</w:t>
            </w:r>
            <w:r>
              <w:rPr>
                <w:rFonts w:hint="eastAsia"/>
                <w:lang w:val="en-US" w:eastAsia="zh-CN"/>
              </w:rPr>
              <w:t>号，</w:t>
            </w:r>
            <w:r>
              <w:rPr>
                <w:rFonts w:hint="default"/>
                <w:lang w:val="en-US" w:eastAsia="zh-CN"/>
              </w:rPr>
              <w:t>2017</w:t>
            </w:r>
            <w:r>
              <w:rPr>
                <w:rFonts w:hint="eastAsia"/>
                <w:lang w:val="en-US" w:eastAsia="zh-CN"/>
              </w:rPr>
              <w:t xml:space="preserve">年； </w:t>
            </w:r>
          </w:p>
          <w:p>
            <w:pPr>
              <w:pStyle w:val="5"/>
              <w:bidi w:val="0"/>
            </w:pPr>
            <w:r>
              <w:rPr>
                <w:rFonts w:hint="eastAsia"/>
                <w:lang w:val="en-US" w:eastAsia="zh-CN"/>
              </w:rPr>
              <w:t>（</w:t>
            </w:r>
            <w:r>
              <w:rPr>
                <w:rFonts w:hint="default"/>
                <w:lang w:val="en-US" w:eastAsia="zh-CN"/>
              </w:rPr>
              <w:t>8</w:t>
            </w:r>
            <w:r>
              <w:rPr>
                <w:rFonts w:hint="eastAsia"/>
                <w:lang w:val="en-US" w:eastAsia="zh-CN"/>
              </w:rPr>
              <w:t>）《国务院落实科学发展观加强环境保护的决定》，国发</w:t>
            </w:r>
            <w:r>
              <w:rPr>
                <w:rFonts w:hint="default"/>
                <w:lang w:val="en-US" w:eastAsia="zh-CN"/>
              </w:rPr>
              <w:t>[2005]39</w:t>
            </w:r>
            <w:r>
              <w:rPr>
                <w:rFonts w:hint="eastAsia"/>
                <w:lang w:val="en-US" w:eastAsia="zh-CN"/>
              </w:rPr>
              <w:t>号，</w:t>
            </w:r>
            <w:r>
              <w:rPr>
                <w:rFonts w:hint="default"/>
                <w:lang w:val="en-US" w:eastAsia="zh-CN"/>
              </w:rPr>
              <w:t>2005</w:t>
            </w:r>
            <w:r>
              <w:rPr>
                <w:rFonts w:hint="eastAsia"/>
                <w:lang w:val="en-US" w:eastAsia="zh-CN"/>
              </w:rPr>
              <w:t xml:space="preserve">年 </w:t>
            </w:r>
            <w:r>
              <w:rPr>
                <w:rFonts w:hint="default"/>
                <w:lang w:val="en-US" w:eastAsia="zh-CN"/>
              </w:rPr>
              <w:t>12</w:t>
            </w:r>
            <w:r>
              <w:rPr>
                <w:rFonts w:hint="eastAsia"/>
                <w:lang w:val="en-US" w:eastAsia="zh-CN"/>
              </w:rPr>
              <w:t>月</w:t>
            </w:r>
            <w:r>
              <w:rPr>
                <w:rFonts w:hint="default"/>
                <w:lang w:val="en-US" w:eastAsia="zh-CN"/>
              </w:rPr>
              <w:t>3</w:t>
            </w:r>
            <w:r>
              <w:rPr>
                <w:rFonts w:hint="eastAsia"/>
                <w:lang w:val="en-US" w:eastAsia="zh-CN"/>
              </w:rPr>
              <w:t xml:space="preserve">日； </w:t>
            </w:r>
          </w:p>
          <w:p>
            <w:pPr>
              <w:pStyle w:val="5"/>
              <w:bidi w:val="0"/>
            </w:pPr>
            <w:r>
              <w:rPr>
                <w:rFonts w:hint="eastAsia"/>
                <w:lang w:val="en-US" w:eastAsia="zh-CN"/>
              </w:rPr>
              <w:t>（</w:t>
            </w:r>
            <w:r>
              <w:rPr>
                <w:rFonts w:hint="default"/>
                <w:lang w:val="en-US" w:eastAsia="zh-CN"/>
              </w:rPr>
              <w:t>9</w:t>
            </w:r>
            <w:r>
              <w:rPr>
                <w:rFonts w:hint="eastAsia"/>
                <w:lang w:val="en-US" w:eastAsia="zh-CN"/>
              </w:rPr>
              <w:t>）《国务院关于印发大气污染防治行动计划的通知》国发</w:t>
            </w:r>
            <w:r>
              <w:rPr>
                <w:rFonts w:hint="default"/>
                <w:lang w:val="en-US" w:eastAsia="zh-CN"/>
              </w:rPr>
              <w:t>[2013]37</w:t>
            </w:r>
            <w:r>
              <w:rPr>
                <w:rFonts w:hint="eastAsia"/>
                <w:lang w:val="en-US" w:eastAsia="zh-CN"/>
              </w:rPr>
              <w:t>号，</w:t>
            </w:r>
            <w:r>
              <w:rPr>
                <w:rFonts w:hint="default"/>
                <w:lang w:val="en-US" w:eastAsia="zh-CN"/>
              </w:rPr>
              <w:t>2013</w:t>
            </w:r>
            <w:r>
              <w:rPr>
                <w:rFonts w:hint="eastAsia"/>
                <w:lang w:val="en-US" w:eastAsia="zh-CN"/>
              </w:rPr>
              <w:t xml:space="preserve">年 </w:t>
            </w:r>
            <w:r>
              <w:rPr>
                <w:rFonts w:hint="default"/>
                <w:lang w:val="en-US" w:eastAsia="zh-CN"/>
              </w:rPr>
              <w:t>9</w:t>
            </w:r>
            <w:r>
              <w:rPr>
                <w:rFonts w:hint="eastAsia"/>
                <w:lang w:val="en-US" w:eastAsia="zh-CN"/>
              </w:rPr>
              <w:t>月</w:t>
            </w:r>
            <w:r>
              <w:rPr>
                <w:rFonts w:hint="default"/>
                <w:lang w:val="en-US" w:eastAsia="zh-CN"/>
              </w:rPr>
              <w:t>10</w:t>
            </w:r>
            <w:r>
              <w:rPr>
                <w:rFonts w:hint="eastAsia"/>
                <w:lang w:val="en-US" w:eastAsia="zh-CN"/>
              </w:rPr>
              <w:t xml:space="preserve">日； </w:t>
            </w:r>
          </w:p>
          <w:p>
            <w:pPr>
              <w:pStyle w:val="5"/>
              <w:bidi w:val="0"/>
            </w:pPr>
            <w:r>
              <w:rPr>
                <w:rFonts w:hint="eastAsia"/>
                <w:lang w:val="en-US" w:eastAsia="zh-CN"/>
              </w:rPr>
              <w:t>（</w:t>
            </w:r>
            <w:r>
              <w:rPr>
                <w:rFonts w:hint="default"/>
                <w:lang w:val="en-US" w:eastAsia="zh-CN"/>
              </w:rPr>
              <w:t>10</w:t>
            </w:r>
            <w:r>
              <w:rPr>
                <w:rFonts w:hint="eastAsia"/>
                <w:lang w:val="en-US" w:eastAsia="zh-CN"/>
              </w:rPr>
              <w:t>）《国务院关于印发水污染防治行动计划的通知》国发</w:t>
            </w:r>
            <w:r>
              <w:rPr>
                <w:rFonts w:hint="default"/>
                <w:lang w:val="en-US" w:eastAsia="zh-CN"/>
              </w:rPr>
              <w:t xml:space="preserve">[2015]17 </w:t>
            </w:r>
            <w:r>
              <w:rPr>
                <w:rFonts w:hint="eastAsia"/>
                <w:lang w:val="en-US" w:eastAsia="zh-CN"/>
              </w:rPr>
              <w:t>号，</w:t>
            </w:r>
            <w:r>
              <w:rPr>
                <w:rFonts w:hint="default"/>
                <w:lang w:val="en-US" w:eastAsia="zh-CN"/>
              </w:rPr>
              <w:t>2015</w:t>
            </w:r>
            <w:r>
              <w:rPr>
                <w:rFonts w:hint="eastAsia"/>
                <w:lang w:val="en-US" w:eastAsia="zh-CN"/>
              </w:rPr>
              <w:t>年</w:t>
            </w:r>
            <w:r>
              <w:rPr>
                <w:rFonts w:hint="default"/>
                <w:lang w:val="en-US" w:eastAsia="zh-CN"/>
              </w:rPr>
              <w:t>4</w:t>
            </w:r>
            <w:r>
              <w:rPr>
                <w:rFonts w:hint="eastAsia"/>
                <w:lang w:val="en-US" w:eastAsia="zh-CN"/>
              </w:rPr>
              <w:t>月</w:t>
            </w:r>
            <w:r>
              <w:rPr>
                <w:rFonts w:hint="default"/>
                <w:lang w:val="en-US" w:eastAsia="zh-CN"/>
              </w:rPr>
              <w:t>2</w:t>
            </w:r>
            <w:r>
              <w:rPr>
                <w:rFonts w:hint="eastAsia"/>
                <w:lang w:val="en-US" w:eastAsia="zh-CN"/>
              </w:rPr>
              <w:t>日；</w:t>
            </w:r>
          </w:p>
          <w:p>
            <w:pPr>
              <w:pStyle w:val="5"/>
              <w:bidi w:val="0"/>
            </w:pPr>
            <w:r>
              <w:rPr>
                <w:rFonts w:hint="eastAsia"/>
                <w:lang w:val="en-US" w:eastAsia="zh-CN"/>
              </w:rPr>
              <w:t>（</w:t>
            </w:r>
            <w:r>
              <w:rPr>
                <w:rFonts w:hint="default"/>
                <w:lang w:val="en-US" w:eastAsia="zh-CN"/>
              </w:rPr>
              <w:t>11</w:t>
            </w:r>
            <w:r>
              <w:rPr>
                <w:rFonts w:hint="eastAsia"/>
                <w:lang w:val="en-US" w:eastAsia="zh-CN"/>
              </w:rPr>
              <w:t>）</w:t>
            </w:r>
            <w:r>
              <w:rPr>
                <w:rFonts w:hint="eastAsia"/>
                <w:lang w:val="zh-CN"/>
              </w:rPr>
              <w:t>《建设项目环境影响评价分类管理名录(2021年版)，</w:t>
            </w:r>
            <w:r>
              <w:rPr>
                <w:rFonts w:hint="eastAsia"/>
                <w:lang w:val="en-US" w:eastAsia="zh-CN"/>
              </w:rPr>
              <w:t xml:space="preserve">2020年11月5日。 </w:t>
            </w:r>
          </w:p>
          <w:p>
            <w:pPr>
              <w:pStyle w:val="5"/>
              <w:bidi w:val="0"/>
            </w:pPr>
            <w:r>
              <w:rPr>
                <w:rFonts w:hint="eastAsia"/>
                <w:lang w:val="en-US" w:eastAsia="zh-CN"/>
              </w:rPr>
              <w:t>（</w:t>
            </w:r>
            <w:r>
              <w:rPr>
                <w:rFonts w:hint="default"/>
                <w:lang w:val="en-US" w:eastAsia="zh-CN"/>
              </w:rPr>
              <w:t>12</w:t>
            </w:r>
            <w:r>
              <w:rPr>
                <w:rFonts w:hint="eastAsia"/>
                <w:lang w:val="en-US" w:eastAsia="zh-CN"/>
              </w:rPr>
              <w:t>）国务院关于发布实施《促进产业结构调整暂行规定》的决定，国发</w:t>
            </w:r>
            <w:r>
              <w:rPr>
                <w:rFonts w:hint="default"/>
                <w:lang w:val="en-US" w:eastAsia="zh-CN"/>
              </w:rPr>
              <w:t xml:space="preserve">[2005]40 </w:t>
            </w:r>
            <w:r>
              <w:rPr>
                <w:rFonts w:hint="eastAsia"/>
                <w:lang w:val="en-US" w:eastAsia="zh-CN"/>
              </w:rPr>
              <w:t>号，</w:t>
            </w:r>
            <w:r>
              <w:rPr>
                <w:rFonts w:hint="default"/>
                <w:lang w:val="en-US" w:eastAsia="zh-CN"/>
              </w:rPr>
              <w:t>2005</w:t>
            </w:r>
            <w:r>
              <w:rPr>
                <w:rFonts w:hint="eastAsia"/>
                <w:lang w:val="en-US" w:eastAsia="zh-CN"/>
              </w:rPr>
              <w:t>年</w:t>
            </w:r>
            <w:r>
              <w:rPr>
                <w:rFonts w:hint="default"/>
                <w:lang w:val="en-US" w:eastAsia="zh-CN"/>
              </w:rPr>
              <w:t>12</w:t>
            </w:r>
            <w:r>
              <w:rPr>
                <w:rFonts w:hint="eastAsia"/>
                <w:lang w:val="en-US" w:eastAsia="zh-CN"/>
              </w:rPr>
              <w:t>月</w:t>
            </w:r>
            <w:r>
              <w:rPr>
                <w:rFonts w:hint="default"/>
                <w:lang w:val="en-US" w:eastAsia="zh-CN"/>
              </w:rPr>
              <w:t>2</w:t>
            </w:r>
            <w:r>
              <w:rPr>
                <w:rFonts w:hint="eastAsia"/>
                <w:lang w:val="en-US" w:eastAsia="zh-CN"/>
              </w:rPr>
              <w:t xml:space="preserve">日； </w:t>
            </w:r>
          </w:p>
          <w:p>
            <w:pPr>
              <w:pStyle w:val="5"/>
              <w:bidi w:val="0"/>
            </w:pPr>
            <w:r>
              <w:rPr>
                <w:rFonts w:hint="eastAsia"/>
                <w:lang w:val="en-US" w:eastAsia="zh-CN"/>
              </w:rPr>
              <w:t>（</w:t>
            </w:r>
            <w:r>
              <w:rPr>
                <w:rFonts w:hint="default"/>
                <w:lang w:val="en-US" w:eastAsia="zh-CN"/>
              </w:rPr>
              <w:t>13</w:t>
            </w:r>
            <w:r>
              <w:rPr>
                <w:rFonts w:hint="eastAsia"/>
                <w:lang w:val="en-US" w:eastAsia="zh-CN"/>
              </w:rPr>
              <w:t>）《产业结构调整指导目录（</w:t>
            </w:r>
            <w:r>
              <w:rPr>
                <w:rFonts w:hint="default"/>
                <w:lang w:val="en-US" w:eastAsia="zh-CN"/>
              </w:rPr>
              <w:t>2019</w:t>
            </w:r>
            <w:r>
              <w:rPr>
                <w:rFonts w:hint="eastAsia"/>
                <w:lang w:val="en-US" w:eastAsia="zh-CN"/>
              </w:rPr>
              <w:t xml:space="preserve">年本）》； </w:t>
            </w:r>
          </w:p>
          <w:p>
            <w:pPr>
              <w:pStyle w:val="5"/>
              <w:bidi w:val="0"/>
            </w:pPr>
            <w:r>
              <w:rPr>
                <w:rFonts w:hint="eastAsia"/>
                <w:lang w:val="en-US" w:eastAsia="zh-CN"/>
              </w:rPr>
              <w:t>（</w:t>
            </w:r>
            <w:r>
              <w:rPr>
                <w:rFonts w:hint="default"/>
                <w:lang w:val="en-US" w:eastAsia="zh-CN"/>
              </w:rPr>
              <w:t>14</w:t>
            </w:r>
            <w:r>
              <w:rPr>
                <w:rFonts w:hint="eastAsia"/>
                <w:lang w:val="en-US" w:eastAsia="zh-CN"/>
              </w:rPr>
              <w:t>）《安徽省环境保护条例》，</w:t>
            </w:r>
            <w:r>
              <w:rPr>
                <w:rFonts w:hint="default"/>
                <w:lang w:val="en-US" w:eastAsia="zh-CN"/>
              </w:rPr>
              <w:t>2017</w:t>
            </w:r>
            <w:r>
              <w:rPr>
                <w:rFonts w:hint="eastAsia"/>
                <w:lang w:val="en-US" w:eastAsia="zh-CN"/>
              </w:rPr>
              <w:t>年</w:t>
            </w:r>
            <w:r>
              <w:rPr>
                <w:rFonts w:hint="default"/>
                <w:lang w:val="en-US" w:eastAsia="zh-CN"/>
              </w:rPr>
              <w:t>11</w:t>
            </w:r>
            <w:r>
              <w:rPr>
                <w:rFonts w:hint="eastAsia"/>
                <w:lang w:val="en-US" w:eastAsia="zh-CN"/>
              </w:rPr>
              <w:t>月</w:t>
            </w:r>
            <w:r>
              <w:rPr>
                <w:rFonts w:hint="default"/>
                <w:lang w:val="en-US" w:eastAsia="zh-CN"/>
              </w:rPr>
              <w:t>17</w:t>
            </w:r>
            <w:r>
              <w:rPr>
                <w:rFonts w:hint="eastAsia"/>
                <w:lang w:val="en-US" w:eastAsia="zh-CN"/>
              </w:rPr>
              <w:t xml:space="preserve">日修订； </w:t>
            </w:r>
          </w:p>
          <w:p>
            <w:pPr>
              <w:pStyle w:val="5"/>
              <w:bidi w:val="0"/>
            </w:pPr>
            <w:r>
              <w:rPr>
                <w:rFonts w:hint="eastAsia"/>
                <w:lang w:val="en-US" w:eastAsia="zh-CN"/>
              </w:rPr>
              <w:t>（</w:t>
            </w:r>
            <w:r>
              <w:rPr>
                <w:rFonts w:hint="default"/>
                <w:lang w:val="en-US" w:eastAsia="zh-CN"/>
              </w:rPr>
              <w:t>15</w:t>
            </w:r>
            <w:r>
              <w:rPr>
                <w:rFonts w:hint="eastAsia"/>
                <w:lang w:val="en-US" w:eastAsia="zh-CN"/>
              </w:rPr>
              <w:t>）《安徽省生态保护红线》，</w:t>
            </w:r>
            <w:r>
              <w:rPr>
                <w:rFonts w:hint="default"/>
                <w:lang w:val="en-US" w:eastAsia="zh-CN"/>
              </w:rPr>
              <w:t>2018</w:t>
            </w:r>
            <w:r>
              <w:rPr>
                <w:rFonts w:hint="eastAsia"/>
                <w:lang w:val="en-US" w:eastAsia="zh-CN"/>
              </w:rPr>
              <w:t>年</w:t>
            </w:r>
            <w:r>
              <w:rPr>
                <w:rFonts w:hint="default"/>
                <w:lang w:val="en-US" w:eastAsia="zh-CN"/>
              </w:rPr>
              <w:t>6</w:t>
            </w:r>
            <w:r>
              <w:rPr>
                <w:rFonts w:hint="eastAsia"/>
                <w:lang w:val="en-US" w:eastAsia="zh-CN"/>
              </w:rPr>
              <w:t>月；</w:t>
            </w:r>
          </w:p>
          <w:p>
            <w:pPr>
              <w:pStyle w:val="5"/>
              <w:bidi w:val="0"/>
            </w:pPr>
            <w:r>
              <w:rPr>
                <w:rFonts w:hint="eastAsia"/>
                <w:lang w:val="en-US" w:eastAsia="zh-CN"/>
              </w:rPr>
              <w:t>（</w:t>
            </w:r>
            <w:r>
              <w:rPr>
                <w:rFonts w:hint="default"/>
                <w:lang w:val="en-US" w:eastAsia="zh-CN"/>
              </w:rPr>
              <w:t>16</w:t>
            </w:r>
            <w:r>
              <w:rPr>
                <w:rFonts w:hint="eastAsia"/>
                <w:lang w:val="en-US" w:eastAsia="zh-CN"/>
              </w:rPr>
              <w:t>）《安徽省水功能区划》，安徽省水利厅、原安徽省环境保护局，</w:t>
            </w:r>
            <w:r>
              <w:rPr>
                <w:rFonts w:hint="default"/>
                <w:lang w:val="en-US" w:eastAsia="zh-CN"/>
              </w:rPr>
              <w:t xml:space="preserve">2003 </w:t>
            </w:r>
            <w:r>
              <w:rPr>
                <w:rFonts w:hint="eastAsia"/>
                <w:lang w:val="en-US" w:eastAsia="zh-CN"/>
              </w:rPr>
              <w:t xml:space="preserve">年 </w:t>
            </w:r>
            <w:r>
              <w:rPr>
                <w:rFonts w:hint="default"/>
                <w:lang w:val="en-US" w:eastAsia="zh-CN"/>
              </w:rPr>
              <w:t>10</w:t>
            </w:r>
            <w:r>
              <w:rPr>
                <w:rFonts w:hint="eastAsia"/>
                <w:lang w:val="en-US" w:eastAsia="zh-CN"/>
              </w:rPr>
              <w:t>月；</w:t>
            </w:r>
          </w:p>
          <w:p>
            <w:pPr>
              <w:pStyle w:val="5"/>
              <w:bidi w:val="0"/>
            </w:pPr>
            <w:r>
              <w:rPr>
                <w:rFonts w:hint="eastAsia"/>
                <w:lang w:val="en-US" w:eastAsia="zh-CN"/>
              </w:rPr>
              <w:t>（</w:t>
            </w:r>
            <w:r>
              <w:rPr>
                <w:rFonts w:hint="default"/>
                <w:lang w:val="en-US" w:eastAsia="zh-CN"/>
              </w:rPr>
              <w:t>17</w:t>
            </w:r>
            <w:r>
              <w:rPr>
                <w:rFonts w:hint="eastAsia"/>
                <w:lang w:val="en-US" w:eastAsia="zh-CN"/>
              </w:rPr>
              <w:t>）《安徽省淮河流域水污染防治条例修订版》，安徽省人民代表大会常务委员会，</w:t>
            </w:r>
            <w:r>
              <w:rPr>
                <w:rFonts w:hint="default"/>
                <w:lang w:val="en-US" w:eastAsia="zh-CN"/>
              </w:rPr>
              <w:t xml:space="preserve">2018 </w:t>
            </w:r>
            <w:r>
              <w:rPr>
                <w:rFonts w:hint="eastAsia"/>
                <w:lang w:val="en-US" w:eastAsia="zh-CN"/>
              </w:rPr>
              <w:t xml:space="preserve">年 </w:t>
            </w:r>
            <w:r>
              <w:rPr>
                <w:rFonts w:hint="default"/>
                <w:lang w:val="en-US" w:eastAsia="zh-CN"/>
              </w:rPr>
              <w:t xml:space="preserve">11 </w:t>
            </w:r>
            <w:r>
              <w:rPr>
                <w:rFonts w:hint="eastAsia"/>
                <w:lang w:val="en-US" w:eastAsia="zh-CN"/>
              </w:rPr>
              <w:t xml:space="preserve">月 </w:t>
            </w:r>
            <w:r>
              <w:rPr>
                <w:rFonts w:hint="default"/>
                <w:lang w:val="en-US" w:eastAsia="zh-CN"/>
              </w:rPr>
              <w:t xml:space="preserve">23 </w:t>
            </w:r>
            <w:r>
              <w:rPr>
                <w:rFonts w:hint="eastAsia"/>
                <w:lang w:val="en-US" w:eastAsia="zh-CN"/>
              </w:rPr>
              <w:t xml:space="preserve">日； </w:t>
            </w:r>
          </w:p>
          <w:p>
            <w:pPr>
              <w:pStyle w:val="5"/>
              <w:bidi w:val="0"/>
            </w:pPr>
            <w:r>
              <w:rPr>
                <w:rFonts w:hint="eastAsia"/>
                <w:lang w:val="en-US" w:eastAsia="zh-CN"/>
              </w:rPr>
              <w:t>（</w:t>
            </w:r>
            <w:r>
              <w:rPr>
                <w:rFonts w:hint="default"/>
                <w:lang w:val="en-US" w:eastAsia="zh-CN"/>
              </w:rPr>
              <w:t>18</w:t>
            </w:r>
            <w:r>
              <w:rPr>
                <w:rFonts w:hint="eastAsia"/>
                <w:lang w:val="en-US" w:eastAsia="zh-CN"/>
              </w:rPr>
              <w:t>）《打赢蓝天保卫战三年行动计划》，</w:t>
            </w:r>
            <w:r>
              <w:rPr>
                <w:rFonts w:hint="default"/>
                <w:lang w:val="en-US" w:eastAsia="zh-CN"/>
              </w:rPr>
              <w:t>2018</w:t>
            </w:r>
            <w:r>
              <w:rPr>
                <w:rFonts w:hint="eastAsia"/>
                <w:lang w:val="en-US" w:eastAsia="zh-CN"/>
              </w:rPr>
              <w:t xml:space="preserve">年 </w:t>
            </w:r>
            <w:r>
              <w:rPr>
                <w:rFonts w:hint="default"/>
                <w:lang w:val="en-US" w:eastAsia="zh-CN"/>
              </w:rPr>
              <w:t xml:space="preserve">6 </w:t>
            </w:r>
            <w:r>
              <w:rPr>
                <w:rFonts w:hint="eastAsia"/>
                <w:lang w:val="en-US" w:eastAsia="zh-CN"/>
              </w:rPr>
              <w:t xml:space="preserve">月 </w:t>
            </w:r>
            <w:r>
              <w:rPr>
                <w:rFonts w:hint="default"/>
                <w:lang w:val="en-US" w:eastAsia="zh-CN"/>
              </w:rPr>
              <w:t xml:space="preserve">27 </w:t>
            </w:r>
            <w:r>
              <w:rPr>
                <w:rFonts w:hint="eastAsia"/>
                <w:lang w:val="en-US" w:eastAsia="zh-CN"/>
              </w:rPr>
              <w:t xml:space="preserve">日； </w:t>
            </w:r>
          </w:p>
          <w:p>
            <w:pPr>
              <w:pStyle w:val="5"/>
              <w:bidi w:val="0"/>
            </w:pPr>
            <w:r>
              <w:rPr>
                <w:rFonts w:hint="eastAsia"/>
                <w:lang w:val="en-US" w:eastAsia="zh-CN"/>
              </w:rPr>
              <w:t>（</w:t>
            </w:r>
            <w:r>
              <w:rPr>
                <w:rFonts w:hint="default"/>
                <w:lang w:val="en-US" w:eastAsia="zh-CN"/>
              </w:rPr>
              <w:t>19</w:t>
            </w:r>
            <w:r>
              <w:rPr>
                <w:rFonts w:hint="eastAsia"/>
                <w:lang w:val="en-US" w:eastAsia="zh-CN"/>
              </w:rPr>
              <w:t>）《安徽省打赢蓝天保卫战三年行动计划实施方案》，安徽省人民政府，</w:t>
            </w:r>
            <w:r>
              <w:rPr>
                <w:rFonts w:hint="default"/>
                <w:lang w:val="en-US" w:eastAsia="zh-CN"/>
              </w:rPr>
              <w:t xml:space="preserve">2018 </w:t>
            </w:r>
            <w:r>
              <w:rPr>
                <w:rFonts w:hint="eastAsia"/>
                <w:lang w:val="en-US" w:eastAsia="zh-CN"/>
              </w:rPr>
              <w:t xml:space="preserve">年 </w:t>
            </w:r>
            <w:r>
              <w:rPr>
                <w:rFonts w:hint="default"/>
                <w:lang w:val="en-US" w:eastAsia="zh-CN"/>
              </w:rPr>
              <w:t xml:space="preserve">9 </w:t>
            </w:r>
            <w:r>
              <w:rPr>
                <w:rFonts w:hint="eastAsia"/>
                <w:lang w:val="en-US" w:eastAsia="zh-CN"/>
              </w:rPr>
              <w:t xml:space="preserve">月 </w:t>
            </w:r>
            <w:r>
              <w:rPr>
                <w:rFonts w:hint="default"/>
                <w:lang w:val="en-US" w:eastAsia="zh-CN"/>
              </w:rPr>
              <w:t xml:space="preserve">27 </w:t>
            </w:r>
            <w:r>
              <w:rPr>
                <w:rFonts w:hint="eastAsia"/>
                <w:lang w:val="en-US" w:eastAsia="zh-CN"/>
              </w:rPr>
              <w:t xml:space="preserve">日； </w:t>
            </w:r>
          </w:p>
          <w:p>
            <w:pPr>
              <w:pStyle w:val="5"/>
              <w:bidi w:val="0"/>
            </w:pPr>
            <w:r>
              <w:rPr>
                <w:rFonts w:hint="eastAsia"/>
                <w:lang w:val="en-US" w:eastAsia="zh-CN"/>
              </w:rPr>
              <w:t>（</w:t>
            </w:r>
            <w:r>
              <w:rPr>
                <w:rFonts w:hint="default"/>
                <w:lang w:val="en-US" w:eastAsia="zh-CN"/>
              </w:rPr>
              <w:t>20</w:t>
            </w:r>
            <w:r>
              <w:rPr>
                <w:rFonts w:hint="eastAsia"/>
                <w:lang w:val="en-US" w:eastAsia="zh-CN"/>
              </w:rPr>
              <w:t>）《安徽省大气污染防治条例》</w:t>
            </w:r>
            <w:r>
              <w:rPr>
                <w:rFonts w:hint="default"/>
                <w:lang w:val="en-US" w:eastAsia="zh-CN"/>
              </w:rPr>
              <w:t xml:space="preserve">2015 </w:t>
            </w:r>
            <w:r>
              <w:rPr>
                <w:rFonts w:hint="eastAsia"/>
                <w:lang w:val="en-US" w:eastAsia="zh-CN"/>
              </w:rPr>
              <w:t xml:space="preserve">年 </w:t>
            </w:r>
            <w:r>
              <w:rPr>
                <w:rFonts w:hint="default"/>
                <w:lang w:val="en-US" w:eastAsia="zh-CN"/>
              </w:rPr>
              <w:t xml:space="preserve">3 </w:t>
            </w:r>
            <w:r>
              <w:rPr>
                <w:rFonts w:hint="eastAsia"/>
                <w:lang w:val="en-US" w:eastAsia="zh-CN"/>
              </w:rPr>
              <w:t xml:space="preserve">月 </w:t>
            </w:r>
            <w:r>
              <w:rPr>
                <w:rFonts w:hint="default"/>
                <w:lang w:val="en-US" w:eastAsia="zh-CN"/>
              </w:rPr>
              <w:t xml:space="preserve">1 </w:t>
            </w:r>
            <w:r>
              <w:rPr>
                <w:rFonts w:hint="eastAsia"/>
                <w:lang w:val="en-US" w:eastAsia="zh-CN"/>
              </w:rPr>
              <w:t xml:space="preserve">日实施； </w:t>
            </w:r>
          </w:p>
          <w:p>
            <w:pPr>
              <w:pStyle w:val="5"/>
              <w:bidi w:val="0"/>
            </w:pPr>
            <w:r>
              <w:rPr>
                <w:rFonts w:hint="eastAsia"/>
                <w:lang w:val="en-US" w:eastAsia="zh-CN"/>
              </w:rPr>
              <w:t>（</w:t>
            </w:r>
            <w:r>
              <w:rPr>
                <w:rFonts w:hint="default"/>
                <w:lang w:val="en-US" w:eastAsia="zh-CN"/>
              </w:rPr>
              <w:t>21</w:t>
            </w:r>
            <w:r>
              <w:rPr>
                <w:rFonts w:hint="eastAsia"/>
                <w:lang w:val="en-US" w:eastAsia="zh-CN"/>
              </w:rPr>
              <w:t>）《安徽省大气污染防治行动计划实施方案》，皖政</w:t>
            </w:r>
            <w:r>
              <w:rPr>
                <w:rFonts w:hint="default"/>
                <w:lang w:val="en-US" w:eastAsia="zh-CN"/>
              </w:rPr>
              <w:t xml:space="preserve">[2013]89 </w:t>
            </w:r>
            <w:r>
              <w:rPr>
                <w:rFonts w:hint="eastAsia"/>
                <w:lang w:val="en-US" w:eastAsia="zh-CN"/>
              </w:rPr>
              <w:t xml:space="preserve">号； </w:t>
            </w:r>
          </w:p>
          <w:p>
            <w:pPr>
              <w:pStyle w:val="5"/>
              <w:bidi w:val="0"/>
            </w:pPr>
            <w:r>
              <w:rPr>
                <w:rFonts w:hint="default"/>
                <w:lang w:val="en-US" w:eastAsia="zh-CN"/>
              </w:rPr>
              <w:t>2</w:t>
            </w:r>
            <w:r>
              <w:rPr>
                <w:rFonts w:hint="eastAsia"/>
                <w:lang w:val="en-US" w:eastAsia="zh-CN"/>
              </w:rPr>
              <w:t xml:space="preserve">、技术规范 </w:t>
            </w:r>
          </w:p>
          <w:p>
            <w:pPr>
              <w:pStyle w:val="5"/>
              <w:bidi w:val="0"/>
            </w:pPr>
            <w:r>
              <w:rPr>
                <w:rFonts w:hint="eastAsia"/>
                <w:lang w:val="en-US" w:eastAsia="zh-CN"/>
              </w:rPr>
              <w:t>（</w:t>
            </w:r>
            <w:r>
              <w:rPr>
                <w:rFonts w:hint="default"/>
                <w:lang w:val="en-US" w:eastAsia="zh-CN"/>
              </w:rPr>
              <w:t>1</w:t>
            </w:r>
            <w:r>
              <w:rPr>
                <w:rFonts w:hint="eastAsia"/>
                <w:lang w:val="en-US" w:eastAsia="zh-CN"/>
              </w:rPr>
              <w:t>）《建设项目环境影响评价技术导则 总纲》</w:t>
            </w:r>
            <w:r>
              <w:rPr>
                <w:rFonts w:hint="default"/>
                <w:lang w:val="en-US" w:eastAsia="zh-CN"/>
              </w:rPr>
              <w:t>HJ2.1-2016</w:t>
            </w:r>
            <w:r>
              <w:rPr>
                <w:rFonts w:hint="eastAsia"/>
                <w:lang w:val="en-US" w:eastAsia="zh-CN"/>
              </w:rPr>
              <w:t xml:space="preserve">； </w:t>
            </w:r>
          </w:p>
          <w:p>
            <w:pPr>
              <w:pStyle w:val="5"/>
              <w:bidi w:val="0"/>
            </w:pPr>
            <w:r>
              <w:rPr>
                <w:rFonts w:hint="eastAsia"/>
                <w:lang w:val="en-US" w:eastAsia="zh-CN"/>
              </w:rPr>
              <w:t>（</w:t>
            </w:r>
            <w:r>
              <w:rPr>
                <w:rFonts w:hint="default"/>
                <w:lang w:val="en-US" w:eastAsia="zh-CN"/>
              </w:rPr>
              <w:t>2</w:t>
            </w:r>
            <w:r>
              <w:rPr>
                <w:rFonts w:hint="eastAsia"/>
                <w:lang w:val="en-US" w:eastAsia="zh-CN"/>
              </w:rPr>
              <w:t>）《环境影响评价技术导则 大气环境》</w:t>
            </w:r>
            <w:r>
              <w:rPr>
                <w:rFonts w:hint="default"/>
                <w:lang w:val="en-US" w:eastAsia="zh-CN"/>
              </w:rPr>
              <w:t>HJ2.2-2018</w:t>
            </w:r>
            <w:r>
              <w:rPr>
                <w:rFonts w:hint="eastAsia"/>
                <w:lang w:val="en-US" w:eastAsia="zh-CN"/>
              </w:rPr>
              <w:t xml:space="preserve">； </w:t>
            </w:r>
          </w:p>
          <w:p>
            <w:pPr>
              <w:pStyle w:val="5"/>
              <w:bidi w:val="0"/>
            </w:pPr>
            <w:r>
              <w:rPr>
                <w:rFonts w:hint="eastAsia"/>
                <w:lang w:val="en-US" w:eastAsia="zh-CN"/>
              </w:rPr>
              <w:t>（</w:t>
            </w:r>
            <w:r>
              <w:rPr>
                <w:rFonts w:hint="default"/>
                <w:lang w:val="en-US" w:eastAsia="zh-CN"/>
              </w:rPr>
              <w:t>3</w:t>
            </w:r>
            <w:r>
              <w:rPr>
                <w:rFonts w:hint="eastAsia"/>
                <w:lang w:val="en-US" w:eastAsia="zh-CN"/>
              </w:rPr>
              <w:t>）《环境影响评价技术导则</w:t>
            </w:r>
            <w:r>
              <w:rPr>
                <w:rFonts w:hint="default"/>
                <w:lang w:val="en-US" w:eastAsia="zh-CN"/>
              </w:rPr>
              <w:t>—</w:t>
            </w:r>
            <w:r>
              <w:rPr>
                <w:rFonts w:hint="eastAsia"/>
                <w:lang w:val="en-US" w:eastAsia="zh-CN"/>
              </w:rPr>
              <w:t>地表水环境》</w:t>
            </w:r>
            <w:r>
              <w:rPr>
                <w:rFonts w:hint="default"/>
                <w:lang w:val="en-US" w:eastAsia="zh-CN"/>
              </w:rPr>
              <w:t>HJ 2.3-2018</w:t>
            </w:r>
            <w:r>
              <w:rPr>
                <w:rFonts w:hint="eastAsia"/>
                <w:lang w:val="en-US" w:eastAsia="zh-CN"/>
              </w:rPr>
              <w:t xml:space="preserve">； </w:t>
            </w:r>
          </w:p>
          <w:p>
            <w:pPr>
              <w:pStyle w:val="5"/>
              <w:bidi w:val="0"/>
            </w:pPr>
            <w:r>
              <w:rPr>
                <w:rFonts w:hint="eastAsia"/>
                <w:lang w:val="en-US" w:eastAsia="zh-CN"/>
              </w:rPr>
              <w:t>（</w:t>
            </w:r>
            <w:r>
              <w:rPr>
                <w:rFonts w:hint="default"/>
                <w:lang w:val="en-US" w:eastAsia="zh-CN"/>
              </w:rPr>
              <w:t>4</w:t>
            </w:r>
            <w:r>
              <w:rPr>
                <w:rFonts w:hint="eastAsia"/>
                <w:lang w:val="en-US" w:eastAsia="zh-CN"/>
              </w:rPr>
              <w:t>）《环境影响评价技术导则</w:t>
            </w:r>
            <w:r>
              <w:rPr>
                <w:rFonts w:hint="default"/>
                <w:lang w:val="en-US" w:eastAsia="zh-CN"/>
              </w:rPr>
              <w:t>—</w:t>
            </w:r>
            <w:r>
              <w:rPr>
                <w:rFonts w:hint="eastAsia"/>
                <w:lang w:val="en-US" w:eastAsia="zh-CN"/>
              </w:rPr>
              <w:t>声环境》</w:t>
            </w:r>
            <w:r>
              <w:rPr>
                <w:rFonts w:hint="default"/>
                <w:lang w:val="en-US" w:eastAsia="zh-CN"/>
              </w:rPr>
              <w:t>HJ 2.4-2009</w:t>
            </w:r>
            <w:r>
              <w:rPr>
                <w:rFonts w:hint="eastAsia"/>
                <w:lang w:val="en-US" w:eastAsia="zh-CN"/>
              </w:rPr>
              <w:t xml:space="preserve">； </w:t>
            </w:r>
          </w:p>
          <w:p>
            <w:pPr>
              <w:pStyle w:val="5"/>
              <w:bidi w:val="0"/>
            </w:pPr>
            <w:r>
              <w:rPr>
                <w:rFonts w:hint="eastAsia"/>
                <w:lang w:val="en-US" w:eastAsia="zh-CN"/>
              </w:rPr>
              <w:t>（</w:t>
            </w:r>
            <w:r>
              <w:rPr>
                <w:rFonts w:hint="default"/>
                <w:lang w:val="en-US" w:eastAsia="zh-CN"/>
              </w:rPr>
              <w:t>5</w:t>
            </w:r>
            <w:r>
              <w:rPr>
                <w:rFonts w:hint="eastAsia"/>
                <w:lang w:val="en-US" w:eastAsia="zh-CN"/>
              </w:rPr>
              <w:t>）《建设项目环境风险评价技术导则》</w:t>
            </w:r>
            <w:r>
              <w:rPr>
                <w:rFonts w:hint="default"/>
                <w:lang w:val="en-US" w:eastAsia="zh-CN"/>
              </w:rPr>
              <w:t>HJ 169-2018</w:t>
            </w:r>
            <w:r>
              <w:rPr>
                <w:rFonts w:hint="eastAsia"/>
                <w:lang w:val="en-US" w:eastAsia="zh-CN"/>
              </w:rPr>
              <w:t>。</w:t>
            </w:r>
          </w:p>
          <w:p>
            <w:pPr>
              <w:pStyle w:val="4"/>
            </w:pPr>
            <w:r>
              <w:rPr>
                <w:rFonts w:hint="eastAsia"/>
                <w:lang w:val="en-US" w:eastAsia="zh-CN"/>
              </w:rPr>
              <w:t>三</w:t>
            </w:r>
            <w:r>
              <w:rPr>
                <w:rFonts w:hint="eastAsia"/>
              </w:rPr>
              <w:t>、项目概况</w:t>
            </w:r>
          </w:p>
          <w:p>
            <w:pPr>
              <w:pStyle w:val="5"/>
            </w:pPr>
            <w:r>
              <w:rPr>
                <w:rFonts w:hint="eastAsia"/>
              </w:rPr>
              <w:t>（一）项目情况</w:t>
            </w:r>
          </w:p>
          <w:p>
            <w:pPr>
              <w:pStyle w:val="5"/>
            </w:pPr>
            <w:r>
              <w:rPr>
                <w:rFonts w:hint="eastAsia"/>
              </w:rPr>
              <w:t>1、项目名称：年产150万平方米纸箱生产项目</w:t>
            </w:r>
          </w:p>
          <w:p>
            <w:pPr>
              <w:pStyle w:val="5"/>
            </w:pPr>
            <w:r>
              <w:rPr>
                <w:rFonts w:hint="eastAsia"/>
              </w:rPr>
              <w:t>2、建设单位：淮南市永发</w:t>
            </w:r>
            <w:r>
              <w:rPr>
                <w:rFonts w:hint="eastAsia"/>
                <w:lang w:val="en-US" w:eastAsia="zh-CN"/>
              </w:rPr>
              <w:t>纸制品</w:t>
            </w:r>
            <w:r>
              <w:rPr>
                <w:rFonts w:hint="eastAsia"/>
              </w:rPr>
              <w:t>有限公司。</w:t>
            </w:r>
          </w:p>
          <w:p>
            <w:pPr>
              <w:pStyle w:val="5"/>
            </w:pPr>
            <w:r>
              <w:rPr>
                <w:rFonts w:hint="eastAsia"/>
              </w:rPr>
              <w:t>3、建设地点：淮南市经济技术开发区永兴路东侧淮南市金安包装有限公司院内3号车间，厂址地理坐标117.0656，32.6666。</w:t>
            </w:r>
          </w:p>
          <w:p>
            <w:pPr>
              <w:pStyle w:val="5"/>
            </w:pPr>
            <w:r>
              <w:rPr>
                <w:rFonts w:hint="eastAsia"/>
              </w:rPr>
              <w:t>4、生产规模：年产150万平方米纸质包装箱。</w:t>
            </w:r>
          </w:p>
          <w:p>
            <w:pPr>
              <w:pStyle w:val="5"/>
            </w:pPr>
            <w:r>
              <w:rPr>
                <w:rFonts w:hint="eastAsia"/>
              </w:rPr>
              <w:t>5、建设性质：新建</w:t>
            </w:r>
          </w:p>
          <w:p>
            <w:pPr>
              <w:pStyle w:val="5"/>
            </w:pPr>
            <w:r>
              <w:rPr>
                <w:rFonts w:hint="eastAsia"/>
              </w:rPr>
              <w:t>（二）新</w:t>
            </w:r>
            <w:r>
              <w:t>建工程</w:t>
            </w:r>
          </w:p>
          <w:p>
            <w:pPr>
              <w:pStyle w:val="5"/>
            </w:pPr>
            <w:r>
              <w:t>1、工程内容及规模</w:t>
            </w:r>
          </w:p>
          <w:p>
            <w:pPr>
              <w:pStyle w:val="5"/>
            </w:pPr>
            <w:r>
              <w:t>本项目租赁</w:t>
            </w:r>
            <w:r>
              <w:rPr>
                <w:rFonts w:hint="eastAsia"/>
              </w:rPr>
              <w:t>淮南市经济技术开发区永兴路东侧淮南市金安包装有限公司院内3号车间</w:t>
            </w:r>
            <w:r>
              <w:t>，</w:t>
            </w:r>
            <w:r>
              <w:rPr>
                <w:rFonts w:hint="eastAsia"/>
              </w:rPr>
              <w:t>车间坐标117.0656，32.6666。建筑</w:t>
            </w:r>
            <w:r>
              <w:t>面积</w:t>
            </w:r>
            <w:r>
              <w:rPr>
                <w:rFonts w:hint="eastAsia"/>
              </w:rPr>
              <w:t>1324.36</w:t>
            </w:r>
            <w:r>
              <w:t>m2，主要购置</w:t>
            </w:r>
            <w:r>
              <w:rPr>
                <w:rFonts w:hint="eastAsia"/>
                <w:lang w:val="en-US" w:eastAsia="zh-CN"/>
              </w:rPr>
              <w:t>模切印刷一体机</w:t>
            </w:r>
            <w:r>
              <w:rPr>
                <w:rFonts w:hint="eastAsia"/>
              </w:rPr>
              <w:t>、全自</w:t>
            </w:r>
            <w:r>
              <w:rPr>
                <w:rFonts w:hint="eastAsia"/>
                <w:lang w:val="en-US" w:eastAsia="zh-CN"/>
              </w:rPr>
              <w:t>动</w:t>
            </w:r>
            <w:r>
              <w:rPr>
                <w:rFonts w:hint="eastAsia"/>
              </w:rPr>
              <w:t>粘箱机等加工所需设备，建设2条全自动包装箱加工线。</w:t>
            </w:r>
            <w:r>
              <w:t>具体建设内容详见</w:t>
            </w:r>
            <w:r>
              <w:rPr>
                <w:rFonts w:hint="eastAsia"/>
              </w:rPr>
              <w:t>下</w:t>
            </w:r>
            <w:r>
              <w:t>表</w:t>
            </w:r>
            <w:r>
              <w:rPr>
                <w:rFonts w:hint="eastAsia"/>
              </w:rPr>
              <w:t>：</w:t>
            </w:r>
          </w:p>
          <w:p>
            <w:pPr>
              <w:pStyle w:val="29"/>
              <w:spacing w:before="65" w:after="65"/>
            </w:pPr>
            <w:r>
              <w:rPr>
                <w:rFonts w:hint="eastAsia"/>
              </w:rPr>
              <w:t>表1-1 项目建设内容一览表</w:t>
            </w:r>
          </w:p>
          <w:tbl>
            <w:tblPr>
              <w:tblStyle w:val="23"/>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080"/>
              <w:gridCol w:w="6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8" w:type="dxa"/>
                  <w:gridSpan w:val="3"/>
                  <w:noWrap/>
                  <w:vAlign w:val="center"/>
                </w:tcPr>
                <w:p>
                  <w:pPr>
                    <w:pStyle w:val="40"/>
                  </w:pPr>
                  <w:r>
                    <w:rPr>
                      <w:rFonts w:hint="eastAsia"/>
                    </w:rPr>
                    <w:t>新建工程建设内容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2" w:type="dxa"/>
                  <w:noWrap/>
                  <w:vAlign w:val="center"/>
                </w:tcPr>
                <w:p>
                  <w:pPr>
                    <w:pStyle w:val="40"/>
                  </w:pPr>
                  <w:r>
                    <w:rPr>
                      <w:rFonts w:hint="eastAsia"/>
                    </w:rPr>
                    <w:t>项目组成</w:t>
                  </w:r>
                </w:p>
              </w:tc>
              <w:tc>
                <w:tcPr>
                  <w:tcW w:w="1080" w:type="dxa"/>
                  <w:noWrap/>
                  <w:vAlign w:val="center"/>
                </w:tcPr>
                <w:p>
                  <w:pPr>
                    <w:pStyle w:val="40"/>
                  </w:pPr>
                  <w:r>
                    <w:rPr>
                      <w:rFonts w:hint="eastAsia"/>
                    </w:rPr>
                    <w:t>单项工程</w:t>
                  </w:r>
                </w:p>
              </w:tc>
              <w:tc>
                <w:tcPr>
                  <w:tcW w:w="6816" w:type="dxa"/>
                  <w:noWrap/>
                  <w:vAlign w:val="center"/>
                </w:tcPr>
                <w:p>
                  <w:pPr>
                    <w:pStyle w:val="40"/>
                  </w:pPr>
                  <w:r>
                    <w:rPr>
                      <w:rFonts w:hint="eastAsia"/>
                    </w:rPr>
                    <w:t>工程内容及规模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2" w:type="dxa"/>
                  <w:noWrap/>
                  <w:vAlign w:val="center"/>
                </w:tcPr>
                <w:p>
                  <w:pPr>
                    <w:pStyle w:val="40"/>
                  </w:pPr>
                  <w:r>
                    <w:rPr>
                      <w:rFonts w:hint="eastAsia"/>
                    </w:rPr>
                    <w:t>主体工程</w:t>
                  </w:r>
                </w:p>
              </w:tc>
              <w:tc>
                <w:tcPr>
                  <w:tcW w:w="1080" w:type="dxa"/>
                  <w:noWrap/>
                  <w:vAlign w:val="center"/>
                </w:tcPr>
                <w:p>
                  <w:pPr>
                    <w:pStyle w:val="40"/>
                  </w:pPr>
                  <w:r>
                    <w:rPr>
                      <w:rFonts w:hint="eastAsia"/>
                    </w:rPr>
                    <w:t>生产车间</w:t>
                  </w:r>
                </w:p>
              </w:tc>
              <w:tc>
                <w:tcPr>
                  <w:tcW w:w="6816" w:type="dxa"/>
                  <w:noWrap/>
                  <w:vAlign w:val="center"/>
                </w:tcPr>
                <w:p>
                  <w:pPr>
                    <w:pStyle w:val="40"/>
                  </w:pPr>
                  <w:r>
                    <w:rPr>
                      <w:rFonts w:hint="eastAsia"/>
                    </w:rPr>
                    <w:t>租赁金安包装有限公司3号车间，配套安装</w:t>
                  </w:r>
                  <w:r>
                    <w:rPr>
                      <w:rFonts w:hint="eastAsia"/>
                      <w:lang w:val="en-US" w:eastAsia="zh-CN"/>
                    </w:rPr>
                    <w:t>模切印刷一体机两台</w:t>
                  </w:r>
                  <w:r>
                    <w:rPr>
                      <w:rFonts w:hint="eastAsia"/>
                    </w:rPr>
                    <w:t>、</w:t>
                  </w:r>
                  <w:r>
                    <w:rPr>
                      <w:rFonts w:hint="eastAsia"/>
                      <w:lang w:val="en-US" w:eastAsia="zh-CN"/>
                    </w:rPr>
                    <w:t>全自动粘合机及</w:t>
                  </w:r>
                  <w:r>
                    <w:rPr>
                      <w:rFonts w:hint="eastAsia"/>
                    </w:rPr>
                    <w:t>打包机各一台，钉针机</w:t>
                  </w:r>
                  <w:r>
                    <w:rPr>
                      <w:rFonts w:hint="eastAsia"/>
                      <w:lang w:val="en-US" w:eastAsia="zh-CN"/>
                    </w:rPr>
                    <w:t>一</w:t>
                  </w:r>
                  <w:r>
                    <w:rPr>
                      <w:rFonts w:hint="eastAsia"/>
                    </w:rPr>
                    <w:t>台，包含印刷区、模切区、钉箱区、成品区、面积共1200㎡，钢结构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2" w:type="dxa"/>
                  <w:noWrap/>
                  <w:vAlign w:val="center"/>
                </w:tcPr>
                <w:p>
                  <w:pPr>
                    <w:pStyle w:val="40"/>
                  </w:pPr>
                  <w:r>
                    <w:rPr>
                      <w:rFonts w:hint="eastAsia"/>
                    </w:rPr>
                    <w:t>辅助工程</w:t>
                  </w:r>
                </w:p>
              </w:tc>
              <w:tc>
                <w:tcPr>
                  <w:tcW w:w="1080" w:type="dxa"/>
                  <w:noWrap/>
                  <w:vAlign w:val="center"/>
                </w:tcPr>
                <w:p>
                  <w:pPr>
                    <w:pStyle w:val="40"/>
                  </w:pPr>
                  <w:r>
                    <w:rPr>
                      <w:rFonts w:hint="eastAsia"/>
                    </w:rPr>
                    <w:t>办公室</w:t>
                  </w:r>
                </w:p>
              </w:tc>
              <w:tc>
                <w:tcPr>
                  <w:tcW w:w="6816" w:type="dxa"/>
                  <w:noWrap/>
                  <w:vAlign w:val="center"/>
                </w:tcPr>
                <w:p>
                  <w:pPr>
                    <w:pStyle w:val="40"/>
                  </w:pPr>
                  <w:r>
                    <w:rPr>
                      <w:rFonts w:hint="eastAsia"/>
                    </w:rPr>
                    <w:t>租赁厂区办公室，用于办公、接待、会议等，面积为124.36㎡,位于金安包装厂区东南侧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2" w:type="dxa"/>
                  <w:vMerge w:val="restart"/>
                  <w:noWrap/>
                  <w:vAlign w:val="center"/>
                </w:tcPr>
                <w:p>
                  <w:pPr>
                    <w:pStyle w:val="40"/>
                  </w:pPr>
                  <w:r>
                    <w:rPr>
                      <w:rFonts w:hint="eastAsia"/>
                    </w:rPr>
                    <w:t>储运工程</w:t>
                  </w:r>
                </w:p>
              </w:tc>
              <w:tc>
                <w:tcPr>
                  <w:tcW w:w="1080" w:type="dxa"/>
                  <w:noWrap/>
                  <w:vAlign w:val="center"/>
                </w:tcPr>
                <w:p>
                  <w:pPr>
                    <w:pStyle w:val="40"/>
                  </w:pPr>
                  <w:r>
                    <w:rPr>
                      <w:rFonts w:hint="eastAsia"/>
                    </w:rPr>
                    <w:t>原料库</w:t>
                  </w:r>
                </w:p>
              </w:tc>
              <w:tc>
                <w:tcPr>
                  <w:tcW w:w="6816" w:type="dxa"/>
                  <w:noWrap/>
                  <w:vAlign w:val="center"/>
                </w:tcPr>
                <w:p>
                  <w:pPr>
                    <w:pStyle w:val="40"/>
                  </w:pPr>
                  <w:r>
                    <w:rPr>
                      <w:rFonts w:hint="eastAsia"/>
                    </w:rPr>
                    <w:t>在厂房北侧设置原料库，用于原辅材料储存，面积300㎡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2" w:type="dxa"/>
                  <w:vMerge w:val="continue"/>
                  <w:noWrap/>
                  <w:vAlign w:val="center"/>
                </w:tcPr>
                <w:p>
                  <w:pPr>
                    <w:pStyle w:val="40"/>
                  </w:pPr>
                </w:p>
              </w:tc>
              <w:tc>
                <w:tcPr>
                  <w:tcW w:w="1080" w:type="dxa"/>
                  <w:noWrap/>
                  <w:vAlign w:val="center"/>
                </w:tcPr>
                <w:p>
                  <w:pPr>
                    <w:pStyle w:val="40"/>
                  </w:pPr>
                  <w:r>
                    <w:rPr>
                      <w:rFonts w:hint="eastAsia"/>
                    </w:rPr>
                    <w:t>成品库</w:t>
                  </w:r>
                </w:p>
              </w:tc>
              <w:tc>
                <w:tcPr>
                  <w:tcW w:w="6816" w:type="dxa"/>
                  <w:noWrap/>
                  <w:vAlign w:val="center"/>
                </w:tcPr>
                <w:p>
                  <w:pPr>
                    <w:pStyle w:val="40"/>
                  </w:pPr>
                  <w:r>
                    <w:rPr>
                      <w:rFonts w:hint="eastAsia"/>
                    </w:rPr>
                    <w:t>在厂房东南侧设置成品库，用于成品储存，面积150㎡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2" w:type="dxa"/>
                  <w:vMerge w:val="restart"/>
                  <w:noWrap/>
                  <w:vAlign w:val="center"/>
                </w:tcPr>
                <w:p>
                  <w:pPr>
                    <w:pStyle w:val="40"/>
                  </w:pPr>
                  <w:r>
                    <w:rPr>
                      <w:rFonts w:hint="eastAsia"/>
                    </w:rPr>
                    <w:t>公用工程</w:t>
                  </w:r>
                </w:p>
              </w:tc>
              <w:tc>
                <w:tcPr>
                  <w:tcW w:w="1080" w:type="dxa"/>
                  <w:noWrap/>
                  <w:vAlign w:val="center"/>
                </w:tcPr>
                <w:p>
                  <w:pPr>
                    <w:pStyle w:val="40"/>
                  </w:pPr>
                  <w:r>
                    <w:rPr>
                      <w:rFonts w:hint="eastAsia"/>
                    </w:rPr>
                    <w:t>供配电</w:t>
                  </w:r>
                </w:p>
              </w:tc>
              <w:tc>
                <w:tcPr>
                  <w:tcW w:w="6816" w:type="dxa"/>
                  <w:noWrap/>
                  <w:vAlign w:val="center"/>
                </w:tcPr>
                <w:p>
                  <w:pPr>
                    <w:pStyle w:val="40"/>
                  </w:pPr>
                  <w:r>
                    <w:rPr>
                      <w:rFonts w:hint="eastAsia"/>
                    </w:rPr>
                    <w:t>用电由市政供配电系统提供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2" w:type="dxa"/>
                  <w:vMerge w:val="continue"/>
                  <w:noWrap/>
                  <w:vAlign w:val="center"/>
                </w:tcPr>
                <w:p>
                  <w:pPr>
                    <w:pStyle w:val="40"/>
                  </w:pPr>
                </w:p>
              </w:tc>
              <w:tc>
                <w:tcPr>
                  <w:tcW w:w="1080" w:type="dxa"/>
                  <w:noWrap/>
                  <w:vAlign w:val="center"/>
                </w:tcPr>
                <w:p>
                  <w:pPr>
                    <w:pStyle w:val="40"/>
                  </w:pPr>
                  <w:r>
                    <w:rPr>
                      <w:rFonts w:hint="eastAsia"/>
                    </w:rPr>
                    <w:t>供水</w:t>
                  </w:r>
                </w:p>
              </w:tc>
              <w:tc>
                <w:tcPr>
                  <w:tcW w:w="6816" w:type="dxa"/>
                  <w:noWrap/>
                  <w:vAlign w:val="center"/>
                </w:tcPr>
                <w:p>
                  <w:pPr>
                    <w:pStyle w:val="40"/>
                  </w:pPr>
                  <w:r>
                    <w:rPr>
                      <w:rFonts w:hint="eastAsia"/>
                    </w:rPr>
                    <w:t>项目生产、生活用水由市政供水系统提供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2" w:type="dxa"/>
                  <w:vMerge w:val="continue"/>
                  <w:noWrap/>
                  <w:vAlign w:val="center"/>
                </w:tcPr>
                <w:p>
                  <w:pPr>
                    <w:pStyle w:val="40"/>
                  </w:pPr>
                </w:p>
              </w:tc>
              <w:tc>
                <w:tcPr>
                  <w:tcW w:w="1080" w:type="dxa"/>
                  <w:noWrap/>
                  <w:vAlign w:val="center"/>
                </w:tcPr>
                <w:p>
                  <w:pPr>
                    <w:pStyle w:val="40"/>
                  </w:pPr>
                  <w:r>
                    <w:rPr>
                      <w:rFonts w:hint="eastAsia"/>
                    </w:rPr>
                    <w:t>排水</w:t>
                  </w:r>
                </w:p>
              </w:tc>
              <w:tc>
                <w:tcPr>
                  <w:tcW w:w="6816" w:type="dxa"/>
                  <w:noWrap/>
                  <w:vAlign w:val="center"/>
                </w:tcPr>
                <w:p>
                  <w:pPr>
                    <w:pStyle w:val="40"/>
                  </w:pPr>
                  <w:r>
                    <w:rPr>
                      <w:rFonts w:hint="eastAsia"/>
                    </w:rPr>
                    <w:t>雨污分流，雨水自流排放入厂外雨水管道，生活污水由</w:t>
                  </w:r>
                  <w:r>
                    <w:rPr>
                      <w:rFonts w:hint="eastAsia"/>
                      <w:lang w:val="en-US" w:eastAsia="zh-CN"/>
                    </w:rPr>
                    <w:t>淮南市经济技术开发区</w:t>
                  </w:r>
                  <w:r>
                    <w:rPr>
                      <w:rFonts w:hint="eastAsia"/>
                    </w:rPr>
                    <w:t>污水处理厂处理后排放</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72" w:type="dxa"/>
                  <w:vMerge w:val="restart"/>
                  <w:tcBorders>
                    <w:right w:val="single" w:color="000000" w:sz="4" w:space="0"/>
                  </w:tcBorders>
                  <w:noWrap/>
                  <w:vAlign w:val="center"/>
                </w:tcPr>
                <w:p>
                  <w:pPr>
                    <w:pStyle w:val="40"/>
                  </w:pPr>
                  <w:r>
                    <w:rPr>
                      <w:rFonts w:hint="eastAsia"/>
                    </w:rPr>
                    <w:t>环保工程</w:t>
                  </w:r>
                </w:p>
              </w:tc>
              <w:tc>
                <w:tcPr>
                  <w:tcW w:w="1080" w:type="dxa"/>
                  <w:vMerge w:val="restart"/>
                  <w:tcBorders>
                    <w:top w:val="single" w:color="000000" w:sz="4" w:space="0"/>
                    <w:left w:val="single" w:color="000000" w:sz="4" w:space="0"/>
                    <w:right w:val="single" w:color="auto" w:sz="4" w:space="0"/>
                  </w:tcBorders>
                  <w:noWrap/>
                  <w:vAlign w:val="center"/>
                </w:tcPr>
                <w:p>
                  <w:pPr>
                    <w:pStyle w:val="40"/>
                  </w:pPr>
                  <w:r>
                    <w:rPr>
                      <w:rFonts w:hint="eastAsia"/>
                    </w:rPr>
                    <w:t>废水治理</w:t>
                  </w:r>
                </w:p>
              </w:tc>
              <w:tc>
                <w:tcPr>
                  <w:tcW w:w="6816" w:type="dxa"/>
                  <w:vMerge w:val="restart"/>
                  <w:tcBorders>
                    <w:top w:val="single" w:color="000000" w:sz="4" w:space="0"/>
                    <w:left w:val="single" w:color="auto" w:sz="4" w:space="0"/>
                    <w:right w:val="single" w:color="auto" w:sz="4" w:space="0"/>
                  </w:tcBorders>
                  <w:noWrap/>
                  <w:vAlign w:val="center"/>
                </w:tcPr>
                <w:p>
                  <w:pPr>
                    <w:pStyle w:val="40"/>
                  </w:pPr>
                  <w:r>
                    <w:rPr>
                      <w:rFonts w:hint="eastAsia"/>
                    </w:rPr>
                    <w:t>生活污水经化粪池预处理后排入园区污水管网</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72" w:type="dxa"/>
                  <w:vMerge w:val="continue"/>
                  <w:tcBorders>
                    <w:right w:val="single" w:color="000000" w:sz="4" w:space="0"/>
                  </w:tcBorders>
                  <w:noWrap/>
                  <w:vAlign w:val="center"/>
                </w:tcPr>
                <w:p>
                  <w:pPr>
                    <w:pStyle w:val="40"/>
                  </w:pPr>
                </w:p>
              </w:tc>
              <w:tc>
                <w:tcPr>
                  <w:tcW w:w="1080" w:type="dxa"/>
                  <w:vMerge w:val="continue"/>
                  <w:tcBorders>
                    <w:left w:val="single" w:color="000000" w:sz="4" w:space="0"/>
                    <w:bottom w:val="single" w:color="auto" w:sz="4" w:space="0"/>
                    <w:right w:val="single" w:color="auto" w:sz="4" w:space="0"/>
                  </w:tcBorders>
                  <w:noWrap/>
                  <w:vAlign w:val="center"/>
                </w:tcPr>
                <w:p>
                  <w:pPr>
                    <w:pStyle w:val="40"/>
                  </w:pPr>
                  <w:r>
                    <w:rPr>
                      <w:rFonts w:hint="eastAsia"/>
                    </w:rPr>
                    <w:t>废水</w:t>
                  </w:r>
                </w:p>
                <w:p>
                  <w:pPr>
                    <w:pStyle w:val="40"/>
                  </w:pPr>
                  <w:r>
                    <w:rPr>
                      <w:rFonts w:hint="eastAsia"/>
                    </w:rPr>
                    <w:t>员工生活</w:t>
                  </w:r>
                </w:p>
                <w:p>
                  <w:pPr>
                    <w:pStyle w:val="40"/>
                  </w:pPr>
                  <w:r>
                    <w:rPr>
                      <w:rFonts w:hint="eastAsia"/>
                    </w:rPr>
                    <w:t>生活污水</w:t>
                  </w:r>
                </w:p>
                <w:p>
                  <w:pPr>
                    <w:pStyle w:val="40"/>
                  </w:pPr>
                  <w:r>
                    <w:rPr>
                      <w:rFonts w:hint="eastAsia"/>
                    </w:rPr>
                    <w:t>生活污水经园区管网进入淮南现代产业园污水处理站进行处理</w:t>
                  </w:r>
                </w:p>
              </w:tc>
              <w:tc>
                <w:tcPr>
                  <w:tcW w:w="6816" w:type="dxa"/>
                  <w:vMerge w:val="continue"/>
                  <w:tcBorders>
                    <w:left w:val="single" w:color="auto" w:sz="4" w:space="0"/>
                    <w:bottom w:val="single" w:color="auto" w:sz="4" w:space="0"/>
                    <w:right w:val="single" w:color="auto" w:sz="4" w:space="0"/>
                  </w:tcBorders>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72" w:type="dxa"/>
                  <w:vMerge w:val="continue"/>
                  <w:tcBorders>
                    <w:right w:val="single" w:color="000000" w:sz="4" w:space="0"/>
                  </w:tcBorders>
                  <w:noWrap/>
                  <w:vAlign w:val="center"/>
                </w:tcPr>
                <w:p>
                  <w:pPr>
                    <w:pStyle w:val="40"/>
                  </w:pPr>
                </w:p>
              </w:tc>
              <w:tc>
                <w:tcPr>
                  <w:tcW w:w="1080" w:type="dxa"/>
                  <w:vMerge w:val="continue"/>
                  <w:tcBorders>
                    <w:left w:val="single" w:color="000000" w:sz="4" w:space="0"/>
                    <w:bottom w:val="single" w:color="auto" w:sz="4" w:space="0"/>
                    <w:right w:val="single" w:color="auto" w:sz="4" w:space="0"/>
                  </w:tcBorders>
                  <w:noWrap/>
                  <w:vAlign w:val="center"/>
                </w:tcPr>
                <w:p>
                  <w:pPr>
                    <w:pStyle w:val="40"/>
                  </w:pPr>
                </w:p>
              </w:tc>
              <w:tc>
                <w:tcPr>
                  <w:tcW w:w="6816" w:type="dxa"/>
                  <w:tcBorders>
                    <w:top w:val="single" w:color="auto" w:sz="4" w:space="0"/>
                    <w:left w:val="single" w:color="auto" w:sz="4" w:space="0"/>
                    <w:bottom w:val="single" w:color="auto" w:sz="4" w:space="0"/>
                    <w:right w:val="single" w:color="auto" w:sz="4" w:space="0"/>
                  </w:tcBorders>
                  <w:noWrap/>
                  <w:vAlign w:val="center"/>
                </w:tcPr>
                <w:p>
                  <w:pPr>
                    <w:pStyle w:val="40"/>
                    <w:bidi w:val="0"/>
                  </w:pPr>
                  <w:r>
                    <w:rPr>
                      <w:rFonts w:hint="eastAsia"/>
                    </w:rPr>
                    <w:t>印刷废水</w:t>
                  </w:r>
                  <w:r>
                    <w:rPr>
                      <w:rFonts w:hint="eastAsia"/>
                      <w:lang w:val="en-US" w:eastAsia="zh-CN"/>
                    </w:rPr>
                    <w:t>经过收集后暂存于为危废库定期交于有资质公司进行处理。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72" w:type="dxa"/>
                  <w:vMerge w:val="continue"/>
                  <w:tcBorders>
                    <w:right w:val="single" w:color="000000" w:sz="4" w:space="0"/>
                  </w:tcBorders>
                  <w:noWrap/>
                  <w:vAlign w:val="center"/>
                </w:tcPr>
                <w:p>
                  <w:pPr>
                    <w:pStyle w:val="40"/>
                  </w:pPr>
                </w:p>
              </w:tc>
              <w:tc>
                <w:tcPr>
                  <w:tcW w:w="1080" w:type="dxa"/>
                  <w:vMerge w:val="restart"/>
                  <w:tcBorders>
                    <w:top w:val="single" w:color="auto" w:sz="4" w:space="0"/>
                    <w:left w:val="single" w:color="000000" w:sz="4" w:space="0"/>
                    <w:right w:val="single" w:color="auto" w:sz="4" w:space="0"/>
                  </w:tcBorders>
                  <w:noWrap/>
                  <w:vAlign w:val="center"/>
                </w:tcPr>
                <w:p>
                  <w:pPr>
                    <w:pStyle w:val="40"/>
                  </w:pPr>
                  <w:r>
                    <w:rPr>
                      <w:rFonts w:hint="eastAsia"/>
                    </w:rPr>
                    <w:t>废气治理</w:t>
                  </w:r>
                </w:p>
              </w:tc>
              <w:tc>
                <w:tcPr>
                  <w:tcW w:w="6816" w:type="dxa"/>
                  <w:vMerge w:val="restart"/>
                  <w:tcBorders>
                    <w:top w:val="single" w:color="auto" w:sz="4" w:space="0"/>
                    <w:left w:val="single" w:color="auto" w:sz="4" w:space="0"/>
                    <w:right w:val="single" w:color="auto" w:sz="4" w:space="0"/>
                  </w:tcBorders>
                  <w:noWrap/>
                  <w:vAlign w:val="center"/>
                </w:tcPr>
                <w:p>
                  <w:pPr>
                    <w:pStyle w:val="40"/>
                    <w:rPr>
                      <w:rFonts w:hint="eastAsia"/>
                      <w:lang w:eastAsia="zh-CN"/>
                    </w:rPr>
                  </w:pPr>
                  <w:r>
                    <w:rPr>
                      <w:rFonts w:hint="eastAsia"/>
                    </w:rPr>
                    <w:t>设置封闭式车间，在2台</w:t>
                  </w:r>
                  <w:r>
                    <w:rPr>
                      <w:rFonts w:hint="eastAsia"/>
                      <w:lang w:val="en-US" w:eastAsia="zh-CN"/>
                    </w:rPr>
                    <w:t>模切</w:t>
                  </w:r>
                  <w:r>
                    <w:rPr>
                      <w:rFonts w:hint="eastAsia"/>
                    </w:rPr>
                    <w:t>印刷</w:t>
                  </w:r>
                  <w:r>
                    <w:rPr>
                      <w:rFonts w:hint="eastAsia"/>
                      <w:lang w:val="en-US" w:eastAsia="zh-CN"/>
                    </w:rPr>
                    <w:t>一体</w:t>
                  </w:r>
                  <w:r>
                    <w:rPr>
                      <w:rFonts w:hint="eastAsia"/>
                    </w:rPr>
                    <w:t>机和</w:t>
                  </w:r>
                  <w:r>
                    <w:rPr>
                      <w:rFonts w:hint="eastAsia"/>
                      <w:lang w:val="en-US" w:eastAsia="zh-CN"/>
                    </w:rPr>
                    <w:t>一台全自动</w:t>
                  </w:r>
                  <w:r>
                    <w:rPr>
                      <w:rFonts w:hint="eastAsia"/>
                    </w:rPr>
                    <w:t>粘合机上端分别安装集气罩收集有机废气，收集后的有机废气通过UV光氧催化+活性炭吸附设备处理后通过一根15m排气筒排放</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72" w:type="dxa"/>
                  <w:vMerge w:val="continue"/>
                  <w:tcBorders>
                    <w:right w:val="single" w:color="000000" w:sz="4" w:space="0"/>
                  </w:tcBorders>
                  <w:noWrap/>
                  <w:vAlign w:val="center"/>
                </w:tcPr>
                <w:p>
                  <w:pPr>
                    <w:pStyle w:val="40"/>
                  </w:pPr>
                </w:p>
              </w:tc>
              <w:tc>
                <w:tcPr>
                  <w:tcW w:w="1080" w:type="dxa"/>
                  <w:vMerge w:val="continue"/>
                  <w:tcBorders>
                    <w:top w:val="single" w:color="auto" w:sz="4" w:space="0"/>
                    <w:left w:val="single" w:color="000000" w:sz="4" w:space="0"/>
                    <w:bottom w:val="single" w:color="auto" w:sz="4" w:space="0"/>
                    <w:right w:val="single" w:color="auto" w:sz="4" w:space="0"/>
                  </w:tcBorders>
                  <w:noWrap/>
                  <w:vAlign w:val="center"/>
                </w:tcPr>
                <w:p>
                  <w:pPr>
                    <w:pStyle w:val="40"/>
                  </w:pPr>
                  <w:r>
                    <w:rPr>
                      <w:rFonts w:hint="eastAsia"/>
                    </w:rPr>
                    <w:t>固废</w:t>
                  </w:r>
                </w:p>
                <w:p>
                  <w:pPr>
                    <w:pStyle w:val="40"/>
                  </w:pPr>
                  <w:r>
                    <w:rPr>
                      <w:rFonts w:hint="eastAsia"/>
                    </w:rPr>
                    <w:t>员工生活</w:t>
                  </w:r>
                </w:p>
                <w:p>
                  <w:pPr>
                    <w:pStyle w:val="40"/>
                  </w:pPr>
                  <w:r>
                    <w:rPr>
                      <w:rFonts w:hint="eastAsia"/>
                    </w:rPr>
                    <w:t>生活垃圾</w:t>
                  </w:r>
                </w:p>
                <w:p>
                  <w:pPr>
                    <w:pStyle w:val="40"/>
                  </w:pPr>
                  <w:r>
                    <w:rPr>
                      <w:rFonts w:hint="eastAsia"/>
                    </w:rPr>
                    <w:t>由环卫部门定期清运</w:t>
                  </w:r>
                </w:p>
              </w:tc>
              <w:tc>
                <w:tcPr>
                  <w:tcW w:w="6816" w:type="dxa"/>
                  <w:vMerge w:val="continue"/>
                  <w:tcBorders>
                    <w:left w:val="single" w:color="auto" w:sz="4" w:space="0"/>
                    <w:right w:val="single" w:color="auto" w:sz="4" w:space="0"/>
                  </w:tcBorders>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72" w:type="dxa"/>
                  <w:vMerge w:val="continue"/>
                  <w:tcBorders>
                    <w:right w:val="single" w:color="000000" w:sz="4" w:space="0"/>
                  </w:tcBorders>
                  <w:noWrap/>
                  <w:vAlign w:val="center"/>
                </w:tcPr>
                <w:p>
                  <w:pPr>
                    <w:pStyle w:val="40"/>
                  </w:pPr>
                </w:p>
              </w:tc>
              <w:tc>
                <w:tcPr>
                  <w:tcW w:w="1080" w:type="dxa"/>
                  <w:vMerge w:val="continue"/>
                  <w:tcBorders>
                    <w:top w:val="single" w:color="auto" w:sz="4" w:space="0"/>
                    <w:left w:val="single" w:color="000000" w:sz="4" w:space="0"/>
                    <w:bottom w:val="single" w:color="auto" w:sz="4" w:space="0"/>
                    <w:right w:val="single" w:color="auto" w:sz="4" w:space="0"/>
                  </w:tcBorders>
                  <w:noWrap/>
                  <w:vAlign w:val="center"/>
                </w:tcPr>
                <w:p>
                  <w:pPr>
                    <w:pStyle w:val="40"/>
                  </w:pPr>
                  <w:r>
                    <w:rPr>
                      <w:rFonts w:hint="eastAsia"/>
                    </w:rPr>
                    <w:t>加工过程</w:t>
                  </w:r>
                </w:p>
                <w:p>
                  <w:pPr>
                    <w:pStyle w:val="40"/>
                  </w:pPr>
                  <w:r>
                    <w:rPr>
                      <w:rFonts w:hint="eastAsia"/>
                    </w:rPr>
                    <w:t>除尘器回收粉尘及地面落尘</w:t>
                  </w:r>
                </w:p>
                <w:p>
                  <w:pPr>
                    <w:pStyle w:val="40"/>
                  </w:pPr>
                  <w:r>
                    <w:rPr>
                      <w:rFonts w:hint="eastAsia"/>
                    </w:rPr>
                    <w:t>回用于生产</w:t>
                  </w:r>
                </w:p>
              </w:tc>
              <w:tc>
                <w:tcPr>
                  <w:tcW w:w="6816" w:type="dxa"/>
                  <w:vMerge w:val="continue"/>
                  <w:tcBorders>
                    <w:left w:val="single" w:color="auto" w:sz="4" w:space="0"/>
                    <w:bottom w:val="single" w:color="auto" w:sz="4" w:space="0"/>
                    <w:right w:val="single" w:color="auto" w:sz="4" w:space="0"/>
                  </w:tcBorders>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72" w:type="dxa"/>
                  <w:vMerge w:val="continue"/>
                  <w:tcBorders>
                    <w:right w:val="single" w:color="000000" w:sz="4" w:space="0"/>
                  </w:tcBorders>
                  <w:noWrap/>
                  <w:vAlign w:val="center"/>
                </w:tcPr>
                <w:p>
                  <w:pPr>
                    <w:pStyle w:val="40"/>
                  </w:pPr>
                </w:p>
              </w:tc>
              <w:tc>
                <w:tcPr>
                  <w:tcW w:w="1080" w:type="dxa"/>
                  <w:tcBorders>
                    <w:top w:val="single" w:color="auto" w:sz="4" w:space="0"/>
                    <w:left w:val="single" w:color="000000" w:sz="4" w:space="0"/>
                    <w:bottom w:val="single" w:color="auto" w:sz="4" w:space="0"/>
                    <w:right w:val="single" w:color="auto" w:sz="4" w:space="0"/>
                  </w:tcBorders>
                  <w:noWrap/>
                  <w:vAlign w:val="center"/>
                </w:tcPr>
                <w:p>
                  <w:pPr>
                    <w:pStyle w:val="40"/>
                  </w:pPr>
                  <w:r>
                    <w:rPr>
                      <w:rFonts w:hint="eastAsia"/>
                    </w:rPr>
                    <w:t>一般固废贮存</w:t>
                  </w:r>
                </w:p>
              </w:tc>
              <w:tc>
                <w:tcPr>
                  <w:tcW w:w="6816"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暂存于一般固废区，位于厂房西南侧，面积20m3和垃圾桶中，固废零排放</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72" w:type="dxa"/>
                  <w:vMerge w:val="continue"/>
                  <w:tcBorders>
                    <w:right w:val="single" w:color="000000" w:sz="4" w:space="0"/>
                  </w:tcBorders>
                  <w:noWrap/>
                  <w:vAlign w:val="center"/>
                </w:tcPr>
                <w:p>
                  <w:pPr>
                    <w:pStyle w:val="40"/>
                  </w:pPr>
                </w:p>
              </w:tc>
              <w:tc>
                <w:tcPr>
                  <w:tcW w:w="1080" w:type="dxa"/>
                  <w:tcBorders>
                    <w:top w:val="single" w:color="auto" w:sz="4" w:space="0"/>
                    <w:left w:val="single" w:color="000000" w:sz="4" w:space="0"/>
                    <w:bottom w:val="single" w:color="auto" w:sz="4" w:space="0"/>
                    <w:right w:val="single" w:color="auto" w:sz="4" w:space="0"/>
                  </w:tcBorders>
                  <w:noWrap/>
                  <w:vAlign w:val="center"/>
                </w:tcPr>
                <w:p>
                  <w:pPr>
                    <w:pStyle w:val="40"/>
                  </w:pPr>
                  <w:r>
                    <w:rPr>
                      <w:rFonts w:hint="eastAsia"/>
                    </w:rPr>
                    <w:t>危险固废暂存库</w:t>
                  </w:r>
                </w:p>
              </w:tc>
              <w:tc>
                <w:tcPr>
                  <w:tcW w:w="6816" w:type="dxa"/>
                  <w:tcBorders>
                    <w:top w:val="single" w:color="auto" w:sz="4" w:space="0"/>
                    <w:left w:val="single" w:color="auto" w:sz="4" w:space="0"/>
                    <w:bottom w:val="single" w:color="auto" w:sz="4" w:space="0"/>
                    <w:right w:val="single" w:color="auto" w:sz="4" w:space="0"/>
                  </w:tcBorders>
                  <w:noWrap/>
                  <w:vAlign w:val="center"/>
                </w:tcPr>
                <w:p>
                  <w:pPr>
                    <w:pStyle w:val="40"/>
                    <w:rPr>
                      <w:rFonts w:hint="eastAsia"/>
                      <w:lang w:eastAsia="zh-CN"/>
                    </w:rPr>
                  </w:pPr>
                  <w:r>
                    <w:rPr>
                      <w:rFonts w:hint="eastAsia"/>
                    </w:rPr>
                    <w:t>危废暂存库一处，面积15㎡，位于厂房东北侧，危废在危废暂存间内分类存放，定期交由有危险废物处理资质的单位处置</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72" w:type="dxa"/>
                  <w:vMerge w:val="continue"/>
                  <w:tcBorders>
                    <w:bottom w:val="single" w:color="000000" w:sz="4" w:space="0"/>
                    <w:right w:val="single" w:color="000000" w:sz="4" w:space="0"/>
                  </w:tcBorders>
                  <w:noWrap/>
                  <w:vAlign w:val="center"/>
                </w:tcPr>
                <w:p>
                  <w:pPr>
                    <w:pStyle w:val="40"/>
                  </w:pPr>
                </w:p>
              </w:tc>
              <w:tc>
                <w:tcPr>
                  <w:tcW w:w="1080" w:type="dxa"/>
                  <w:tcBorders>
                    <w:top w:val="single" w:color="auto" w:sz="4" w:space="0"/>
                    <w:left w:val="single" w:color="000000" w:sz="4" w:space="0"/>
                    <w:bottom w:val="single" w:color="auto" w:sz="4" w:space="0"/>
                    <w:right w:val="single" w:color="auto" w:sz="4" w:space="0"/>
                  </w:tcBorders>
                  <w:noWrap/>
                  <w:vAlign w:val="center"/>
                </w:tcPr>
                <w:p>
                  <w:pPr>
                    <w:pStyle w:val="40"/>
                  </w:pPr>
                  <w:r>
                    <w:rPr>
                      <w:rFonts w:hint="eastAsia"/>
                    </w:rPr>
                    <w:t>噪声治理</w:t>
                  </w:r>
                </w:p>
              </w:tc>
              <w:tc>
                <w:tcPr>
                  <w:tcW w:w="6816" w:type="dxa"/>
                  <w:tcBorders>
                    <w:top w:val="single" w:color="auto" w:sz="4" w:space="0"/>
                    <w:left w:val="single" w:color="auto" w:sz="4" w:space="0"/>
                    <w:bottom w:val="single" w:color="000000" w:sz="4" w:space="0"/>
                    <w:right w:val="single" w:color="auto" w:sz="4" w:space="0"/>
                  </w:tcBorders>
                  <w:noWrap/>
                  <w:vAlign w:val="center"/>
                </w:tcPr>
                <w:p>
                  <w:pPr>
                    <w:pStyle w:val="40"/>
                    <w:rPr>
                      <w:rFonts w:hint="eastAsia"/>
                      <w:lang w:eastAsia="zh-CN"/>
                    </w:rPr>
                  </w:pPr>
                  <w:r>
                    <w:rPr>
                      <w:rFonts w:hint="eastAsia"/>
                    </w:rPr>
                    <w:t>设备基础减震、厂房隔声、合理安排工作时间等</w:t>
                  </w:r>
                  <w:r>
                    <w:rPr>
                      <w:rFonts w:hint="eastAsia"/>
                      <w:lang w:eastAsia="zh-CN"/>
                    </w:rPr>
                    <w:t>。</w:t>
                  </w:r>
                </w:p>
              </w:tc>
            </w:tr>
          </w:tbl>
          <w:p>
            <w:pPr>
              <w:pStyle w:val="5"/>
            </w:pPr>
            <w:r>
              <w:rPr>
                <w:rFonts w:hint="eastAsia"/>
              </w:rPr>
              <w:t>2、产品方案</w:t>
            </w:r>
          </w:p>
          <w:p>
            <w:pPr>
              <w:pStyle w:val="5"/>
            </w:pPr>
            <w:r>
              <w:rPr>
                <w:rFonts w:hint="eastAsia"/>
              </w:rPr>
              <w:t>项目具体产品方案见下表：</w:t>
            </w:r>
          </w:p>
          <w:p>
            <w:pPr>
              <w:pStyle w:val="29"/>
              <w:spacing w:before="65" w:after="65"/>
            </w:pPr>
            <w:r>
              <w:t>表1-2 项目产品方案一览表</w:t>
            </w:r>
          </w:p>
          <w:tbl>
            <w:tblPr>
              <w:tblStyle w:val="23"/>
              <w:tblW w:w="8998" w:type="dxa"/>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826"/>
              <w:gridCol w:w="2551"/>
              <w:gridCol w:w="1282"/>
              <w:gridCol w:w="1588"/>
              <w:gridCol w:w="2751"/>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826" w:type="dxa"/>
                  <w:tcBorders>
                    <w:bottom w:val="single" w:color="000000" w:sz="4" w:space="0"/>
                    <w:right w:val="single" w:color="000000" w:sz="4" w:space="0"/>
                  </w:tcBorders>
                  <w:noWrap/>
                  <w:vAlign w:val="center"/>
                </w:tcPr>
                <w:p>
                  <w:pPr>
                    <w:pStyle w:val="40"/>
                  </w:pPr>
                  <w:r>
                    <w:rPr>
                      <w:rFonts w:hint="eastAsia"/>
                    </w:rPr>
                    <w:t>序号</w:t>
                  </w:r>
                </w:p>
              </w:tc>
              <w:tc>
                <w:tcPr>
                  <w:tcW w:w="2551" w:type="dxa"/>
                  <w:tcBorders>
                    <w:left w:val="single" w:color="000000" w:sz="4" w:space="0"/>
                    <w:bottom w:val="single" w:color="000000" w:sz="4" w:space="0"/>
                    <w:right w:val="single" w:color="000000" w:sz="4" w:space="0"/>
                  </w:tcBorders>
                  <w:noWrap/>
                  <w:vAlign w:val="center"/>
                </w:tcPr>
                <w:p>
                  <w:pPr>
                    <w:pStyle w:val="40"/>
                    <w:rPr>
                      <w:rFonts w:hint="default"/>
                      <w:lang w:val="en-US" w:eastAsia="zh-CN"/>
                    </w:rPr>
                  </w:pPr>
                  <w:r>
                    <w:rPr>
                      <w:rFonts w:hint="eastAsia"/>
                      <w:lang w:val="en-US" w:eastAsia="zh-CN"/>
                    </w:rPr>
                    <w:t>生产设备</w:t>
                  </w:r>
                </w:p>
              </w:tc>
              <w:tc>
                <w:tcPr>
                  <w:tcW w:w="1282" w:type="dxa"/>
                  <w:tcBorders>
                    <w:left w:val="single" w:color="000000" w:sz="4" w:space="0"/>
                    <w:bottom w:val="single" w:color="000000" w:sz="4" w:space="0"/>
                    <w:right w:val="single" w:color="000000" w:sz="4" w:space="0"/>
                  </w:tcBorders>
                  <w:noWrap/>
                  <w:vAlign w:val="center"/>
                </w:tcPr>
                <w:p>
                  <w:pPr>
                    <w:pStyle w:val="40"/>
                  </w:pPr>
                  <w:r>
                    <w:rPr>
                      <w:rFonts w:hint="eastAsia"/>
                    </w:rPr>
                    <w:t>单位</w:t>
                  </w:r>
                </w:p>
              </w:tc>
              <w:tc>
                <w:tcPr>
                  <w:tcW w:w="1588" w:type="dxa"/>
                  <w:tcBorders>
                    <w:left w:val="single" w:color="000000" w:sz="4" w:space="0"/>
                    <w:bottom w:val="single" w:color="000000" w:sz="4" w:space="0"/>
                    <w:right w:val="single" w:color="000000" w:sz="4" w:space="0"/>
                  </w:tcBorders>
                  <w:noWrap/>
                  <w:vAlign w:val="center"/>
                </w:tcPr>
                <w:p>
                  <w:pPr>
                    <w:pStyle w:val="40"/>
                  </w:pPr>
                  <w:r>
                    <w:rPr>
                      <w:rFonts w:hint="eastAsia"/>
                    </w:rPr>
                    <w:t>产量</w:t>
                  </w:r>
                </w:p>
              </w:tc>
              <w:tc>
                <w:tcPr>
                  <w:tcW w:w="2751" w:type="dxa"/>
                  <w:tcBorders>
                    <w:left w:val="single" w:color="auto" w:sz="4" w:space="0"/>
                    <w:bottom w:val="single" w:color="000000" w:sz="4" w:space="0"/>
                  </w:tcBorders>
                  <w:noWrap/>
                  <w:vAlign w:val="center"/>
                </w:tcPr>
                <w:p>
                  <w:pPr>
                    <w:pStyle w:val="4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826" w:type="dxa"/>
                  <w:tcBorders>
                    <w:top w:val="single" w:color="000000" w:sz="4" w:space="0"/>
                    <w:bottom w:val="single" w:color="000000" w:sz="4" w:space="0"/>
                    <w:right w:val="single" w:color="000000" w:sz="4" w:space="0"/>
                  </w:tcBorders>
                  <w:noWrap/>
                  <w:vAlign w:val="center"/>
                </w:tcPr>
                <w:p>
                  <w:pPr>
                    <w:pStyle w:val="40"/>
                  </w:pPr>
                  <w:r>
                    <w:rPr>
                      <w:rFonts w:hint="eastAsia"/>
                    </w:rPr>
                    <w:t>1</w:t>
                  </w:r>
                </w:p>
              </w:tc>
              <w:tc>
                <w:tcPr>
                  <w:tcW w:w="2551" w:type="dxa"/>
                  <w:tcBorders>
                    <w:top w:val="single" w:color="000000" w:sz="4" w:space="0"/>
                    <w:left w:val="single" w:color="000000" w:sz="4" w:space="0"/>
                    <w:bottom w:val="single" w:color="000000" w:sz="4" w:space="0"/>
                    <w:right w:val="single" w:color="000000" w:sz="4" w:space="0"/>
                  </w:tcBorders>
                  <w:noWrap/>
                  <w:vAlign w:val="center"/>
                </w:tcPr>
                <w:p>
                  <w:pPr>
                    <w:pStyle w:val="40"/>
                    <w:rPr>
                      <w:rFonts w:hint="default"/>
                      <w:lang w:val="en-US" w:eastAsia="zh-CN"/>
                    </w:rPr>
                  </w:pPr>
                  <w:r>
                    <w:rPr>
                      <w:rFonts w:hint="eastAsia"/>
                      <w:lang w:val="en-US" w:eastAsia="zh-CN"/>
                    </w:rPr>
                    <w:t>模切印刷一体机</w:t>
                  </w:r>
                </w:p>
              </w:tc>
              <w:tc>
                <w:tcPr>
                  <w:tcW w:w="1282" w:type="dxa"/>
                  <w:tcBorders>
                    <w:top w:val="single" w:color="000000" w:sz="4" w:space="0"/>
                    <w:left w:val="single" w:color="000000" w:sz="4" w:space="0"/>
                    <w:bottom w:val="single" w:color="000000" w:sz="4" w:space="0"/>
                    <w:right w:val="single" w:color="000000" w:sz="4" w:space="0"/>
                  </w:tcBorders>
                  <w:noWrap/>
                  <w:vAlign w:val="center"/>
                </w:tcPr>
                <w:p>
                  <w:pPr>
                    <w:pStyle w:val="40"/>
                  </w:pPr>
                  <w:r>
                    <w:rPr>
                      <w:rFonts w:hint="eastAsia"/>
                    </w:rPr>
                    <w:t>平方米</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pStyle w:val="40"/>
                  </w:pPr>
                  <w:r>
                    <w:rPr>
                      <w:rFonts w:hint="eastAsia"/>
                      <w:lang w:val="en-US" w:eastAsia="zh-CN"/>
                    </w:rPr>
                    <w:t>75</w:t>
                  </w:r>
                  <w:r>
                    <w:rPr>
                      <w:rFonts w:hint="eastAsia"/>
                    </w:rPr>
                    <w:t>万平方米/年</w:t>
                  </w:r>
                </w:p>
              </w:tc>
              <w:tc>
                <w:tcPr>
                  <w:tcW w:w="2751" w:type="dxa"/>
                  <w:vMerge w:val="restart"/>
                  <w:tcBorders>
                    <w:top w:val="single" w:color="000000" w:sz="4" w:space="0"/>
                    <w:left w:val="single" w:color="auto" w:sz="4" w:space="0"/>
                  </w:tcBorders>
                  <w:noWrap/>
                  <w:vAlign w:val="center"/>
                </w:tcPr>
                <w:p>
                  <w:pPr>
                    <w:pStyle w:val="40"/>
                    <w:rPr>
                      <w:rFonts w:hint="default"/>
                      <w:lang w:val="en-US" w:eastAsia="zh-CN"/>
                    </w:rPr>
                  </w:pPr>
                  <w:r>
                    <w:rPr>
                      <w:rFonts w:hint="eastAsia"/>
                      <w:lang w:val="en-US" w:eastAsia="zh-CN"/>
                    </w:rPr>
                    <w:t>年产150万平方米纸质包装箱</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84" w:hRule="atLeast"/>
                <w:jc w:val="center"/>
              </w:trPr>
              <w:tc>
                <w:tcPr>
                  <w:tcW w:w="826" w:type="dxa"/>
                  <w:tcBorders>
                    <w:top w:val="single" w:color="000000" w:sz="4" w:space="0"/>
                    <w:bottom w:val="single" w:color="000000" w:sz="4" w:space="0"/>
                    <w:right w:val="single" w:color="000000" w:sz="4" w:space="0"/>
                  </w:tcBorders>
                  <w:noWrap/>
                  <w:vAlign w:val="center"/>
                </w:tcPr>
                <w:p>
                  <w:pPr>
                    <w:pStyle w:val="40"/>
                    <w:rPr>
                      <w:rFonts w:hint="eastAsia"/>
                      <w:lang w:val="en-US" w:eastAsia="zh-CN"/>
                    </w:rPr>
                  </w:pPr>
                  <w:r>
                    <w:rPr>
                      <w:rFonts w:hint="eastAsia"/>
                      <w:lang w:val="en-US" w:eastAsia="zh-CN"/>
                    </w:rPr>
                    <w:t>2</w:t>
                  </w:r>
                </w:p>
              </w:tc>
              <w:tc>
                <w:tcPr>
                  <w:tcW w:w="2551" w:type="dxa"/>
                  <w:tcBorders>
                    <w:top w:val="single" w:color="000000" w:sz="4" w:space="0"/>
                    <w:left w:val="single" w:color="000000" w:sz="4" w:space="0"/>
                    <w:bottom w:val="single" w:color="000000" w:sz="4" w:space="0"/>
                    <w:right w:val="single" w:color="000000" w:sz="4" w:space="0"/>
                  </w:tcBorders>
                  <w:noWrap/>
                  <w:vAlign w:val="center"/>
                </w:tcPr>
                <w:p>
                  <w:pPr>
                    <w:pStyle w:val="40"/>
                    <w:rPr>
                      <w:rFonts w:hint="eastAsia"/>
                    </w:rPr>
                  </w:pPr>
                  <w:r>
                    <w:rPr>
                      <w:rFonts w:hint="eastAsia"/>
                      <w:lang w:val="en-US" w:eastAsia="zh-CN"/>
                    </w:rPr>
                    <w:t>模切印刷一体机</w:t>
                  </w:r>
                </w:p>
              </w:tc>
              <w:tc>
                <w:tcPr>
                  <w:tcW w:w="1282" w:type="dxa"/>
                  <w:tcBorders>
                    <w:top w:val="single" w:color="000000" w:sz="4" w:space="0"/>
                    <w:left w:val="single" w:color="000000" w:sz="4" w:space="0"/>
                    <w:bottom w:val="single" w:color="000000" w:sz="4" w:space="0"/>
                    <w:right w:val="single" w:color="000000" w:sz="4" w:space="0"/>
                  </w:tcBorders>
                  <w:noWrap/>
                  <w:vAlign w:val="center"/>
                </w:tcPr>
                <w:p>
                  <w:pPr>
                    <w:pStyle w:val="40"/>
                    <w:rPr>
                      <w:rFonts w:hint="eastAsia"/>
                    </w:rPr>
                  </w:pPr>
                  <w:r>
                    <w:rPr>
                      <w:rFonts w:hint="eastAsia"/>
                    </w:rPr>
                    <w:t>平方米</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pStyle w:val="40"/>
                    <w:rPr>
                      <w:rFonts w:hint="eastAsia"/>
                    </w:rPr>
                  </w:pPr>
                  <w:r>
                    <w:rPr>
                      <w:rFonts w:hint="eastAsia"/>
                      <w:lang w:val="en-US" w:eastAsia="zh-CN"/>
                    </w:rPr>
                    <w:t>75</w:t>
                  </w:r>
                  <w:r>
                    <w:rPr>
                      <w:rFonts w:hint="eastAsia"/>
                    </w:rPr>
                    <w:t>万平方米/年</w:t>
                  </w:r>
                </w:p>
              </w:tc>
              <w:tc>
                <w:tcPr>
                  <w:tcW w:w="2751" w:type="dxa"/>
                  <w:vMerge w:val="continue"/>
                  <w:tcBorders>
                    <w:left w:val="single" w:color="auto" w:sz="4" w:space="0"/>
                  </w:tcBorders>
                  <w:noWrap/>
                  <w:vAlign w:val="center"/>
                </w:tcPr>
                <w:p>
                  <w:pPr>
                    <w:pStyle w:val="40"/>
                    <w:rPr>
                      <w:rFonts w:hint="eastAsia"/>
                    </w:rPr>
                  </w:pPr>
                </w:p>
              </w:tc>
            </w:tr>
          </w:tbl>
          <w:p>
            <w:pPr>
              <w:pStyle w:val="5"/>
            </w:pPr>
            <w:r>
              <w:rPr>
                <w:rFonts w:hint="eastAsia"/>
              </w:rPr>
              <w:t>3、主要生产设备</w:t>
            </w:r>
          </w:p>
          <w:p>
            <w:pPr>
              <w:pStyle w:val="5"/>
            </w:pPr>
            <w:r>
              <w:rPr>
                <w:rFonts w:hint="eastAsia"/>
              </w:rPr>
              <w:t>本项目主要设备见下表：</w:t>
            </w:r>
          </w:p>
          <w:p>
            <w:pPr>
              <w:pStyle w:val="29"/>
              <w:spacing w:before="65" w:after="65"/>
            </w:pPr>
            <w:r>
              <w:rPr>
                <w:rFonts w:hint="eastAsia"/>
              </w:rPr>
              <w:t>表1-3 主要设备一览表</w:t>
            </w:r>
          </w:p>
          <w:tbl>
            <w:tblPr>
              <w:tblStyle w:val="23"/>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2591"/>
              <w:gridCol w:w="1318"/>
              <w:gridCol w:w="1419"/>
              <w:gridCol w:w="1419"/>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94" w:type="dxa"/>
                  <w:noWrap/>
                  <w:vAlign w:val="center"/>
                </w:tcPr>
                <w:p>
                  <w:pPr>
                    <w:pStyle w:val="40"/>
                  </w:pPr>
                  <w:r>
                    <w:rPr>
                      <w:rFonts w:hint="eastAsia"/>
                    </w:rPr>
                    <w:t>序号</w:t>
                  </w:r>
                </w:p>
              </w:tc>
              <w:tc>
                <w:tcPr>
                  <w:tcW w:w="2591" w:type="dxa"/>
                  <w:noWrap/>
                  <w:vAlign w:val="center"/>
                </w:tcPr>
                <w:p>
                  <w:pPr>
                    <w:pStyle w:val="40"/>
                  </w:pPr>
                  <w:r>
                    <w:rPr>
                      <w:rFonts w:hint="eastAsia"/>
                    </w:rPr>
                    <w:t>名称</w:t>
                  </w:r>
                </w:p>
              </w:tc>
              <w:tc>
                <w:tcPr>
                  <w:tcW w:w="1318" w:type="dxa"/>
                  <w:noWrap/>
                  <w:vAlign w:val="center"/>
                </w:tcPr>
                <w:p>
                  <w:pPr>
                    <w:pStyle w:val="40"/>
                  </w:pPr>
                  <w:r>
                    <w:rPr>
                      <w:rFonts w:hint="eastAsia"/>
                    </w:rPr>
                    <w:t>规格型号</w:t>
                  </w:r>
                </w:p>
              </w:tc>
              <w:tc>
                <w:tcPr>
                  <w:tcW w:w="1419" w:type="dxa"/>
                  <w:noWrap/>
                  <w:vAlign w:val="center"/>
                </w:tcPr>
                <w:p>
                  <w:pPr>
                    <w:pStyle w:val="40"/>
                  </w:pPr>
                  <w:r>
                    <w:rPr>
                      <w:rFonts w:hint="eastAsia"/>
                    </w:rPr>
                    <w:t>单位</w:t>
                  </w:r>
                </w:p>
              </w:tc>
              <w:tc>
                <w:tcPr>
                  <w:tcW w:w="1419" w:type="dxa"/>
                  <w:noWrap/>
                  <w:vAlign w:val="center"/>
                </w:tcPr>
                <w:p>
                  <w:pPr>
                    <w:pStyle w:val="40"/>
                  </w:pPr>
                  <w:r>
                    <w:rPr>
                      <w:rFonts w:hint="eastAsia"/>
                    </w:rPr>
                    <w:t>数量</w:t>
                  </w:r>
                </w:p>
              </w:tc>
              <w:tc>
                <w:tcPr>
                  <w:tcW w:w="1495" w:type="dxa"/>
                  <w:noWrap/>
                  <w:vAlign w:val="center"/>
                </w:tcPr>
                <w:p>
                  <w:pPr>
                    <w:pStyle w:val="4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94" w:type="dxa"/>
                  <w:noWrap/>
                  <w:vAlign w:val="center"/>
                </w:tcPr>
                <w:p>
                  <w:pPr>
                    <w:pStyle w:val="40"/>
                  </w:pPr>
                  <w:r>
                    <w:rPr>
                      <w:rFonts w:hint="eastAsia"/>
                    </w:rPr>
                    <w:t>1</w:t>
                  </w:r>
                </w:p>
              </w:tc>
              <w:tc>
                <w:tcPr>
                  <w:tcW w:w="2591" w:type="dxa"/>
                  <w:noWrap/>
                  <w:vAlign w:val="center"/>
                </w:tcPr>
                <w:p>
                  <w:pPr>
                    <w:pStyle w:val="40"/>
                  </w:pPr>
                  <w:r>
                    <w:rPr>
                      <w:rFonts w:hint="eastAsia"/>
                    </w:rPr>
                    <w:t>全自动粘合机</w:t>
                  </w:r>
                </w:p>
              </w:tc>
              <w:tc>
                <w:tcPr>
                  <w:tcW w:w="1318" w:type="dxa"/>
                  <w:noWrap/>
                  <w:vAlign w:val="center"/>
                </w:tcPr>
                <w:p>
                  <w:pPr>
                    <w:pStyle w:val="40"/>
                  </w:pPr>
                  <w:r>
                    <w:rPr>
                      <w:rFonts w:hint="eastAsia"/>
                    </w:rPr>
                    <w:t>2600</w:t>
                  </w:r>
                </w:p>
              </w:tc>
              <w:tc>
                <w:tcPr>
                  <w:tcW w:w="1419" w:type="dxa"/>
                  <w:noWrap/>
                  <w:vAlign w:val="center"/>
                </w:tcPr>
                <w:p>
                  <w:pPr>
                    <w:pStyle w:val="40"/>
                  </w:pPr>
                  <w:r>
                    <w:rPr>
                      <w:rFonts w:hint="eastAsia"/>
                    </w:rPr>
                    <w:t>台</w:t>
                  </w:r>
                </w:p>
              </w:tc>
              <w:tc>
                <w:tcPr>
                  <w:tcW w:w="1419" w:type="dxa"/>
                  <w:noWrap/>
                  <w:vAlign w:val="center"/>
                </w:tcPr>
                <w:p>
                  <w:pPr>
                    <w:pStyle w:val="40"/>
                  </w:pPr>
                  <w:r>
                    <w:rPr>
                      <w:rFonts w:hint="eastAsia"/>
                    </w:rPr>
                    <w:t>1</w:t>
                  </w:r>
                </w:p>
              </w:tc>
              <w:tc>
                <w:tcPr>
                  <w:tcW w:w="1495" w:type="dxa"/>
                  <w:vMerge w:val="restart"/>
                  <w:noWrap/>
                  <w:vAlign w:val="center"/>
                </w:tcPr>
                <w:p>
                  <w:pPr>
                    <w:pStyle w:val="40"/>
                  </w:pPr>
                  <w:r>
                    <w:rPr>
                      <w:rFonts w:hint="eastAsia"/>
                    </w:rPr>
                    <w:t>外购设备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94" w:type="dxa"/>
                  <w:noWrap/>
                  <w:vAlign w:val="center"/>
                </w:tcPr>
                <w:p>
                  <w:pPr>
                    <w:pStyle w:val="40"/>
                  </w:pPr>
                  <w:r>
                    <w:rPr>
                      <w:rFonts w:hint="eastAsia"/>
                    </w:rPr>
                    <w:t>2</w:t>
                  </w:r>
                </w:p>
              </w:tc>
              <w:tc>
                <w:tcPr>
                  <w:tcW w:w="2591" w:type="dxa"/>
                  <w:noWrap/>
                  <w:vAlign w:val="center"/>
                </w:tcPr>
                <w:p>
                  <w:pPr>
                    <w:pStyle w:val="40"/>
                    <w:rPr>
                      <w:rFonts w:hint="eastAsia"/>
                      <w:lang w:val="en-US" w:eastAsia="zh-CN"/>
                    </w:rPr>
                  </w:pPr>
                  <w:r>
                    <w:rPr>
                      <w:rFonts w:hint="eastAsia"/>
                    </w:rPr>
                    <w:t>模切印刷机</w:t>
                  </w:r>
                  <w:r>
                    <w:rPr>
                      <w:rFonts w:hint="eastAsia"/>
                      <w:lang w:val="en-US" w:eastAsia="zh-CN"/>
                    </w:rPr>
                    <w:t>一体机</w:t>
                  </w:r>
                </w:p>
              </w:tc>
              <w:tc>
                <w:tcPr>
                  <w:tcW w:w="1318" w:type="dxa"/>
                  <w:noWrap/>
                  <w:vAlign w:val="center"/>
                </w:tcPr>
                <w:p>
                  <w:pPr>
                    <w:pStyle w:val="40"/>
                  </w:pPr>
                  <w:r>
                    <w:rPr>
                      <w:rFonts w:hint="eastAsia"/>
                    </w:rPr>
                    <w:t>2800</w:t>
                  </w:r>
                </w:p>
              </w:tc>
              <w:tc>
                <w:tcPr>
                  <w:tcW w:w="1419" w:type="dxa"/>
                  <w:noWrap/>
                  <w:vAlign w:val="center"/>
                </w:tcPr>
                <w:p>
                  <w:pPr>
                    <w:pStyle w:val="40"/>
                  </w:pPr>
                  <w:r>
                    <w:rPr>
                      <w:rFonts w:hint="eastAsia"/>
                    </w:rPr>
                    <w:t>台</w:t>
                  </w:r>
                </w:p>
              </w:tc>
              <w:tc>
                <w:tcPr>
                  <w:tcW w:w="1419" w:type="dxa"/>
                  <w:noWrap/>
                  <w:vAlign w:val="center"/>
                </w:tcPr>
                <w:p>
                  <w:pPr>
                    <w:pStyle w:val="40"/>
                    <w:rPr>
                      <w:rFonts w:hint="eastAsia"/>
                      <w:lang w:eastAsia="zh-CN"/>
                    </w:rPr>
                  </w:pPr>
                  <w:r>
                    <w:rPr>
                      <w:rFonts w:hint="eastAsia"/>
                      <w:lang w:val="en-US" w:eastAsia="zh-CN"/>
                    </w:rPr>
                    <w:t>2</w:t>
                  </w:r>
                </w:p>
              </w:tc>
              <w:tc>
                <w:tcPr>
                  <w:tcW w:w="1495" w:type="dxa"/>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94" w:type="dxa"/>
                  <w:noWrap/>
                  <w:vAlign w:val="center"/>
                </w:tcPr>
                <w:p>
                  <w:pPr>
                    <w:pStyle w:val="40"/>
                    <w:rPr>
                      <w:rFonts w:hint="eastAsia"/>
                      <w:lang w:eastAsia="zh-CN"/>
                    </w:rPr>
                  </w:pPr>
                  <w:r>
                    <w:rPr>
                      <w:rFonts w:hint="eastAsia"/>
                      <w:lang w:val="en-US" w:eastAsia="zh-CN"/>
                    </w:rPr>
                    <w:t>3</w:t>
                  </w:r>
                </w:p>
              </w:tc>
              <w:tc>
                <w:tcPr>
                  <w:tcW w:w="2591" w:type="dxa"/>
                  <w:noWrap/>
                  <w:vAlign w:val="center"/>
                </w:tcPr>
                <w:p>
                  <w:pPr>
                    <w:pStyle w:val="40"/>
                  </w:pPr>
                  <w:r>
                    <w:rPr>
                      <w:rFonts w:hint="eastAsia"/>
                    </w:rPr>
                    <w:t>钉针机</w:t>
                  </w:r>
                </w:p>
              </w:tc>
              <w:tc>
                <w:tcPr>
                  <w:tcW w:w="1318" w:type="dxa"/>
                  <w:noWrap/>
                  <w:vAlign w:val="center"/>
                </w:tcPr>
                <w:p>
                  <w:pPr>
                    <w:pStyle w:val="40"/>
                  </w:pPr>
                  <w:r>
                    <w:rPr>
                      <w:rFonts w:hint="eastAsia"/>
                    </w:rPr>
                    <w:t>DZX-1200</w:t>
                  </w:r>
                </w:p>
              </w:tc>
              <w:tc>
                <w:tcPr>
                  <w:tcW w:w="1419" w:type="dxa"/>
                  <w:noWrap/>
                  <w:vAlign w:val="center"/>
                </w:tcPr>
                <w:p>
                  <w:pPr>
                    <w:pStyle w:val="40"/>
                  </w:pPr>
                  <w:r>
                    <w:rPr>
                      <w:rFonts w:hint="eastAsia"/>
                    </w:rPr>
                    <w:t>台</w:t>
                  </w:r>
                </w:p>
              </w:tc>
              <w:tc>
                <w:tcPr>
                  <w:tcW w:w="1419" w:type="dxa"/>
                  <w:noWrap/>
                  <w:vAlign w:val="center"/>
                </w:tcPr>
                <w:p>
                  <w:pPr>
                    <w:pStyle w:val="40"/>
                    <w:rPr>
                      <w:rFonts w:hint="default"/>
                      <w:lang w:val="en-US" w:eastAsia="zh-CN"/>
                    </w:rPr>
                  </w:pPr>
                  <w:r>
                    <w:rPr>
                      <w:rFonts w:hint="eastAsia"/>
                      <w:lang w:val="en-US" w:eastAsia="zh-CN"/>
                    </w:rPr>
                    <w:t>1</w:t>
                  </w:r>
                </w:p>
              </w:tc>
              <w:tc>
                <w:tcPr>
                  <w:tcW w:w="1495" w:type="dxa"/>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94" w:type="dxa"/>
                  <w:noWrap/>
                  <w:vAlign w:val="center"/>
                </w:tcPr>
                <w:p>
                  <w:pPr>
                    <w:pStyle w:val="40"/>
                    <w:rPr>
                      <w:rFonts w:hint="eastAsia"/>
                      <w:lang w:eastAsia="zh-CN"/>
                    </w:rPr>
                  </w:pPr>
                  <w:r>
                    <w:rPr>
                      <w:rFonts w:hint="eastAsia"/>
                      <w:lang w:val="en-US" w:eastAsia="zh-CN"/>
                    </w:rPr>
                    <w:t>4</w:t>
                  </w:r>
                </w:p>
              </w:tc>
              <w:tc>
                <w:tcPr>
                  <w:tcW w:w="2591" w:type="dxa"/>
                  <w:noWrap/>
                  <w:vAlign w:val="center"/>
                </w:tcPr>
                <w:p>
                  <w:pPr>
                    <w:pStyle w:val="40"/>
                  </w:pPr>
                  <w:r>
                    <w:rPr>
                      <w:rFonts w:hint="eastAsia"/>
                    </w:rPr>
                    <w:t>分纸机</w:t>
                  </w:r>
                </w:p>
              </w:tc>
              <w:tc>
                <w:tcPr>
                  <w:tcW w:w="1318" w:type="dxa"/>
                  <w:noWrap/>
                  <w:vAlign w:val="center"/>
                </w:tcPr>
                <w:p>
                  <w:pPr>
                    <w:pStyle w:val="40"/>
                  </w:pPr>
                  <w:r>
                    <w:rPr>
                      <w:rFonts w:hint="eastAsia"/>
                    </w:rPr>
                    <w:t>2500</w:t>
                  </w:r>
                </w:p>
              </w:tc>
              <w:tc>
                <w:tcPr>
                  <w:tcW w:w="1419" w:type="dxa"/>
                  <w:noWrap/>
                  <w:vAlign w:val="center"/>
                </w:tcPr>
                <w:p>
                  <w:pPr>
                    <w:pStyle w:val="40"/>
                  </w:pPr>
                  <w:r>
                    <w:rPr>
                      <w:rFonts w:hint="eastAsia"/>
                    </w:rPr>
                    <w:t>台</w:t>
                  </w:r>
                </w:p>
              </w:tc>
              <w:tc>
                <w:tcPr>
                  <w:tcW w:w="1419" w:type="dxa"/>
                  <w:noWrap/>
                  <w:vAlign w:val="center"/>
                </w:tcPr>
                <w:p>
                  <w:pPr>
                    <w:pStyle w:val="40"/>
                  </w:pPr>
                  <w:r>
                    <w:rPr>
                      <w:rFonts w:hint="eastAsia"/>
                    </w:rPr>
                    <w:t>1</w:t>
                  </w:r>
                </w:p>
              </w:tc>
              <w:tc>
                <w:tcPr>
                  <w:tcW w:w="1495" w:type="dxa"/>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94" w:type="dxa"/>
                  <w:noWrap/>
                  <w:vAlign w:val="center"/>
                </w:tcPr>
                <w:p>
                  <w:pPr>
                    <w:pStyle w:val="40"/>
                    <w:rPr>
                      <w:rFonts w:hint="eastAsia"/>
                      <w:lang w:eastAsia="zh-CN"/>
                    </w:rPr>
                  </w:pPr>
                  <w:r>
                    <w:rPr>
                      <w:rFonts w:hint="eastAsia"/>
                      <w:lang w:val="en-US" w:eastAsia="zh-CN"/>
                    </w:rPr>
                    <w:t>5</w:t>
                  </w:r>
                </w:p>
              </w:tc>
              <w:tc>
                <w:tcPr>
                  <w:tcW w:w="2591" w:type="dxa"/>
                  <w:noWrap/>
                  <w:vAlign w:val="center"/>
                </w:tcPr>
                <w:p>
                  <w:pPr>
                    <w:pStyle w:val="40"/>
                  </w:pPr>
                  <w:r>
                    <w:rPr>
                      <w:rFonts w:hint="eastAsia"/>
                    </w:rPr>
                    <w:t>打包机</w:t>
                  </w:r>
                </w:p>
              </w:tc>
              <w:tc>
                <w:tcPr>
                  <w:tcW w:w="1318" w:type="dxa"/>
                  <w:noWrap/>
                  <w:vAlign w:val="center"/>
                </w:tcPr>
                <w:p>
                  <w:pPr>
                    <w:pStyle w:val="40"/>
                  </w:pPr>
                  <w:r>
                    <w:rPr>
                      <w:rFonts w:hint="eastAsia"/>
                    </w:rPr>
                    <w:t>HX-100</w:t>
                  </w:r>
                </w:p>
              </w:tc>
              <w:tc>
                <w:tcPr>
                  <w:tcW w:w="1419" w:type="dxa"/>
                  <w:noWrap/>
                  <w:vAlign w:val="center"/>
                </w:tcPr>
                <w:p>
                  <w:pPr>
                    <w:pStyle w:val="40"/>
                  </w:pPr>
                  <w:r>
                    <w:rPr>
                      <w:rFonts w:hint="eastAsia"/>
                    </w:rPr>
                    <w:t>台</w:t>
                  </w:r>
                </w:p>
              </w:tc>
              <w:tc>
                <w:tcPr>
                  <w:tcW w:w="1419" w:type="dxa"/>
                  <w:noWrap/>
                  <w:vAlign w:val="center"/>
                </w:tcPr>
                <w:p>
                  <w:pPr>
                    <w:pStyle w:val="40"/>
                  </w:pPr>
                  <w:r>
                    <w:rPr>
                      <w:rFonts w:hint="eastAsia"/>
                    </w:rPr>
                    <w:t>1</w:t>
                  </w:r>
                </w:p>
              </w:tc>
              <w:tc>
                <w:tcPr>
                  <w:tcW w:w="1495" w:type="dxa"/>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94" w:type="dxa"/>
                  <w:noWrap/>
                  <w:vAlign w:val="center"/>
                </w:tcPr>
                <w:p>
                  <w:pPr>
                    <w:pStyle w:val="40"/>
                    <w:rPr>
                      <w:rFonts w:hint="eastAsia"/>
                      <w:lang w:eastAsia="zh-CN"/>
                    </w:rPr>
                  </w:pPr>
                  <w:r>
                    <w:rPr>
                      <w:rFonts w:hint="eastAsia"/>
                      <w:lang w:val="en-US" w:eastAsia="zh-CN"/>
                    </w:rPr>
                    <w:t>7</w:t>
                  </w:r>
                </w:p>
              </w:tc>
              <w:tc>
                <w:tcPr>
                  <w:tcW w:w="2591" w:type="dxa"/>
                  <w:noWrap/>
                  <w:vAlign w:val="center"/>
                </w:tcPr>
                <w:p>
                  <w:pPr>
                    <w:pStyle w:val="40"/>
                  </w:pPr>
                  <w:r>
                    <w:rPr>
                      <w:rFonts w:hint="eastAsia"/>
                    </w:rPr>
                    <w:t>UV光氧催化+活性炭吸附+5000m³/风机</w:t>
                  </w:r>
                </w:p>
              </w:tc>
              <w:tc>
                <w:tcPr>
                  <w:tcW w:w="1318" w:type="dxa"/>
                  <w:noWrap/>
                  <w:vAlign w:val="center"/>
                </w:tcPr>
                <w:p>
                  <w:pPr>
                    <w:pStyle w:val="40"/>
                  </w:pPr>
                  <w:r>
                    <w:rPr>
                      <w:rFonts w:hint="eastAsia"/>
                    </w:rPr>
                    <w:t>YQA-25000</w:t>
                  </w:r>
                </w:p>
              </w:tc>
              <w:tc>
                <w:tcPr>
                  <w:tcW w:w="1419" w:type="dxa"/>
                  <w:noWrap/>
                  <w:vAlign w:val="center"/>
                </w:tcPr>
                <w:p>
                  <w:pPr>
                    <w:pStyle w:val="40"/>
                  </w:pPr>
                  <w:r>
                    <w:rPr>
                      <w:rFonts w:hint="eastAsia"/>
                    </w:rPr>
                    <w:t>台</w:t>
                  </w:r>
                </w:p>
              </w:tc>
              <w:tc>
                <w:tcPr>
                  <w:tcW w:w="1419" w:type="dxa"/>
                  <w:noWrap/>
                  <w:vAlign w:val="center"/>
                </w:tcPr>
                <w:p>
                  <w:pPr>
                    <w:pStyle w:val="40"/>
                  </w:pPr>
                  <w:r>
                    <w:rPr>
                      <w:rFonts w:hint="eastAsia"/>
                    </w:rPr>
                    <w:t>1</w:t>
                  </w:r>
                </w:p>
              </w:tc>
              <w:tc>
                <w:tcPr>
                  <w:tcW w:w="1495" w:type="dxa"/>
                  <w:vMerge w:val="continue"/>
                  <w:noWrap/>
                  <w:vAlign w:val="center"/>
                </w:tcPr>
                <w:p>
                  <w:pPr>
                    <w:pStyle w:val="40"/>
                  </w:pPr>
                </w:p>
              </w:tc>
            </w:tr>
          </w:tbl>
          <w:p>
            <w:pPr>
              <w:pStyle w:val="5"/>
            </w:pPr>
            <w:r>
              <w:rPr>
                <w:rFonts w:hint="eastAsia"/>
              </w:rPr>
              <w:t>4、项目主要原辅材料及原辅材料理化性质</w:t>
            </w:r>
          </w:p>
          <w:p>
            <w:pPr>
              <w:pStyle w:val="5"/>
            </w:pPr>
            <w:r>
              <w:t>本项目生产所需要主要原辅材料消耗情况见</w:t>
            </w:r>
            <w:r>
              <w:rPr>
                <w:rFonts w:hint="eastAsia"/>
              </w:rPr>
              <w:t>下</w:t>
            </w:r>
            <w:r>
              <w:t>表。</w:t>
            </w:r>
          </w:p>
          <w:p>
            <w:pPr>
              <w:pStyle w:val="29"/>
              <w:spacing w:before="65" w:after="65"/>
            </w:pPr>
            <w:r>
              <w:t>表</w:t>
            </w:r>
            <w:r>
              <w:rPr>
                <w:rFonts w:hint="eastAsia"/>
              </w:rPr>
              <w:t xml:space="preserve">1-4 </w:t>
            </w:r>
            <w:r>
              <w:t>主要原辅材料消耗一览表</w:t>
            </w:r>
          </w:p>
          <w:tbl>
            <w:tblPr>
              <w:tblStyle w:val="23"/>
              <w:tblW w:w="9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1425"/>
              <w:gridCol w:w="1380"/>
              <w:gridCol w:w="1439"/>
              <w:gridCol w:w="1498"/>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825" w:type="dxa"/>
                  <w:noWrap/>
                  <w:vAlign w:val="center"/>
                </w:tcPr>
                <w:p>
                  <w:pPr>
                    <w:pStyle w:val="40"/>
                    <w:bidi w:val="0"/>
                  </w:pPr>
                  <w:r>
                    <w:rPr>
                      <w:rFonts w:hint="eastAsia"/>
                    </w:rPr>
                    <w:t>名称</w:t>
                  </w:r>
                </w:p>
              </w:tc>
              <w:tc>
                <w:tcPr>
                  <w:tcW w:w="1425" w:type="dxa"/>
                  <w:noWrap/>
                  <w:vAlign w:val="center"/>
                </w:tcPr>
                <w:p>
                  <w:pPr>
                    <w:pStyle w:val="40"/>
                    <w:bidi w:val="0"/>
                  </w:pPr>
                  <w:r>
                    <w:rPr>
                      <w:rFonts w:hint="eastAsia"/>
                    </w:rPr>
                    <w:t>最大储量</w:t>
                  </w:r>
                </w:p>
              </w:tc>
              <w:tc>
                <w:tcPr>
                  <w:tcW w:w="1380" w:type="dxa"/>
                  <w:noWrap/>
                  <w:vAlign w:val="center"/>
                </w:tcPr>
                <w:p>
                  <w:pPr>
                    <w:pStyle w:val="40"/>
                    <w:bidi w:val="0"/>
                  </w:pPr>
                  <w:r>
                    <w:rPr>
                      <w:rFonts w:hint="eastAsia"/>
                    </w:rPr>
                    <w:t>年用量</w:t>
                  </w:r>
                </w:p>
              </w:tc>
              <w:tc>
                <w:tcPr>
                  <w:tcW w:w="1439" w:type="dxa"/>
                  <w:noWrap/>
                  <w:vAlign w:val="center"/>
                </w:tcPr>
                <w:p>
                  <w:pPr>
                    <w:pStyle w:val="40"/>
                    <w:bidi w:val="0"/>
                  </w:pPr>
                  <w:r>
                    <w:rPr>
                      <w:rFonts w:hint="eastAsia"/>
                    </w:rPr>
                    <w:t>用途</w:t>
                  </w:r>
                </w:p>
              </w:tc>
              <w:tc>
                <w:tcPr>
                  <w:tcW w:w="1498" w:type="dxa"/>
                  <w:tcBorders>
                    <w:right w:val="single" w:color="auto" w:sz="4" w:space="0"/>
                  </w:tcBorders>
                  <w:noWrap/>
                  <w:vAlign w:val="center"/>
                </w:tcPr>
                <w:p>
                  <w:pPr>
                    <w:pStyle w:val="40"/>
                    <w:bidi w:val="0"/>
                  </w:pPr>
                  <w:r>
                    <w:rPr>
                      <w:rFonts w:hint="eastAsia"/>
                    </w:rPr>
                    <w:t>备注</w:t>
                  </w:r>
                </w:p>
              </w:tc>
              <w:tc>
                <w:tcPr>
                  <w:tcW w:w="1470" w:type="dxa"/>
                  <w:tcBorders>
                    <w:right w:val="single" w:color="auto" w:sz="4" w:space="0"/>
                  </w:tcBorders>
                  <w:noWrap/>
                  <w:vAlign w:val="center"/>
                </w:tcPr>
                <w:p>
                  <w:pPr>
                    <w:pStyle w:val="40"/>
                    <w:bidi w:val="0"/>
                  </w:pPr>
                  <w:r>
                    <w:rPr>
                      <w:rFonts w:hint="eastAsia"/>
                    </w:rPr>
                    <w:t>贮存位置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825" w:type="dxa"/>
                  <w:noWrap/>
                  <w:vAlign w:val="center"/>
                </w:tcPr>
                <w:p>
                  <w:pPr>
                    <w:pStyle w:val="40"/>
                    <w:bidi w:val="0"/>
                  </w:pPr>
                  <w:r>
                    <w:rPr>
                      <w:rFonts w:hint="eastAsia"/>
                    </w:rPr>
                    <w:t>水性油墨</w:t>
                  </w:r>
                </w:p>
              </w:tc>
              <w:tc>
                <w:tcPr>
                  <w:tcW w:w="1425" w:type="dxa"/>
                  <w:noWrap/>
                  <w:vAlign w:val="center"/>
                </w:tcPr>
                <w:p>
                  <w:pPr>
                    <w:pStyle w:val="40"/>
                    <w:bidi w:val="0"/>
                  </w:pPr>
                  <w:r>
                    <w:rPr>
                      <w:rFonts w:hint="eastAsia"/>
                    </w:rPr>
                    <w:t>0.9t</w:t>
                  </w:r>
                </w:p>
              </w:tc>
              <w:tc>
                <w:tcPr>
                  <w:tcW w:w="1380" w:type="dxa"/>
                  <w:noWrap/>
                  <w:vAlign w:val="center"/>
                </w:tcPr>
                <w:p>
                  <w:pPr>
                    <w:pStyle w:val="40"/>
                    <w:bidi w:val="0"/>
                  </w:pPr>
                  <w:r>
                    <w:rPr>
                      <w:rFonts w:hint="eastAsia"/>
                    </w:rPr>
                    <w:t>6t</w:t>
                  </w:r>
                </w:p>
              </w:tc>
              <w:tc>
                <w:tcPr>
                  <w:tcW w:w="1439" w:type="dxa"/>
                  <w:noWrap/>
                  <w:vAlign w:val="center"/>
                </w:tcPr>
                <w:p>
                  <w:pPr>
                    <w:pStyle w:val="40"/>
                    <w:bidi w:val="0"/>
                  </w:pPr>
                  <w:r>
                    <w:rPr>
                      <w:rFonts w:hint="eastAsia"/>
                    </w:rPr>
                    <w:t>印刷</w:t>
                  </w:r>
                </w:p>
              </w:tc>
              <w:tc>
                <w:tcPr>
                  <w:tcW w:w="1498" w:type="dxa"/>
                  <w:tcBorders>
                    <w:right w:val="single" w:color="auto" w:sz="4" w:space="0"/>
                  </w:tcBorders>
                  <w:noWrap/>
                  <w:vAlign w:val="center"/>
                </w:tcPr>
                <w:p>
                  <w:pPr>
                    <w:pStyle w:val="40"/>
                    <w:bidi w:val="0"/>
                  </w:pPr>
                  <w:r>
                    <w:rPr>
                      <w:rFonts w:hint="eastAsia"/>
                    </w:rPr>
                    <w:t>30kg/桶</w:t>
                  </w:r>
                </w:p>
              </w:tc>
              <w:tc>
                <w:tcPr>
                  <w:tcW w:w="1470" w:type="dxa"/>
                  <w:tcBorders>
                    <w:right w:val="single" w:color="auto" w:sz="4" w:space="0"/>
                  </w:tcBorders>
                  <w:noWrap/>
                  <w:vAlign w:val="center"/>
                </w:tcPr>
                <w:p>
                  <w:pPr>
                    <w:pStyle w:val="40"/>
                    <w:bidi w:val="0"/>
                  </w:pPr>
                  <w:r>
                    <w:rPr>
                      <w:rFonts w:hint="eastAsia"/>
                    </w:rPr>
                    <w:t>原料库房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825" w:type="dxa"/>
                  <w:noWrap/>
                  <w:vAlign w:val="center"/>
                </w:tcPr>
                <w:p>
                  <w:pPr>
                    <w:pStyle w:val="40"/>
                    <w:bidi w:val="0"/>
                  </w:pPr>
                  <w:r>
                    <w:rPr>
                      <w:rFonts w:hint="eastAsia"/>
                    </w:rPr>
                    <w:t>纸板</w:t>
                  </w:r>
                </w:p>
              </w:tc>
              <w:tc>
                <w:tcPr>
                  <w:tcW w:w="1425" w:type="dxa"/>
                  <w:noWrap/>
                  <w:vAlign w:val="center"/>
                </w:tcPr>
                <w:p>
                  <w:pPr>
                    <w:pStyle w:val="40"/>
                    <w:bidi w:val="0"/>
                  </w:pPr>
                  <w:r>
                    <w:rPr>
                      <w:rFonts w:hint="eastAsia"/>
                    </w:rPr>
                    <w:t>100t</w:t>
                  </w:r>
                </w:p>
              </w:tc>
              <w:tc>
                <w:tcPr>
                  <w:tcW w:w="1380" w:type="dxa"/>
                  <w:noWrap/>
                  <w:vAlign w:val="center"/>
                </w:tcPr>
                <w:p>
                  <w:pPr>
                    <w:pStyle w:val="40"/>
                    <w:bidi w:val="0"/>
                  </w:pPr>
                  <w:r>
                    <w:rPr>
                      <w:rFonts w:hint="eastAsia"/>
                    </w:rPr>
                    <w:t>1000t</w:t>
                  </w:r>
                </w:p>
              </w:tc>
              <w:tc>
                <w:tcPr>
                  <w:tcW w:w="1439" w:type="dxa"/>
                  <w:noWrap/>
                  <w:vAlign w:val="center"/>
                </w:tcPr>
                <w:p>
                  <w:pPr>
                    <w:pStyle w:val="40"/>
                    <w:bidi w:val="0"/>
                  </w:pPr>
                  <w:r>
                    <w:rPr>
                      <w:rFonts w:hint="eastAsia"/>
                    </w:rPr>
                    <w:t>开槽成型</w:t>
                  </w:r>
                </w:p>
              </w:tc>
              <w:tc>
                <w:tcPr>
                  <w:tcW w:w="1498" w:type="dxa"/>
                  <w:tcBorders>
                    <w:right w:val="single" w:color="auto" w:sz="4" w:space="0"/>
                  </w:tcBorders>
                  <w:noWrap/>
                  <w:vAlign w:val="center"/>
                </w:tcPr>
                <w:p>
                  <w:pPr>
                    <w:pStyle w:val="40"/>
                    <w:bidi w:val="0"/>
                  </w:pPr>
                  <w:r>
                    <w:rPr>
                      <w:rFonts w:hint="eastAsia"/>
                    </w:rPr>
                    <w:t>散装</w:t>
                  </w:r>
                </w:p>
              </w:tc>
              <w:tc>
                <w:tcPr>
                  <w:tcW w:w="1470" w:type="dxa"/>
                  <w:tcBorders>
                    <w:right w:val="single" w:color="auto" w:sz="4" w:space="0"/>
                  </w:tcBorders>
                  <w:noWrap/>
                  <w:vAlign w:val="center"/>
                </w:tcPr>
                <w:p>
                  <w:pPr>
                    <w:pStyle w:val="40"/>
                    <w:bidi w:val="0"/>
                  </w:pPr>
                  <w:r>
                    <w:rPr>
                      <w:rFonts w:hint="eastAsia"/>
                    </w:rPr>
                    <w:t>原料库房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825" w:type="dxa"/>
                  <w:noWrap/>
                  <w:vAlign w:val="center"/>
                </w:tcPr>
                <w:p>
                  <w:pPr>
                    <w:pStyle w:val="40"/>
                    <w:bidi w:val="0"/>
                    <w:rPr>
                      <w:rFonts w:hint="eastAsia"/>
                      <w:lang w:val="en-US" w:eastAsia="zh-CN"/>
                    </w:rPr>
                  </w:pPr>
                  <w:r>
                    <w:rPr>
                      <w:rFonts w:hint="eastAsia"/>
                    </w:rPr>
                    <w:t>胶</w:t>
                  </w:r>
                  <w:r>
                    <w:rPr>
                      <w:rFonts w:hint="eastAsia"/>
                      <w:lang w:val="en-US" w:eastAsia="zh-CN"/>
                    </w:rPr>
                    <w:t>水</w:t>
                  </w:r>
                </w:p>
              </w:tc>
              <w:tc>
                <w:tcPr>
                  <w:tcW w:w="1425" w:type="dxa"/>
                  <w:noWrap/>
                  <w:vAlign w:val="center"/>
                </w:tcPr>
                <w:p>
                  <w:pPr>
                    <w:pStyle w:val="40"/>
                    <w:bidi w:val="0"/>
                  </w:pPr>
                  <w:r>
                    <w:rPr>
                      <w:rFonts w:hint="eastAsia"/>
                    </w:rPr>
                    <w:t>0.5t</w:t>
                  </w:r>
                </w:p>
              </w:tc>
              <w:tc>
                <w:tcPr>
                  <w:tcW w:w="1380" w:type="dxa"/>
                  <w:noWrap/>
                  <w:vAlign w:val="center"/>
                </w:tcPr>
                <w:p>
                  <w:pPr>
                    <w:pStyle w:val="40"/>
                    <w:bidi w:val="0"/>
                  </w:pPr>
                  <w:r>
                    <w:rPr>
                      <w:rFonts w:hint="eastAsia"/>
                      <w:lang w:val="en-US" w:eastAsia="zh-CN"/>
                    </w:rPr>
                    <w:t>0.8</w:t>
                  </w:r>
                  <w:r>
                    <w:rPr>
                      <w:rFonts w:hint="eastAsia"/>
                    </w:rPr>
                    <w:t>t</w:t>
                  </w:r>
                </w:p>
              </w:tc>
              <w:tc>
                <w:tcPr>
                  <w:tcW w:w="1439" w:type="dxa"/>
                  <w:noWrap/>
                  <w:vAlign w:val="center"/>
                </w:tcPr>
                <w:p>
                  <w:pPr>
                    <w:pStyle w:val="40"/>
                    <w:bidi w:val="0"/>
                  </w:pPr>
                  <w:r>
                    <w:rPr>
                      <w:rFonts w:hint="eastAsia"/>
                    </w:rPr>
                    <w:t>纸箱粘合</w:t>
                  </w:r>
                </w:p>
              </w:tc>
              <w:tc>
                <w:tcPr>
                  <w:tcW w:w="1498" w:type="dxa"/>
                  <w:tcBorders>
                    <w:right w:val="single" w:color="auto" w:sz="4" w:space="0"/>
                  </w:tcBorders>
                  <w:noWrap/>
                  <w:vAlign w:val="center"/>
                </w:tcPr>
                <w:p>
                  <w:pPr>
                    <w:pStyle w:val="40"/>
                    <w:bidi w:val="0"/>
                  </w:pPr>
                  <w:r>
                    <w:rPr>
                      <w:rFonts w:hint="eastAsia"/>
                    </w:rPr>
                    <w:t>20kg/桶</w:t>
                  </w:r>
                </w:p>
              </w:tc>
              <w:tc>
                <w:tcPr>
                  <w:tcW w:w="1470" w:type="dxa"/>
                  <w:tcBorders>
                    <w:right w:val="single" w:color="auto" w:sz="4" w:space="0"/>
                  </w:tcBorders>
                  <w:noWrap/>
                  <w:vAlign w:val="center"/>
                </w:tcPr>
                <w:p>
                  <w:pPr>
                    <w:pStyle w:val="40"/>
                    <w:bidi w:val="0"/>
                  </w:pPr>
                  <w:r>
                    <w:rPr>
                      <w:rFonts w:hint="eastAsia"/>
                    </w:rPr>
                    <w:t>原料库房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825" w:type="dxa"/>
                  <w:noWrap/>
                  <w:vAlign w:val="center"/>
                </w:tcPr>
                <w:p>
                  <w:pPr>
                    <w:pStyle w:val="40"/>
                    <w:bidi w:val="0"/>
                  </w:pPr>
                  <w:r>
                    <w:rPr>
                      <w:rFonts w:hint="eastAsia"/>
                    </w:rPr>
                    <w:t>扁丝</w:t>
                  </w:r>
                </w:p>
              </w:tc>
              <w:tc>
                <w:tcPr>
                  <w:tcW w:w="1425" w:type="dxa"/>
                  <w:noWrap/>
                  <w:vAlign w:val="center"/>
                </w:tcPr>
                <w:p>
                  <w:pPr>
                    <w:pStyle w:val="40"/>
                    <w:bidi w:val="0"/>
                  </w:pPr>
                  <w:r>
                    <w:rPr>
                      <w:rFonts w:hint="eastAsia"/>
                    </w:rPr>
                    <w:t>0.5t</w:t>
                  </w:r>
                </w:p>
              </w:tc>
              <w:tc>
                <w:tcPr>
                  <w:tcW w:w="1380" w:type="dxa"/>
                  <w:noWrap/>
                  <w:vAlign w:val="center"/>
                </w:tcPr>
                <w:p>
                  <w:pPr>
                    <w:pStyle w:val="40"/>
                    <w:bidi w:val="0"/>
                  </w:pPr>
                  <w:r>
                    <w:rPr>
                      <w:rFonts w:hint="eastAsia"/>
                    </w:rPr>
                    <w:t>2t</w:t>
                  </w:r>
                </w:p>
              </w:tc>
              <w:tc>
                <w:tcPr>
                  <w:tcW w:w="1439" w:type="dxa"/>
                  <w:noWrap/>
                  <w:vAlign w:val="center"/>
                </w:tcPr>
                <w:p>
                  <w:pPr>
                    <w:pStyle w:val="40"/>
                    <w:bidi w:val="0"/>
                  </w:pPr>
                  <w:r>
                    <w:rPr>
                      <w:rFonts w:hint="eastAsia"/>
                    </w:rPr>
                    <w:t>钉箱</w:t>
                  </w:r>
                </w:p>
              </w:tc>
              <w:tc>
                <w:tcPr>
                  <w:tcW w:w="1498" w:type="dxa"/>
                  <w:tcBorders>
                    <w:right w:val="single" w:color="auto" w:sz="4" w:space="0"/>
                  </w:tcBorders>
                  <w:noWrap/>
                  <w:vAlign w:val="center"/>
                </w:tcPr>
                <w:p>
                  <w:pPr>
                    <w:pStyle w:val="40"/>
                    <w:bidi w:val="0"/>
                  </w:pPr>
                  <w:r>
                    <w:rPr>
                      <w:rFonts w:hint="eastAsia"/>
                    </w:rPr>
                    <w:t>外购</w:t>
                  </w:r>
                </w:p>
              </w:tc>
              <w:tc>
                <w:tcPr>
                  <w:tcW w:w="1470" w:type="dxa"/>
                  <w:tcBorders>
                    <w:right w:val="single" w:color="auto" w:sz="4" w:space="0"/>
                  </w:tcBorders>
                  <w:noWrap/>
                  <w:vAlign w:val="center"/>
                </w:tcPr>
                <w:p>
                  <w:pPr>
                    <w:pStyle w:val="40"/>
                    <w:bidi w:val="0"/>
                  </w:pPr>
                  <w:r>
                    <w:rPr>
                      <w:rFonts w:hint="eastAsia"/>
                    </w:rPr>
                    <w:t>原料库房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825" w:type="dxa"/>
                  <w:noWrap/>
                  <w:vAlign w:val="center"/>
                </w:tcPr>
                <w:p>
                  <w:pPr>
                    <w:pStyle w:val="40"/>
                    <w:bidi w:val="0"/>
                  </w:pPr>
                  <w:r>
                    <w:rPr>
                      <w:rFonts w:hint="eastAsia"/>
                    </w:rPr>
                    <w:t>电</w:t>
                  </w:r>
                </w:p>
              </w:tc>
              <w:tc>
                <w:tcPr>
                  <w:tcW w:w="1425" w:type="dxa"/>
                  <w:noWrap/>
                  <w:vAlign w:val="center"/>
                </w:tcPr>
                <w:p>
                  <w:pPr>
                    <w:pStyle w:val="40"/>
                    <w:bidi w:val="0"/>
                  </w:pPr>
                  <w:r>
                    <w:rPr>
                      <w:rFonts w:hint="eastAsia"/>
                    </w:rPr>
                    <w:t>/</w:t>
                  </w:r>
                </w:p>
              </w:tc>
              <w:tc>
                <w:tcPr>
                  <w:tcW w:w="1380" w:type="dxa"/>
                  <w:noWrap/>
                  <w:vAlign w:val="center"/>
                </w:tcPr>
                <w:p>
                  <w:pPr>
                    <w:pStyle w:val="40"/>
                    <w:bidi w:val="0"/>
                  </w:pPr>
                  <w:r>
                    <w:rPr>
                      <w:rFonts w:hint="eastAsia"/>
                    </w:rPr>
                    <w:t>10万/kwh</w:t>
                  </w:r>
                </w:p>
              </w:tc>
              <w:tc>
                <w:tcPr>
                  <w:tcW w:w="1439" w:type="dxa"/>
                  <w:noWrap/>
                  <w:vAlign w:val="center"/>
                </w:tcPr>
                <w:p>
                  <w:pPr>
                    <w:pStyle w:val="40"/>
                    <w:bidi w:val="0"/>
                  </w:pPr>
                  <w:r>
                    <w:rPr>
                      <w:rFonts w:hint="eastAsia"/>
                    </w:rPr>
                    <w:t>生产办公</w:t>
                  </w:r>
                </w:p>
              </w:tc>
              <w:tc>
                <w:tcPr>
                  <w:tcW w:w="1498" w:type="dxa"/>
                  <w:tcBorders>
                    <w:right w:val="single" w:color="auto" w:sz="4" w:space="0"/>
                  </w:tcBorders>
                  <w:noWrap/>
                  <w:vAlign w:val="center"/>
                </w:tcPr>
                <w:p>
                  <w:pPr>
                    <w:pStyle w:val="40"/>
                    <w:bidi w:val="0"/>
                  </w:pPr>
                  <w:r>
                    <w:rPr>
                      <w:rFonts w:hint="eastAsia"/>
                    </w:rPr>
                    <w:t>/</w:t>
                  </w:r>
                </w:p>
              </w:tc>
              <w:tc>
                <w:tcPr>
                  <w:tcW w:w="1470" w:type="dxa"/>
                  <w:tcBorders>
                    <w:right w:val="single" w:color="auto" w:sz="4" w:space="0"/>
                  </w:tcBorders>
                  <w:noWrap/>
                  <w:vAlign w:val="center"/>
                </w:tcPr>
                <w:p>
                  <w:pPr>
                    <w:pStyle w:val="40"/>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825" w:type="dxa"/>
                  <w:noWrap/>
                  <w:vAlign w:val="center"/>
                </w:tcPr>
                <w:p>
                  <w:pPr>
                    <w:pStyle w:val="40"/>
                    <w:bidi w:val="0"/>
                  </w:pPr>
                  <w:r>
                    <w:rPr>
                      <w:rFonts w:hint="eastAsia"/>
                    </w:rPr>
                    <w:t>水</w:t>
                  </w:r>
                </w:p>
              </w:tc>
              <w:tc>
                <w:tcPr>
                  <w:tcW w:w="1425" w:type="dxa"/>
                  <w:noWrap/>
                  <w:vAlign w:val="center"/>
                </w:tcPr>
                <w:p>
                  <w:pPr>
                    <w:pStyle w:val="40"/>
                    <w:bidi w:val="0"/>
                  </w:pPr>
                  <w:r>
                    <w:rPr>
                      <w:rFonts w:hint="eastAsia"/>
                    </w:rPr>
                    <w:t>/</w:t>
                  </w:r>
                </w:p>
              </w:tc>
              <w:tc>
                <w:tcPr>
                  <w:tcW w:w="1380" w:type="dxa"/>
                  <w:noWrap/>
                  <w:vAlign w:val="center"/>
                </w:tcPr>
                <w:p>
                  <w:pPr>
                    <w:pStyle w:val="40"/>
                    <w:bidi w:val="0"/>
                    <w:rPr>
                      <w:rFonts w:hint="default"/>
                      <w:lang w:val="en-US" w:eastAsia="zh-CN"/>
                    </w:rPr>
                  </w:pPr>
                  <w:r>
                    <w:rPr>
                      <w:rFonts w:hint="eastAsia"/>
                      <w:lang w:val="en-US" w:eastAsia="zh-CN"/>
                    </w:rPr>
                    <w:t>124.6t/d</w:t>
                  </w:r>
                </w:p>
              </w:tc>
              <w:tc>
                <w:tcPr>
                  <w:tcW w:w="1439" w:type="dxa"/>
                  <w:noWrap/>
                  <w:vAlign w:val="center"/>
                </w:tcPr>
                <w:p>
                  <w:pPr>
                    <w:pStyle w:val="40"/>
                    <w:bidi w:val="0"/>
                  </w:pPr>
                  <w:r>
                    <w:rPr>
                      <w:rFonts w:hint="eastAsia"/>
                    </w:rPr>
                    <w:t>生产办公</w:t>
                  </w:r>
                </w:p>
              </w:tc>
              <w:tc>
                <w:tcPr>
                  <w:tcW w:w="1498" w:type="dxa"/>
                  <w:tcBorders>
                    <w:right w:val="single" w:color="auto" w:sz="4" w:space="0"/>
                  </w:tcBorders>
                  <w:noWrap/>
                  <w:vAlign w:val="center"/>
                </w:tcPr>
                <w:p>
                  <w:pPr>
                    <w:pStyle w:val="40"/>
                    <w:bidi w:val="0"/>
                  </w:pPr>
                  <w:r>
                    <w:rPr>
                      <w:rFonts w:hint="eastAsia"/>
                    </w:rPr>
                    <w:t>/</w:t>
                  </w:r>
                </w:p>
              </w:tc>
              <w:tc>
                <w:tcPr>
                  <w:tcW w:w="1470" w:type="dxa"/>
                  <w:tcBorders>
                    <w:right w:val="single" w:color="auto" w:sz="4" w:space="0"/>
                  </w:tcBorders>
                  <w:noWrap/>
                  <w:vAlign w:val="center"/>
                </w:tcPr>
                <w:p>
                  <w:pPr>
                    <w:pStyle w:val="40"/>
                    <w:bidi w:val="0"/>
                  </w:pPr>
                  <w:r>
                    <w:rPr>
                      <w:rFonts w:hint="eastAsia"/>
                    </w:rPr>
                    <w:t>/</w:t>
                  </w:r>
                </w:p>
              </w:tc>
            </w:tr>
          </w:tbl>
          <w:p>
            <w:pPr>
              <w:pStyle w:val="29"/>
              <w:spacing w:before="65" w:after="65"/>
            </w:pPr>
            <w:r>
              <w:rPr>
                <w:rFonts w:hint="eastAsia"/>
              </w:rPr>
              <w:t>表1-5</w:t>
            </w:r>
            <w:r>
              <w:t>主要原辅材料</w:t>
            </w:r>
            <w:r>
              <w:rPr>
                <w:rFonts w:hint="eastAsia"/>
              </w:rPr>
              <w:t>主要成分</w:t>
            </w:r>
            <w:r>
              <w:t>一览表</w:t>
            </w:r>
          </w:p>
          <w:tbl>
            <w:tblPr>
              <w:tblStyle w:val="24"/>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621"/>
              <w:gridCol w:w="6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104" w:type="dxa"/>
                  <w:noWrap/>
                  <w:vAlign w:val="center"/>
                </w:tcPr>
                <w:p>
                  <w:pPr>
                    <w:pStyle w:val="40"/>
                  </w:pPr>
                  <w:r>
                    <w:rPr>
                      <w:rFonts w:hint="eastAsia"/>
                    </w:rPr>
                    <w:t>序号</w:t>
                  </w:r>
                </w:p>
              </w:tc>
              <w:tc>
                <w:tcPr>
                  <w:tcW w:w="1621" w:type="dxa"/>
                  <w:noWrap/>
                  <w:vAlign w:val="center"/>
                </w:tcPr>
                <w:p>
                  <w:pPr>
                    <w:pStyle w:val="40"/>
                  </w:pPr>
                  <w:r>
                    <w:rPr>
                      <w:rFonts w:hint="eastAsia"/>
                    </w:rPr>
                    <w:t>名称</w:t>
                  </w:r>
                </w:p>
              </w:tc>
              <w:tc>
                <w:tcPr>
                  <w:tcW w:w="6294" w:type="dxa"/>
                  <w:noWrap/>
                  <w:vAlign w:val="center"/>
                </w:tcPr>
                <w:p>
                  <w:pPr>
                    <w:pStyle w:val="40"/>
                  </w:pPr>
                  <w:r>
                    <w:rPr>
                      <w:rFonts w:hint="eastAsia"/>
                    </w:rPr>
                    <w:t>主要成分及含量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104" w:type="dxa"/>
                  <w:noWrap/>
                  <w:vAlign w:val="center"/>
                </w:tcPr>
                <w:p>
                  <w:pPr>
                    <w:pStyle w:val="40"/>
                  </w:pPr>
                  <w:r>
                    <w:rPr>
                      <w:rFonts w:hint="eastAsia"/>
                    </w:rPr>
                    <w:t>1</w:t>
                  </w:r>
                </w:p>
              </w:tc>
              <w:tc>
                <w:tcPr>
                  <w:tcW w:w="1621" w:type="dxa"/>
                  <w:noWrap/>
                  <w:vAlign w:val="center"/>
                </w:tcPr>
                <w:p>
                  <w:pPr>
                    <w:pStyle w:val="40"/>
                  </w:pPr>
                  <w:r>
                    <w:rPr>
                      <w:rFonts w:hint="eastAsia"/>
                    </w:rPr>
                    <w:t>水性油墨</w:t>
                  </w:r>
                </w:p>
              </w:tc>
              <w:tc>
                <w:tcPr>
                  <w:tcW w:w="6294" w:type="dxa"/>
                  <w:noWrap/>
                  <w:vAlign w:val="center"/>
                </w:tcPr>
                <w:p>
                  <w:pPr>
                    <w:pStyle w:val="40"/>
                  </w:pPr>
                  <w:r>
                    <w:rPr>
                      <w:rFonts w:hint="eastAsia"/>
                    </w:rPr>
                    <w:t>苯丙聚合物</w:t>
                  </w:r>
                  <w:r>
                    <w:rPr>
                      <w:rFonts w:hint="eastAsia"/>
                      <w:lang w:val="en-US" w:eastAsia="zh-CN"/>
                    </w:rPr>
                    <w:t>40</w:t>
                  </w:r>
                  <w:r>
                    <w:rPr>
                      <w:rFonts w:hint="eastAsia"/>
                    </w:rPr>
                    <w:t>%，单乙醇胺1.5%，颜料15%，聚乙烯蜡</w:t>
                  </w:r>
                  <w:r>
                    <w:rPr>
                      <w:rFonts w:hint="eastAsia"/>
                      <w:lang w:val="en-US" w:eastAsia="zh-CN"/>
                    </w:rPr>
                    <w:t>2</w:t>
                  </w:r>
                  <w:r>
                    <w:rPr>
                      <w:rFonts w:hint="eastAsia"/>
                    </w:rPr>
                    <w:t>%，矿物油1</w:t>
                  </w:r>
                  <w:r>
                    <w:rPr>
                      <w:rFonts w:hint="eastAsia"/>
                      <w:lang w:val="en-US" w:eastAsia="zh-CN"/>
                    </w:rPr>
                    <w:t>.5</w:t>
                  </w:r>
                  <w:r>
                    <w:rPr>
                      <w:rFonts w:hint="eastAsia"/>
                    </w:rPr>
                    <w:t>%，水40%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104" w:type="dxa"/>
                  <w:noWrap/>
                  <w:vAlign w:val="center"/>
                </w:tcPr>
                <w:p>
                  <w:pPr>
                    <w:pStyle w:val="40"/>
                  </w:pPr>
                  <w:r>
                    <w:rPr>
                      <w:rFonts w:hint="eastAsia"/>
                    </w:rPr>
                    <w:t>2</w:t>
                  </w:r>
                </w:p>
              </w:tc>
              <w:tc>
                <w:tcPr>
                  <w:tcW w:w="1621" w:type="dxa"/>
                  <w:noWrap/>
                  <w:vAlign w:val="center"/>
                </w:tcPr>
                <w:p>
                  <w:pPr>
                    <w:pStyle w:val="40"/>
                    <w:rPr>
                      <w:rFonts w:hint="eastAsia"/>
                      <w:lang w:eastAsia="zh-CN"/>
                    </w:rPr>
                  </w:pPr>
                  <w:r>
                    <w:rPr>
                      <w:rFonts w:hint="eastAsia"/>
                      <w:lang w:val="en-US" w:eastAsia="zh-CN"/>
                    </w:rPr>
                    <w:t>胶水</w:t>
                  </w:r>
                </w:p>
              </w:tc>
              <w:tc>
                <w:tcPr>
                  <w:tcW w:w="6294" w:type="dxa"/>
                  <w:noWrap/>
                  <w:vAlign w:val="center"/>
                </w:tcPr>
                <w:p>
                  <w:pPr>
                    <w:pStyle w:val="40"/>
                    <w:rPr>
                      <w:rFonts w:hint="default"/>
                      <w:lang w:val="en-US"/>
                    </w:rPr>
                  </w:pPr>
                  <w:r>
                    <w:rPr>
                      <w:rFonts w:hint="eastAsia"/>
                      <w:lang w:val="en-US" w:eastAsia="zh-CN"/>
                    </w:rPr>
                    <w:t>聚酯75%、乙酸乙酯25%</w:t>
                  </w:r>
                </w:p>
              </w:tc>
            </w:tr>
          </w:tbl>
          <w:p>
            <w:pPr>
              <w:pStyle w:val="29"/>
              <w:spacing w:before="65" w:after="65"/>
              <w:rPr>
                <w:rFonts w:hint="eastAsia"/>
              </w:rPr>
            </w:pPr>
            <w:r>
              <w:rPr>
                <w:rFonts w:hint="eastAsia"/>
              </w:rPr>
              <w:t>表1-6胶</w:t>
            </w:r>
            <w:r>
              <w:rPr>
                <w:rFonts w:hint="eastAsia"/>
                <w:lang w:val="en-US" w:eastAsia="zh-CN"/>
              </w:rPr>
              <w:t>水</w:t>
            </w:r>
            <w:r>
              <w:rPr>
                <w:rFonts w:hint="eastAsia"/>
              </w:rPr>
              <w:t>理化性质一览表</w:t>
            </w:r>
          </w:p>
          <w:p>
            <w:pPr>
              <w:pStyle w:val="5"/>
              <w:bidi w:val="0"/>
              <w:rPr>
                <w:rFonts w:hint="eastAsia"/>
                <w:lang w:eastAsia="zh-CN"/>
              </w:rPr>
            </w:pPr>
            <w:r>
              <w:rPr>
                <w:rFonts w:hint="eastAsia"/>
              </w:rPr>
              <w:t>原辅料理化性质：</w:t>
            </w:r>
            <w:r>
              <w:rPr>
                <w:rFonts w:hint="eastAsia"/>
                <w:lang w:val="en-US" w:eastAsia="zh-CN"/>
              </w:rPr>
              <w:t>胶水</w:t>
            </w:r>
          </w:p>
          <w:p>
            <w:pPr>
              <w:pStyle w:val="5"/>
              <w:bidi w:val="0"/>
              <w:rPr>
                <w:rFonts w:hint="eastAsia"/>
                <w:lang w:val="en-US" w:eastAsia="zh-CN"/>
              </w:rPr>
            </w:pPr>
            <w:r>
              <w:rPr>
                <w:rFonts w:hint="eastAsia"/>
                <w:lang w:val="en-US" w:eastAsia="zh-CN"/>
              </w:rPr>
              <w:t>聚酯：由多元醇和多元酸缩聚而得的聚合物总称。主要指聚对苯二甲酸乙二酯(PET)，习惯上也包括聚对苯二甲酸丁二酯 (PBT)和聚芳酯等线型热塑性树脂。是一类性能优异、用途广泛的工程塑料。也可制成聚酯纤维和聚酯薄膜。聚酯包括聚酯树脂和聚酯弹性体。聚酯树脂又包括聚对苯二甲酸乙二酯(PET)、聚对苯二甲酸丁二酯(PBT))和聚芳酯(PAR)等。聚酯弹性体(TPEE)一般由对苯二甲酸二甲酯、1,4-丁二醇和聚丁醇聚合而成，链段包括硬段部分和软段部分，为热塑性弹性体。</w:t>
            </w:r>
          </w:p>
          <w:p>
            <w:pPr>
              <w:pStyle w:val="5"/>
              <w:bidi w:val="0"/>
              <w:rPr>
                <w:rFonts w:hint="default"/>
                <w:lang w:val="en-US" w:eastAsia="zh-CN"/>
              </w:rPr>
            </w:pPr>
            <w:r>
              <w:rPr>
                <w:rFonts w:hint="eastAsia"/>
                <w:lang w:val="en-US" w:eastAsia="zh-CN"/>
              </w:rPr>
              <w:t>乙酸乙酯：又称醋酸乙酯，化学式C4H8O2。化学式量88.11，低毒性，有甜味，浓度较高时有刺激性气味，易挥发，是一种用途广泛的精细化工产品。具有优异的溶解性、快干性，用途广泛，是一种重要的有机化工原料和工业溶剂。胶水产生的VOCs主要为乙酸乙酯；挥发分按25%计算。</w:t>
            </w:r>
          </w:p>
          <w:p>
            <w:pPr>
              <w:pStyle w:val="30"/>
            </w:pPr>
          </w:p>
          <w:p>
            <w:pPr>
              <w:pStyle w:val="29"/>
              <w:spacing w:before="65" w:after="65"/>
            </w:pPr>
            <w:r>
              <w:rPr>
                <w:rFonts w:hint="eastAsia"/>
              </w:rPr>
              <w:t>表1-7油墨理化性质一览表</w:t>
            </w:r>
          </w:p>
          <w:tbl>
            <w:tblPr>
              <w:tblStyle w:val="24"/>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7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81" w:type="dxa"/>
                  <w:vAlign w:val="center"/>
                </w:tcPr>
                <w:p>
                  <w:pPr>
                    <w:pStyle w:val="40"/>
                  </w:pPr>
                  <w:r>
                    <w:rPr>
                      <w:rFonts w:hint="eastAsia"/>
                    </w:rPr>
                    <w:t>物化性质</w:t>
                  </w:r>
                </w:p>
              </w:tc>
              <w:tc>
                <w:tcPr>
                  <w:tcW w:w="7952" w:type="dxa"/>
                  <w:vAlign w:val="center"/>
                </w:tcPr>
                <w:p>
                  <w:pPr>
                    <w:pStyle w:val="40"/>
                  </w:pPr>
                  <w:r>
                    <w:rPr>
                      <w:rFonts w:hint="eastAsia"/>
                    </w:rPr>
                    <w:t>油状液体，略带刺激性气味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081" w:type="dxa"/>
                  <w:vMerge w:val="restart"/>
                  <w:vAlign w:val="center"/>
                </w:tcPr>
                <w:p>
                  <w:pPr>
                    <w:pStyle w:val="40"/>
                  </w:pPr>
                  <w:r>
                    <w:rPr>
                      <w:rFonts w:hint="eastAsia"/>
                    </w:rPr>
                    <w:t>成分及组成</w:t>
                  </w:r>
                </w:p>
              </w:tc>
              <w:tc>
                <w:tcPr>
                  <w:tcW w:w="7952" w:type="dxa"/>
                  <w:vAlign w:val="center"/>
                </w:tcPr>
                <w:p>
                  <w:pPr>
                    <w:pStyle w:val="40"/>
                  </w:pPr>
                  <w:r>
                    <w:rPr>
                      <w:rFonts w:hint="eastAsia"/>
                    </w:rPr>
                    <w:t>苯丙聚合物</w:t>
                  </w:r>
                  <w:r>
                    <w:rPr>
                      <w:rFonts w:hint="eastAsia"/>
                      <w:lang w:val="en-US" w:eastAsia="zh-CN"/>
                    </w:rPr>
                    <w:t>40</w:t>
                  </w:r>
                  <w:r>
                    <w:rPr>
                      <w:rFonts w:hint="eastAsia"/>
                    </w:rPr>
                    <w:t>%，单乙醇胺1.5%，颜料15%，聚乙烯蜡</w:t>
                  </w:r>
                  <w:r>
                    <w:rPr>
                      <w:rFonts w:hint="eastAsia"/>
                      <w:lang w:val="en-US" w:eastAsia="zh-CN"/>
                    </w:rPr>
                    <w:t>2</w:t>
                  </w:r>
                  <w:r>
                    <w:rPr>
                      <w:rFonts w:hint="eastAsia"/>
                    </w:rPr>
                    <w:t>%，矿物油1</w:t>
                  </w:r>
                  <w:r>
                    <w:rPr>
                      <w:rFonts w:hint="eastAsia"/>
                      <w:lang w:val="en-US" w:eastAsia="zh-CN"/>
                    </w:rPr>
                    <w:t>.5</w:t>
                  </w:r>
                  <w:r>
                    <w:rPr>
                      <w:rFonts w:hint="eastAsia"/>
                    </w:rPr>
                    <w:t>%，水40%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81" w:type="dxa"/>
                  <w:vMerge w:val="continue"/>
                  <w:vAlign w:val="center"/>
                </w:tcPr>
                <w:p>
                  <w:pPr>
                    <w:pStyle w:val="40"/>
                  </w:pPr>
                </w:p>
              </w:tc>
              <w:tc>
                <w:tcPr>
                  <w:tcW w:w="7952" w:type="dxa"/>
                  <w:vAlign w:val="center"/>
                </w:tcPr>
                <w:p>
                  <w:pPr>
                    <w:pStyle w:val="40"/>
                  </w:pPr>
                  <w:r>
                    <w:rPr>
                      <w:rFonts w:hint="eastAsia"/>
                    </w:rPr>
                    <w:t>有机废气挥发分：按最大1.5%考虑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081" w:type="dxa"/>
                  <w:vAlign w:val="center"/>
                </w:tcPr>
                <w:p>
                  <w:pPr>
                    <w:pStyle w:val="40"/>
                  </w:pPr>
                  <w:r>
                    <w:rPr>
                      <w:rFonts w:hint="eastAsia"/>
                    </w:rPr>
                    <w:t>危险性概述</w:t>
                  </w:r>
                </w:p>
              </w:tc>
              <w:tc>
                <w:tcPr>
                  <w:tcW w:w="7952" w:type="dxa"/>
                  <w:vAlign w:val="center"/>
                </w:tcPr>
                <w:p>
                  <w:pPr>
                    <w:pStyle w:val="40"/>
                  </w:pPr>
                  <w:r>
                    <w:rPr>
                      <w:rFonts w:hint="eastAsia"/>
                    </w:rPr>
                    <w:t>非危险品，侵入途径：皮肤吸收，吸入，食入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081" w:type="dxa"/>
                  <w:vAlign w:val="center"/>
                </w:tcPr>
                <w:p>
                  <w:pPr>
                    <w:pStyle w:val="40"/>
                  </w:pPr>
                  <w:r>
                    <w:rPr>
                      <w:rFonts w:hint="eastAsia"/>
                    </w:rPr>
                    <w:t>急救措施</w:t>
                  </w:r>
                </w:p>
              </w:tc>
              <w:tc>
                <w:tcPr>
                  <w:tcW w:w="7952" w:type="dxa"/>
                  <w:vAlign w:val="center"/>
                </w:tcPr>
                <w:p>
                  <w:pPr>
                    <w:pStyle w:val="40"/>
                  </w:pPr>
                  <w:r>
                    <w:rPr>
                      <w:rFonts w:hint="eastAsia"/>
                    </w:rPr>
                    <w:t>接触皮肤时：用肥皂和温和清洁剂及水清洗，无腐蚀性</w:t>
                  </w:r>
                </w:p>
                <w:p>
                  <w:pPr>
                    <w:pStyle w:val="40"/>
                  </w:pPr>
                  <w:r>
                    <w:rPr>
                      <w:rFonts w:hint="eastAsia"/>
                    </w:rPr>
                    <w:t>进入眼睛时：用流动的清水清洗10分钟</w:t>
                  </w:r>
                </w:p>
                <w:p>
                  <w:pPr>
                    <w:pStyle w:val="40"/>
                  </w:pPr>
                  <w:r>
                    <w:rPr>
                      <w:rFonts w:hint="eastAsia"/>
                    </w:rPr>
                    <w:t>食入时：呕吐，肚子痛，如少量的食入，喝一些水或生奶，如大量需送医院检查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81" w:type="dxa"/>
                  <w:vAlign w:val="center"/>
                </w:tcPr>
                <w:p>
                  <w:pPr>
                    <w:pStyle w:val="40"/>
                  </w:pPr>
                  <w:r>
                    <w:rPr>
                      <w:rFonts w:hint="eastAsia"/>
                    </w:rPr>
                    <w:t>消防措施</w:t>
                  </w:r>
                </w:p>
              </w:tc>
              <w:tc>
                <w:tcPr>
                  <w:tcW w:w="7952" w:type="dxa"/>
                  <w:vAlign w:val="center"/>
                </w:tcPr>
                <w:p>
                  <w:pPr>
                    <w:pStyle w:val="40"/>
                  </w:pPr>
                  <w:r>
                    <w:rPr>
                      <w:rFonts w:hint="eastAsia"/>
                    </w:rPr>
                    <w:t>无燃烧性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081" w:type="dxa"/>
                  <w:vAlign w:val="center"/>
                </w:tcPr>
                <w:p>
                  <w:pPr>
                    <w:pStyle w:val="40"/>
                  </w:pPr>
                  <w:r>
                    <w:rPr>
                      <w:rFonts w:hint="eastAsia"/>
                    </w:rPr>
                    <w:t>泄露应急处理</w:t>
                  </w:r>
                </w:p>
              </w:tc>
              <w:tc>
                <w:tcPr>
                  <w:tcW w:w="7952" w:type="dxa"/>
                  <w:vAlign w:val="center"/>
                </w:tcPr>
                <w:p>
                  <w:pPr>
                    <w:pStyle w:val="40"/>
                  </w:pPr>
                  <w:r>
                    <w:rPr>
                      <w:rFonts w:hint="eastAsia"/>
                    </w:rPr>
                    <w:t>发生泄漏时可将其回收利用，少量泄漏时可用水冲洗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81" w:type="dxa"/>
                  <w:vAlign w:val="center"/>
                </w:tcPr>
                <w:p>
                  <w:pPr>
                    <w:pStyle w:val="40"/>
                  </w:pPr>
                  <w:r>
                    <w:rPr>
                      <w:rFonts w:hint="eastAsia"/>
                    </w:rPr>
                    <w:t>储存</w:t>
                  </w:r>
                </w:p>
              </w:tc>
              <w:tc>
                <w:tcPr>
                  <w:tcW w:w="7952" w:type="dxa"/>
                  <w:vAlign w:val="center"/>
                </w:tcPr>
                <w:p>
                  <w:pPr>
                    <w:pStyle w:val="40"/>
                  </w:pPr>
                  <w:r>
                    <w:rPr>
                      <w:rFonts w:hint="eastAsia"/>
                    </w:rPr>
                    <w:t>禁止储蓄在敞口容器中，在阴凉，干燥，通风好的地方保存，禁止与高温物体接触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081" w:type="dxa"/>
                  <w:vAlign w:val="center"/>
                </w:tcPr>
                <w:p>
                  <w:pPr>
                    <w:pStyle w:val="40"/>
                  </w:pPr>
                  <w:r>
                    <w:rPr>
                      <w:rFonts w:hint="eastAsia"/>
                    </w:rPr>
                    <w:t>稳定性与反应性</w:t>
                  </w:r>
                </w:p>
              </w:tc>
              <w:tc>
                <w:tcPr>
                  <w:tcW w:w="7952" w:type="dxa"/>
                  <w:vAlign w:val="center"/>
                </w:tcPr>
                <w:p>
                  <w:pPr>
                    <w:pStyle w:val="40"/>
                  </w:pPr>
                  <w:r>
                    <w:rPr>
                      <w:rFonts w:hint="eastAsia"/>
                    </w:rPr>
                    <w:t>常温下稳定</w:t>
                  </w:r>
                </w:p>
              </w:tc>
            </w:tr>
          </w:tbl>
          <w:p>
            <w:pPr>
              <w:pStyle w:val="5"/>
            </w:pPr>
            <w:r>
              <w:rPr>
                <w:rFonts w:hint="eastAsia"/>
              </w:rPr>
              <w:t>5、公用工程</w:t>
            </w:r>
          </w:p>
          <w:p>
            <w:pPr>
              <w:pStyle w:val="5"/>
            </w:pPr>
            <w:r>
              <w:rPr>
                <w:rFonts w:hint="eastAsia"/>
                <w:lang w:val="zh-CN"/>
              </w:rPr>
              <w:t>（1</w:t>
            </w:r>
            <w:r>
              <w:rPr>
                <w:rFonts w:hint="eastAsia"/>
              </w:rPr>
              <w:t>）给水工程：</w:t>
            </w:r>
          </w:p>
          <w:p>
            <w:pPr>
              <w:pStyle w:val="5"/>
            </w:pPr>
            <w:r>
              <w:t>项目区供水来自于市政给水系统。供水条件良好，可保证充足供应，水质符合饮用水标准，且项目区供水管网完善，其生产、生活用水可充分保障，供水量为</w:t>
            </w:r>
            <w:r>
              <w:rPr>
                <w:rFonts w:hint="eastAsia"/>
              </w:rPr>
              <w:t>600t/a。</w:t>
            </w:r>
          </w:p>
          <w:p>
            <w:pPr>
              <w:pStyle w:val="5"/>
            </w:pPr>
            <w:r>
              <w:rPr>
                <w:rFonts w:hint="eastAsia"/>
                <w:lang w:val="zh-CN"/>
              </w:rPr>
              <w:t>（</w:t>
            </w:r>
            <w:r>
              <w:rPr>
                <w:rFonts w:hint="eastAsia"/>
              </w:rPr>
              <w:t>2</w:t>
            </w:r>
            <w:r>
              <w:rPr>
                <w:rFonts w:hint="eastAsia"/>
                <w:lang w:val="zh-CN"/>
              </w:rPr>
              <w:t>）排水工程：</w:t>
            </w:r>
          </w:p>
          <w:p>
            <w:pPr>
              <w:pStyle w:val="5"/>
            </w:pPr>
            <w:r>
              <w:rPr>
                <w:rFonts w:hint="eastAsia"/>
              </w:rPr>
              <w:t>本</w:t>
            </w:r>
            <w:r>
              <w:t>项目区排水依托于产业园内排水系统，</w:t>
            </w:r>
            <w:r>
              <w:rPr>
                <w:rFonts w:hint="eastAsia"/>
              </w:rPr>
              <w:t>采用</w:t>
            </w:r>
            <w:r>
              <w:t>雨、污分流制，雨水由雨水管直接排入市政雨水管网</w:t>
            </w:r>
            <w:r>
              <w:rPr>
                <w:rFonts w:hint="eastAsia"/>
              </w:rPr>
              <w:t>，污水排入污水管网。</w:t>
            </w:r>
          </w:p>
          <w:p>
            <w:pPr>
              <w:pStyle w:val="5"/>
            </w:pPr>
            <w:r>
              <w:t>项目产生的废水主要为职工生活污水</w:t>
            </w:r>
            <w:r>
              <w:rPr>
                <w:rFonts w:hint="eastAsia"/>
              </w:rPr>
              <w:t>和印刷废水</w:t>
            </w:r>
            <w:r>
              <w:t>，产生的生活污水经过现有化粪池预处理后排入</w:t>
            </w:r>
            <w:r>
              <w:rPr>
                <w:rFonts w:hint="eastAsia"/>
                <w:lang w:val="en-US" w:eastAsia="zh-CN"/>
              </w:rPr>
              <w:t>园区</w:t>
            </w:r>
            <w:r>
              <w:t>政污水管网，进入</w:t>
            </w:r>
            <w:r>
              <w:rPr>
                <w:rFonts w:hint="eastAsia"/>
                <w:lang w:val="en-US" w:eastAsia="zh-CN"/>
              </w:rPr>
              <w:t>淮南经济技术开发区</w:t>
            </w:r>
            <w:r>
              <w:rPr>
                <w:rFonts w:hint="eastAsia"/>
              </w:rPr>
              <w:t>污水处理厂</w:t>
            </w:r>
            <w:r>
              <w:t>处理，尾水排入淮河</w:t>
            </w:r>
            <w:r>
              <w:rPr>
                <w:rFonts w:hint="eastAsia"/>
              </w:rPr>
              <w:t>。</w:t>
            </w:r>
          </w:p>
          <w:p>
            <w:pPr>
              <w:pStyle w:val="5"/>
              <w:bidi w:val="0"/>
              <w:rPr>
                <w:rFonts w:hint="default"/>
                <w:lang w:val="en-US" w:eastAsia="zh-CN"/>
              </w:rPr>
            </w:pPr>
            <w:r>
              <w:rPr>
                <w:rFonts w:hint="eastAsia"/>
              </w:rPr>
              <w:t>印刷废水</w:t>
            </w:r>
            <w:r>
              <w:rPr>
                <w:rFonts w:hint="eastAsia"/>
                <w:lang w:val="en-US" w:eastAsia="zh-CN"/>
              </w:rPr>
              <w:t>经过收集后暂存于危废库定期交于有资质公司进行处理。</w:t>
            </w:r>
          </w:p>
          <w:p>
            <w:pPr>
              <w:pStyle w:val="5"/>
            </w:pPr>
            <w:r>
              <w:rPr>
                <w:rFonts w:hint="eastAsia"/>
                <w:lang w:val="zh-CN"/>
              </w:rPr>
              <w:t>（</w:t>
            </w:r>
            <w:r>
              <w:rPr>
                <w:rFonts w:hint="eastAsia"/>
              </w:rPr>
              <w:t>3</w:t>
            </w:r>
            <w:r>
              <w:rPr>
                <w:rFonts w:hint="eastAsia"/>
                <w:lang w:val="zh-CN"/>
              </w:rPr>
              <w:t>）供电</w:t>
            </w:r>
          </w:p>
          <w:p>
            <w:pPr>
              <w:pStyle w:val="5"/>
            </w:pPr>
            <w:r>
              <w:t>项目用电引自当地供电所，可满足项目用电需求，年用电量约为</w:t>
            </w:r>
            <w:r>
              <w:rPr>
                <w:rFonts w:hint="eastAsia"/>
              </w:rPr>
              <w:t>10万kwh/a</w:t>
            </w:r>
          </w:p>
          <w:p>
            <w:pPr>
              <w:pStyle w:val="5"/>
            </w:pPr>
            <w:r>
              <w:rPr>
                <w:rFonts w:hint="eastAsia"/>
              </w:rPr>
              <w:t>6、工作制度及劳动定员：</w:t>
            </w:r>
          </w:p>
          <w:p>
            <w:pPr>
              <w:pStyle w:val="5"/>
            </w:pPr>
            <w:r>
              <w:rPr>
                <w:rFonts w:hint="eastAsia"/>
              </w:rPr>
              <w:t>项目定员8人，年工作日300天，每天工作8小时。</w:t>
            </w:r>
          </w:p>
          <w:p>
            <w:pPr>
              <w:pStyle w:val="5"/>
            </w:pPr>
            <w:r>
              <w:rPr>
                <w:rFonts w:hint="eastAsia"/>
              </w:rPr>
              <w:t>7、环境相容性、选址合理性：</w:t>
            </w:r>
          </w:p>
          <w:p>
            <w:pPr>
              <w:spacing w:line="360" w:lineRule="auto"/>
              <w:ind w:firstLine="480" w:firstLineChars="200"/>
            </w:pPr>
            <w:r>
              <w:rPr>
                <w:rFonts w:hint="eastAsia"/>
              </w:rPr>
              <w:t>本项目位于淮南经济技术开发区</w:t>
            </w:r>
            <w:r>
              <w:t>田东路和永兴路交口</w:t>
            </w:r>
            <w:r>
              <w:rPr>
                <w:rFonts w:hint="eastAsia"/>
              </w:rPr>
              <w:t>，</w:t>
            </w:r>
            <w:r>
              <w:t>根据《</w:t>
            </w:r>
            <w:r>
              <w:rPr>
                <w:rFonts w:hint="eastAsia"/>
                <w:lang w:val="en-US" w:eastAsia="zh-CN"/>
              </w:rPr>
              <w:t>淮南经济技术开发区总体发展规划环境影响跟踪评价报告书</w:t>
            </w:r>
            <w:r>
              <w:t>》</w:t>
            </w:r>
            <w:r>
              <w:rPr>
                <w:rFonts w:hint="eastAsia"/>
              </w:rPr>
              <w:t>，用地性质为工业用地</w:t>
            </w:r>
            <w:r>
              <w:rPr>
                <w:rFonts w:hint="eastAsia"/>
                <w:lang w:eastAsia="zh-CN"/>
              </w:rPr>
              <w:t>，</w:t>
            </w:r>
            <w:r>
              <w:t>项目周边</w:t>
            </w:r>
            <w:r>
              <w:rPr>
                <w:rFonts w:hint="eastAsia"/>
              </w:rPr>
              <w:t>范围内无居民等敏感点</w:t>
            </w:r>
            <w:r>
              <w:t>，对周边环境影响较小，因此本项目与周边环境相容。</w:t>
            </w:r>
          </w:p>
          <w:p>
            <w:pPr>
              <w:pStyle w:val="5"/>
            </w:pPr>
            <w:r>
              <w:rPr>
                <w:rFonts w:hint="eastAsia"/>
              </w:rPr>
              <w:t>符合</w:t>
            </w:r>
            <w:r>
              <w:t>经济技术开发区规划</w:t>
            </w:r>
            <w:r>
              <w:rPr>
                <w:rFonts w:hint="eastAsia"/>
              </w:rPr>
              <w:t>。</w:t>
            </w:r>
          </w:p>
          <w:p>
            <w:pPr>
              <w:pStyle w:val="5"/>
            </w:pPr>
            <w:r>
              <w:rPr>
                <w:rFonts w:hint="eastAsia"/>
              </w:rPr>
              <w:t>项目南侧是</w:t>
            </w:r>
            <w:r>
              <w:rPr>
                <w:rFonts w:hint="eastAsia"/>
                <w:lang w:val="en-US" w:eastAsia="zh-CN"/>
              </w:rPr>
              <w:t>空置厂房</w:t>
            </w:r>
            <w:r>
              <w:rPr>
                <w:rFonts w:hint="eastAsia"/>
              </w:rPr>
              <w:t>。</w:t>
            </w:r>
          </w:p>
          <w:p>
            <w:pPr>
              <w:pStyle w:val="5"/>
            </w:pPr>
            <w:r>
              <w:rPr>
                <w:rFonts w:hint="eastAsia"/>
              </w:rPr>
              <w:t>项目西侧是永兴路，隔路是安徽水卫士有限公司。</w:t>
            </w:r>
          </w:p>
          <w:p>
            <w:pPr>
              <w:pStyle w:val="5"/>
            </w:pPr>
            <w:r>
              <w:rPr>
                <w:rFonts w:hint="eastAsia"/>
              </w:rPr>
              <w:t>项目西南侧是安徽鑫恒玻璃有限公司。</w:t>
            </w:r>
          </w:p>
          <w:p>
            <w:pPr>
              <w:pStyle w:val="5"/>
            </w:pPr>
            <w:r>
              <w:rPr>
                <w:rFonts w:hint="eastAsia"/>
              </w:rPr>
              <w:t>项目东侧是空置待租厂房。</w:t>
            </w:r>
          </w:p>
          <w:p>
            <w:pPr>
              <w:pStyle w:val="5"/>
            </w:pPr>
            <w:r>
              <w:rPr>
                <w:rFonts w:hint="eastAsia"/>
              </w:rPr>
              <w:t>项目北侧是空置待租厂房。</w:t>
            </w:r>
          </w:p>
          <w:p>
            <w:pPr>
              <w:pStyle w:val="5"/>
            </w:pPr>
            <w:r>
              <w:rPr>
                <w:rFonts w:hint="eastAsia"/>
              </w:rPr>
              <w:t>（详情见附图3项目周边环境关系图）</w:t>
            </w:r>
          </w:p>
          <w:p>
            <w:pPr>
              <w:pStyle w:val="5"/>
            </w:pPr>
            <w:r>
              <w:t>项目评价范围内无文物保护区、风景名胜区，根据《限制用地项目目录》（2012年本）和《禁止用地项目目录》（2012年本），本项目不属于限制和禁止用地之列。项目对区域环境影响较小，项目与周围环境相容，从环保角度分析，项目选址合理。</w:t>
            </w:r>
          </w:p>
          <w:p>
            <w:pPr>
              <w:pStyle w:val="5"/>
            </w:pPr>
            <w:r>
              <w:rPr>
                <w:rFonts w:hint="eastAsia"/>
              </w:rPr>
              <w:t>8、</w:t>
            </w:r>
            <w:r>
              <w:t>与</w:t>
            </w:r>
            <w:r>
              <w:rPr>
                <w:rFonts w:hint="eastAsia"/>
                <w:lang w:val="en-US" w:eastAsia="zh-CN"/>
              </w:rPr>
              <w:t>园区</w:t>
            </w:r>
            <w:r>
              <w:t>规划环评符合性分析</w:t>
            </w:r>
          </w:p>
          <w:p>
            <w:pPr>
              <w:pStyle w:val="5"/>
              <w:bidi w:val="0"/>
            </w:pPr>
            <w:r>
              <w:t>本项目位于安徽省淮南</w:t>
            </w:r>
            <w:r>
              <w:rPr>
                <w:rFonts w:hint="eastAsia"/>
              </w:rPr>
              <w:t>市</w:t>
            </w:r>
            <w:r>
              <w:t>经济技术开发区，用地性质为工业用地，淮南经济技术开发区的主导产业为</w:t>
            </w:r>
            <w:r>
              <w:rPr>
                <w:rFonts w:hint="eastAsia"/>
                <w:lang w:val="en-US" w:eastAsia="zh-CN"/>
              </w:rPr>
              <w:t>专用设备、医药</w:t>
            </w:r>
            <w:r>
              <w:t>等，根据《淮南市经济技术开发区规划</w:t>
            </w:r>
            <w:r>
              <w:rPr>
                <w:rFonts w:hint="eastAsia"/>
              </w:rPr>
              <w:t>环境</w:t>
            </w:r>
            <w:r>
              <w:t>影响</w:t>
            </w:r>
            <w:r>
              <w:rPr>
                <w:rFonts w:hint="eastAsia"/>
              </w:rPr>
              <w:t>跟踪评价</w:t>
            </w:r>
            <w:r>
              <w:t>报告书》批复，园区应严格控制污染严重和有重大环境风险隐患的企业入区，不符合国家产业政策、环保政策及产业要求的项目不得入园。</w:t>
            </w:r>
          </w:p>
          <w:p>
            <w:pPr>
              <w:pStyle w:val="5"/>
              <w:bidi w:val="0"/>
            </w:pPr>
            <w:r>
              <w:t>本项目为</w:t>
            </w:r>
            <w:r>
              <w:rPr>
                <w:rFonts w:hint="eastAsia"/>
              </w:rPr>
              <w:t>纸制品印刷</w:t>
            </w:r>
            <w:r>
              <w:t>生产项目，属于淮南经济技术开发区主导产业中轻工类别，因此，本项目符合开发区的产业定位要求。项目区位地理位置优越，交通便利，具有良好的投资和发展前景；项目在建设和营运期间做好噪声、大气防护措施，项目的建设和运营对区域环境影响很小。生活污水化粪池预处理后排入</w:t>
            </w:r>
            <w:r>
              <w:rPr>
                <w:rFonts w:hint="eastAsia"/>
              </w:rPr>
              <w:t>园区</w:t>
            </w:r>
            <w:r>
              <w:t>污水管网。提高工业区固废的综合利用率，严禁企业随意弃置。生活垃圾由环卫部门统一清运。企业产生的危险废物的收集、贮存满足《危险废物贮存污染控制标准》（GB18597-2001）的要求，并送有资质的危险废物处置单位处置。本项目为</w:t>
            </w:r>
            <w:r>
              <w:rPr>
                <w:rFonts w:hint="eastAsia"/>
              </w:rPr>
              <w:t>纸和纸板容器制造项目和包装装潢及其他印刷项目</w:t>
            </w:r>
            <w:r>
              <w:t>，项目不属于主导产业，但也不是禁止行业，项目选址符合项目淮南经济开发区总体发展规划，选址与当地规划相符。</w:t>
            </w:r>
            <w:r>
              <w:rPr>
                <w:rFonts w:hint="eastAsia"/>
              </w:rPr>
              <w:t>(详情见附图1淮南经开区土地利用规划图）</w:t>
            </w:r>
          </w:p>
          <w:p>
            <w:pPr>
              <w:pStyle w:val="5"/>
              <w:bidi w:val="0"/>
            </w:pPr>
            <w:r>
              <w:rPr>
                <w:rFonts w:hint="eastAsia"/>
                <w:lang w:val="en-US" w:eastAsia="zh-CN"/>
              </w:rPr>
              <w:t>9、</w:t>
            </w:r>
            <w:r>
              <w:t>项目选址合理性及周边环境相容性分析</w:t>
            </w:r>
          </w:p>
          <w:p>
            <w:pPr>
              <w:pStyle w:val="5"/>
              <w:bidi w:val="0"/>
              <w:rPr>
                <w:rFonts w:hint="eastAsia"/>
                <w:lang w:eastAsia="zh-CN"/>
              </w:rPr>
            </w:pPr>
            <w:r>
              <w:t>项目位于淮南经济技术开发区</w:t>
            </w:r>
            <w:r>
              <w:rPr>
                <w:rFonts w:hint="eastAsia"/>
                <w:lang w:val="en-US" w:eastAsia="zh-CN"/>
              </w:rPr>
              <w:t>永兴路东侧</w:t>
            </w:r>
            <w:r>
              <w:t>，交通便利。根据现场勘查，厂区东侧为</w:t>
            </w:r>
            <w:r>
              <w:rPr>
                <w:rFonts w:hint="eastAsia"/>
                <w:lang w:val="en-US" w:eastAsia="zh-CN"/>
              </w:rPr>
              <w:t>空置厂房</w:t>
            </w:r>
            <w:r>
              <w:t>、南侧为</w:t>
            </w:r>
            <w:r>
              <w:rPr>
                <w:rFonts w:hint="eastAsia"/>
                <w:lang w:val="en-US" w:eastAsia="zh-CN"/>
              </w:rPr>
              <w:t>田东路和淮南舜隆制药有限公司</w:t>
            </w:r>
            <w:r>
              <w:t>、</w:t>
            </w:r>
            <w:r>
              <w:rPr>
                <w:rFonts w:hint="eastAsia"/>
              </w:rPr>
              <w:t>西</w:t>
            </w:r>
            <w:r>
              <w:t>侧为</w:t>
            </w:r>
            <w:r>
              <w:rPr>
                <w:rFonts w:hint="eastAsia"/>
              </w:rPr>
              <w:t>安徽</w:t>
            </w:r>
            <w:r>
              <w:rPr>
                <w:rFonts w:hint="eastAsia"/>
                <w:lang w:val="en-US" w:eastAsia="zh-CN"/>
              </w:rPr>
              <w:t>水卫士</w:t>
            </w:r>
            <w:r>
              <w:rPr>
                <w:rFonts w:hint="eastAsia"/>
              </w:rPr>
              <w:t>有限公司、</w:t>
            </w:r>
            <w:r>
              <w:t>北侧为</w:t>
            </w:r>
            <w:r>
              <w:rPr>
                <w:rFonts w:hint="eastAsia"/>
                <w:lang w:val="en-US" w:eastAsia="zh-CN"/>
              </w:rPr>
              <w:t>空置厂房</w:t>
            </w:r>
            <w:r>
              <w:t>。项目运营期间</w:t>
            </w:r>
            <w:r>
              <w:rPr>
                <w:rFonts w:hint="eastAsia"/>
              </w:rPr>
              <w:t>清洗</w:t>
            </w:r>
            <w:r>
              <w:t>废</w:t>
            </w:r>
            <w:r>
              <w:rPr>
                <w:rFonts w:hint="eastAsia"/>
                <w:lang w:val="en-US" w:eastAsia="zh-CN"/>
              </w:rPr>
              <w:t>水经收集后交由有资质公司进行处理</w:t>
            </w:r>
            <w:r>
              <w:t>，生活污水经化粪池预处理后处理后排入</w:t>
            </w:r>
            <w:r>
              <w:rPr>
                <w:rFonts w:hint="eastAsia"/>
                <w:lang w:val="en-US" w:eastAsia="zh-CN"/>
              </w:rPr>
              <w:t>园区</w:t>
            </w:r>
            <w:r>
              <w:t>污水管网，纳入淮南市经济技术开发区污水处理厂集中处理；</w:t>
            </w:r>
            <w:r>
              <w:rPr>
                <w:rFonts w:hint="eastAsia"/>
              </w:rPr>
              <w:t>生产车间设置封闭式，在</w:t>
            </w:r>
            <w:r>
              <w:rPr>
                <w:rFonts w:hint="eastAsia"/>
                <w:lang w:val="en-US" w:eastAsia="zh-CN"/>
              </w:rPr>
              <w:t>两台模切印刷一体机和一台全自动粘合机</w:t>
            </w:r>
            <w:r>
              <w:rPr>
                <w:rFonts w:hint="eastAsia"/>
              </w:rPr>
              <w:t>上端</w:t>
            </w:r>
            <w:r>
              <w:rPr>
                <w:rFonts w:hint="eastAsia"/>
                <w:lang w:val="en-US" w:eastAsia="zh-CN"/>
              </w:rPr>
              <w:t>分别</w:t>
            </w:r>
            <w:r>
              <w:rPr>
                <w:rFonts w:hint="eastAsia"/>
              </w:rPr>
              <w:t>设置集气罩，设置一台风量为5000m</w:t>
            </w:r>
            <w:r>
              <w:rPr>
                <w:rFonts w:hint="eastAsia"/>
                <w:vertAlign w:val="superscript"/>
              </w:rPr>
              <w:t>3</w:t>
            </w:r>
            <w:r>
              <w:rPr>
                <w:rFonts w:hint="eastAsia"/>
              </w:rPr>
              <w:t>/h引风机，收集的废气采用</w:t>
            </w:r>
            <w:r>
              <w:rPr>
                <w:rFonts w:hint="eastAsia"/>
                <w:lang w:val="en-US" w:eastAsia="zh-CN"/>
              </w:rPr>
              <w:t>UV光氧催化+</w:t>
            </w:r>
            <w:r>
              <w:rPr>
                <w:rFonts w:hint="eastAsia"/>
              </w:rPr>
              <w:t>活性炭吸附装置处理，处理后经一根15m高排气筒排放，</w:t>
            </w:r>
            <w:r>
              <w:t>项目周边</w:t>
            </w:r>
            <w:r>
              <w:rPr>
                <w:rFonts w:hint="eastAsia"/>
              </w:rPr>
              <w:t>200m范围内无居民等敏感点</w:t>
            </w:r>
            <w:r>
              <w:t>，对周边环境影响较小，因此本项目与周边环境相容</w:t>
            </w:r>
            <w:r>
              <w:rPr>
                <w:rFonts w:hint="eastAsia"/>
                <w:lang w:eastAsia="zh-CN"/>
              </w:rPr>
              <w:t>。</w:t>
            </w:r>
          </w:p>
          <w:p>
            <w:pPr>
              <w:spacing w:line="360" w:lineRule="auto"/>
              <w:ind w:firstLine="480" w:firstLineChars="200"/>
            </w:pPr>
            <w:r>
              <w:rPr>
                <w:rFonts w:hint="eastAsia"/>
                <w:lang w:val="en-US" w:eastAsia="zh-CN"/>
              </w:rPr>
              <w:t>10</w:t>
            </w:r>
            <w:r>
              <w:rPr>
                <w:rFonts w:hint="eastAsia"/>
              </w:rPr>
              <w:t>、总平面布置</w:t>
            </w:r>
          </w:p>
          <w:p>
            <w:pPr>
              <w:pStyle w:val="5"/>
              <w:rPr>
                <w:rFonts w:hint="eastAsia"/>
              </w:rPr>
            </w:pPr>
            <w:r>
              <w:t>项目租赁淮南</w:t>
            </w:r>
            <w:r>
              <w:rPr>
                <w:rFonts w:hint="eastAsia"/>
              </w:rPr>
              <w:t>金安包装有限公司院内3号车间，车间面积为1200m2。，办公面积为124.36m2。</w:t>
            </w:r>
            <w:r>
              <w:t>厂区总平面布置详见</w:t>
            </w:r>
            <w:r>
              <w:rPr>
                <w:rFonts w:hint="eastAsia"/>
              </w:rPr>
              <w:t>（</w:t>
            </w:r>
            <w:r>
              <w:t>附图</w:t>
            </w:r>
            <w:r>
              <w:rPr>
                <w:rFonts w:hint="eastAsia"/>
              </w:rPr>
              <w:t>4项目平面布置图）</w:t>
            </w:r>
          </w:p>
          <w:p>
            <w:pPr>
              <w:pStyle w:val="5"/>
              <w:bidi w:val="0"/>
              <w:rPr>
                <w:rFonts w:hint="eastAsia"/>
                <w:lang w:val="en-US" w:eastAsia="zh-CN"/>
              </w:rPr>
            </w:pPr>
            <w:r>
              <w:rPr>
                <w:rFonts w:hint="eastAsia"/>
                <w:lang w:val="en-US" w:eastAsia="zh-CN"/>
              </w:rPr>
              <w:t>项目平面布局合理性分析：</w:t>
            </w:r>
          </w:p>
          <w:p>
            <w:pPr>
              <w:pStyle w:val="5"/>
              <w:bidi w:val="0"/>
              <w:rPr>
                <w:rFonts w:hint="eastAsia"/>
                <w:lang w:val="en-US" w:eastAsia="zh-CN"/>
              </w:rPr>
            </w:pPr>
            <w:r>
              <w:rPr>
                <w:rFonts w:hint="eastAsia"/>
                <w:lang w:val="en-US" w:eastAsia="zh-CN"/>
              </w:rPr>
              <w:t>根据项目区平面布局图、项目区临厂区道路设置，交通便利。项目办公生活区域和生产区域分开设置，高噪声设备远离项目，办公生活区域，减少了项目噪声对办公生活的影响；</w:t>
            </w:r>
            <w:r>
              <w:rPr>
                <w:rFonts w:hint="eastAsia"/>
              </w:rPr>
              <w:t>将办公生活区设置于生产车间南侧，最大程度满足了“闹静分开”的布设原则，同时使生产区噪声远离办公区</w:t>
            </w:r>
            <w:r>
              <w:rPr>
                <w:rFonts w:hint="eastAsia"/>
                <w:lang w:eastAsia="zh-CN"/>
              </w:rPr>
              <w:t>；</w:t>
            </w:r>
            <w:r>
              <w:rPr>
                <w:rFonts w:hint="eastAsia"/>
                <w:lang w:val="en-US" w:eastAsia="zh-CN"/>
              </w:rPr>
              <w:t>危废暂存间布置在人员活动较少的区域；整个生产区域按照原料贮存、生产、入库贮存的流程顺序布置、减少物料在生产车间内的流通距离，降低物料损失，人流物流线路短捷顺畅、建筑布置紧凑。因此项目平面布局相对合理。</w:t>
            </w:r>
          </w:p>
          <w:p>
            <w:pPr>
              <w:pStyle w:val="5"/>
            </w:pPr>
            <w:r>
              <w:rPr>
                <w:rFonts w:hint="eastAsia"/>
              </w:rPr>
              <w:t>1</w:t>
            </w:r>
            <w:r>
              <w:rPr>
                <w:rFonts w:hint="eastAsia"/>
                <w:lang w:val="en-US" w:eastAsia="zh-CN"/>
              </w:rPr>
              <w:t>1</w:t>
            </w:r>
            <w:r>
              <w:rPr>
                <w:rFonts w:hint="eastAsia"/>
              </w:rPr>
              <w:t>、产业政策符合性</w:t>
            </w:r>
          </w:p>
          <w:p>
            <w:pPr>
              <w:pStyle w:val="5"/>
            </w:pPr>
            <w:r>
              <w:rPr>
                <w:rFonts w:hint="eastAsia"/>
              </w:rPr>
              <w:t>根据国家发展改革委令《产业结构调整指导目录（2019年本）》可知，本项目不属于规定的淘汰类、限制类和鼓励类，视为允许类；同时淮南经济技术开发区管理委员会同意项目备案，备案号2020-340461-22-03-027957。</w:t>
            </w:r>
          </w:p>
          <w:p>
            <w:pPr>
              <w:pStyle w:val="5"/>
            </w:pPr>
            <w:r>
              <w:t>经查询中华人民共和国工业和信息化部公告（工产业[2010]第12号）《部分工业行业淘汰落后生产工艺装备和产品知道目录（2010年本）》，项目所用的生产设备均不属于其中的淘汰落后生产设备，项目设备符合产业政策。</w:t>
            </w:r>
            <w:r>
              <w:rPr>
                <w:rFonts w:hint="eastAsia"/>
              </w:rPr>
              <w:t>项目建设符合国家产业政策要求。</w:t>
            </w:r>
          </w:p>
          <w:p>
            <w:pPr>
              <w:pStyle w:val="5"/>
              <w:bidi w:val="0"/>
              <w:rPr>
                <w:lang w:val="zh-CN"/>
              </w:rPr>
            </w:pPr>
            <w:r>
              <w:rPr>
                <w:rFonts w:hint="eastAsia"/>
                <w:lang w:val="zh-CN"/>
              </w:rPr>
              <w:t>“三线一单”管理要求的符合性：</w:t>
            </w:r>
          </w:p>
          <w:p>
            <w:pPr>
              <w:pStyle w:val="5"/>
              <w:bidi w:val="0"/>
              <w:rPr>
                <w:rFonts w:hint="eastAsia"/>
              </w:rPr>
            </w:pPr>
            <w:r>
              <w:rPr>
                <w:rFonts w:hint="eastAsia"/>
              </w:rPr>
              <w:t>根据环保部环环评[2016]150 号《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pStyle w:val="5"/>
              <w:bidi w:val="0"/>
              <w:rPr>
                <w:rFonts w:hint="eastAsia"/>
              </w:rPr>
            </w:pPr>
            <w:r>
              <w:rPr>
                <w:rFonts w:hint="eastAsia"/>
              </w:rPr>
              <w:t>1、与生态保护红线相符性</w:t>
            </w:r>
          </w:p>
          <w:p>
            <w:pPr>
              <w:pStyle w:val="5"/>
              <w:bidi w:val="0"/>
              <w:rPr>
                <w:rFonts w:hint="eastAsia"/>
              </w:rPr>
            </w:pPr>
            <w:r>
              <w:rPr>
                <w:rFonts w:hint="eastAsia"/>
              </w:rPr>
              <w:t>根据厅〔2017〕62号中共安徽省委办公厅安徽省人民政府办公厅关于印发《安徽省划定并严守生态保护红线实施方案》的通知，生态红线的划定范围应将生态功能重要区域和生态环境敏感区域进行叠加合并，并与以下保护地进行校验，形成生态保护红线空间叠加图，确保划定范围涵盖国家级和省级禁止开发区域，以及其他有必要严格保护的各类保护地。</w:t>
            </w:r>
          </w:p>
          <w:p>
            <w:pPr>
              <w:pStyle w:val="5"/>
              <w:bidi w:val="0"/>
              <w:rPr>
                <w:rFonts w:hint="eastAsia"/>
              </w:rPr>
            </w:pPr>
            <w:r>
              <w:rPr>
                <w:rFonts w:hint="eastAsia"/>
              </w:rPr>
              <w:t>①国家级和省级禁止开发区域。具体包括：国家公园、自然保护区、森林公园的生 态保育区和核心景观区、风景名胜区的核心景区、地质公园的地质遗迹保护区、世界自 然遗产的核心区和缓冲区、湿地公园的湿地保育区和恢复重建区、饮用水水源地的一级 保护区、水产种质资源保护区的核心区、其他类型禁止开发区的核心保护区域。</w:t>
            </w:r>
          </w:p>
          <w:p>
            <w:pPr>
              <w:pStyle w:val="5"/>
              <w:bidi w:val="0"/>
              <w:rPr>
                <w:rFonts w:hint="eastAsia"/>
              </w:rPr>
            </w:pPr>
            <w:r>
              <w:rPr>
                <w:rFonts w:hint="eastAsia"/>
              </w:rPr>
              <w:t>②其他各类保护地。除上述禁止开发区域以外，各地可结合实际情况，根据生态功 能重要性，将有必要实施严格保护的各类保护地纳入生态保护红线范围。主要涵盖：极 小种群物种分布的栖息地、国家一级公益林、省级及以上重要湿地、清水通道维护区、 国家级水土流失重点预防区、野生植物集中分布地、自然岸线等重要生态保护地。</w:t>
            </w:r>
          </w:p>
          <w:p>
            <w:pPr>
              <w:pStyle w:val="5"/>
              <w:bidi w:val="0"/>
              <w:rPr>
                <w:rFonts w:hint="eastAsia"/>
                <w:lang w:eastAsia="zh-CN"/>
              </w:rPr>
            </w:pPr>
            <w:r>
              <w:rPr>
                <w:rFonts w:hint="eastAsia"/>
              </w:rPr>
              <w:t>本项目位于</w:t>
            </w:r>
            <w:r>
              <w:rPr>
                <w:rFonts w:hint="eastAsia"/>
                <w:lang w:val="en-US" w:eastAsia="zh-CN"/>
              </w:rPr>
              <w:t>淮南市</w:t>
            </w:r>
            <w:r>
              <w:rPr>
                <w:rFonts w:hint="eastAsia"/>
              </w:rPr>
              <w:t>经济</w:t>
            </w:r>
            <w:r>
              <w:rPr>
                <w:rFonts w:hint="eastAsia"/>
                <w:lang w:val="en-US" w:eastAsia="zh-CN"/>
              </w:rPr>
              <w:t>技术</w:t>
            </w:r>
            <w:r>
              <w:rPr>
                <w:rFonts w:hint="eastAsia"/>
              </w:rPr>
              <w:t>开发区，项目位置与</w:t>
            </w:r>
            <w:r>
              <w:rPr>
                <w:rFonts w:hint="eastAsia"/>
                <w:lang w:val="en-US" w:eastAsia="zh-CN"/>
              </w:rPr>
              <w:t>淮南</w:t>
            </w:r>
            <w:r>
              <w:rPr>
                <w:rFonts w:hint="eastAsia"/>
              </w:rPr>
              <w:t>市生态保护红线图的位置关系见</w:t>
            </w:r>
            <w:r>
              <w:rPr>
                <w:rFonts w:hint="eastAsia"/>
                <w:lang w:val="en-US" w:eastAsia="zh-CN"/>
              </w:rPr>
              <w:t>下</w:t>
            </w:r>
            <w:r>
              <w:rPr>
                <w:rFonts w:hint="eastAsia"/>
              </w:rPr>
              <w:t>图，由图可知，项目不在上述生态保护红线范围内，因此项目建设符合生态红线要求</w:t>
            </w:r>
            <w:r>
              <w:rPr>
                <w:rFonts w:hint="eastAsia"/>
                <w:lang w:eastAsia="zh-CN"/>
              </w:rPr>
              <w:t>。</w:t>
            </w:r>
          </w:p>
          <w:p>
            <w:pPr>
              <w:rPr>
                <w:rFonts w:hint="eastAsia"/>
                <w:lang w:eastAsia="zh-CN"/>
              </w:rPr>
            </w:pPr>
          </w:p>
          <w:p>
            <w:pPr>
              <w:pStyle w:val="18"/>
              <w:rPr>
                <w:rFonts w:hint="eastAsia"/>
                <w:lang w:eastAsia="zh-CN"/>
              </w:rPr>
            </w:pPr>
          </w:p>
          <w:p>
            <w:pPr>
              <w:pStyle w:val="19"/>
              <w:rPr>
                <w:rFonts w:hint="eastAsia"/>
                <w:lang w:eastAsia="zh-CN"/>
              </w:rPr>
            </w:pPr>
          </w:p>
          <w:p>
            <w:pPr>
              <w:pStyle w:val="19"/>
              <w:rPr>
                <w:rFonts w:hint="eastAsia"/>
                <w:lang w:eastAsia="zh-CN"/>
              </w:rPr>
            </w:pPr>
          </w:p>
          <w:p>
            <w:pPr>
              <w:pStyle w:val="19"/>
              <w:rPr>
                <w:rFonts w:hint="eastAsia"/>
                <w:lang w:eastAsia="zh-CN"/>
              </w:rPr>
            </w:pPr>
          </w:p>
          <w:p>
            <w:pPr>
              <w:pStyle w:val="19"/>
              <w:rPr>
                <w:rFonts w:hint="eastAsia"/>
                <w:lang w:eastAsia="zh-CN"/>
              </w:rPr>
            </w:pPr>
          </w:p>
          <w:p>
            <w:pPr>
              <w:pStyle w:val="19"/>
              <w:rPr>
                <w:rFonts w:hint="eastAsia"/>
                <w:lang w:eastAsia="zh-CN"/>
              </w:rPr>
            </w:pPr>
          </w:p>
          <w:p>
            <w:pPr>
              <w:pStyle w:val="19"/>
              <w:rPr>
                <w:rFonts w:hint="eastAsia"/>
                <w:lang w:eastAsia="zh-CN"/>
              </w:rPr>
            </w:pPr>
          </w:p>
          <w:p>
            <w:pPr>
              <w:pStyle w:val="19"/>
              <w:rPr>
                <w:rFonts w:hint="eastAsia"/>
                <w:lang w:eastAsia="zh-CN"/>
              </w:rPr>
            </w:pPr>
          </w:p>
          <w:p>
            <w:pPr>
              <w:rPr>
                <w:rFonts w:hint="eastAsia"/>
                <w:lang w:val="en-US" w:eastAsia="zh-CN"/>
              </w:rPr>
            </w:pPr>
            <w:r>
              <mc:AlternateContent>
                <mc:Choice Requires="wps">
                  <w:drawing>
                    <wp:anchor distT="0" distB="0" distL="114300" distR="114300" simplePos="0" relativeHeight="251693056" behindDoc="0" locked="0" layoutInCell="1" allowOverlap="1">
                      <wp:simplePos x="0" y="0"/>
                      <wp:positionH relativeFrom="column">
                        <wp:posOffset>2362200</wp:posOffset>
                      </wp:positionH>
                      <wp:positionV relativeFrom="paragraph">
                        <wp:posOffset>2946400</wp:posOffset>
                      </wp:positionV>
                      <wp:extent cx="1209675" cy="381000"/>
                      <wp:effectExtent l="13970" t="1356995" r="14605" b="14605"/>
                      <wp:wrapNone/>
                      <wp:docPr id="11" name="矩形标注 11"/>
                      <wp:cNvGraphicFramePr/>
                      <a:graphic xmlns:a="http://schemas.openxmlformats.org/drawingml/2006/main">
                        <a:graphicData uri="http://schemas.microsoft.com/office/word/2010/wordprocessingShape">
                          <wps:wsp>
                            <wps:cNvSpPr/>
                            <wps:spPr>
                              <a:xfrm>
                                <a:off x="3280410" y="3672840"/>
                                <a:ext cx="1209675" cy="381000"/>
                              </a:xfrm>
                              <a:prstGeom prst="wedgeRectCallout">
                                <a:avLst>
                                  <a:gd name="adj1" fmla="val 48477"/>
                                  <a:gd name="adj2" fmla="val -402500"/>
                                </a:avLst>
                              </a:prstGeom>
                              <a:solidFill>
                                <a:schemeClr val="bg1"/>
                              </a:solid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6pt;margin-top:232pt;height:30pt;width:95.25pt;z-index:251693056;v-text-anchor:middle;mso-width-relative:page;mso-height-relative:page;" fillcolor="#FFFFFF [3212]" filled="t" stroked="t" coordsize="21600,21600" o:gfxdata="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DzUA1/XAAAACwEAAA8AAAAAAAAAAQAgAAAAIgAAAGRycy9k&#10;b3ducmV2LnhtbFBLAQIUABQAAAAIAIdO4kBMpeoJrgIAAFsFAAAOAAAAAAAAAAEAIAAAACYBAABk&#10;cnMvZTJvRG9jLnhtbFBLBQYAAAAABgAGAFkBAABGBgAAAAA=&#10;" adj="21271,-76140">
                      <v:fill on="t" focussize="0,0"/>
                      <v:stroke weight="2.25pt" color="#FF0000 [3204]"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项目所在地</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1892935</wp:posOffset>
                      </wp:positionH>
                      <wp:positionV relativeFrom="paragraph">
                        <wp:posOffset>737870</wp:posOffset>
                      </wp:positionV>
                      <wp:extent cx="3016250" cy="1608455"/>
                      <wp:effectExtent l="13970" t="14605" r="17780" b="300990"/>
                      <wp:wrapNone/>
                      <wp:docPr id="4" name="矩形标注 4"/>
                      <wp:cNvGraphicFramePr/>
                      <a:graphic xmlns:a="http://schemas.openxmlformats.org/drawingml/2006/main">
                        <a:graphicData uri="http://schemas.microsoft.com/office/word/2010/wordprocessingShape">
                          <wps:wsp>
                            <wps:cNvSpPr/>
                            <wps:spPr>
                              <a:xfrm>
                                <a:off x="5380355" y="3415665"/>
                                <a:ext cx="3016250" cy="1608455"/>
                              </a:xfrm>
                              <a:prstGeom prst="wedgeRectCallout">
                                <a:avLst>
                                  <a:gd name="adj1" fmla="val 35789"/>
                                  <a:gd name="adj2" fmla="val 67449"/>
                                </a:avLst>
                              </a:prstGeom>
                              <a:solidFill>
                                <a:schemeClr val="bg1"/>
                              </a:solid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eastAsia="zh-CN"/>
                                    </w:rPr>
                                  </w:pPr>
                                  <w:r>
                                    <w:rPr>
                                      <w:rFonts w:hint="eastAsia" w:eastAsia="宋体"/>
                                      <w:lang w:eastAsia="zh-CN"/>
                                    </w:rPr>
                                    <w:drawing>
                                      <wp:inline distT="0" distB="0" distL="114300" distR="114300">
                                        <wp:extent cx="2753360" cy="1488440"/>
                                        <wp:effectExtent l="0" t="0" r="8890" b="16510"/>
                                        <wp:docPr id="5" name="图片 5"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333"/>
                                                <pic:cNvPicPr>
                                                  <a:picLocks noChangeAspect="1"/>
                                                </pic:cNvPicPr>
                                              </pic:nvPicPr>
                                              <pic:blipFill>
                                                <a:blip r:embed="rId6"/>
                                                <a:stretch>
                                                  <a:fillRect/>
                                                </a:stretch>
                                              </pic:blipFill>
                                              <pic:spPr>
                                                <a:xfrm>
                                                  <a:off x="0" y="0"/>
                                                  <a:ext cx="2753360" cy="1488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9.05pt;margin-top:58.1pt;height:126.65pt;width:237.5pt;z-index:251692032;v-text-anchor:middle;mso-width-relative:page;mso-height-relative:page;" fillcolor="#FFFFFF [3212]" filled="t" stroked="t" coordsize="21600,21600" o:gfxdata="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&#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DJvq/2QAAAAsBAAAPAAAAAAAAAAEAIAAAACIAAABk&#10;cnMvZG93bnJldi54bWxQSwECFAAUAAAACACHTuJAgeR3urACAABYBQAADgAAAAAAAAABACAAAAAo&#10;AQAAZHJzL2Uyb0RvYy54bWxQSwUGAAAAAAYABgBZAQAASgYAAAAA&#10;" adj="18530,25369">
                      <v:fill on="t" focussize="0,0"/>
                      <v:stroke weight="2.25pt" color="#FF0000 [3204]" joinstyle="round"/>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2753360" cy="1488440"/>
                                  <wp:effectExtent l="0" t="0" r="8890" b="16510"/>
                                  <wp:docPr id="5" name="图片 5"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333"/>
                                          <pic:cNvPicPr>
                                            <a:picLocks noChangeAspect="1"/>
                                          </pic:cNvPicPr>
                                        </pic:nvPicPr>
                                        <pic:blipFill>
                                          <a:blip r:embed="rId6"/>
                                          <a:stretch>
                                            <a:fillRect/>
                                          </a:stretch>
                                        </pic:blipFill>
                                        <pic:spPr>
                                          <a:xfrm>
                                            <a:off x="0" y="0"/>
                                            <a:ext cx="2753360" cy="1488440"/>
                                          </a:xfrm>
                                          <a:prstGeom prst="rect">
                                            <a:avLst/>
                                          </a:prstGeom>
                                        </pic:spPr>
                                      </pic:pic>
                                    </a:graphicData>
                                  </a:graphic>
                                </wp:inline>
                              </w:drawing>
                            </w:r>
                          </w:p>
                        </w:txbxContent>
                      </v:textbox>
                    </v:shape>
                  </w:pict>
                </mc:Fallback>
              </mc:AlternateContent>
            </w:r>
            <w:r>
              <w:rPr>
                <w:rFonts w:hint="eastAsia"/>
                <w:lang w:val="en-US" w:eastAsia="zh-CN"/>
              </w:rPr>
              <w:drawing>
                <wp:inline distT="0" distB="0" distL="114300" distR="114300">
                  <wp:extent cx="5715635" cy="8111490"/>
                  <wp:effectExtent l="0" t="0" r="18415" b="3810"/>
                  <wp:docPr id="2" name="图片 2" descr="淮南市生态红线保护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淮南市生态红线保护图"/>
                          <pic:cNvPicPr>
                            <a:picLocks noChangeAspect="1"/>
                          </pic:cNvPicPr>
                        </pic:nvPicPr>
                        <pic:blipFill>
                          <a:blip r:embed="rId7"/>
                          <a:stretch>
                            <a:fillRect/>
                          </a:stretch>
                        </pic:blipFill>
                        <pic:spPr>
                          <a:xfrm>
                            <a:off x="0" y="0"/>
                            <a:ext cx="5715635" cy="8111490"/>
                          </a:xfrm>
                          <a:prstGeom prst="rect">
                            <a:avLst/>
                          </a:prstGeom>
                        </pic:spPr>
                      </pic:pic>
                    </a:graphicData>
                  </a:graphic>
                </wp:inline>
              </w:drawing>
            </w:r>
          </w:p>
          <w:p>
            <w:pPr>
              <w:pStyle w:val="5"/>
              <w:numPr>
                <w:ilvl w:val="0"/>
                <w:numId w:val="1"/>
              </w:numPr>
              <w:bidi w:val="0"/>
            </w:pPr>
            <w:r>
              <w:t>与环境质量底线相符性</w:t>
            </w:r>
          </w:p>
          <w:p>
            <w:pPr>
              <w:pStyle w:val="5"/>
              <w:bidi w:val="0"/>
              <w:rPr>
                <w:rFonts w:hint="default"/>
              </w:rPr>
            </w:pPr>
            <w:r>
              <w:rPr>
                <w:rFonts w:hint="default"/>
              </w:rPr>
              <w:t>依据</w:t>
            </w:r>
            <w:r>
              <w:rPr>
                <w:rFonts w:hint="eastAsia"/>
                <w:lang w:val="en-US" w:eastAsia="zh-CN"/>
              </w:rPr>
              <w:t>本项目</w:t>
            </w:r>
            <w:r>
              <w:rPr>
                <w:rFonts w:hint="default"/>
              </w:rPr>
              <w:t>所引用的公报信息及监测数据，项目所在区域大气环境满足《环境空气质量标准》（GB3095-2012）中二级标准要求，项目所在地地表水</w:t>
            </w:r>
            <w:r>
              <w:rPr>
                <w:rFonts w:hint="eastAsia"/>
                <w:lang w:val="en-US" w:eastAsia="zh-CN"/>
              </w:rPr>
              <w:t>淮河</w:t>
            </w:r>
            <w:r>
              <w:rPr>
                <w:rFonts w:hint="default"/>
              </w:rPr>
              <w:t>水质现状符合《地表水环境质量标准》（GB3838-2002）中Ⅲ类水体功能要求，本项目外排废水主要为员工生活用水</w:t>
            </w:r>
            <w:r>
              <w:rPr>
                <w:rFonts w:hint="eastAsia"/>
                <w:lang w:eastAsia="zh-CN"/>
              </w:rPr>
              <w:t>，</w:t>
            </w:r>
            <w:r>
              <w:rPr>
                <w:rFonts w:hint="eastAsia"/>
              </w:rPr>
              <w:t>产生的生活污水经过现有化粪池预处理后排入园区市政污水管网，进入淮南市</w:t>
            </w:r>
            <w:r>
              <w:rPr>
                <w:rFonts w:hint="eastAsia"/>
                <w:lang w:val="en-US" w:eastAsia="zh-CN"/>
              </w:rPr>
              <w:t>经济技术开发区</w:t>
            </w:r>
            <w:r>
              <w:rPr>
                <w:rFonts w:hint="eastAsia"/>
              </w:rPr>
              <w:t>污水处理厂处理，尾水排入淮河。项目建设不会改变区域环境质量，满足改善环境质量底线要求</w:t>
            </w:r>
            <w:r>
              <w:rPr>
                <w:rFonts w:hint="eastAsia"/>
                <w:lang w:eastAsia="zh-CN"/>
              </w:rPr>
              <w:t>；</w:t>
            </w:r>
            <w:r>
              <w:rPr>
                <w:rFonts w:hint="default"/>
                <w:lang w:val="en-US" w:eastAsia="zh-CN"/>
              </w:rPr>
              <w:t>声环境可达到《声环境质量标准》(GB3096-2008)中的</w:t>
            </w:r>
            <w:r>
              <w:rPr>
                <w:rFonts w:hint="eastAsia"/>
                <w:lang w:val="en-US" w:eastAsia="zh-CN"/>
              </w:rPr>
              <w:t>3</w:t>
            </w:r>
            <w:r>
              <w:rPr>
                <w:rFonts w:hint="default"/>
                <w:lang w:val="en-US" w:eastAsia="zh-CN"/>
              </w:rPr>
              <w:t>类标准</w:t>
            </w:r>
            <w:r>
              <w:rPr>
                <w:rFonts w:hint="default"/>
              </w:rPr>
              <w:t>。</w:t>
            </w:r>
          </w:p>
          <w:p>
            <w:pPr>
              <w:pStyle w:val="5"/>
              <w:bidi w:val="0"/>
              <w:rPr>
                <w:rFonts w:hint="default"/>
                <w:lang w:val="en-US" w:eastAsia="zh-CN"/>
              </w:rPr>
            </w:pPr>
            <w:r>
              <w:rPr>
                <w:rFonts w:hint="default"/>
              </w:rPr>
              <w:t>因此，项目的建设不会突破区域环境质量底线。</w:t>
            </w:r>
          </w:p>
          <w:p>
            <w:pPr>
              <w:pStyle w:val="5"/>
              <w:numPr>
                <w:ilvl w:val="0"/>
                <w:numId w:val="1"/>
              </w:numPr>
              <w:bidi w:val="0"/>
              <w:ind w:left="0" w:leftChars="0" w:firstLine="480" w:firstLineChars="200"/>
            </w:pPr>
            <w:r>
              <w:t>资源利用上线</w:t>
            </w:r>
          </w:p>
          <w:p>
            <w:pPr>
              <w:pStyle w:val="5"/>
              <w:bidi w:val="0"/>
            </w:pPr>
            <w:r>
              <w:rPr>
                <w:rFonts w:hint="eastAsia"/>
              </w:rPr>
              <w:t>项目所用资源包括水资源、土地资源和能源利用上线，本项目用水为生活用水，项目所在区水资源较丰富，项目用水远小于区域供水能力。本项目用地性质为工业用地。从资源角度，本项目的建设充分利用了现有土地资源，减少了土地资源的浪费。项目使用能源主要为电，项目不涉及煤炭等高污染能源。</w:t>
            </w:r>
          </w:p>
          <w:p>
            <w:pPr>
              <w:pStyle w:val="5"/>
              <w:numPr>
                <w:ilvl w:val="0"/>
                <w:numId w:val="1"/>
              </w:numPr>
              <w:bidi w:val="0"/>
            </w:pPr>
            <w:r>
              <w:t>与环境准入负面清单相符性</w:t>
            </w:r>
          </w:p>
          <w:tbl>
            <w:tblPr>
              <w:tblStyle w:val="23"/>
              <w:tblW w:w="8504" w:type="dxa"/>
              <w:jc w:val="center"/>
              <w:tblLayout w:type="fixed"/>
              <w:tblCellMar>
                <w:top w:w="0" w:type="dxa"/>
                <w:left w:w="0" w:type="dxa"/>
                <w:bottom w:w="0" w:type="dxa"/>
                <w:right w:w="0" w:type="dxa"/>
              </w:tblCellMar>
            </w:tblPr>
            <w:tblGrid>
              <w:gridCol w:w="773"/>
              <w:gridCol w:w="1314"/>
              <w:gridCol w:w="6417"/>
            </w:tblGrid>
            <w:tr>
              <w:tblPrEx>
                <w:tblCellMar>
                  <w:top w:w="0" w:type="dxa"/>
                  <w:left w:w="0" w:type="dxa"/>
                  <w:bottom w:w="0" w:type="dxa"/>
                  <w:right w:w="0" w:type="dxa"/>
                </w:tblCellMar>
              </w:tblPrEx>
              <w:trPr>
                <w:trHeight w:val="283" w:hRule="atLeast"/>
                <w:jc w:val="center"/>
              </w:trPr>
              <w:tc>
                <w:tcPr>
                  <w:tcW w:w="843" w:type="dxa"/>
                  <w:tcBorders>
                    <w:top w:val="single" w:color="000000" w:sz="2" w:space="0"/>
                    <w:left w:val="single" w:color="000000" w:sz="2" w:space="0"/>
                    <w:bottom w:val="single" w:color="000000" w:sz="2" w:space="0"/>
                    <w:right w:val="single" w:color="000000" w:sz="2" w:space="0"/>
                  </w:tcBorders>
                  <w:vAlign w:val="center"/>
                </w:tcPr>
                <w:p>
                  <w:pPr>
                    <w:pStyle w:val="40"/>
                    <w:bidi w:val="0"/>
                  </w:pPr>
                  <w:r>
                    <w:t>序号</w:t>
                  </w:r>
                </w:p>
              </w:tc>
              <w:tc>
                <w:tcPr>
                  <w:tcW w:w="1434" w:type="dxa"/>
                  <w:tcBorders>
                    <w:top w:val="single" w:color="000000" w:sz="2" w:space="0"/>
                    <w:left w:val="single" w:color="000000" w:sz="2" w:space="0"/>
                    <w:bottom w:val="single" w:color="000000" w:sz="2" w:space="0"/>
                    <w:right w:val="single" w:color="000000" w:sz="2" w:space="0"/>
                  </w:tcBorders>
                  <w:vAlign w:val="center"/>
                </w:tcPr>
                <w:p>
                  <w:pPr>
                    <w:pStyle w:val="40"/>
                    <w:bidi w:val="0"/>
                  </w:pPr>
                  <w:bookmarkStart w:id="2" w:name="类型"/>
                  <w:bookmarkEnd w:id="2"/>
                  <w:r>
                    <w:t>类型</w:t>
                  </w:r>
                </w:p>
              </w:tc>
              <w:tc>
                <w:tcPr>
                  <w:tcW w:w="7009" w:type="dxa"/>
                  <w:tcBorders>
                    <w:top w:val="single" w:color="000000" w:sz="2" w:space="0"/>
                    <w:left w:val="single" w:color="000000" w:sz="2" w:space="0"/>
                    <w:bottom w:val="single" w:color="000000" w:sz="2" w:space="0"/>
                    <w:right w:val="single" w:color="000000" w:sz="2" w:space="0"/>
                  </w:tcBorders>
                  <w:vAlign w:val="center"/>
                </w:tcPr>
                <w:p>
                  <w:pPr>
                    <w:pStyle w:val="40"/>
                    <w:bidi w:val="0"/>
                  </w:pPr>
                  <w:bookmarkStart w:id="3" w:name="负面清单要求"/>
                  <w:bookmarkEnd w:id="3"/>
                  <w:r>
                    <w:t>负面清单要求</w:t>
                  </w:r>
                </w:p>
              </w:tc>
            </w:tr>
            <w:tr>
              <w:tblPrEx>
                <w:tblCellMar>
                  <w:top w:w="0" w:type="dxa"/>
                  <w:left w:w="0" w:type="dxa"/>
                  <w:bottom w:w="0" w:type="dxa"/>
                  <w:right w:w="0" w:type="dxa"/>
                </w:tblCellMar>
              </w:tblPrEx>
              <w:trPr>
                <w:trHeight w:val="283" w:hRule="atLeast"/>
                <w:jc w:val="center"/>
              </w:trPr>
              <w:tc>
                <w:tcPr>
                  <w:tcW w:w="843" w:type="dxa"/>
                  <w:tcBorders>
                    <w:top w:val="single" w:color="000000" w:sz="2" w:space="0"/>
                    <w:left w:val="single" w:color="000000" w:sz="2" w:space="0"/>
                    <w:bottom w:val="single" w:color="000000" w:sz="2" w:space="0"/>
                    <w:right w:val="single" w:color="000000" w:sz="2" w:space="0"/>
                  </w:tcBorders>
                  <w:vAlign w:val="center"/>
                </w:tcPr>
                <w:p>
                  <w:pPr>
                    <w:pStyle w:val="40"/>
                    <w:bidi w:val="0"/>
                  </w:pPr>
                  <w:r>
                    <w:t>1</w:t>
                  </w:r>
                </w:p>
              </w:tc>
              <w:tc>
                <w:tcPr>
                  <w:tcW w:w="1434" w:type="dxa"/>
                  <w:vMerge w:val="restart"/>
                  <w:tcBorders>
                    <w:top w:val="single" w:color="000000" w:sz="2" w:space="0"/>
                    <w:left w:val="single" w:color="000000" w:sz="2" w:space="0"/>
                    <w:right w:val="single" w:color="000000" w:sz="2" w:space="0"/>
                  </w:tcBorders>
                  <w:vAlign w:val="center"/>
                </w:tcPr>
                <w:p>
                  <w:pPr>
                    <w:pStyle w:val="40"/>
                    <w:bidi w:val="0"/>
                  </w:pPr>
                  <w:bookmarkStart w:id="4" w:name="产业导向"/>
                  <w:bookmarkEnd w:id="4"/>
                  <w:r>
                    <w:t>产业导向</w:t>
                  </w:r>
                </w:p>
              </w:tc>
              <w:tc>
                <w:tcPr>
                  <w:tcW w:w="7009" w:type="dxa"/>
                  <w:tcBorders>
                    <w:top w:val="single" w:color="000000" w:sz="2" w:space="0"/>
                    <w:left w:val="single" w:color="000000" w:sz="2" w:space="0"/>
                    <w:bottom w:val="single" w:color="000000" w:sz="2" w:space="0"/>
                    <w:right w:val="single" w:color="000000" w:sz="2" w:space="0"/>
                  </w:tcBorders>
                  <w:vAlign w:val="center"/>
                </w:tcPr>
                <w:p>
                  <w:pPr>
                    <w:pStyle w:val="40"/>
                    <w:bidi w:val="0"/>
                  </w:pPr>
                  <w:r>
                    <w:t>禁止引入国家明令禁止建设或投资的、列入《产业结构调整指导目（2019</w:t>
                  </w:r>
                </w:p>
                <w:p>
                  <w:pPr>
                    <w:pStyle w:val="40"/>
                    <w:bidi w:val="0"/>
                  </w:pPr>
                  <w:r>
                    <w:t>年本）》、《外商投资产业指导目录（2017年修订）》、《市场准入负面 清单（2019年版）》等相关产业政策中禁止或淘汰类的项目。</w:t>
                  </w:r>
                </w:p>
              </w:tc>
            </w:tr>
            <w:tr>
              <w:tblPrEx>
                <w:tblCellMar>
                  <w:top w:w="0" w:type="dxa"/>
                  <w:left w:w="0" w:type="dxa"/>
                  <w:bottom w:w="0" w:type="dxa"/>
                  <w:right w:w="0" w:type="dxa"/>
                </w:tblCellMar>
              </w:tblPrEx>
              <w:trPr>
                <w:trHeight w:val="283" w:hRule="atLeast"/>
                <w:jc w:val="center"/>
              </w:trPr>
              <w:tc>
                <w:tcPr>
                  <w:tcW w:w="843" w:type="dxa"/>
                  <w:tcBorders>
                    <w:top w:val="single" w:color="000000" w:sz="2" w:space="0"/>
                    <w:left w:val="single" w:color="000000" w:sz="2" w:space="0"/>
                    <w:bottom w:val="single" w:color="000000" w:sz="2" w:space="0"/>
                    <w:right w:val="single" w:color="000000" w:sz="2" w:space="0"/>
                  </w:tcBorders>
                  <w:vAlign w:val="center"/>
                </w:tcPr>
                <w:p>
                  <w:pPr>
                    <w:pStyle w:val="40"/>
                    <w:bidi w:val="0"/>
                  </w:pPr>
                  <w:r>
                    <w:t>2</w:t>
                  </w:r>
                </w:p>
              </w:tc>
              <w:tc>
                <w:tcPr>
                  <w:tcW w:w="1434" w:type="dxa"/>
                  <w:vMerge w:val="continue"/>
                  <w:tcBorders>
                    <w:left w:val="single" w:color="000000" w:sz="2" w:space="0"/>
                    <w:right w:val="single" w:color="000000" w:sz="2" w:space="0"/>
                  </w:tcBorders>
                  <w:vAlign w:val="center"/>
                </w:tcPr>
                <w:p>
                  <w:pPr>
                    <w:pStyle w:val="40"/>
                    <w:bidi w:val="0"/>
                  </w:pPr>
                </w:p>
              </w:tc>
              <w:tc>
                <w:tcPr>
                  <w:tcW w:w="7009" w:type="dxa"/>
                  <w:tcBorders>
                    <w:top w:val="single" w:color="000000" w:sz="2" w:space="0"/>
                    <w:left w:val="single" w:color="000000" w:sz="2" w:space="0"/>
                    <w:bottom w:val="single" w:color="000000" w:sz="2" w:space="0"/>
                    <w:right w:val="single" w:color="000000" w:sz="2" w:space="0"/>
                  </w:tcBorders>
                  <w:vAlign w:val="center"/>
                </w:tcPr>
                <w:p>
                  <w:pPr>
                    <w:pStyle w:val="40"/>
                    <w:bidi w:val="0"/>
                  </w:pPr>
                  <w:r>
                    <w:t>禁止引进国家、安徽省明确规定不得审批的建设项目。</w:t>
                  </w:r>
                </w:p>
              </w:tc>
            </w:tr>
            <w:tr>
              <w:trPr>
                <w:trHeight w:val="283" w:hRule="atLeast"/>
                <w:jc w:val="center"/>
              </w:trPr>
              <w:tc>
                <w:tcPr>
                  <w:tcW w:w="843" w:type="dxa"/>
                  <w:tcBorders>
                    <w:top w:val="single" w:color="000000" w:sz="2" w:space="0"/>
                    <w:left w:val="single" w:color="000000" w:sz="2" w:space="0"/>
                    <w:bottom w:val="single" w:color="000000" w:sz="2" w:space="0"/>
                    <w:right w:val="single" w:color="000000" w:sz="2" w:space="0"/>
                  </w:tcBorders>
                  <w:vAlign w:val="center"/>
                </w:tcPr>
                <w:p>
                  <w:pPr>
                    <w:pStyle w:val="40"/>
                    <w:bidi w:val="0"/>
                  </w:pPr>
                  <w:r>
                    <w:t>3</w:t>
                  </w:r>
                </w:p>
              </w:tc>
              <w:tc>
                <w:tcPr>
                  <w:tcW w:w="1434" w:type="dxa"/>
                  <w:vMerge w:val="continue"/>
                  <w:tcBorders>
                    <w:left w:val="single" w:color="000000" w:sz="2" w:space="0"/>
                    <w:right w:val="single" w:color="000000" w:sz="2" w:space="0"/>
                  </w:tcBorders>
                  <w:vAlign w:val="center"/>
                </w:tcPr>
                <w:p>
                  <w:pPr>
                    <w:pStyle w:val="40"/>
                    <w:bidi w:val="0"/>
                  </w:pPr>
                </w:p>
              </w:tc>
              <w:tc>
                <w:tcPr>
                  <w:tcW w:w="7009" w:type="dxa"/>
                  <w:tcBorders>
                    <w:top w:val="single" w:color="000000" w:sz="2" w:space="0"/>
                    <w:left w:val="single" w:color="000000" w:sz="2" w:space="0"/>
                    <w:bottom w:val="single" w:color="000000" w:sz="2" w:space="0"/>
                    <w:right w:val="single" w:color="000000" w:sz="2" w:space="0"/>
                  </w:tcBorders>
                  <w:vAlign w:val="center"/>
                </w:tcPr>
                <w:p>
                  <w:pPr>
                    <w:pStyle w:val="40"/>
                    <w:bidi w:val="0"/>
                  </w:pPr>
                  <w:r>
                    <w:t>禁止引进钢铁、焦化、电解铝、铸造、水泥和平板玻璃等产能类项目。</w:t>
                  </w:r>
                </w:p>
              </w:tc>
            </w:tr>
            <w:tr>
              <w:tblPrEx>
                <w:tblCellMar>
                  <w:top w:w="0" w:type="dxa"/>
                  <w:left w:w="0" w:type="dxa"/>
                  <w:bottom w:w="0" w:type="dxa"/>
                  <w:right w:w="0" w:type="dxa"/>
                </w:tblCellMar>
              </w:tblPrEx>
              <w:trPr>
                <w:trHeight w:val="283" w:hRule="atLeast"/>
                <w:jc w:val="center"/>
              </w:trPr>
              <w:tc>
                <w:tcPr>
                  <w:tcW w:w="843" w:type="dxa"/>
                  <w:tcBorders>
                    <w:top w:val="single" w:color="000000" w:sz="2" w:space="0"/>
                    <w:left w:val="single" w:color="000000" w:sz="2" w:space="0"/>
                    <w:bottom w:val="single" w:color="000000" w:sz="2" w:space="0"/>
                    <w:right w:val="single" w:color="000000" w:sz="2" w:space="0"/>
                  </w:tcBorders>
                  <w:vAlign w:val="center"/>
                </w:tcPr>
                <w:p>
                  <w:pPr>
                    <w:pStyle w:val="40"/>
                    <w:bidi w:val="0"/>
                  </w:pPr>
                  <w:r>
                    <w:t>4</w:t>
                  </w:r>
                </w:p>
              </w:tc>
              <w:tc>
                <w:tcPr>
                  <w:tcW w:w="1434" w:type="dxa"/>
                  <w:vMerge w:val="continue"/>
                  <w:tcBorders>
                    <w:left w:val="single" w:color="000000" w:sz="2" w:space="0"/>
                    <w:right w:val="single" w:color="000000" w:sz="2" w:space="0"/>
                  </w:tcBorders>
                  <w:vAlign w:val="center"/>
                </w:tcPr>
                <w:p>
                  <w:pPr>
                    <w:pStyle w:val="40"/>
                    <w:bidi w:val="0"/>
                  </w:pPr>
                </w:p>
              </w:tc>
              <w:tc>
                <w:tcPr>
                  <w:tcW w:w="7009" w:type="dxa"/>
                  <w:tcBorders>
                    <w:top w:val="single" w:color="000000" w:sz="2" w:space="0"/>
                    <w:left w:val="single" w:color="000000" w:sz="2" w:space="0"/>
                    <w:bottom w:val="single" w:color="000000" w:sz="2" w:space="0"/>
                    <w:right w:val="single" w:color="000000" w:sz="2" w:space="0"/>
                  </w:tcBorders>
                  <w:vAlign w:val="center"/>
                </w:tcPr>
                <w:p>
                  <w:pPr>
                    <w:pStyle w:val="40"/>
                    <w:bidi w:val="0"/>
                  </w:pPr>
                  <w:r>
                    <w:t>禁止新引入农药制造等污染较重的化工类项目。</w:t>
                  </w:r>
                </w:p>
              </w:tc>
            </w:tr>
            <w:tr>
              <w:trPr>
                <w:trHeight w:val="283" w:hRule="atLeast"/>
                <w:jc w:val="center"/>
              </w:trPr>
              <w:tc>
                <w:tcPr>
                  <w:tcW w:w="843" w:type="dxa"/>
                  <w:tcBorders>
                    <w:top w:val="single" w:color="000000" w:sz="2" w:space="0"/>
                    <w:left w:val="single" w:color="000000" w:sz="2" w:space="0"/>
                    <w:bottom w:val="single" w:color="000000" w:sz="2" w:space="0"/>
                    <w:right w:val="single" w:color="000000" w:sz="2" w:space="0"/>
                  </w:tcBorders>
                  <w:vAlign w:val="center"/>
                </w:tcPr>
                <w:p>
                  <w:pPr>
                    <w:pStyle w:val="40"/>
                    <w:bidi w:val="0"/>
                  </w:pPr>
                  <w:r>
                    <w:t>5</w:t>
                  </w:r>
                </w:p>
              </w:tc>
              <w:tc>
                <w:tcPr>
                  <w:tcW w:w="1434" w:type="dxa"/>
                  <w:vMerge w:val="continue"/>
                  <w:tcBorders>
                    <w:left w:val="single" w:color="000000" w:sz="2" w:space="0"/>
                    <w:right w:val="single" w:color="000000" w:sz="2" w:space="0"/>
                  </w:tcBorders>
                  <w:vAlign w:val="center"/>
                </w:tcPr>
                <w:p>
                  <w:pPr>
                    <w:pStyle w:val="40"/>
                    <w:bidi w:val="0"/>
                  </w:pPr>
                </w:p>
              </w:tc>
              <w:tc>
                <w:tcPr>
                  <w:tcW w:w="7009" w:type="dxa"/>
                  <w:tcBorders>
                    <w:top w:val="single" w:color="000000" w:sz="2" w:space="0"/>
                    <w:left w:val="single" w:color="000000" w:sz="2" w:space="0"/>
                    <w:bottom w:val="single" w:color="000000" w:sz="2" w:space="0"/>
                    <w:right w:val="single" w:color="000000" w:sz="2" w:space="0"/>
                  </w:tcBorders>
                  <w:vAlign w:val="center"/>
                </w:tcPr>
                <w:p>
                  <w:pPr>
                    <w:pStyle w:val="40"/>
                    <w:bidi w:val="0"/>
                  </w:pPr>
                  <w:r>
                    <w:t>禁止引进化学制浆造纸企业和印染、制革、化工、电镀、酿造等污染严重 的小型企业。</w:t>
                  </w:r>
                </w:p>
              </w:tc>
            </w:tr>
            <w:tr>
              <w:tblPrEx>
                <w:tblCellMar>
                  <w:top w:w="0" w:type="dxa"/>
                  <w:left w:w="0" w:type="dxa"/>
                  <w:bottom w:w="0" w:type="dxa"/>
                  <w:right w:w="0" w:type="dxa"/>
                </w:tblCellMar>
              </w:tblPrEx>
              <w:trPr>
                <w:trHeight w:val="283" w:hRule="atLeast"/>
                <w:jc w:val="center"/>
              </w:trPr>
              <w:tc>
                <w:tcPr>
                  <w:tcW w:w="843" w:type="dxa"/>
                  <w:tcBorders>
                    <w:top w:val="single" w:color="000000" w:sz="2" w:space="0"/>
                    <w:left w:val="single" w:color="000000" w:sz="2" w:space="0"/>
                    <w:bottom w:val="single" w:color="000000" w:sz="2" w:space="0"/>
                    <w:right w:val="single" w:color="000000" w:sz="2" w:space="0"/>
                  </w:tcBorders>
                  <w:vAlign w:val="center"/>
                </w:tcPr>
                <w:p>
                  <w:pPr>
                    <w:pStyle w:val="40"/>
                    <w:bidi w:val="0"/>
                  </w:pPr>
                  <w:r>
                    <w:t>6</w:t>
                  </w:r>
                </w:p>
              </w:tc>
              <w:tc>
                <w:tcPr>
                  <w:tcW w:w="1434" w:type="dxa"/>
                  <w:vMerge w:val="continue"/>
                  <w:tcBorders>
                    <w:left w:val="single" w:color="000000" w:sz="2" w:space="0"/>
                    <w:right w:val="single" w:color="000000" w:sz="2" w:space="0"/>
                  </w:tcBorders>
                  <w:vAlign w:val="center"/>
                </w:tcPr>
                <w:p>
                  <w:pPr>
                    <w:pStyle w:val="40"/>
                    <w:bidi w:val="0"/>
                  </w:pPr>
                </w:p>
              </w:tc>
              <w:tc>
                <w:tcPr>
                  <w:tcW w:w="7009" w:type="dxa"/>
                  <w:tcBorders>
                    <w:top w:val="single" w:color="000000" w:sz="2" w:space="0"/>
                    <w:left w:val="single" w:color="000000" w:sz="2" w:space="0"/>
                    <w:bottom w:val="single" w:color="000000" w:sz="2" w:space="0"/>
                    <w:right w:val="single" w:color="000000" w:sz="2" w:space="0"/>
                  </w:tcBorders>
                  <w:vAlign w:val="center"/>
                </w:tcPr>
                <w:p>
                  <w:pPr>
                    <w:pStyle w:val="40"/>
                    <w:bidi w:val="0"/>
                  </w:pPr>
                  <w:r>
                    <w:t>严格控制化学药品原药制造等污染较重的项目</w:t>
                  </w:r>
                </w:p>
              </w:tc>
            </w:tr>
            <w:tr>
              <w:tblPrEx>
                <w:tblCellMar>
                  <w:top w:w="0" w:type="dxa"/>
                  <w:left w:w="0" w:type="dxa"/>
                  <w:bottom w:w="0" w:type="dxa"/>
                  <w:right w:w="0" w:type="dxa"/>
                </w:tblCellMar>
              </w:tblPrEx>
              <w:trPr>
                <w:trHeight w:val="283" w:hRule="atLeast"/>
                <w:jc w:val="center"/>
              </w:trPr>
              <w:tc>
                <w:tcPr>
                  <w:tcW w:w="843" w:type="dxa"/>
                  <w:tcBorders>
                    <w:top w:val="single" w:color="000000" w:sz="2" w:space="0"/>
                    <w:left w:val="single" w:color="000000" w:sz="2" w:space="0"/>
                    <w:bottom w:val="single" w:color="000000" w:sz="2" w:space="0"/>
                    <w:right w:val="single" w:color="000000" w:sz="2" w:space="0"/>
                  </w:tcBorders>
                  <w:vAlign w:val="center"/>
                </w:tcPr>
                <w:p>
                  <w:pPr>
                    <w:pStyle w:val="40"/>
                    <w:bidi w:val="0"/>
                  </w:pPr>
                  <w:r>
                    <w:t>7</w:t>
                  </w:r>
                </w:p>
              </w:tc>
              <w:tc>
                <w:tcPr>
                  <w:tcW w:w="1434" w:type="dxa"/>
                  <w:vMerge w:val="continue"/>
                  <w:tcBorders>
                    <w:left w:val="single" w:color="000000" w:sz="2" w:space="0"/>
                    <w:bottom w:val="single" w:color="000000" w:sz="2" w:space="0"/>
                    <w:right w:val="single" w:color="000000" w:sz="2" w:space="0"/>
                  </w:tcBorders>
                  <w:vAlign w:val="center"/>
                </w:tcPr>
                <w:p>
                  <w:pPr>
                    <w:pStyle w:val="40"/>
                    <w:bidi w:val="0"/>
                  </w:pPr>
                </w:p>
              </w:tc>
              <w:tc>
                <w:tcPr>
                  <w:tcW w:w="7009" w:type="dxa"/>
                  <w:tcBorders>
                    <w:top w:val="single" w:color="000000" w:sz="2" w:space="0"/>
                    <w:left w:val="single" w:color="000000" w:sz="2" w:space="0"/>
                    <w:bottom w:val="single" w:color="000000" w:sz="2" w:space="0"/>
                    <w:right w:val="single" w:color="000000" w:sz="2" w:space="0"/>
                  </w:tcBorders>
                  <w:vAlign w:val="center"/>
                </w:tcPr>
                <w:p>
                  <w:pPr>
                    <w:pStyle w:val="40"/>
                    <w:bidi w:val="0"/>
                  </w:pPr>
                  <w:r>
                    <w:t>严格控制非主导产业高污染、高能耗类项目。</w:t>
                  </w:r>
                </w:p>
              </w:tc>
            </w:tr>
            <w:tr>
              <w:trPr>
                <w:trHeight w:val="283" w:hRule="atLeast"/>
                <w:jc w:val="center"/>
              </w:trPr>
              <w:tc>
                <w:tcPr>
                  <w:tcW w:w="843" w:type="dxa"/>
                  <w:tcBorders>
                    <w:top w:val="single" w:color="000000" w:sz="2" w:space="0"/>
                    <w:left w:val="single" w:color="000000" w:sz="2" w:space="0"/>
                    <w:bottom w:val="single" w:color="000000" w:sz="2" w:space="0"/>
                    <w:right w:val="single" w:color="000000" w:sz="2" w:space="0"/>
                  </w:tcBorders>
                  <w:vAlign w:val="center"/>
                </w:tcPr>
                <w:p>
                  <w:pPr>
                    <w:pStyle w:val="40"/>
                    <w:bidi w:val="0"/>
                  </w:pPr>
                  <w:r>
                    <w:t>8</w:t>
                  </w:r>
                </w:p>
              </w:tc>
              <w:tc>
                <w:tcPr>
                  <w:tcW w:w="1434" w:type="dxa"/>
                  <w:vMerge w:val="restart"/>
                  <w:tcBorders>
                    <w:top w:val="single" w:color="000000" w:sz="2" w:space="0"/>
                    <w:left w:val="single" w:color="000000" w:sz="2" w:space="0"/>
                    <w:right w:val="single" w:color="000000" w:sz="2" w:space="0"/>
                  </w:tcBorders>
                  <w:vAlign w:val="center"/>
                </w:tcPr>
                <w:p>
                  <w:pPr>
                    <w:pStyle w:val="40"/>
                    <w:bidi w:val="0"/>
                  </w:pPr>
                  <w:r>
                    <w:t>生产工艺</w:t>
                  </w:r>
                </w:p>
              </w:tc>
              <w:tc>
                <w:tcPr>
                  <w:tcW w:w="7009" w:type="dxa"/>
                  <w:tcBorders>
                    <w:top w:val="single" w:color="000000" w:sz="2" w:space="0"/>
                    <w:left w:val="single" w:color="000000" w:sz="2" w:space="0"/>
                    <w:bottom w:val="single" w:color="000000" w:sz="2" w:space="0"/>
                    <w:right w:val="single" w:color="000000" w:sz="2" w:space="0"/>
                  </w:tcBorders>
                  <w:vAlign w:val="center"/>
                </w:tcPr>
                <w:p>
                  <w:pPr>
                    <w:pStyle w:val="40"/>
                    <w:bidi w:val="0"/>
                  </w:pPr>
                  <w:r>
                    <w:t>禁止引进炼油、产生致癌、致畸、致突变物质的项目。</w:t>
                  </w:r>
                </w:p>
              </w:tc>
            </w:tr>
            <w:tr>
              <w:tblPrEx>
                <w:tblCellMar>
                  <w:top w:w="0" w:type="dxa"/>
                  <w:left w:w="0" w:type="dxa"/>
                  <w:bottom w:w="0" w:type="dxa"/>
                  <w:right w:w="0" w:type="dxa"/>
                </w:tblCellMar>
              </w:tblPrEx>
              <w:trPr>
                <w:trHeight w:val="283" w:hRule="atLeast"/>
                <w:jc w:val="center"/>
              </w:trPr>
              <w:tc>
                <w:tcPr>
                  <w:tcW w:w="843" w:type="dxa"/>
                  <w:tcBorders>
                    <w:top w:val="single" w:color="000000" w:sz="2" w:space="0"/>
                    <w:left w:val="single" w:color="000000" w:sz="2" w:space="0"/>
                    <w:bottom w:val="single" w:color="000000" w:sz="2" w:space="0"/>
                    <w:right w:val="single" w:color="000000" w:sz="2" w:space="0"/>
                  </w:tcBorders>
                  <w:vAlign w:val="center"/>
                </w:tcPr>
                <w:p>
                  <w:pPr>
                    <w:pStyle w:val="40"/>
                    <w:bidi w:val="0"/>
                  </w:pPr>
                  <w:r>
                    <w:t>9</w:t>
                  </w:r>
                </w:p>
              </w:tc>
              <w:tc>
                <w:tcPr>
                  <w:tcW w:w="1434" w:type="dxa"/>
                  <w:vMerge w:val="continue"/>
                  <w:tcBorders>
                    <w:left w:val="single" w:color="000000" w:sz="2" w:space="0"/>
                    <w:bottom w:val="single" w:color="000000" w:sz="2" w:space="0"/>
                    <w:right w:val="single" w:color="000000" w:sz="2" w:space="0"/>
                  </w:tcBorders>
                  <w:vAlign w:val="center"/>
                </w:tcPr>
                <w:p>
                  <w:pPr>
                    <w:pStyle w:val="40"/>
                    <w:bidi w:val="0"/>
                  </w:pPr>
                </w:p>
              </w:tc>
              <w:tc>
                <w:tcPr>
                  <w:tcW w:w="7009" w:type="dxa"/>
                  <w:tcBorders>
                    <w:top w:val="single" w:color="000000" w:sz="2" w:space="0"/>
                    <w:left w:val="single" w:color="000000" w:sz="2" w:space="0"/>
                    <w:bottom w:val="single" w:color="000000" w:sz="2" w:space="0"/>
                    <w:right w:val="single" w:color="000000" w:sz="2" w:space="0"/>
                  </w:tcBorders>
                  <w:vAlign w:val="center"/>
                </w:tcPr>
                <w:p>
                  <w:pPr>
                    <w:pStyle w:val="40"/>
                    <w:bidi w:val="0"/>
                  </w:pPr>
                  <w:r>
                    <w:t>为主导产业及配套的上下游及延伸产业链项目的生产工艺、设备、污染治</w:t>
                  </w:r>
                </w:p>
                <w:p>
                  <w:pPr>
                    <w:pStyle w:val="40"/>
                    <w:bidi w:val="0"/>
                  </w:pPr>
                  <w:r>
                    <w:t>理技术等未达到清洁生产国内先进水平的、不符合环保相关要求的项目。</w:t>
                  </w:r>
                </w:p>
              </w:tc>
            </w:tr>
            <w:tr>
              <w:tblPrEx>
                <w:tblCellMar>
                  <w:top w:w="0" w:type="dxa"/>
                  <w:left w:w="0" w:type="dxa"/>
                  <w:bottom w:w="0" w:type="dxa"/>
                  <w:right w:w="0" w:type="dxa"/>
                </w:tblCellMar>
              </w:tblPrEx>
              <w:trPr>
                <w:trHeight w:val="283" w:hRule="atLeast"/>
                <w:jc w:val="center"/>
              </w:trPr>
              <w:tc>
                <w:tcPr>
                  <w:tcW w:w="843" w:type="dxa"/>
                  <w:tcBorders>
                    <w:top w:val="single" w:color="000000" w:sz="2" w:space="0"/>
                    <w:left w:val="single" w:color="000000" w:sz="2" w:space="0"/>
                    <w:bottom w:val="single" w:color="000000" w:sz="2" w:space="0"/>
                    <w:right w:val="single" w:color="000000" w:sz="2" w:space="0"/>
                  </w:tcBorders>
                  <w:vAlign w:val="center"/>
                </w:tcPr>
                <w:p>
                  <w:pPr>
                    <w:pStyle w:val="40"/>
                    <w:bidi w:val="0"/>
                  </w:pPr>
                  <w:r>
                    <w:t>10</w:t>
                  </w:r>
                </w:p>
              </w:tc>
              <w:tc>
                <w:tcPr>
                  <w:tcW w:w="1434" w:type="dxa"/>
                  <w:tcBorders>
                    <w:top w:val="single" w:color="000000" w:sz="2" w:space="0"/>
                    <w:left w:val="single" w:color="000000" w:sz="2" w:space="0"/>
                    <w:bottom w:val="single" w:color="000000" w:sz="2" w:space="0"/>
                    <w:right w:val="single" w:color="000000" w:sz="2" w:space="0"/>
                  </w:tcBorders>
                  <w:vAlign w:val="center"/>
                </w:tcPr>
                <w:p>
                  <w:pPr>
                    <w:pStyle w:val="40"/>
                    <w:bidi w:val="0"/>
                  </w:pPr>
                  <w:r>
                    <w:t>环保要求</w:t>
                  </w:r>
                </w:p>
              </w:tc>
              <w:tc>
                <w:tcPr>
                  <w:tcW w:w="7009" w:type="dxa"/>
                  <w:tcBorders>
                    <w:top w:val="single" w:color="000000" w:sz="2" w:space="0"/>
                    <w:left w:val="single" w:color="000000" w:sz="2" w:space="0"/>
                    <w:bottom w:val="single" w:color="000000" w:sz="2" w:space="0"/>
                    <w:right w:val="single" w:color="000000" w:sz="2" w:space="0"/>
                  </w:tcBorders>
                  <w:vAlign w:val="center"/>
                </w:tcPr>
                <w:p>
                  <w:pPr>
                    <w:pStyle w:val="40"/>
                    <w:bidi w:val="0"/>
                  </w:pPr>
                  <w:r>
                    <w:t>禁止引入尚需自行建设燃煤锅炉的企业入区，引进项目必须使用清洁能源 或实施集中供热。</w:t>
                  </w:r>
                </w:p>
              </w:tc>
            </w:tr>
            <w:tr>
              <w:tblPrEx>
                <w:tblCellMar>
                  <w:top w:w="0" w:type="dxa"/>
                  <w:left w:w="0" w:type="dxa"/>
                  <w:bottom w:w="0" w:type="dxa"/>
                  <w:right w:w="0" w:type="dxa"/>
                </w:tblCellMar>
              </w:tblPrEx>
              <w:trPr>
                <w:trHeight w:val="283" w:hRule="atLeast"/>
                <w:jc w:val="center"/>
              </w:trPr>
              <w:tc>
                <w:tcPr>
                  <w:tcW w:w="843" w:type="dxa"/>
                  <w:tcBorders>
                    <w:top w:val="single" w:color="000000" w:sz="2" w:space="0"/>
                    <w:left w:val="single" w:color="000000" w:sz="2" w:space="0"/>
                    <w:bottom w:val="single" w:color="000000" w:sz="2" w:space="0"/>
                    <w:right w:val="single" w:color="000000" w:sz="2" w:space="0"/>
                  </w:tcBorders>
                  <w:vAlign w:val="center"/>
                </w:tcPr>
                <w:p>
                  <w:pPr>
                    <w:pStyle w:val="40"/>
                    <w:bidi w:val="0"/>
                  </w:pPr>
                  <w:r>
                    <w:t>11</w:t>
                  </w:r>
                </w:p>
              </w:tc>
              <w:tc>
                <w:tcPr>
                  <w:tcW w:w="1434" w:type="dxa"/>
                  <w:tcBorders>
                    <w:top w:val="single" w:color="000000" w:sz="2" w:space="0"/>
                    <w:left w:val="single" w:color="000000" w:sz="2" w:space="0"/>
                    <w:bottom w:val="single" w:color="000000" w:sz="2" w:space="0"/>
                    <w:right w:val="single" w:color="000000" w:sz="2" w:space="0"/>
                  </w:tcBorders>
                  <w:vAlign w:val="center"/>
                </w:tcPr>
                <w:p>
                  <w:pPr>
                    <w:pStyle w:val="40"/>
                    <w:bidi w:val="0"/>
                  </w:pPr>
                  <w:r>
                    <w:t>清洁生产</w:t>
                  </w:r>
                </w:p>
              </w:tc>
              <w:tc>
                <w:tcPr>
                  <w:tcW w:w="7009" w:type="dxa"/>
                  <w:tcBorders>
                    <w:top w:val="single" w:color="000000" w:sz="2" w:space="0"/>
                    <w:left w:val="single" w:color="000000" w:sz="2" w:space="0"/>
                    <w:bottom w:val="single" w:color="000000" w:sz="2" w:space="0"/>
                    <w:right w:val="single" w:color="000000" w:sz="2" w:space="0"/>
                  </w:tcBorders>
                  <w:vAlign w:val="center"/>
                </w:tcPr>
                <w:p>
                  <w:pPr>
                    <w:pStyle w:val="40"/>
                    <w:bidi w:val="0"/>
                  </w:pPr>
                  <w:r>
                    <w:t>禁止引入清洁生产低于国内先进水平的项目</w:t>
                  </w:r>
                </w:p>
              </w:tc>
            </w:tr>
            <w:tr>
              <w:tblPrEx>
                <w:tblCellMar>
                  <w:top w:w="0" w:type="dxa"/>
                  <w:left w:w="0" w:type="dxa"/>
                  <w:bottom w:w="0" w:type="dxa"/>
                  <w:right w:w="0" w:type="dxa"/>
                </w:tblCellMar>
              </w:tblPrEx>
              <w:trPr>
                <w:trHeight w:val="283" w:hRule="atLeast"/>
                <w:jc w:val="center"/>
              </w:trPr>
              <w:tc>
                <w:tcPr>
                  <w:tcW w:w="9286" w:type="dxa"/>
                  <w:gridSpan w:val="3"/>
                  <w:tcBorders>
                    <w:top w:val="single" w:color="000000" w:sz="2" w:space="0"/>
                    <w:left w:val="single" w:color="000000" w:sz="2" w:space="0"/>
                    <w:bottom w:val="single" w:color="000000" w:sz="2" w:space="0"/>
                    <w:right w:val="single" w:color="000000" w:sz="2" w:space="0"/>
                  </w:tcBorders>
                  <w:vAlign w:val="center"/>
                </w:tcPr>
                <w:p>
                  <w:pPr>
                    <w:pStyle w:val="40"/>
                    <w:bidi w:val="0"/>
                  </w:pPr>
                  <w:r>
                    <w:t>注：相关指南更新时以最新版要求为准。</w:t>
                  </w:r>
                </w:p>
              </w:tc>
            </w:tr>
          </w:tbl>
          <w:p>
            <w:pPr>
              <w:pStyle w:val="5"/>
              <w:bidi w:val="0"/>
              <w:rPr>
                <w:rFonts w:hint="default"/>
              </w:rPr>
            </w:pPr>
          </w:p>
          <w:p>
            <w:pPr>
              <w:pStyle w:val="5"/>
              <w:bidi w:val="0"/>
            </w:pPr>
            <w:r>
              <w:rPr>
                <w:rFonts w:hint="default"/>
              </w:rPr>
              <w:t>项目采取环保措施后，废气、废水、噪声均达标排放，固体废物能够得到合理处置，不产生二次污染。</w:t>
            </w:r>
            <w:r>
              <w:t>本项目属于纸和纸板容器制造，不属于国家产业政策、技术政策和环保法律法规政 策明令禁止的项目，且项目用水和排水量较少。因此，本项目与环境准入负面清单相符合。</w:t>
            </w:r>
          </w:p>
          <w:p>
            <w:pPr>
              <w:pStyle w:val="5"/>
              <w:ind w:left="0" w:leftChars="0" w:firstLine="480" w:firstLineChars="200"/>
            </w:pPr>
            <w:r>
              <w:rPr>
                <w:rFonts w:hint="eastAsia"/>
              </w:rPr>
              <w:t>综上所述，本项目符合“三线一单”的管理要求。</w:t>
            </w:r>
          </w:p>
          <w:p>
            <w:pPr>
              <w:pStyle w:val="5"/>
              <w:rPr>
                <w:lang w:val="zh-CN"/>
              </w:rPr>
            </w:pPr>
            <w:r>
              <w:rPr>
                <w:lang w:val="zh-CN"/>
              </w:rPr>
              <w:t>1</w:t>
            </w:r>
            <w:r>
              <w:rPr>
                <w:rFonts w:hint="eastAsia"/>
                <w:lang w:val="en-US" w:eastAsia="zh-CN"/>
              </w:rPr>
              <w:t>2</w:t>
            </w:r>
            <w:r>
              <w:rPr>
                <w:rFonts w:hint="eastAsia"/>
                <w:lang w:val="zh-CN"/>
              </w:rPr>
              <w:t>、与《安徽省打赢蓝天保卫战三年行动计划实施方案》（皖政〔2018〕83号）的符合性分析</w:t>
            </w:r>
          </w:p>
          <w:p>
            <w:pPr>
              <w:pStyle w:val="29"/>
              <w:spacing w:before="65" w:after="65"/>
              <w:rPr>
                <w:lang w:val="zh-CN"/>
              </w:rPr>
            </w:pPr>
            <w:r>
              <w:rPr>
                <w:rFonts w:hint="eastAsia"/>
              </w:rPr>
              <w:t>表1-9</w:t>
            </w:r>
            <w:r>
              <w:rPr>
                <w:rFonts w:hint="eastAsia"/>
                <w:lang w:val="zh-CN"/>
              </w:rPr>
              <w:t>《安徽省打赢蓝天保卫战三年行动计划实施方案》）的符合性分析</w:t>
            </w:r>
          </w:p>
          <w:tbl>
            <w:tblPr>
              <w:tblStyle w:val="23"/>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2"/>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592"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规范要求</w:t>
                  </w:r>
                </w:p>
              </w:tc>
              <w:tc>
                <w:tcPr>
                  <w:tcW w:w="1447"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jc w:val="center"/>
              </w:trPr>
              <w:tc>
                <w:tcPr>
                  <w:tcW w:w="7592"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完成生态保护红线、环境质量底线、资源利用上线、环境准入清单编制工作，明确禁止和限制发展的行业、生产工艺和产业目录。严格执行国家高耗能、高污染和资源型行业准入条件，环境空气质量未达标城市应制定更严格的产业准入门槛。积极推行区域、规划环境影响评价，新、改、扩建钢铁、石化、化工、焦化、建材、有色等项目的环境影响评价，应满足区域、规划环评要求。〔省环保部门牵头，省发展改革部门、省经济和信息化部门、省国土资源部门参与，各市、县(市、区)人民政府负责落实。以下均需各市、县(市、区)人民政府落实，不再一一列出〕</w:t>
                  </w:r>
                </w:p>
              </w:tc>
              <w:tc>
                <w:tcPr>
                  <w:tcW w:w="1447"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本项目满足“三线一单”相关要求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96" w:hRule="atLeast"/>
                <w:jc w:val="center"/>
              </w:trPr>
              <w:tc>
                <w:tcPr>
                  <w:tcW w:w="7592"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大幅减少主要大气污染物排放总量，协同减少温室气体排放，进一步明显降低细颗粒物(PM2.5)浓度，明显减少重污染天数，明显改善环境空气质量，明显增强人民的蓝天幸福感。</w:t>
                  </w:r>
                </w:p>
              </w:tc>
              <w:tc>
                <w:tcPr>
                  <w:tcW w:w="1447"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本项目根据相关规范建设环保治理措施，确保达标排放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9" w:hRule="atLeast"/>
                <w:jc w:val="center"/>
              </w:trPr>
              <w:tc>
                <w:tcPr>
                  <w:tcW w:w="7592"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严控“两高”行业产能。严格执行国家关于“两高”产业准入目录和产能总量控制政策措施。严禁新增钢铁、焦化、电解铝、铸造、水泥和平板玻璃等产能；严格执行钢铁、水泥、平板玻璃等行业产能置换实施办法；新、改、扩建涉及大宗物料运输的建设项目，原则上不得采用公路运输。</w:t>
                  </w:r>
                </w:p>
              </w:tc>
              <w:tc>
                <w:tcPr>
                  <w:tcW w:w="1447"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本项目不在两高产业范畴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jc w:val="center"/>
              </w:trPr>
              <w:tc>
                <w:tcPr>
                  <w:tcW w:w="7592"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推进重点行业污染治理升级改造。二氧化硫、氮氧化物、颗粒物、挥发性有机物(VOCs)全面执行大气污染物排放限值。推动实施钢铁等行业超低排放改造，城市建成区内焦炉实施炉体加罩封闭，并对废气进行收集处理。强化工业企业无组织排放管控。开展钢铁、建材、有色、火电、焦化、铸造等重点行业及燃煤锅炉无组织排放排查，建立管理台账，对物料(含废渣)运输、装卸、储存、转移和工艺过程等无组织排放实施深度治理，2019年底前完成治理任务。·</w:t>
                  </w:r>
                </w:p>
              </w:tc>
              <w:tc>
                <w:tcPr>
                  <w:tcW w:w="1447"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本项目排放的</w:t>
                  </w:r>
                  <w:r>
                    <w:rPr>
                      <w:rFonts w:hint="eastAsia"/>
                      <w:lang w:val="en-US" w:eastAsia="zh-CN"/>
                    </w:rPr>
                    <w:t>VOCs</w:t>
                  </w:r>
                  <w:r>
                    <w:rPr>
                      <w:rFonts w:hint="eastAsia"/>
                    </w:rPr>
                    <w:t>可以满足挥发性有机物排放限值。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7592"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推进各类园区循环化改造、规范发展和提质增效。大力推进企业清洁生产。对各类开发区、工业园区、高新区等进行集中整治，限期进行达标改造，减少工业集聚区污染。完善园区集中供热设施，积极推广集中供热，2020年底前基本完成。有条件的工业集聚区建设集中喷涂工程中心，配备高效治污设施，替代企业独立喷涂工序。</w:t>
                  </w:r>
                </w:p>
              </w:tc>
              <w:tc>
                <w:tcPr>
                  <w:tcW w:w="1447"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本项目位于淮南经济技术开发区，采取清洁生产工艺</w:t>
                  </w:r>
                </w:p>
              </w:tc>
            </w:tr>
          </w:tbl>
          <w:p>
            <w:pPr>
              <w:pStyle w:val="5"/>
            </w:pPr>
            <w:r>
              <w:rPr>
                <w:rFonts w:hint="eastAsia"/>
              </w:rPr>
              <w:t>1</w:t>
            </w:r>
            <w:r>
              <w:rPr>
                <w:rFonts w:hint="eastAsia"/>
                <w:lang w:val="en-US" w:eastAsia="zh-CN"/>
              </w:rPr>
              <w:t>3</w:t>
            </w:r>
            <w:r>
              <w:rPr>
                <w:rFonts w:hint="eastAsia"/>
              </w:rPr>
              <w:t>、</w:t>
            </w:r>
            <w:r>
              <w:t>与《长三角地区2019-2020年秋冬季大气污染综合治理攻坚行动方案》相符性分析</w:t>
            </w:r>
          </w:p>
          <w:p>
            <w:pPr>
              <w:pStyle w:val="5"/>
              <w:rPr>
                <w:rFonts w:hint="eastAsia"/>
              </w:rPr>
            </w:pPr>
            <w:r>
              <w:t>该方案第21条：实施VOCs综合治理专项行动。安徽省重点推进石化、化工、塑料、工业涂装、包装印刷、餐饮等行业VOCs综合治理。禁止新（改、扩）建</w:t>
            </w:r>
            <w:r>
              <w:rPr>
                <w:rFonts w:hint="eastAsia"/>
                <w:lang w:val="en-US" w:eastAsia="zh-CN"/>
              </w:rPr>
              <w:t>设</w:t>
            </w:r>
            <w:r>
              <w:t>高 VOCs 含量溶剂型涂料、油墨、胶粘剂等生产和使用的项目。</w:t>
            </w:r>
            <w:r>
              <w:rPr>
                <w:rFonts w:hint="eastAsia"/>
              </w:rPr>
              <w:t>强化VOCs无组织排放管控。加强工艺过程无组织排放控制。</w:t>
            </w:r>
          </w:p>
          <w:p>
            <w:pPr>
              <w:pStyle w:val="5"/>
            </w:pPr>
            <w:r>
              <w:t>《长三角地区20</w:t>
            </w:r>
            <w:r>
              <w:rPr>
                <w:rFonts w:hint="eastAsia"/>
                <w:lang w:val="en-US" w:eastAsia="zh-CN"/>
              </w:rPr>
              <w:t>20</w:t>
            </w:r>
            <w:r>
              <w:t>-202</w:t>
            </w:r>
            <w:r>
              <w:rPr>
                <w:rFonts w:hint="eastAsia"/>
                <w:lang w:val="en-US" w:eastAsia="zh-CN"/>
              </w:rPr>
              <w:t>1</w:t>
            </w:r>
            <w:r>
              <w:t>年秋冬季大气污染综合治理攻坚行动方案》相符性分析</w:t>
            </w:r>
          </w:p>
          <w:p>
            <w:pPr>
              <w:pStyle w:val="5"/>
              <w:bidi w:val="0"/>
              <w:rPr>
                <w:rFonts w:hint="eastAsia"/>
              </w:rPr>
            </w:pPr>
            <w:r>
              <w:rPr>
                <w:rFonts w:hint="eastAsia"/>
              </w:rPr>
              <w:t>《长三角地区2020-2021年秋冬季大气污染综合治理攻坚行动方案》第七条：持续推进挥发性有机物（VOCs）治理攻坚。落实《2020年挥发性有机物治理攻坚方案》，持续推进VOCs治理攻坚各项任务措施；组织完成石化、化工、工业涂装、包装印刷等企业废气排放系统旁路摸底排查；有机化学品等挥发性有机液体储罐排查；督促企业取消非必要的旁路。</w:t>
            </w:r>
          </w:p>
          <w:p>
            <w:pPr>
              <w:pStyle w:val="5"/>
              <w:bidi w:val="0"/>
              <w:rPr>
                <w:rFonts w:hint="eastAsia"/>
              </w:rPr>
            </w:pPr>
            <w:r>
              <w:rPr>
                <w:rFonts w:hint="eastAsia"/>
              </w:rPr>
              <w:t>本项目已落实《2020年挥发性有机物治理攻坚方案》，有机废气产生处进行</w:t>
            </w:r>
            <w:r>
              <w:rPr>
                <w:rFonts w:hint="eastAsia"/>
                <w:lang w:val="en-US" w:eastAsia="zh-CN"/>
              </w:rPr>
              <w:t>高效率集气罩各自</w:t>
            </w:r>
            <w:r>
              <w:rPr>
                <w:rFonts w:hint="eastAsia"/>
              </w:rPr>
              <w:t>收集，收集后通过</w:t>
            </w:r>
            <w:r>
              <w:rPr>
                <w:rFonts w:hint="eastAsia"/>
                <w:lang w:val="en-US" w:eastAsia="zh-CN"/>
              </w:rPr>
              <w:t>UV光氧催化+</w:t>
            </w:r>
            <w:r>
              <w:rPr>
                <w:rFonts w:hint="eastAsia"/>
              </w:rPr>
              <w:t>多级活性炭吸附</w:t>
            </w:r>
            <w:r>
              <w:rPr>
                <w:rFonts w:hint="eastAsia"/>
                <w:lang w:val="en-US" w:eastAsia="zh-CN"/>
              </w:rPr>
              <w:t>后通过一根15米高的排气筒</w:t>
            </w:r>
            <w:r>
              <w:rPr>
                <w:rFonts w:hint="eastAsia"/>
              </w:rPr>
              <w:t>达标排放，无未经治理的废气旁路管线。</w:t>
            </w:r>
          </w:p>
          <w:p>
            <w:pPr>
              <w:pStyle w:val="5"/>
            </w:pPr>
            <w:r>
              <w:t>本项目</w:t>
            </w:r>
            <w:r>
              <w:rPr>
                <w:rFonts w:hint="eastAsia"/>
              </w:rPr>
              <w:t>生产水性油墨年用量6t,其中挥发份挥发产生VOCs废气，根据建设单位提供的水性油墨MSDS，本项目使用的水性油墨中的挥发份为单乙醇胺，最大含量为1.5%，属于低</w:t>
            </w:r>
            <w:r>
              <w:t xml:space="preserve"> VOCs 含量</w:t>
            </w:r>
            <w:r>
              <w:rPr>
                <w:rFonts w:hint="eastAsia"/>
              </w:rPr>
              <w:t>油墨。本项目</w:t>
            </w:r>
            <w:r>
              <w:rPr>
                <w:rFonts w:hint="eastAsia"/>
                <w:lang w:val="en-US" w:eastAsia="zh-CN"/>
              </w:rPr>
              <w:t>胶水</w:t>
            </w:r>
            <w:r>
              <w:rPr>
                <w:rFonts w:hint="eastAsia"/>
              </w:rPr>
              <w:t>年用量</w:t>
            </w:r>
            <w:r>
              <w:rPr>
                <w:rFonts w:hint="eastAsia"/>
                <w:lang w:val="en-US" w:eastAsia="zh-CN"/>
              </w:rPr>
              <w:t>0.8</w:t>
            </w:r>
            <w:r>
              <w:rPr>
                <w:rFonts w:hint="eastAsia"/>
              </w:rPr>
              <w:t>t，其中挥发份挥发产生VOCS废气，挥发份最大含量为</w:t>
            </w:r>
            <w:r>
              <w:rPr>
                <w:rFonts w:hint="eastAsia"/>
                <w:lang w:val="en-US" w:eastAsia="zh-CN"/>
              </w:rPr>
              <w:t>25</w:t>
            </w:r>
            <w:r>
              <w:rPr>
                <w:rFonts w:hint="eastAsia"/>
              </w:rPr>
              <w:t>%，属于低VOCs含量产品。过程控制、工艺环节、生产单元均采用全密闭生产空间或 生产线；VOCs 物料的配料、投加、反应、混合分散、调色、兑稀等过程应采用密闭设备或在密闭空间内操作，安装废气收集设施并导入废气收集处理设施。项目</w:t>
            </w:r>
            <w:r>
              <w:t>符合行动方案要求。</w:t>
            </w:r>
          </w:p>
          <w:p>
            <w:pPr>
              <w:pStyle w:val="5"/>
              <w:numPr>
                <w:ilvl w:val="0"/>
                <w:numId w:val="0"/>
              </w:numPr>
              <w:ind w:firstLine="480" w:firstLineChars="200"/>
            </w:pPr>
            <w:r>
              <w:rPr>
                <w:rFonts w:hint="eastAsia"/>
                <w:lang w:val="en-US" w:eastAsia="zh-CN"/>
              </w:rPr>
              <w:t>14、</w:t>
            </w:r>
            <w:r>
              <w:rPr>
                <w:rFonts w:hint="eastAsia"/>
              </w:rPr>
              <w:t>与《“十三五”挥发性有机物污染防治工作方案》相符性分析</w:t>
            </w:r>
          </w:p>
          <w:p>
            <w:pPr>
              <w:pStyle w:val="5"/>
            </w:pPr>
            <w:r>
              <w:rPr>
                <w:rFonts w:hint="eastAsia"/>
              </w:rPr>
              <w:t>加快推进化工行业VOCs综合治理。加大制药、农药、煤化工（含现代煤化工、炼焦、合成氨等）、橡胶制品、涂料、油墨、胶粘剂、染料、化学助剂（塑料助剂和橡胶助剂）、日用化工等化工行业VOCs治理力度。本项目使用水性原辅料油墨，属于低VOCs 含量的原辅材料，加强无组织废气排放控制，含VOCs 物料的储存、输送、投料、卸料，涉及 VOCs 物料的生产及含 VOCs 产品分装等过程是密闭操作。处理方式采用UV光解+两级活性炭吸附装置的多级组合处理方式，符合该方案中相关要求。</w:t>
            </w:r>
          </w:p>
          <w:p>
            <w:pPr>
              <w:pStyle w:val="5"/>
            </w:pPr>
            <w:r>
              <w:rPr>
                <w:rFonts w:hint="eastAsia"/>
              </w:rPr>
              <w:t>1</w:t>
            </w:r>
            <w:r>
              <w:rPr>
                <w:rFonts w:hint="eastAsia"/>
                <w:lang w:val="en-US" w:eastAsia="zh-CN"/>
              </w:rPr>
              <w:t>5</w:t>
            </w:r>
            <w:r>
              <w:rPr>
                <w:rFonts w:hint="eastAsia"/>
              </w:rPr>
              <w:t>、</w:t>
            </w:r>
            <w:r>
              <w:t>与《重点行业挥发性有机物综合治理方案》（环大气[2019]53号）符合性分析</w:t>
            </w:r>
          </w:p>
          <w:p>
            <w:pPr>
              <w:pStyle w:val="5"/>
            </w:pPr>
            <w:r>
              <w:t>2019年6月26日生态环境部发布《重点行业挥发性有机物综合治理方案》，与本项目相关的主要内容如下：</w:t>
            </w:r>
          </w:p>
          <w:p>
            <w:pPr>
              <w:pStyle w:val="5"/>
            </w:pPr>
            <w:r>
              <w:t>加快生产设备密闭化改造。对进出料、物料输送、搅拌、固液分离、干燥、灌装等过程，采取密闭化措施，提升工艺装备水平。加快淘汰敞口式、明流式设施。重点区域含VOCs物料输送原则上采用重力流或泵送方式，逐步淘汰真空方式；有机液体进料鼓励采用底部、浸入管给料方式，淘汰喷溅式给料；固体物料投加逐步推进采用密闭式投料装置。</w:t>
            </w:r>
          </w:p>
          <w:p>
            <w:pPr>
              <w:pStyle w:val="5"/>
            </w:pPr>
            <w:r>
              <w:t>本项目</w:t>
            </w:r>
            <w:r>
              <w:rPr>
                <w:rFonts w:hint="eastAsia"/>
              </w:rPr>
              <w:t>采用密闭化配料和投料系统，工艺环节、生产单元均采用全密闭生产空间或生产线；VOCs 物料的配料、投加、反应、混合、调色、兑稀、等过程应采用密闭设备或在密闭空间内操作，安装</w:t>
            </w:r>
            <w:r>
              <w:t>集气系统统一收集后处理，处理方式采用UV光解+活性炭吸附装置的多级组合处理方式</w:t>
            </w:r>
            <w:r>
              <w:rPr>
                <w:rFonts w:hint="eastAsia"/>
              </w:rPr>
              <w:t>。项目</w:t>
            </w:r>
            <w:r>
              <w:t>符合《重点行业挥发性有机物综合治理方案》的相关规定。</w:t>
            </w:r>
          </w:p>
          <w:p>
            <w:pPr>
              <w:pStyle w:val="5"/>
            </w:pPr>
            <w:r>
              <w:rPr>
                <w:rFonts w:hint="eastAsia"/>
              </w:rPr>
              <w:t>1</w:t>
            </w:r>
            <w:r>
              <w:rPr>
                <w:rFonts w:hint="eastAsia"/>
                <w:lang w:val="en-US" w:eastAsia="zh-CN"/>
              </w:rPr>
              <w:t>6</w:t>
            </w:r>
            <w:r>
              <w:rPr>
                <w:rFonts w:hint="eastAsia"/>
              </w:rPr>
              <w:t>、与《2020年挥发性有机物治理攻坚方案》相符性分析</w:t>
            </w:r>
          </w:p>
          <w:p>
            <w:pPr>
              <w:pStyle w:val="5"/>
            </w:pPr>
            <w:r>
              <w:rPr>
                <w:rFonts w:hint="eastAsia"/>
              </w:rPr>
              <w:t>2020年6月23日日生态环境部发布《2020年挥发性有机物治理攻坚方案》，与本项目相关的主要内容如下：</w:t>
            </w:r>
          </w:p>
          <w:p>
            <w:pPr>
              <w:pStyle w:val="5"/>
            </w:pPr>
            <w:r>
              <w:rPr>
                <w:rFonts w:hint="eastAsia"/>
              </w:rPr>
              <w:t>大力推进源头替代，有效减少VOCs产生；全面落实标准要求，强化无组织排放控制；聚焦治污设施“三率”，提升综合治理效率。</w:t>
            </w:r>
          </w:p>
          <w:p>
            <w:pPr>
              <w:pStyle w:val="5"/>
            </w:pPr>
            <w:r>
              <w:rPr>
                <w:rFonts w:hint="eastAsia"/>
              </w:rPr>
              <w:t>本项目使用水性原辅料属于低VOCs 含量的原辅材料；运营时强化无组织排放控制，含VOCs物料全方位、全链条、全环节密闭管理。储存环节采用密闭容器、包装桶，装卸、转移和输送环节采用密闭容器。生产和使用环节应在密闭空间中操作并收集废气；处置环节应将盛装过VOCs物料的包装容器、废吸附剂等通过加盖、封装等方式密闭；有机废气经UV光解+活性炭吸附双重处理，治理效率大于90%。项目符合方案要求。</w:t>
            </w:r>
          </w:p>
          <w:p>
            <w:pPr>
              <w:pStyle w:val="5"/>
            </w:pPr>
            <w:r>
              <w:rPr>
                <w:rFonts w:hint="eastAsia"/>
              </w:rPr>
              <w:t>1</w:t>
            </w:r>
            <w:r>
              <w:rPr>
                <w:rFonts w:hint="eastAsia"/>
                <w:lang w:val="en-US" w:eastAsia="zh-CN"/>
              </w:rPr>
              <w:t>7</w:t>
            </w:r>
            <w:r>
              <w:rPr>
                <w:rFonts w:hint="eastAsia"/>
              </w:rPr>
              <w:t xml:space="preserve">、与本项目有关的原有污染情况及主要环境问题 </w:t>
            </w:r>
          </w:p>
          <w:p>
            <w:pPr>
              <w:pStyle w:val="5"/>
              <w:rPr>
                <w:rFonts w:hint="eastAsia"/>
              </w:rPr>
            </w:pPr>
            <w:r>
              <w:rPr>
                <w:rFonts w:hint="eastAsia"/>
              </w:rPr>
              <w:t>本项目为新建项目，租用淮南市金安包装有限公司院内3号车间1324.36平方米进行建设，该空置厂房未进行生产，故无原有环境污染问题。</w:t>
            </w:r>
          </w:p>
          <w:p>
            <w:pPr>
              <w:rPr>
                <w:rFonts w:hint="eastAsia"/>
              </w:rPr>
            </w:pPr>
          </w:p>
          <w:p>
            <w:pPr>
              <w:pStyle w:val="18"/>
              <w:rPr>
                <w:rFonts w:hint="eastAsia"/>
              </w:rPr>
            </w:pPr>
          </w:p>
          <w:p>
            <w:pPr>
              <w:pStyle w:val="19"/>
              <w:rPr>
                <w:rFonts w:hint="eastAsia"/>
              </w:rPr>
            </w:pPr>
          </w:p>
          <w:p>
            <w:pPr>
              <w:pStyle w:val="19"/>
              <w:rPr>
                <w:rFonts w:hint="eastAsia"/>
              </w:rPr>
            </w:pPr>
          </w:p>
          <w:p>
            <w:pPr>
              <w:pStyle w:val="19"/>
              <w:rPr>
                <w:rFonts w:hint="eastAsia"/>
              </w:rPr>
            </w:pPr>
          </w:p>
          <w:p>
            <w:pPr>
              <w:pStyle w:val="19"/>
              <w:ind w:left="0" w:leftChars="0" w:firstLine="0" w:firstLineChars="0"/>
              <w:rPr>
                <w:rFonts w:hint="eastAsia"/>
              </w:rPr>
            </w:pPr>
          </w:p>
        </w:tc>
      </w:tr>
      <w:bookmarkEnd w:id="0"/>
      <w:bookmarkEnd w:id="1"/>
    </w:tbl>
    <w:p>
      <w:pPr>
        <w:pStyle w:val="3"/>
      </w:pPr>
      <w:r>
        <w:rPr>
          <w:rFonts w:hint="eastAsia"/>
        </w:rPr>
        <w:br w:type="page"/>
      </w:r>
      <w:r>
        <w:rPr>
          <w:rFonts w:hint="eastAsia"/>
        </w:rPr>
        <w:t>二、</w:t>
      </w:r>
      <w:r>
        <w:t>建设项目所在地自然环境社会环境简况</w:t>
      </w:r>
    </w:p>
    <w:tbl>
      <w:tblPr>
        <w:tblStyle w:val="23"/>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50" w:type="dxa"/>
            <w:noWrap/>
          </w:tcPr>
          <w:p>
            <w:pPr>
              <w:pStyle w:val="4"/>
            </w:pPr>
            <w:r>
              <w:rPr>
                <w:rFonts w:hint="eastAsia"/>
              </w:rPr>
              <w:t>自然环境简况</w:t>
            </w:r>
            <w:r>
              <w:rPr>
                <w:rFonts w:hint="eastAsia"/>
                <w:highlight w:val="none"/>
              </w:rPr>
              <w:t>(</w:t>
            </w:r>
            <w:r>
              <w:rPr>
                <w:rFonts w:hint="eastAsia"/>
              </w:rPr>
              <w:t>地形、地貌、地质、气候、气象、水文、植被、生物多样性等</w:t>
            </w:r>
            <w:r>
              <w:rPr>
                <w:rFonts w:hint="eastAsia"/>
                <w:highlight w:val="none"/>
              </w:rPr>
              <w:t>)</w:t>
            </w:r>
            <w:r>
              <w:rPr>
                <w:rFonts w:hint="eastAsia"/>
              </w:rPr>
              <w:t>：</w:t>
            </w:r>
          </w:p>
          <w:p>
            <w:pPr>
              <w:pStyle w:val="5"/>
            </w:pPr>
            <w:r>
              <w:rPr>
                <w:rFonts w:hint="eastAsia"/>
              </w:rPr>
              <w:t>1、地理</w:t>
            </w:r>
          </w:p>
          <w:p>
            <w:pPr>
              <w:pStyle w:val="5"/>
            </w:pPr>
            <w:r>
              <w:t>淮南市位于安徽省中北部，淮河中游，跨淮河两岸，东经 116°21′21″～117°11′59″，北纬 32°22′30″～33°00′24″；海拔 16.5～241m，自西北向东南，坡降 1/10000；地处安徽省中北部，东与滁州市毗邻，南与合肥市接壤，西南与六安市隔水相望，西与阜阳市相接，北与亳州市交界，东北与蚌埠市交界。最东端位于孔店乡东河村以东的大通、定远、长丰三县区交汇点，处于老外河河面中心线上，最西端位于凤台县尚塘乡侯海孜以西与利辛县接壤处，最南端位于孙庙乡庙塘村以南瓦埠湖水面，最北端位于的凤台县与蒙城县、利辛县交会的茨淮新河主航道中心线上。 辖区东西最长距离103千米，南北最长距离87千米，总面积2585平方千米。</w:t>
            </w:r>
          </w:p>
          <w:p>
            <w:pPr>
              <w:pStyle w:val="5"/>
            </w:pPr>
            <w:bookmarkStart w:id="5" w:name="3-2"/>
            <w:bookmarkEnd w:id="5"/>
            <w:bookmarkStart w:id="6" w:name="3_2"/>
            <w:bookmarkEnd w:id="6"/>
            <w:bookmarkStart w:id="7" w:name="sub332083_3_2"/>
            <w:bookmarkEnd w:id="7"/>
            <w:bookmarkStart w:id="8" w:name="地形地貌"/>
            <w:bookmarkEnd w:id="8"/>
            <w:r>
              <w:rPr>
                <w:rFonts w:hint="eastAsia"/>
              </w:rPr>
              <w:t>2、地形地貌</w:t>
            </w:r>
          </w:p>
          <w:p>
            <w:pPr>
              <w:pStyle w:val="5"/>
            </w:pPr>
            <w:r>
              <w:t>淮南市境在构造单元上属于中朝准地台淮河台坳淮南陷褶断带（即华北地台豫淮褶皱带）东部的淮南复向斜。东界为郯庐断裂，西临周口</w:t>
            </w:r>
            <w:r>
              <w:rPr>
                <w:highlight w:val="none"/>
              </w:rPr>
              <w:t>坳陷</w:t>
            </w:r>
            <w:r>
              <w:t>，北接蚌埠隆起，南邻合肥</w:t>
            </w:r>
            <w:r>
              <w:rPr>
                <w:highlight w:val="none"/>
              </w:rPr>
              <w:t>坳陷</w:t>
            </w:r>
            <w:r>
              <w:t>，南北为洞山断裂和刘府断裂夹持。区内构造以北西西向构造占主导地位，受后期强烈改造，但总体形态变化不大，复式向斜内次一级褶皱及断裂发育。地质演化历史可分为前震旦纪、震旦纪—三叠纪、侏罗纪—第四纪3个阶段，前震旦纪，淮南地壳处于活动阶段；震旦纪—三叠纪属于剧烈运动时期，先后经历了蚌埠、凤阳、皖南、加里东、华西力、印支等运动。其间地壳几度隆起沉降，形成了海陆交互相地层。特别是晚石炭纪和二叠纪时期海陆交互相的沉积环境，为煤炭资源的生成提供了良好条件，从而形成了境内大量的煤炭资源。侏罗纪—第四纪，经过燕山运动和喜马拉雅运动，逐渐塑造出了今天的地貌特征。</w:t>
            </w:r>
          </w:p>
          <w:p>
            <w:pPr>
              <w:pStyle w:val="5"/>
            </w:pPr>
            <w:r>
              <w:t>淮南市境以淮河为界形成两种不同的地貌类型，淮河以南为丘陵，属于江淮丘陵的一部分；淮河以北为地势平坦的淮北平原，淮河南岸由东至西隆起不连续的低山丘陵，环山为一斜坡地带，宽约500米～1500米，坡度10°左右，海拔40米～75米；斜坡地带以下交错衔接洪冲积二级阶地，宽500米～2500米，海拔30米～40米，坡度2°左右；舜耕山以北二级阶地以下是淮河冲积一级阶地，宽2500米～3000米，海拔25米以下，坡度平缓；一级阶地以下是淮河高位漫滩，宽2000米～3000米，海拔17米～20米，漫滩以下是淮河滨河浅滩。舜耕山以南斜坡以下,东为高塘湖一、二级洪冲积阶地,西为瓦埠湖一、二级洪冲积阶地；中为丘陵岗地。淮河以北平原地区为河间浅洼平原，地势呈西北东南向倾斜，海拔20米～24米，对高差4米～5米。</w:t>
            </w:r>
          </w:p>
          <w:p>
            <w:pPr>
              <w:pStyle w:val="5"/>
            </w:pPr>
            <w:r>
              <w:rPr>
                <w:rFonts w:hint="eastAsia"/>
              </w:rPr>
              <w:t>3、水文状况</w:t>
            </w:r>
          </w:p>
          <w:p>
            <w:pPr>
              <w:pStyle w:val="5"/>
            </w:pPr>
            <w:r>
              <w:rPr>
                <w:rFonts w:hint="eastAsia"/>
              </w:rPr>
              <w:t>（1）地表水</w:t>
            </w:r>
          </w:p>
          <w:p>
            <w:pPr>
              <w:pStyle w:val="5"/>
            </w:pPr>
            <w:r>
              <w:t>地表水</w:t>
            </w:r>
            <w:r>
              <w:rPr>
                <w:rFonts w:hint="eastAsia"/>
              </w:rPr>
              <w:t>淮</w:t>
            </w:r>
            <w:r>
              <w:t>南市主要地表水系是淮河。淮河发源于河南省桐柏山，流经河南、安徽、江苏、山东四省，是我国五大水系之一，也是全市工农业生产与人民生活的主要水源。淮河在淮南境内长76.13km，河道宽一般400m左右，枯水期河道宽250~300m，丰水期河道宽400~800m，净水域面积21.5</w:t>
            </w:r>
            <w:r>
              <w:rPr>
                <w:highlight w:val="none"/>
              </w:rPr>
              <w:t>km</w:t>
            </w:r>
            <w:r>
              <w:rPr>
                <w:highlight w:val="none"/>
                <w:vertAlign w:val="superscript"/>
              </w:rPr>
              <w:t>2</w:t>
            </w:r>
            <w:r>
              <w:t>；年平均流量813</w:t>
            </w:r>
            <w:r>
              <w:rPr>
                <w:highlight w:val="none"/>
              </w:rPr>
              <w:t>m</w:t>
            </w:r>
            <w:r>
              <w:rPr>
                <w:highlight w:val="none"/>
                <w:vertAlign w:val="superscript"/>
              </w:rPr>
              <w:t>3</w:t>
            </w:r>
            <w:r>
              <w:t>/s，最大流量12700</w:t>
            </w:r>
            <w:r>
              <w:rPr>
                <w:highlight w:val="none"/>
              </w:rPr>
              <w:t>m</w:t>
            </w:r>
            <w:r>
              <w:rPr>
                <w:highlight w:val="none"/>
                <w:vertAlign w:val="superscript"/>
              </w:rPr>
              <w:t>3</w:t>
            </w:r>
            <w:r>
              <w:t>/s（1954年7月25日），最小流量0.5m</w:t>
            </w:r>
            <w:r>
              <w:rPr>
                <w:vertAlign w:val="superscript"/>
              </w:rPr>
              <w:t>3</w:t>
            </w:r>
            <w:r>
              <w:t>/s（1978年）；90%保证率，多年最枯月平均流量20</w:t>
            </w:r>
            <w:r>
              <w:rPr>
                <w:highlight w:val="none"/>
              </w:rPr>
              <w:t>m</w:t>
            </w:r>
            <w:r>
              <w:rPr>
                <w:highlight w:val="none"/>
                <w:vertAlign w:val="superscript"/>
              </w:rPr>
              <w:t>3</w:t>
            </w:r>
            <w:r>
              <w:t>/s；年平均含砂量0.581kg/</w:t>
            </w:r>
            <w:r>
              <w:rPr>
                <w:highlight w:val="none"/>
              </w:rPr>
              <w:t>m</w:t>
            </w:r>
            <w:r>
              <w:rPr>
                <w:highlight w:val="none"/>
                <w:vertAlign w:val="superscript"/>
              </w:rPr>
              <w:t>3</w:t>
            </w:r>
            <w:r>
              <w:t>，最大含砂量17.2kg/</w:t>
            </w:r>
            <w:r>
              <w:rPr>
                <w:highlight w:val="none"/>
              </w:rPr>
              <w:t>m</w:t>
            </w:r>
            <w:r>
              <w:rPr>
                <w:highlight w:val="none"/>
                <w:vertAlign w:val="superscript"/>
              </w:rPr>
              <w:t>3</w:t>
            </w:r>
            <w:r>
              <w:t>，最小含砂量0.002kg/</w:t>
            </w:r>
            <w:r>
              <w:rPr>
                <w:highlight w:val="none"/>
              </w:rPr>
              <w:t>m</w:t>
            </w:r>
            <w:r>
              <w:rPr>
                <w:highlight w:val="none"/>
                <w:vertAlign w:val="superscript"/>
              </w:rPr>
              <w:t>3</w:t>
            </w:r>
            <w:r>
              <w:t>。</w:t>
            </w:r>
          </w:p>
          <w:p>
            <w:pPr>
              <w:pStyle w:val="5"/>
            </w:pPr>
            <w:r>
              <w:rPr>
                <w:rFonts w:hint="eastAsia"/>
              </w:rPr>
              <w:t>（2）地下水</w:t>
            </w:r>
          </w:p>
          <w:p>
            <w:pPr>
              <w:pStyle w:val="5"/>
            </w:pPr>
            <w:r>
              <w:rPr>
                <w:rFonts w:hint="eastAsia"/>
              </w:rPr>
              <w:t>淮河南部市区，下部为胶结状碎石岩，一般富水性差，上部与山前斜坡地冲洪积物相衔接，多为亚</w:t>
            </w:r>
            <w:r>
              <w:rPr>
                <w:rFonts w:hint="eastAsia"/>
                <w:highlight w:val="none"/>
              </w:rPr>
              <w:t>粘土</w:t>
            </w:r>
            <w:r>
              <w:rPr>
                <w:rFonts w:hint="eastAsia"/>
              </w:rPr>
              <w:t>和亚</w:t>
            </w:r>
            <w:r>
              <w:rPr>
                <w:rFonts w:hint="eastAsia"/>
                <w:highlight w:val="none"/>
              </w:rPr>
              <w:t>砂土</w:t>
            </w:r>
            <w:r>
              <w:rPr>
                <w:rFonts w:hint="eastAsia"/>
              </w:rPr>
              <w:t>地层，含水层多为孔隙潜水和承压水，厚度30m，有三级含水层，地下水流基本与地形倾斜一致，由西北流向东南。根据淮南市浅层地下水资源量估算，市区范围内地下水储量，95%保证率下可供水6.78</w:t>
            </w:r>
            <w:r>
              <w:rPr>
                <w:rFonts w:hint="eastAsia"/>
                <w:highlight w:val="none"/>
              </w:rPr>
              <w:t>m</w:t>
            </w:r>
            <w:r>
              <w:rPr>
                <w:rFonts w:hint="eastAsia"/>
                <w:highlight w:val="none"/>
                <w:vertAlign w:val="superscript"/>
              </w:rPr>
              <w:t>3</w:t>
            </w:r>
            <w:r>
              <w:rPr>
                <w:rFonts w:hint="eastAsia"/>
              </w:rPr>
              <w:t>/s。</w:t>
            </w:r>
          </w:p>
          <w:p>
            <w:pPr>
              <w:pStyle w:val="5"/>
            </w:pPr>
            <w:r>
              <w:rPr>
                <w:rFonts w:hint="eastAsia"/>
              </w:rPr>
              <w:t>4、气象资料</w:t>
            </w:r>
          </w:p>
          <w:p>
            <w:pPr>
              <w:pStyle w:val="5"/>
            </w:pPr>
            <w:r>
              <w:rPr>
                <w:rFonts w:hint="eastAsia"/>
              </w:rPr>
              <w:t>淮南属暖温带半湿润大陆性季风气候区。基本特征：春暖、夏热、秋凉、冬冷，四季分明，阳光充足，气候温和，雨量适中，季风显著，无霜期长。多年平均气温16.6℃，最低月均气温（1月）1.2℃，最高月均气温（7月）28.4℃，历年极端最高气温41.2℃，历年极端最低气温-22.2℃。</w:t>
            </w:r>
            <w:r>
              <w:rPr>
                <w:rFonts w:hint="eastAsia"/>
                <w:highlight w:val="none"/>
              </w:rPr>
              <w:t>年平均降水量</w:t>
            </w:r>
            <w:r>
              <w:rPr>
                <w:rFonts w:hint="eastAsia"/>
              </w:rPr>
              <w:t>871.3</w:t>
            </w:r>
            <w:r>
              <w:rPr>
                <w:rFonts w:hint="eastAsia"/>
                <w:highlight w:val="none"/>
              </w:rPr>
              <w:t>mm</w:t>
            </w:r>
            <w:r>
              <w:rPr>
                <w:rFonts w:hint="eastAsia"/>
              </w:rPr>
              <w:t>，最大年降水量（1954年）1428</w:t>
            </w:r>
            <w:r>
              <w:rPr>
                <w:rFonts w:hint="eastAsia"/>
                <w:highlight w:val="none"/>
              </w:rPr>
              <w:t>mm</w:t>
            </w:r>
            <w:r>
              <w:rPr>
                <w:rFonts w:hint="eastAsia"/>
              </w:rPr>
              <w:t>，最小年降水量（1956年）471.9</w:t>
            </w:r>
            <w:r>
              <w:rPr>
                <w:rFonts w:hint="eastAsia"/>
                <w:highlight w:val="none"/>
              </w:rPr>
              <w:t>mm</w:t>
            </w:r>
            <w:r>
              <w:rPr>
                <w:rFonts w:hint="eastAsia"/>
              </w:rPr>
              <w:t>，最大日降水量145</w:t>
            </w:r>
            <w:r>
              <w:rPr>
                <w:rFonts w:hint="eastAsia"/>
                <w:highlight w:val="none"/>
              </w:rPr>
              <w:t>mm</w:t>
            </w:r>
            <w:r>
              <w:rPr>
                <w:rFonts w:hint="eastAsia"/>
              </w:rPr>
              <w:t>。全年日照时数2092.4h，其中植物生长期日照1513.19h；全年霜期32日，初霜出现在11月26日；全年雾日11日。全年主导风向为东风，夏季东南东风为主导风向，冬季东北东和东南东风为主导风向，年平均风速2.1m/s。</w:t>
            </w:r>
          </w:p>
          <w:p>
            <w:pPr>
              <w:pStyle w:val="5"/>
            </w:pPr>
            <w:r>
              <w:rPr>
                <w:rFonts w:hint="eastAsia"/>
              </w:rPr>
              <w:t>5、土壤</w:t>
            </w:r>
          </w:p>
          <w:p>
            <w:pPr>
              <w:pStyle w:val="5"/>
            </w:pPr>
            <w:r>
              <w:rPr>
                <w:rFonts w:hint="eastAsia"/>
              </w:rPr>
              <w:t>淮南地区的土壤主要为黄棕壤和水稻土，黄棕壤为晚更新黄土状沉积物上发育的马肝土属，水稻土为发育在马肝土母质上的潴育性马肝田土属。马肝土质比较适中，土层深厚，肥力较高，耕性良好，是本区的主要旱作土壤，易种植蔬菜等旱作物；马肝田系由马肝土上长期种植水稻发育而成，为良土性水稻土，潴育层较厚，剖面发育良好，可作为麦、稻、油菜耕作土壤。</w:t>
            </w:r>
          </w:p>
          <w:p>
            <w:pPr>
              <w:pStyle w:val="5"/>
            </w:pPr>
            <w:r>
              <w:rPr>
                <w:rFonts w:hint="eastAsia"/>
              </w:rPr>
              <w:t>6、生物多样性</w:t>
            </w:r>
          </w:p>
          <w:p>
            <w:pPr>
              <w:pStyle w:val="5"/>
            </w:pPr>
            <w:r>
              <w:rPr>
                <w:rFonts w:hint="eastAsia"/>
              </w:rPr>
              <w:t>淮南建成区域植被主要是城市园林人工树种，林木植被10余种，主要以蜀桧、广玉兰、龙柏、黄杨球为主，兼有阔叶树种—杨柳、槐、榆、桑、桐等，针叶树种有松、柏等。淮南的建成区以外大都是农作物种植区，原始植被经过人为垦殖，现存较少。乡村现存植被，大多是经过人类耕作熟化而形成的农田生态系统。淮南人工种植草本植物，以种植业的粮食与油料作物、蔬菜、瓜果、棉花与麻类</w:t>
            </w:r>
            <w:r>
              <w:rPr>
                <w:rFonts w:hint="eastAsia"/>
                <w:highlight w:val="none"/>
              </w:rPr>
              <w:t>等其它</w:t>
            </w:r>
            <w:r>
              <w:rPr>
                <w:rFonts w:hint="eastAsia"/>
              </w:rPr>
              <w:t>经济作物为主，农作物占人工植被面积的65%左右。评价区域内无自然保护区。</w:t>
            </w:r>
          </w:p>
          <w:p>
            <w:pPr>
              <w:pStyle w:val="5"/>
            </w:pPr>
            <w:r>
              <w:rPr>
                <w:rFonts w:hint="eastAsia"/>
              </w:rPr>
              <w:t>淮河淮南段浮游生物114种，底栖动物23种，鱼类70余种。野生植物139种，其中：国家重点保护植物5种；主要农作物123种，林果335种；野生动物23种，其中：国家重点保护动物1种，省级重点保护动物10余种。</w:t>
            </w:r>
          </w:p>
          <w:p/>
          <w:p>
            <w:pPr>
              <w:pStyle w:val="14"/>
              <w:ind w:firstLine="560"/>
            </w:pPr>
          </w:p>
          <w:p/>
          <w:p>
            <w:pPr>
              <w:pStyle w:val="14"/>
              <w:ind w:firstLine="560"/>
            </w:pPr>
          </w:p>
          <w:p/>
          <w:p>
            <w:pPr>
              <w:pStyle w:val="14"/>
              <w:ind w:firstLine="560"/>
            </w:pPr>
          </w:p>
          <w:p/>
          <w:p>
            <w:pPr>
              <w:pStyle w:val="14"/>
              <w:ind w:firstLine="560"/>
            </w:pPr>
          </w:p>
          <w:p/>
          <w:p>
            <w:pPr>
              <w:pStyle w:val="14"/>
              <w:ind w:firstLine="560"/>
            </w:pPr>
          </w:p>
          <w:p/>
          <w:p>
            <w:pPr>
              <w:pStyle w:val="14"/>
              <w:ind w:firstLine="560"/>
            </w:pPr>
          </w:p>
          <w:p/>
          <w:p>
            <w:pPr>
              <w:pStyle w:val="14"/>
              <w:ind w:firstLine="560"/>
            </w:pPr>
          </w:p>
          <w:p/>
          <w:p>
            <w:pPr>
              <w:pStyle w:val="14"/>
              <w:ind w:firstLine="560"/>
            </w:pPr>
          </w:p>
          <w:p/>
          <w:p>
            <w:pPr>
              <w:pStyle w:val="14"/>
              <w:ind w:firstLine="560"/>
            </w:pPr>
          </w:p>
          <w:p/>
          <w:p>
            <w:pPr>
              <w:pStyle w:val="14"/>
              <w:ind w:firstLine="560"/>
            </w:pPr>
          </w:p>
          <w:p/>
          <w:p>
            <w:pPr>
              <w:pStyle w:val="14"/>
              <w:ind w:firstLine="560"/>
            </w:pPr>
          </w:p>
          <w:p/>
          <w:p>
            <w:pPr>
              <w:pStyle w:val="14"/>
              <w:ind w:firstLine="560"/>
            </w:pPr>
          </w:p>
          <w:p>
            <w:pPr>
              <w:pStyle w:val="14"/>
              <w:ind w:firstLine="0" w:firstLineChars="0"/>
            </w:pPr>
          </w:p>
        </w:tc>
      </w:tr>
    </w:tbl>
    <w:p>
      <w:pPr>
        <w:pStyle w:val="10"/>
        <w:outlineLvl w:val="0"/>
      </w:pPr>
      <w:r>
        <w:br w:type="page"/>
      </w:r>
      <w:r>
        <w:rPr>
          <w:rStyle w:val="51"/>
          <w:rFonts w:hint="eastAsia"/>
        </w:rPr>
        <w:t>三、环境质量状况</w:t>
      </w:r>
    </w:p>
    <w:tbl>
      <w:tblPr>
        <w:tblStyle w:val="23"/>
        <w:tblW w:w="0" w:type="auto"/>
        <w:tblInd w:w="1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5" w:hRule="atLeast"/>
        </w:trPr>
        <w:tc>
          <w:tcPr>
            <w:tcW w:w="9476" w:type="dxa"/>
            <w:noWrap/>
          </w:tcPr>
          <w:p>
            <w:pPr>
              <w:pStyle w:val="4"/>
            </w:pPr>
            <w:r>
              <w:rPr>
                <w:rFonts w:hint="eastAsia"/>
              </w:rPr>
              <w:t>建设项目所在地地区环境质量现状及主要环境问题（环境空气、地</w:t>
            </w:r>
            <w:r>
              <w:rPr>
                <w:rFonts w:hint="eastAsia"/>
                <w:lang w:val="en-US" w:eastAsia="zh-CN"/>
              </w:rPr>
              <w:t>表</w:t>
            </w:r>
            <w:r>
              <w:rPr>
                <w:rFonts w:hint="eastAsia"/>
              </w:rPr>
              <w:t>水、地下水、声环境、生态环境等）</w:t>
            </w:r>
          </w:p>
          <w:p>
            <w:pPr>
              <w:pStyle w:val="4"/>
              <w:numPr>
                <w:ilvl w:val="0"/>
                <w:numId w:val="2"/>
              </w:numPr>
            </w:pPr>
            <w:bookmarkStart w:id="9" w:name="_Toc798"/>
            <w:r>
              <w:rPr>
                <w:rFonts w:hint="eastAsia"/>
              </w:rPr>
              <w:t>大气环境质量现状</w:t>
            </w:r>
          </w:p>
          <w:p>
            <w:pPr>
              <w:pStyle w:val="5"/>
              <w:bidi w:val="0"/>
            </w:pPr>
            <w:r>
              <w:t>根据《2019年淮南市环境质量状况公报》，2019年，淮南市市区环境空气中的主要污染物二氧化硫（SO</w:t>
            </w:r>
            <w:r>
              <w:rPr>
                <w:vertAlign w:val="subscript"/>
              </w:rPr>
              <w:t>2</w:t>
            </w:r>
            <w:r>
              <w:t>）年均浓度、二氧化氮（NO</w:t>
            </w:r>
            <w:r>
              <w:rPr>
                <w:vertAlign w:val="subscript"/>
              </w:rPr>
              <w:t>2</w:t>
            </w:r>
            <w:r>
              <w:t>）年均浓度、可吸入颗粒物（PM</w:t>
            </w:r>
            <w:r>
              <w:rPr>
                <w:vertAlign w:val="subscript"/>
              </w:rPr>
              <w:t>10</w:t>
            </w:r>
            <w:r>
              <w:t>）年均浓度、细颗粒物（PM</w:t>
            </w:r>
            <w:r>
              <w:rPr>
                <w:vertAlign w:val="subscript"/>
              </w:rPr>
              <w:t>2.5</w:t>
            </w:r>
            <w:r>
              <w:t>）年均浓度、一氧化碳（CO）日均值第95百分位浓度、臭氧（O</w:t>
            </w:r>
            <w:r>
              <w:rPr>
                <w:vertAlign w:val="subscript"/>
              </w:rPr>
              <w:t>3</w:t>
            </w:r>
            <w:r>
              <w:t>）日最大8小时平均第90百分位浓度分别为14微克/立方米、28微克/立方米、91.3 微克/立方米、53.4微克/立方米、1.1毫克/立方米和173微克/立方米。具体达标情况见下表。</w:t>
            </w:r>
          </w:p>
          <w:p>
            <w:pPr>
              <w:pStyle w:val="29"/>
              <w:spacing w:before="65" w:after="65"/>
              <w:rPr>
                <w:rFonts w:hint="default"/>
                <w:lang w:val="en-US" w:eastAsia="zh-CN"/>
              </w:rPr>
            </w:pPr>
            <w:r>
              <w:rPr>
                <w:rFonts w:hint="eastAsia"/>
              </w:rPr>
              <w:t>表3-1 2019年</w:t>
            </w:r>
            <w:r>
              <w:rPr>
                <w:rFonts w:hint="eastAsia"/>
                <w:lang w:val="en-US" w:eastAsia="zh-CN"/>
              </w:rPr>
              <w:t>淮南</w:t>
            </w:r>
            <w:r>
              <w:rPr>
                <w:rFonts w:hint="eastAsia"/>
              </w:rPr>
              <w:t>市</w:t>
            </w:r>
            <w:r>
              <w:rPr>
                <w:rFonts w:hint="eastAsia"/>
                <w:lang w:val="en-US" w:eastAsia="zh-CN"/>
              </w:rPr>
              <w:t>空气污染现状评价结果一览表</w:t>
            </w:r>
          </w:p>
          <w:tbl>
            <w:tblPr>
              <w:tblStyle w:val="23"/>
              <w:tblW w:w="9286" w:type="dxa"/>
              <w:jc w:val="center"/>
              <w:tblLayout w:type="fixed"/>
              <w:tblCellMar>
                <w:top w:w="0" w:type="dxa"/>
                <w:left w:w="0" w:type="dxa"/>
                <w:bottom w:w="0" w:type="dxa"/>
                <w:right w:w="0" w:type="dxa"/>
              </w:tblCellMar>
            </w:tblPr>
            <w:tblGrid>
              <w:gridCol w:w="1024"/>
              <w:gridCol w:w="3526"/>
              <w:gridCol w:w="1332"/>
              <w:gridCol w:w="1206"/>
              <w:gridCol w:w="1057"/>
              <w:gridCol w:w="1141"/>
            </w:tblGrid>
            <w:tr>
              <w:tblPrEx>
                <w:tblCellMar>
                  <w:top w:w="0" w:type="dxa"/>
                  <w:left w:w="0" w:type="dxa"/>
                  <w:bottom w:w="0" w:type="dxa"/>
                  <w:right w:w="0" w:type="dxa"/>
                </w:tblCellMar>
              </w:tblPrEx>
              <w:trPr>
                <w:trHeight w:val="454" w:hRule="atLeast"/>
                <w:jc w:val="center"/>
              </w:trPr>
              <w:tc>
                <w:tcPr>
                  <w:tcW w:w="1024" w:type="dxa"/>
                  <w:tcBorders>
                    <w:top w:val="single" w:color="000000" w:sz="4" w:space="0"/>
                    <w:left w:val="single" w:color="000000" w:sz="4" w:space="0"/>
                    <w:bottom w:val="single" w:color="000000" w:sz="4" w:space="0"/>
                    <w:right w:val="single" w:color="000000" w:sz="4" w:space="0"/>
                  </w:tcBorders>
                  <w:vAlign w:val="center"/>
                </w:tcPr>
                <w:p>
                  <w:pPr>
                    <w:pStyle w:val="40"/>
                    <w:bidi w:val="0"/>
                  </w:pPr>
                  <w:r>
                    <w:t>污染物</w:t>
                  </w:r>
                </w:p>
              </w:tc>
              <w:tc>
                <w:tcPr>
                  <w:tcW w:w="3526" w:type="dxa"/>
                  <w:tcBorders>
                    <w:top w:val="single" w:color="000000" w:sz="4" w:space="0"/>
                    <w:left w:val="single" w:color="000000" w:sz="4" w:space="0"/>
                    <w:bottom w:val="single" w:color="000000" w:sz="4" w:space="0"/>
                    <w:right w:val="single" w:color="000000" w:sz="4" w:space="0"/>
                  </w:tcBorders>
                  <w:vAlign w:val="center"/>
                </w:tcPr>
                <w:p>
                  <w:pPr>
                    <w:pStyle w:val="40"/>
                    <w:bidi w:val="0"/>
                  </w:pPr>
                  <w:r>
                    <w:t>年评价指标</w:t>
                  </w:r>
                </w:p>
              </w:tc>
              <w:tc>
                <w:tcPr>
                  <w:tcW w:w="1332" w:type="dxa"/>
                  <w:tcBorders>
                    <w:top w:val="single" w:color="000000" w:sz="4" w:space="0"/>
                    <w:left w:val="single" w:color="000000" w:sz="4" w:space="0"/>
                    <w:bottom w:val="single" w:color="000000" w:sz="4" w:space="0"/>
                    <w:right w:val="single" w:color="000000" w:sz="4" w:space="0"/>
                  </w:tcBorders>
                  <w:vAlign w:val="center"/>
                </w:tcPr>
                <w:p>
                  <w:pPr>
                    <w:pStyle w:val="40"/>
                    <w:bidi w:val="0"/>
                  </w:pPr>
                  <w:r>
                    <w:t>现状浓度</w:t>
                  </w: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40"/>
                    <w:bidi w:val="0"/>
                  </w:pPr>
                  <w:r>
                    <w:t>标准值</w:t>
                  </w:r>
                </w:p>
              </w:tc>
              <w:tc>
                <w:tcPr>
                  <w:tcW w:w="1057" w:type="dxa"/>
                  <w:tcBorders>
                    <w:top w:val="single" w:color="000000" w:sz="4" w:space="0"/>
                    <w:left w:val="single" w:color="000000" w:sz="4" w:space="0"/>
                    <w:bottom w:val="single" w:color="000000" w:sz="4" w:space="0"/>
                    <w:right w:val="single" w:color="000000" w:sz="4" w:space="0"/>
                  </w:tcBorders>
                  <w:vAlign w:val="center"/>
                </w:tcPr>
                <w:p>
                  <w:pPr>
                    <w:pStyle w:val="40"/>
                    <w:bidi w:val="0"/>
                  </w:pPr>
                  <w:r>
                    <w:t>占标</w:t>
                  </w:r>
                </w:p>
                <w:p>
                  <w:pPr>
                    <w:pStyle w:val="40"/>
                    <w:bidi w:val="0"/>
                  </w:pPr>
                  <w:r>
                    <w:t>率%</w:t>
                  </w:r>
                </w:p>
              </w:tc>
              <w:tc>
                <w:tcPr>
                  <w:tcW w:w="1141" w:type="dxa"/>
                  <w:tcBorders>
                    <w:top w:val="single" w:color="000000" w:sz="4" w:space="0"/>
                    <w:left w:val="single" w:color="000000" w:sz="4" w:space="0"/>
                    <w:bottom w:val="single" w:color="000000" w:sz="4" w:space="0"/>
                    <w:right w:val="single" w:color="000000" w:sz="4" w:space="0"/>
                  </w:tcBorders>
                  <w:vAlign w:val="center"/>
                </w:tcPr>
                <w:p>
                  <w:pPr>
                    <w:pStyle w:val="40"/>
                    <w:bidi w:val="0"/>
                  </w:pPr>
                  <w:r>
                    <w:t>达标情况</w:t>
                  </w:r>
                </w:p>
              </w:tc>
            </w:tr>
            <w:tr>
              <w:tblPrEx>
                <w:tblCellMar>
                  <w:top w:w="0" w:type="dxa"/>
                  <w:left w:w="0" w:type="dxa"/>
                  <w:bottom w:w="0" w:type="dxa"/>
                  <w:right w:w="0" w:type="dxa"/>
                </w:tblCellMar>
              </w:tblPrEx>
              <w:trPr>
                <w:trHeight w:val="454" w:hRule="atLeast"/>
                <w:jc w:val="center"/>
              </w:trPr>
              <w:tc>
                <w:tcPr>
                  <w:tcW w:w="1024" w:type="dxa"/>
                  <w:tcBorders>
                    <w:top w:val="single" w:color="000000" w:sz="4" w:space="0"/>
                    <w:left w:val="single" w:color="000000" w:sz="4" w:space="0"/>
                    <w:bottom w:val="single" w:color="000000" w:sz="4" w:space="0"/>
                    <w:right w:val="single" w:color="000000" w:sz="4" w:space="0"/>
                  </w:tcBorders>
                  <w:vAlign w:val="center"/>
                </w:tcPr>
                <w:p>
                  <w:pPr>
                    <w:pStyle w:val="40"/>
                    <w:bidi w:val="0"/>
                  </w:pPr>
                  <w:r>
                    <w:t>SO2</w:t>
                  </w:r>
                </w:p>
              </w:tc>
              <w:tc>
                <w:tcPr>
                  <w:tcW w:w="3526" w:type="dxa"/>
                  <w:tcBorders>
                    <w:top w:val="single" w:color="000000" w:sz="4" w:space="0"/>
                    <w:left w:val="single" w:color="000000" w:sz="4" w:space="0"/>
                    <w:bottom w:val="single" w:color="000000" w:sz="4" w:space="0"/>
                    <w:right w:val="single" w:color="000000" w:sz="4" w:space="0"/>
                  </w:tcBorders>
                  <w:vAlign w:val="center"/>
                </w:tcPr>
                <w:p>
                  <w:pPr>
                    <w:pStyle w:val="40"/>
                    <w:bidi w:val="0"/>
                  </w:pPr>
                  <w:r>
                    <w:t>年平均质量浓度</w:t>
                  </w:r>
                </w:p>
              </w:tc>
              <w:tc>
                <w:tcPr>
                  <w:tcW w:w="1332" w:type="dxa"/>
                  <w:tcBorders>
                    <w:top w:val="single" w:color="000000" w:sz="4" w:space="0"/>
                    <w:left w:val="single" w:color="000000" w:sz="4" w:space="0"/>
                    <w:bottom w:val="single" w:color="000000" w:sz="4" w:space="0"/>
                    <w:right w:val="single" w:color="000000" w:sz="4" w:space="0"/>
                  </w:tcBorders>
                  <w:vAlign w:val="center"/>
                </w:tcPr>
                <w:p>
                  <w:pPr>
                    <w:pStyle w:val="40"/>
                    <w:bidi w:val="0"/>
                  </w:pPr>
                  <w:r>
                    <w:t>14μg/m3</w:t>
                  </w: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40"/>
                    <w:bidi w:val="0"/>
                  </w:pPr>
                  <w:r>
                    <w:t>60μg/m3</w:t>
                  </w:r>
                </w:p>
              </w:tc>
              <w:tc>
                <w:tcPr>
                  <w:tcW w:w="1057" w:type="dxa"/>
                  <w:tcBorders>
                    <w:top w:val="single" w:color="000000" w:sz="4" w:space="0"/>
                    <w:left w:val="single" w:color="000000" w:sz="4" w:space="0"/>
                    <w:bottom w:val="single" w:color="000000" w:sz="4" w:space="0"/>
                    <w:right w:val="single" w:color="000000" w:sz="4" w:space="0"/>
                  </w:tcBorders>
                  <w:vAlign w:val="center"/>
                </w:tcPr>
                <w:p>
                  <w:pPr>
                    <w:pStyle w:val="40"/>
                    <w:bidi w:val="0"/>
                  </w:pPr>
                  <w:r>
                    <w:t>23.33</w:t>
                  </w:r>
                </w:p>
              </w:tc>
              <w:tc>
                <w:tcPr>
                  <w:tcW w:w="1141" w:type="dxa"/>
                  <w:tcBorders>
                    <w:top w:val="single" w:color="000000" w:sz="4" w:space="0"/>
                    <w:left w:val="single" w:color="000000" w:sz="4" w:space="0"/>
                    <w:bottom w:val="single" w:color="000000" w:sz="4" w:space="0"/>
                    <w:right w:val="single" w:color="000000" w:sz="4" w:space="0"/>
                  </w:tcBorders>
                  <w:vAlign w:val="center"/>
                </w:tcPr>
                <w:p>
                  <w:pPr>
                    <w:pStyle w:val="40"/>
                    <w:bidi w:val="0"/>
                  </w:pPr>
                  <w:r>
                    <w:t>达标</w:t>
                  </w:r>
                </w:p>
              </w:tc>
            </w:tr>
            <w:tr>
              <w:trPr>
                <w:trHeight w:val="454" w:hRule="atLeast"/>
                <w:jc w:val="center"/>
              </w:trPr>
              <w:tc>
                <w:tcPr>
                  <w:tcW w:w="1024" w:type="dxa"/>
                  <w:tcBorders>
                    <w:top w:val="single" w:color="000000" w:sz="4" w:space="0"/>
                    <w:left w:val="single" w:color="000000" w:sz="4" w:space="0"/>
                    <w:bottom w:val="single" w:color="000000" w:sz="4" w:space="0"/>
                    <w:right w:val="single" w:color="000000" w:sz="4" w:space="0"/>
                  </w:tcBorders>
                  <w:vAlign w:val="center"/>
                </w:tcPr>
                <w:p>
                  <w:pPr>
                    <w:pStyle w:val="40"/>
                    <w:bidi w:val="0"/>
                  </w:pPr>
                  <w:r>
                    <w:t>NO2</w:t>
                  </w:r>
                </w:p>
              </w:tc>
              <w:tc>
                <w:tcPr>
                  <w:tcW w:w="3526" w:type="dxa"/>
                  <w:tcBorders>
                    <w:top w:val="single" w:color="000000" w:sz="4" w:space="0"/>
                    <w:left w:val="single" w:color="000000" w:sz="4" w:space="0"/>
                    <w:bottom w:val="single" w:color="000000" w:sz="4" w:space="0"/>
                    <w:right w:val="single" w:color="000000" w:sz="4" w:space="0"/>
                  </w:tcBorders>
                  <w:vAlign w:val="center"/>
                </w:tcPr>
                <w:p>
                  <w:pPr>
                    <w:pStyle w:val="40"/>
                    <w:bidi w:val="0"/>
                  </w:pPr>
                  <w:r>
                    <w:t>年平均质量浓度</w:t>
                  </w:r>
                </w:p>
              </w:tc>
              <w:tc>
                <w:tcPr>
                  <w:tcW w:w="1332" w:type="dxa"/>
                  <w:tcBorders>
                    <w:top w:val="single" w:color="000000" w:sz="4" w:space="0"/>
                    <w:left w:val="single" w:color="000000" w:sz="4" w:space="0"/>
                    <w:bottom w:val="single" w:color="000000" w:sz="4" w:space="0"/>
                    <w:right w:val="single" w:color="000000" w:sz="4" w:space="0"/>
                  </w:tcBorders>
                  <w:vAlign w:val="center"/>
                </w:tcPr>
                <w:p>
                  <w:pPr>
                    <w:pStyle w:val="40"/>
                    <w:bidi w:val="0"/>
                  </w:pPr>
                  <w:r>
                    <w:t>28μg/m3</w:t>
                  </w: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40"/>
                    <w:bidi w:val="0"/>
                  </w:pPr>
                  <w:r>
                    <w:t>40μg/m3</w:t>
                  </w:r>
                </w:p>
              </w:tc>
              <w:tc>
                <w:tcPr>
                  <w:tcW w:w="1057" w:type="dxa"/>
                  <w:tcBorders>
                    <w:top w:val="single" w:color="000000" w:sz="4" w:space="0"/>
                    <w:left w:val="single" w:color="000000" w:sz="4" w:space="0"/>
                    <w:bottom w:val="single" w:color="000000" w:sz="4" w:space="0"/>
                    <w:right w:val="single" w:color="000000" w:sz="4" w:space="0"/>
                  </w:tcBorders>
                  <w:vAlign w:val="center"/>
                </w:tcPr>
                <w:p>
                  <w:pPr>
                    <w:pStyle w:val="40"/>
                    <w:bidi w:val="0"/>
                  </w:pPr>
                  <w:r>
                    <w:t>70.00</w:t>
                  </w:r>
                </w:p>
              </w:tc>
              <w:tc>
                <w:tcPr>
                  <w:tcW w:w="1141" w:type="dxa"/>
                  <w:tcBorders>
                    <w:top w:val="single" w:color="000000" w:sz="4" w:space="0"/>
                    <w:left w:val="single" w:color="000000" w:sz="4" w:space="0"/>
                    <w:bottom w:val="single" w:color="000000" w:sz="4" w:space="0"/>
                    <w:right w:val="single" w:color="000000" w:sz="4" w:space="0"/>
                  </w:tcBorders>
                  <w:vAlign w:val="center"/>
                </w:tcPr>
                <w:p>
                  <w:pPr>
                    <w:pStyle w:val="40"/>
                    <w:bidi w:val="0"/>
                  </w:pPr>
                  <w:r>
                    <w:t>达标</w:t>
                  </w:r>
                </w:p>
              </w:tc>
            </w:tr>
            <w:tr>
              <w:tblPrEx>
                <w:tblCellMar>
                  <w:top w:w="0" w:type="dxa"/>
                  <w:left w:w="0" w:type="dxa"/>
                  <w:bottom w:w="0" w:type="dxa"/>
                  <w:right w:w="0" w:type="dxa"/>
                </w:tblCellMar>
              </w:tblPrEx>
              <w:trPr>
                <w:trHeight w:val="454" w:hRule="atLeast"/>
                <w:jc w:val="center"/>
              </w:trPr>
              <w:tc>
                <w:tcPr>
                  <w:tcW w:w="1024" w:type="dxa"/>
                  <w:tcBorders>
                    <w:top w:val="single" w:color="000000" w:sz="4" w:space="0"/>
                    <w:left w:val="single" w:color="000000" w:sz="4" w:space="0"/>
                    <w:bottom w:val="single" w:color="000000" w:sz="4" w:space="0"/>
                    <w:right w:val="single" w:color="000000" w:sz="4" w:space="0"/>
                  </w:tcBorders>
                  <w:vAlign w:val="center"/>
                </w:tcPr>
                <w:p>
                  <w:pPr>
                    <w:pStyle w:val="40"/>
                    <w:bidi w:val="0"/>
                  </w:pPr>
                  <w:r>
                    <w:t>PM10</w:t>
                  </w:r>
                </w:p>
              </w:tc>
              <w:tc>
                <w:tcPr>
                  <w:tcW w:w="3526" w:type="dxa"/>
                  <w:tcBorders>
                    <w:top w:val="single" w:color="000000" w:sz="4" w:space="0"/>
                    <w:left w:val="single" w:color="000000" w:sz="4" w:space="0"/>
                    <w:bottom w:val="single" w:color="000000" w:sz="4" w:space="0"/>
                    <w:right w:val="single" w:color="000000" w:sz="4" w:space="0"/>
                  </w:tcBorders>
                  <w:vAlign w:val="center"/>
                </w:tcPr>
                <w:p>
                  <w:pPr>
                    <w:pStyle w:val="40"/>
                    <w:bidi w:val="0"/>
                  </w:pPr>
                  <w:r>
                    <w:t>年平均质量浓度</w:t>
                  </w:r>
                </w:p>
              </w:tc>
              <w:tc>
                <w:tcPr>
                  <w:tcW w:w="1332" w:type="dxa"/>
                  <w:tcBorders>
                    <w:top w:val="single" w:color="000000" w:sz="4" w:space="0"/>
                    <w:left w:val="single" w:color="000000" w:sz="4" w:space="0"/>
                    <w:bottom w:val="single" w:color="000000" w:sz="4" w:space="0"/>
                    <w:right w:val="single" w:color="000000" w:sz="4" w:space="0"/>
                  </w:tcBorders>
                  <w:vAlign w:val="center"/>
                </w:tcPr>
                <w:p>
                  <w:pPr>
                    <w:pStyle w:val="40"/>
                    <w:bidi w:val="0"/>
                  </w:pPr>
                  <w:r>
                    <w:t>91.3μg/m3</w:t>
                  </w: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40"/>
                    <w:bidi w:val="0"/>
                  </w:pPr>
                  <w:r>
                    <w:t>70μg/m3</w:t>
                  </w:r>
                </w:p>
              </w:tc>
              <w:tc>
                <w:tcPr>
                  <w:tcW w:w="1057" w:type="dxa"/>
                  <w:tcBorders>
                    <w:top w:val="single" w:color="000000" w:sz="4" w:space="0"/>
                    <w:left w:val="single" w:color="000000" w:sz="4" w:space="0"/>
                    <w:bottom w:val="single" w:color="000000" w:sz="4" w:space="0"/>
                    <w:right w:val="single" w:color="000000" w:sz="4" w:space="0"/>
                  </w:tcBorders>
                  <w:vAlign w:val="center"/>
                </w:tcPr>
                <w:p>
                  <w:pPr>
                    <w:pStyle w:val="40"/>
                    <w:bidi w:val="0"/>
                  </w:pPr>
                  <w:r>
                    <w:t>130.43</w:t>
                  </w:r>
                </w:p>
              </w:tc>
              <w:tc>
                <w:tcPr>
                  <w:tcW w:w="1141" w:type="dxa"/>
                  <w:tcBorders>
                    <w:top w:val="single" w:color="000000" w:sz="4" w:space="0"/>
                    <w:left w:val="single" w:color="000000" w:sz="4" w:space="0"/>
                    <w:bottom w:val="single" w:color="000000" w:sz="4" w:space="0"/>
                    <w:right w:val="single" w:color="000000" w:sz="4" w:space="0"/>
                  </w:tcBorders>
                  <w:vAlign w:val="center"/>
                </w:tcPr>
                <w:p>
                  <w:pPr>
                    <w:pStyle w:val="40"/>
                    <w:bidi w:val="0"/>
                  </w:pPr>
                  <w:r>
                    <w:t>不达标</w:t>
                  </w:r>
                </w:p>
              </w:tc>
            </w:tr>
            <w:tr>
              <w:tblPrEx>
                <w:tblCellMar>
                  <w:top w:w="0" w:type="dxa"/>
                  <w:left w:w="0" w:type="dxa"/>
                  <w:bottom w:w="0" w:type="dxa"/>
                  <w:right w:w="0" w:type="dxa"/>
                </w:tblCellMar>
              </w:tblPrEx>
              <w:trPr>
                <w:trHeight w:val="454" w:hRule="atLeast"/>
                <w:jc w:val="center"/>
              </w:trPr>
              <w:tc>
                <w:tcPr>
                  <w:tcW w:w="1024" w:type="dxa"/>
                  <w:tcBorders>
                    <w:top w:val="single" w:color="000000" w:sz="4" w:space="0"/>
                    <w:left w:val="single" w:color="000000" w:sz="4" w:space="0"/>
                    <w:bottom w:val="single" w:color="000000" w:sz="4" w:space="0"/>
                    <w:right w:val="single" w:color="000000" w:sz="4" w:space="0"/>
                  </w:tcBorders>
                  <w:vAlign w:val="center"/>
                </w:tcPr>
                <w:p>
                  <w:pPr>
                    <w:pStyle w:val="40"/>
                    <w:bidi w:val="0"/>
                  </w:pPr>
                  <w:r>
                    <w:t>PM2.5</w:t>
                  </w:r>
                </w:p>
              </w:tc>
              <w:tc>
                <w:tcPr>
                  <w:tcW w:w="3526" w:type="dxa"/>
                  <w:tcBorders>
                    <w:top w:val="single" w:color="000000" w:sz="4" w:space="0"/>
                    <w:left w:val="single" w:color="000000" w:sz="4" w:space="0"/>
                    <w:bottom w:val="single" w:color="000000" w:sz="4" w:space="0"/>
                    <w:right w:val="single" w:color="000000" w:sz="4" w:space="0"/>
                  </w:tcBorders>
                  <w:vAlign w:val="center"/>
                </w:tcPr>
                <w:p>
                  <w:pPr>
                    <w:pStyle w:val="40"/>
                    <w:bidi w:val="0"/>
                  </w:pPr>
                  <w:r>
                    <w:t>年平均质量浓度</w:t>
                  </w:r>
                </w:p>
              </w:tc>
              <w:tc>
                <w:tcPr>
                  <w:tcW w:w="1332" w:type="dxa"/>
                  <w:tcBorders>
                    <w:top w:val="single" w:color="000000" w:sz="4" w:space="0"/>
                    <w:left w:val="single" w:color="000000" w:sz="4" w:space="0"/>
                    <w:bottom w:val="single" w:color="000000" w:sz="4" w:space="0"/>
                    <w:right w:val="single" w:color="000000" w:sz="4" w:space="0"/>
                  </w:tcBorders>
                  <w:vAlign w:val="center"/>
                </w:tcPr>
                <w:p>
                  <w:pPr>
                    <w:pStyle w:val="40"/>
                    <w:bidi w:val="0"/>
                  </w:pPr>
                  <w:r>
                    <w:t>53.4μg/m3</w:t>
                  </w: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40"/>
                    <w:bidi w:val="0"/>
                  </w:pPr>
                  <w:r>
                    <w:t>35μg/m3</w:t>
                  </w:r>
                </w:p>
              </w:tc>
              <w:tc>
                <w:tcPr>
                  <w:tcW w:w="1057" w:type="dxa"/>
                  <w:tcBorders>
                    <w:top w:val="single" w:color="000000" w:sz="4" w:space="0"/>
                    <w:left w:val="single" w:color="000000" w:sz="4" w:space="0"/>
                    <w:bottom w:val="single" w:color="000000" w:sz="4" w:space="0"/>
                    <w:right w:val="single" w:color="000000" w:sz="4" w:space="0"/>
                  </w:tcBorders>
                  <w:vAlign w:val="center"/>
                </w:tcPr>
                <w:p>
                  <w:pPr>
                    <w:pStyle w:val="40"/>
                    <w:bidi w:val="0"/>
                  </w:pPr>
                  <w:r>
                    <w:t>152.57</w:t>
                  </w:r>
                </w:p>
              </w:tc>
              <w:tc>
                <w:tcPr>
                  <w:tcW w:w="1141" w:type="dxa"/>
                  <w:tcBorders>
                    <w:top w:val="single" w:color="000000" w:sz="4" w:space="0"/>
                    <w:left w:val="single" w:color="000000" w:sz="4" w:space="0"/>
                    <w:bottom w:val="single" w:color="000000" w:sz="4" w:space="0"/>
                    <w:right w:val="single" w:color="000000" w:sz="4" w:space="0"/>
                  </w:tcBorders>
                  <w:vAlign w:val="center"/>
                </w:tcPr>
                <w:p>
                  <w:pPr>
                    <w:pStyle w:val="40"/>
                    <w:bidi w:val="0"/>
                  </w:pPr>
                  <w:r>
                    <w:t>不达标</w:t>
                  </w:r>
                </w:p>
              </w:tc>
            </w:tr>
            <w:tr>
              <w:tblPrEx>
                <w:tblCellMar>
                  <w:top w:w="0" w:type="dxa"/>
                  <w:left w:w="0" w:type="dxa"/>
                  <w:bottom w:w="0" w:type="dxa"/>
                  <w:right w:w="0" w:type="dxa"/>
                </w:tblCellMar>
              </w:tblPrEx>
              <w:trPr>
                <w:trHeight w:val="454" w:hRule="atLeast"/>
                <w:jc w:val="center"/>
              </w:trPr>
              <w:tc>
                <w:tcPr>
                  <w:tcW w:w="1024" w:type="dxa"/>
                  <w:tcBorders>
                    <w:top w:val="single" w:color="000000" w:sz="4" w:space="0"/>
                    <w:left w:val="single" w:color="000000" w:sz="4" w:space="0"/>
                    <w:bottom w:val="single" w:color="000000" w:sz="4" w:space="0"/>
                    <w:right w:val="single" w:color="000000" w:sz="4" w:space="0"/>
                  </w:tcBorders>
                  <w:vAlign w:val="center"/>
                </w:tcPr>
                <w:p>
                  <w:pPr>
                    <w:pStyle w:val="40"/>
                    <w:bidi w:val="0"/>
                  </w:pPr>
                  <w:r>
                    <w:t>CO</w:t>
                  </w:r>
                </w:p>
              </w:tc>
              <w:tc>
                <w:tcPr>
                  <w:tcW w:w="3526" w:type="dxa"/>
                  <w:tcBorders>
                    <w:top w:val="single" w:color="000000" w:sz="4" w:space="0"/>
                    <w:left w:val="single" w:color="000000" w:sz="4" w:space="0"/>
                    <w:bottom w:val="single" w:color="000000" w:sz="4" w:space="0"/>
                    <w:right w:val="single" w:color="000000" w:sz="4" w:space="0"/>
                  </w:tcBorders>
                  <w:vAlign w:val="center"/>
                </w:tcPr>
                <w:p>
                  <w:pPr>
                    <w:pStyle w:val="40"/>
                    <w:bidi w:val="0"/>
                  </w:pPr>
                  <w:r>
                    <w:t>24 小时平均第 95 百分数位质量浓度</w:t>
                  </w:r>
                </w:p>
              </w:tc>
              <w:tc>
                <w:tcPr>
                  <w:tcW w:w="1332" w:type="dxa"/>
                  <w:tcBorders>
                    <w:top w:val="single" w:color="000000" w:sz="4" w:space="0"/>
                    <w:left w:val="single" w:color="000000" w:sz="4" w:space="0"/>
                    <w:bottom w:val="single" w:color="000000" w:sz="4" w:space="0"/>
                    <w:right w:val="single" w:color="000000" w:sz="4" w:space="0"/>
                  </w:tcBorders>
                  <w:vAlign w:val="center"/>
                </w:tcPr>
                <w:p>
                  <w:pPr>
                    <w:pStyle w:val="40"/>
                    <w:bidi w:val="0"/>
                  </w:pPr>
                  <w:r>
                    <w:t>1.1mg/m3</w:t>
                  </w: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40"/>
                    <w:bidi w:val="0"/>
                  </w:pPr>
                  <w:r>
                    <w:t>4mg/m3</w:t>
                  </w:r>
                </w:p>
              </w:tc>
              <w:tc>
                <w:tcPr>
                  <w:tcW w:w="1057" w:type="dxa"/>
                  <w:tcBorders>
                    <w:top w:val="single" w:color="000000" w:sz="4" w:space="0"/>
                    <w:left w:val="single" w:color="000000" w:sz="4" w:space="0"/>
                    <w:bottom w:val="single" w:color="000000" w:sz="4" w:space="0"/>
                    <w:right w:val="single" w:color="000000" w:sz="4" w:space="0"/>
                  </w:tcBorders>
                  <w:vAlign w:val="center"/>
                </w:tcPr>
                <w:p>
                  <w:pPr>
                    <w:pStyle w:val="40"/>
                    <w:bidi w:val="0"/>
                  </w:pPr>
                  <w:r>
                    <w:t>27.50</w:t>
                  </w:r>
                </w:p>
              </w:tc>
              <w:tc>
                <w:tcPr>
                  <w:tcW w:w="1141" w:type="dxa"/>
                  <w:tcBorders>
                    <w:top w:val="single" w:color="000000" w:sz="4" w:space="0"/>
                    <w:left w:val="single" w:color="000000" w:sz="4" w:space="0"/>
                    <w:bottom w:val="single" w:color="000000" w:sz="4" w:space="0"/>
                    <w:right w:val="single" w:color="000000" w:sz="4" w:space="0"/>
                  </w:tcBorders>
                  <w:vAlign w:val="center"/>
                </w:tcPr>
                <w:p>
                  <w:pPr>
                    <w:pStyle w:val="40"/>
                    <w:bidi w:val="0"/>
                  </w:pPr>
                  <w:r>
                    <w:t>达标</w:t>
                  </w:r>
                </w:p>
              </w:tc>
            </w:tr>
            <w:tr>
              <w:tblPrEx>
                <w:tblCellMar>
                  <w:top w:w="0" w:type="dxa"/>
                  <w:left w:w="0" w:type="dxa"/>
                  <w:bottom w:w="0" w:type="dxa"/>
                  <w:right w:w="0" w:type="dxa"/>
                </w:tblCellMar>
              </w:tblPrEx>
              <w:trPr>
                <w:trHeight w:val="454" w:hRule="atLeast"/>
                <w:jc w:val="center"/>
              </w:trPr>
              <w:tc>
                <w:tcPr>
                  <w:tcW w:w="1024" w:type="dxa"/>
                  <w:tcBorders>
                    <w:top w:val="single" w:color="000000" w:sz="4" w:space="0"/>
                    <w:left w:val="single" w:color="000000" w:sz="4" w:space="0"/>
                    <w:bottom w:val="single" w:color="000000" w:sz="4" w:space="0"/>
                    <w:right w:val="single" w:color="000000" w:sz="4" w:space="0"/>
                  </w:tcBorders>
                  <w:vAlign w:val="center"/>
                </w:tcPr>
                <w:p>
                  <w:pPr>
                    <w:pStyle w:val="40"/>
                    <w:bidi w:val="0"/>
                  </w:pPr>
                  <w:r>
                    <w:t>O3</w:t>
                  </w:r>
                </w:p>
              </w:tc>
              <w:tc>
                <w:tcPr>
                  <w:tcW w:w="3526" w:type="dxa"/>
                  <w:tcBorders>
                    <w:top w:val="single" w:color="000000" w:sz="4" w:space="0"/>
                    <w:left w:val="single" w:color="000000" w:sz="4" w:space="0"/>
                    <w:bottom w:val="single" w:color="000000" w:sz="4" w:space="0"/>
                    <w:right w:val="single" w:color="000000" w:sz="4" w:space="0"/>
                  </w:tcBorders>
                  <w:vAlign w:val="center"/>
                </w:tcPr>
                <w:p>
                  <w:pPr>
                    <w:pStyle w:val="40"/>
                    <w:bidi w:val="0"/>
                  </w:pPr>
                  <w:r>
                    <w:t>日最大 8 小时平均第 90 百分位浓度</w:t>
                  </w:r>
                </w:p>
              </w:tc>
              <w:tc>
                <w:tcPr>
                  <w:tcW w:w="1332" w:type="dxa"/>
                  <w:tcBorders>
                    <w:top w:val="single" w:color="000000" w:sz="4" w:space="0"/>
                    <w:left w:val="single" w:color="000000" w:sz="4" w:space="0"/>
                    <w:bottom w:val="single" w:color="000000" w:sz="4" w:space="0"/>
                    <w:right w:val="single" w:color="000000" w:sz="4" w:space="0"/>
                  </w:tcBorders>
                  <w:vAlign w:val="center"/>
                </w:tcPr>
                <w:p>
                  <w:pPr>
                    <w:pStyle w:val="40"/>
                    <w:bidi w:val="0"/>
                  </w:pPr>
                  <w:r>
                    <w:t>173μg/m3</w:t>
                  </w: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40"/>
                    <w:bidi w:val="0"/>
                  </w:pPr>
                  <w:r>
                    <w:t>160μg/m3</w:t>
                  </w:r>
                </w:p>
              </w:tc>
              <w:tc>
                <w:tcPr>
                  <w:tcW w:w="1057" w:type="dxa"/>
                  <w:tcBorders>
                    <w:top w:val="single" w:color="000000" w:sz="4" w:space="0"/>
                    <w:left w:val="single" w:color="000000" w:sz="4" w:space="0"/>
                    <w:bottom w:val="single" w:color="000000" w:sz="4" w:space="0"/>
                    <w:right w:val="single" w:color="000000" w:sz="4" w:space="0"/>
                  </w:tcBorders>
                  <w:vAlign w:val="center"/>
                </w:tcPr>
                <w:p>
                  <w:pPr>
                    <w:pStyle w:val="40"/>
                    <w:bidi w:val="0"/>
                  </w:pPr>
                  <w:r>
                    <w:t>108.13</w:t>
                  </w:r>
                </w:p>
              </w:tc>
              <w:tc>
                <w:tcPr>
                  <w:tcW w:w="1141" w:type="dxa"/>
                  <w:tcBorders>
                    <w:top w:val="single" w:color="000000" w:sz="4" w:space="0"/>
                    <w:left w:val="single" w:color="000000" w:sz="4" w:space="0"/>
                    <w:bottom w:val="single" w:color="000000" w:sz="4" w:space="0"/>
                    <w:right w:val="single" w:color="000000" w:sz="4" w:space="0"/>
                  </w:tcBorders>
                  <w:vAlign w:val="center"/>
                </w:tcPr>
                <w:p>
                  <w:pPr>
                    <w:pStyle w:val="40"/>
                    <w:bidi w:val="0"/>
                  </w:pPr>
                  <w:r>
                    <w:t>不达标</w:t>
                  </w:r>
                </w:p>
              </w:tc>
            </w:tr>
          </w:tbl>
          <w:p>
            <w:pPr>
              <w:pStyle w:val="5"/>
              <w:bidi w:val="0"/>
            </w:pPr>
            <w:r>
              <w:t>2019年淮南市各项因子达标分析</w:t>
            </w:r>
          </w:p>
          <w:p>
            <w:pPr>
              <w:pStyle w:val="5"/>
              <w:bidi w:val="0"/>
            </w:pPr>
            <w:r>
              <w:t>二氧化硫、二氧化氮、一氧化碳均符合《环境空气质量标准》（GB3095-2012）二级标准，可吸入颗粒物（PM10）年均浓度、细颗粒物（PM2.5）年均浓度和臭氧（O3）日最大8小时平均第90百分位浓度分别超过《环境空气质量标准》（GB3095-2012）及其修改单二级标准0.3倍、0.53倍和0.08倍。市区环境空气中的主要污染物二氧化硫（SO2）、二氧化氮（NO2）、可吸入颗粒物（PM10）、细颗粒物（PM2.5）、臭氧（O3）日最大8小时平均第90百分位浓度分别较上年增加0%、7.7%、11.6%、0.8%、5.5%，一氧化碳（CO）日均值第 95 百分位浓度较上年减少8.3%。</w:t>
            </w:r>
          </w:p>
          <w:p>
            <w:pPr>
              <w:pStyle w:val="5"/>
              <w:bidi w:val="0"/>
            </w:pPr>
            <w:r>
              <w:t>污染物空间分布</w:t>
            </w:r>
          </w:p>
          <w:p>
            <w:pPr>
              <w:pStyle w:val="5"/>
              <w:bidi w:val="0"/>
            </w:pPr>
            <w:r>
              <w:t>师范学院、益益乳业工业园、谢家集区政府、八公山区政府、潘集区政府、焦岗湖风景区管理处（参照点，不参与全市均值评价）、凤台县青少年活动中心（省控点，不参与全市均值评价）、寿县东门空气自动站（省控点，不参与全市均值评价）共8个环境空气质量自动监测子站的二氧化硫（SO2）年均浓度、二氧化氮（NO2）年均浓度、一氧化碳（CO）日均值第95百分位浓度均符合《环境空气质量标准》（GB3095-2012）及其修改单二级标准。各环境空气质量自动监测子站可吸入颗粒物（PM10）和细颗粒物（PM2.5）年均浓度，臭氧（O3）日最大8小时平均第90百分位浓度均超过《环境空气质量标准》（GB3095-2012）二级标准。</w:t>
            </w:r>
          </w:p>
          <w:p>
            <w:pPr>
              <w:pStyle w:val="5"/>
              <w:bidi w:val="0"/>
            </w:pPr>
            <w:r>
              <w:t>可吸入颗粒物（PM10）年均浓度超标倍数从大到小依次为：师范学院0.45倍、八公山区政府0.34倍、潘集区政府0.32倍、谢家集区政府0.21倍、寿县东门空气自动站0.2倍、益益乳业工业园0.19倍、凤台县青少年活动中心0.14倍；细颗粒物（PM2.5）年均浓度超标倍数从大到小依次为：潘集区政府0.76倍、八公山区政府0.57倍、凤台县青少年活动中心0.48倍、谢家集区政府0.46倍、益益乳业工业园0.44倍、师范学院0.4倍、寿县东门空气自动站0.37倍；臭氧（O3）日最大8小时平均第90百分位浓度超标倍数从大到小依次为益益乳业工业园0.15倍、师范学院0.1倍、谢家集区政府 0.09倍、寿县东门空气自动站0.09倍、八公山区政府0.08倍、凤台县青少年活动中心0.05倍、潘集区政府0.01倍。2019年空气质量综合指数5.12，环境空气质量优良天数比例为61.9％。空气质量综合指数与上年持平，优良天数比例比上年下降5.5%。</w:t>
            </w:r>
          </w:p>
          <w:p>
            <w:pPr>
              <w:pStyle w:val="5"/>
              <w:bidi w:val="0"/>
              <w:rPr>
                <w:rFonts w:hint="eastAsia"/>
              </w:rPr>
            </w:pPr>
            <w:r>
              <w:t>由以上可以看出 PM10、PM2.5、O3为区域的首要污染物</w:t>
            </w:r>
          </w:p>
          <w:p>
            <w:pPr>
              <w:ind w:firstLine="480" w:firstLineChars="200"/>
              <w:rPr>
                <w:rFonts w:hint="eastAsia"/>
                <w:lang w:val="en-US" w:eastAsia="zh-CN"/>
              </w:rPr>
            </w:pPr>
            <w:r>
              <w:rPr>
                <w:rFonts w:hint="eastAsia"/>
                <w:lang w:val="en-US" w:eastAsia="zh-CN"/>
              </w:rPr>
              <w:t>大气质量现状</w:t>
            </w:r>
          </w:p>
          <w:p>
            <w:pPr>
              <w:pStyle w:val="5"/>
              <w:numPr>
                <w:ilvl w:val="0"/>
                <w:numId w:val="3"/>
              </w:numPr>
              <w:bidi w:val="0"/>
            </w:pPr>
            <w:r>
              <w:t>现状监测</w:t>
            </w:r>
          </w:p>
          <w:p>
            <w:pPr>
              <w:rPr>
                <w:rFonts w:hint="default"/>
                <w:lang w:val="en-US" w:eastAsia="zh-CN"/>
              </w:rPr>
            </w:pPr>
            <w:r>
              <w:rPr>
                <w:rFonts w:hint="eastAsia"/>
                <w:lang w:val="en-US" w:eastAsia="zh-CN"/>
              </w:rPr>
              <w:t xml:space="preserve">    引用《淮南经济技术开发区总体发展规划环境影响跟踪评价》中淮南经开区大气现状监测数据。</w:t>
            </w:r>
          </w:p>
          <w:p>
            <w:pPr>
              <w:pStyle w:val="5"/>
              <w:bidi w:val="0"/>
            </w:pPr>
            <w:r>
              <w:rPr>
                <w:rFonts w:hint="eastAsia"/>
                <w:lang w:eastAsia="zh-CN"/>
              </w:rPr>
              <w:t>（</w:t>
            </w:r>
            <w:r>
              <w:rPr>
                <w:rFonts w:hint="eastAsia"/>
                <w:lang w:val="en-US" w:eastAsia="zh-CN"/>
              </w:rPr>
              <w:t>1</w:t>
            </w:r>
            <w:r>
              <w:rPr>
                <w:rFonts w:hint="eastAsia"/>
                <w:lang w:eastAsia="zh-CN"/>
              </w:rPr>
              <w:t>）</w:t>
            </w:r>
            <w:r>
              <w:t>监测因子</w:t>
            </w:r>
          </w:p>
          <w:p>
            <w:pPr>
              <w:pStyle w:val="5"/>
              <w:bidi w:val="0"/>
            </w:pPr>
            <w:r>
              <w:t>常规因子：SO2、NO2、PM10、PM2.5、CO、O3</w:t>
            </w:r>
          </w:p>
          <w:p>
            <w:pPr>
              <w:pStyle w:val="5"/>
              <w:bidi w:val="0"/>
            </w:pPr>
            <w:r>
              <w:t>特征因子：非甲烷总烃、</w:t>
            </w:r>
          </w:p>
          <w:p>
            <w:pPr>
              <w:pStyle w:val="5"/>
              <w:numPr>
                <w:ilvl w:val="0"/>
                <w:numId w:val="4"/>
              </w:numPr>
              <w:bidi w:val="0"/>
            </w:pPr>
            <w:r>
              <w:rPr>
                <w:rFonts w:hint="eastAsia"/>
                <w:lang w:val="en-US" w:eastAsia="zh-CN"/>
              </w:rPr>
              <w:t>测点布测</w:t>
            </w:r>
          </w:p>
          <w:p>
            <w:pPr>
              <w:pStyle w:val="5"/>
              <w:numPr>
                <w:ilvl w:val="0"/>
                <w:numId w:val="0"/>
              </w:numPr>
              <w:bidi w:val="0"/>
              <w:ind w:firstLine="480" w:firstLineChars="200"/>
              <w:rPr>
                <w:rFonts w:hint="eastAsia"/>
                <w:lang w:val="en-US" w:eastAsia="zh-CN"/>
              </w:rPr>
            </w:pPr>
            <w:r>
              <w:t>按本区域主导风向，考虑原区域环评和开发区环评监测点位布设以及跟踪评价的需要，共设置7个监测点，各监测点位及监测因子各测点分布情况详见</w:t>
            </w:r>
            <w:r>
              <w:rPr>
                <w:rFonts w:hint="eastAsia"/>
                <w:lang w:val="en-US" w:eastAsia="zh-CN"/>
              </w:rPr>
              <w:t>下表</w:t>
            </w:r>
            <w:r>
              <w:rPr>
                <w:rFonts w:hint="eastAsia"/>
                <w:lang w:eastAsia="zh-CN"/>
              </w:rPr>
              <w:t>：</w:t>
            </w:r>
          </w:p>
          <w:p>
            <w:pPr>
              <w:pStyle w:val="29"/>
              <w:bidi w:val="0"/>
            </w:pPr>
            <w:r>
              <w:rPr>
                <w:rFonts w:hint="eastAsia"/>
                <w:lang w:val="en-US" w:eastAsia="zh-CN"/>
              </w:rPr>
              <w:t>表3-2</w:t>
            </w:r>
            <w:r>
              <w:t>环境空气现状监测点位布设</w:t>
            </w:r>
          </w:p>
          <w:tbl>
            <w:tblPr>
              <w:tblStyle w:val="23"/>
              <w:tblW w:w="9279" w:type="dxa"/>
              <w:jc w:val="center"/>
              <w:tblLayout w:type="fixed"/>
              <w:tblCellMar>
                <w:top w:w="0" w:type="dxa"/>
                <w:left w:w="0" w:type="dxa"/>
                <w:bottom w:w="0" w:type="dxa"/>
                <w:right w:w="0" w:type="dxa"/>
              </w:tblCellMar>
            </w:tblPr>
            <w:tblGrid>
              <w:gridCol w:w="496"/>
              <w:gridCol w:w="953"/>
              <w:gridCol w:w="719"/>
              <w:gridCol w:w="1173"/>
              <w:gridCol w:w="1685"/>
              <w:gridCol w:w="1558"/>
              <w:gridCol w:w="1068"/>
              <w:gridCol w:w="1627"/>
            </w:tblGrid>
            <w:tr>
              <w:tblPrEx>
                <w:tblCellMar>
                  <w:top w:w="0" w:type="dxa"/>
                  <w:left w:w="0" w:type="dxa"/>
                  <w:bottom w:w="0" w:type="dxa"/>
                  <w:right w:w="0" w:type="dxa"/>
                </w:tblCellMar>
              </w:tblPrEx>
              <w:trPr>
                <w:trHeight w:val="454" w:hRule="atLeast"/>
                <w:jc w:val="center"/>
              </w:trPr>
              <w:tc>
                <w:tcPr>
                  <w:tcW w:w="496" w:type="dxa"/>
                  <w:tcBorders>
                    <w:top w:val="single" w:color="000000" w:sz="4" w:space="0"/>
                    <w:left w:val="single" w:color="000000" w:sz="4" w:space="0"/>
                    <w:bottom w:val="single" w:color="000000" w:sz="4" w:space="0"/>
                    <w:right w:val="single" w:color="000000" w:sz="4" w:space="0"/>
                  </w:tcBorders>
                  <w:vAlign w:val="center"/>
                </w:tcPr>
                <w:p>
                  <w:pPr>
                    <w:pStyle w:val="40"/>
                    <w:bidi w:val="0"/>
                  </w:pPr>
                  <w:r>
                    <w:t>编号</w:t>
                  </w:r>
                </w:p>
              </w:tc>
              <w:tc>
                <w:tcPr>
                  <w:tcW w:w="953" w:type="dxa"/>
                  <w:tcBorders>
                    <w:top w:val="single" w:color="000000" w:sz="4" w:space="0"/>
                    <w:left w:val="single" w:color="000000" w:sz="4" w:space="0"/>
                    <w:bottom w:val="single" w:color="000000" w:sz="4" w:space="0"/>
                    <w:right w:val="single" w:color="000000" w:sz="4" w:space="0"/>
                  </w:tcBorders>
                  <w:vAlign w:val="center"/>
                </w:tcPr>
                <w:p>
                  <w:pPr>
                    <w:pStyle w:val="40"/>
                    <w:bidi w:val="0"/>
                  </w:pPr>
                  <w:r>
                    <w:t>名称</w:t>
                  </w:r>
                </w:p>
              </w:tc>
              <w:tc>
                <w:tcPr>
                  <w:tcW w:w="719" w:type="dxa"/>
                  <w:tcBorders>
                    <w:top w:val="single" w:color="000000" w:sz="4" w:space="0"/>
                    <w:left w:val="single" w:color="000000" w:sz="4" w:space="0"/>
                    <w:bottom w:val="single" w:color="000000" w:sz="4" w:space="0"/>
                    <w:right w:val="single" w:color="000000" w:sz="4" w:space="0"/>
                  </w:tcBorders>
                  <w:vAlign w:val="center"/>
                </w:tcPr>
                <w:p>
                  <w:pPr>
                    <w:pStyle w:val="40"/>
                    <w:bidi w:val="0"/>
                  </w:pPr>
                  <w:r>
                    <w:t>方位</w:t>
                  </w:r>
                </w:p>
              </w:tc>
              <w:tc>
                <w:tcPr>
                  <w:tcW w:w="1173" w:type="dxa"/>
                  <w:tcBorders>
                    <w:top w:val="single" w:color="000000" w:sz="4" w:space="0"/>
                    <w:left w:val="single" w:color="000000" w:sz="4" w:space="0"/>
                    <w:bottom w:val="single" w:color="000000" w:sz="4" w:space="0"/>
                    <w:right w:val="single" w:color="000000" w:sz="4" w:space="0"/>
                  </w:tcBorders>
                  <w:vAlign w:val="center"/>
                </w:tcPr>
                <w:p>
                  <w:pPr>
                    <w:pStyle w:val="40"/>
                    <w:bidi w:val="0"/>
                  </w:pPr>
                  <w:r>
                    <w:t>距离（m）</w:t>
                  </w: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bidi w:val="0"/>
                  </w:pPr>
                  <w:r>
                    <w:t>所在功能区</w:t>
                  </w: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0"/>
                    <w:bidi w:val="0"/>
                  </w:pPr>
                  <w:r>
                    <w:t>经纬度</w:t>
                  </w:r>
                </w:p>
              </w:tc>
              <w:tc>
                <w:tcPr>
                  <w:tcW w:w="1068" w:type="dxa"/>
                  <w:tcBorders>
                    <w:top w:val="single" w:color="000000" w:sz="4" w:space="0"/>
                    <w:left w:val="single" w:color="000000" w:sz="4" w:space="0"/>
                    <w:bottom w:val="single" w:color="000000" w:sz="4" w:space="0"/>
                    <w:right w:val="single" w:color="000000" w:sz="4" w:space="0"/>
                  </w:tcBorders>
                  <w:vAlign w:val="center"/>
                </w:tcPr>
                <w:p>
                  <w:pPr>
                    <w:pStyle w:val="40"/>
                    <w:bidi w:val="0"/>
                  </w:pPr>
                  <w:r>
                    <w:t>与原环评</w:t>
                  </w:r>
                </w:p>
                <w:p>
                  <w:pPr>
                    <w:pStyle w:val="40"/>
                    <w:bidi w:val="0"/>
                  </w:pPr>
                  <w:r>
                    <w:t>监测点位 关系</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40"/>
                    <w:bidi w:val="0"/>
                  </w:pPr>
                  <w:r>
                    <w:t>监测指标</w:t>
                  </w:r>
                </w:p>
              </w:tc>
            </w:tr>
            <w:tr>
              <w:tblPrEx>
                <w:tblCellMar>
                  <w:top w:w="0" w:type="dxa"/>
                  <w:left w:w="0" w:type="dxa"/>
                  <w:bottom w:w="0" w:type="dxa"/>
                  <w:right w:w="0" w:type="dxa"/>
                </w:tblCellMar>
              </w:tblPrEx>
              <w:trPr>
                <w:trHeight w:val="454" w:hRule="atLeast"/>
                <w:jc w:val="center"/>
              </w:trPr>
              <w:tc>
                <w:tcPr>
                  <w:tcW w:w="496" w:type="dxa"/>
                  <w:tcBorders>
                    <w:top w:val="single" w:color="000000" w:sz="4" w:space="0"/>
                    <w:left w:val="single" w:color="000000" w:sz="4" w:space="0"/>
                    <w:bottom w:val="single" w:color="000000" w:sz="4" w:space="0"/>
                    <w:right w:val="single" w:color="000000" w:sz="4" w:space="0"/>
                  </w:tcBorders>
                  <w:vAlign w:val="center"/>
                </w:tcPr>
                <w:p>
                  <w:pPr>
                    <w:pStyle w:val="40"/>
                    <w:bidi w:val="0"/>
                  </w:pPr>
                  <w:r>
                    <w:t>1#</w:t>
                  </w:r>
                </w:p>
              </w:tc>
              <w:tc>
                <w:tcPr>
                  <w:tcW w:w="953" w:type="dxa"/>
                  <w:tcBorders>
                    <w:top w:val="single" w:color="000000" w:sz="4" w:space="0"/>
                    <w:left w:val="single" w:color="000000" w:sz="4" w:space="0"/>
                    <w:bottom w:val="single" w:color="000000" w:sz="4" w:space="0"/>
                    <w:right w:val="single" w:color="000000" w:sz="4" w:space="0"/>
                  </w:tcBorders>
                  <w:vAlign w:val="center"/>
                </w:tcPr>
                <w:p>
                  <w:pPr>
                    <w:pStyle w:val="40"/>
                    <w:bidi w:val="0"/>
                  </w:pPr>
                  <w:r>
                    <w:t>淮南农场</w:t>
                  </w:r>
                </w:p>
              </w:tc>
              <w:tc>
                <w:tcPr>
                  <w:tcW w:w="719" w:type="dxa"/>
                  <w:tcBorders>
                    <w:top w:val="single" w:color="000000" w:sz="4" w:space="0"/>
                    <w:left w:val="single" w:color="000000" w:sz="4" w:space="0"/>
                    <w:bottom w:val="single" w:color="000000" w:sz="4" w:space="0"/>
                    <w:right w:val="single" w:color="000000" w:sz="4" w:space="0"/>
                  </w:tcBorders>
                  <w:vAlign w:val="center"/>
                </w:tcPr>
                <w:p>
                  <w:pPr>
                    <w:pStyle w:val="40"/>
                    <w:bidi w:val="0"/>
                  </w:pPr>
                  <w:r>
                    <w:t>区外</w:t>
                  </w:r>
                </w:p>
              </w:tc>
              <w:tc>
                <w:tcPr>
                  <w:tcW w:w="1173" w:type="dxa"/>
                  <w:tcBorders>
                    <w:top w:val="single" w:color="000000" w:sz="4" w:space="0"/>
                    <w:left w:val="single" w:color="000000" w:sz="4" w:space="0"/>
                    <w:bottom w:val="single" w:color="000000" w:sz="4" w:space="0"/>
                    <w:right w:val="single" w:color="000000" w:sz="4" w:space="0"/>
                  </w:tcBorders>
                  <w:vAlign w:val="center"/>
                </w:tcPr>
                <w:p>
                  <w:pPr>
                    <w:pStyle w:val="40"/>
                    <w:bidi w:val="0"/>
                  </w:pPr>
                  <w:r>
                    <w:t>1000</w:t>
                  </w: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bidi w:val="0"/>
                  </w:pPr>
                  <w:r>
                    <w:t>主导风上风向</w:t>
                  </w:r>
                </w:p>
                <w:p>
                  <w:pPr>
                    <w:pStyle w:val="40"/>
                    <w:bidi w:val="0"/>
                  </w:pPr>
                  <w:r>
                    <w:t>对照点</w:t>
                  </w: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0"/>
                    <w:bidi w:val="0"/>
                  </w:pPr>
                  <w:r>
                    <w:t>117.100214,32.645130</w:t>
                  </w:r>
                </w:p>
              </w:tc>
              <w:tc>
                <w:tcPr>
                  <w:tcW w:w="1068" w:type="dxa"/>
                  <w:tcBorders>
                    <w:top w:val="single" w:color="000000" w:sz="4" w:space="0"/>
                    <w:left w:val="single" w:color="000000" w:sz="4" w:space="0"/>
                    <w:bottom w:val="single" w:color="000000" w:sz="4" w:space="0"/>
                    <w:right w:val="single" w:color="000000" w:sz="4" w:space="0"/>
                  </w:tcBorders>
                  <w:vAlign w:val="center"/>
                </w:tcPr>
                <w:p>
                  <w:pPr>
                    <w:pStyle w:val="40"/>
                    <w:bidi w:val="0"/>
                  </w:pPr>
                  <w:r>
                    <w:t>一致</w:t>
                  </w:r>
                </w:p>
              </w:tc>
              <w:tc>
                <w:tcPr>
                  <w:tcW w:w="1627" w:type="dxa"/>
                  <w:vMerge w:val="restart"/>
                  <w:tcBorders>
                    <w:top w:val="single" w:color="000000" w:sz="4" w:space="0"/>
                    <w:left w:val="single" w:color="000000" w:sz="4" w:space="0"/>
                    <w:right w:val="single" w:color="000000" w:sz="4" w:space="0"/>
                  </w:tcBorders>
                  <w:vAlign w:val="center"/>
                </w:tcPr>
                <w:p>
                  <w:pPr>
                    <w:pStyle w:val="40"/>
                    <w:bidi w:val="0"/>
                  </w:pPr>
                  <w:r>
                    <w:t>非甲烷总烃、</w:t>
                  </w:r>
                </w:p>
              </w:tc>
            </w:tr>
            <w:tr>
              <w:tblPrEx>
                <w:tblCellMar>
                  <w:top w:w="0" w:type="dxa"/>
                  <w:left w:w="0" w:type="dxa"/>
                  <w:bottom w:w="0" w:type="dxa"/>
                  <w:right w:w="0" w:type="dxa"/>
                </w:tblCellMar>
              </w:tblPrEx>
              <w:trPr>
                <w:trHeight w:val="454" w:hRule="atLeast"/>
                <w:jc w:val="center"/>
              </w:trPr>
              <w:tc>
                <w:tcPr>
                  <w:tcW w:w="496" w:type="dxa"/>
                  <w:tcBorders>
                    <w:top w:val="single" w:color="000000" w:sz="4" w:space="0"/>
                    <w:left w:val="single" w:color="000000" w:sz="4" w:space="0"/>
                    <w:bottom w:val="single" w:color="000000" w:sz="4" w:space="0"/>
                    <w:right w:val="single" w:color="000000" w:sz="4" w:space="0"/>
                  </w:tcBorders>
                  <w:vAlign w:val="center"/>
                </w:tcPr>
                <w:p>
                  <w:pPr>
                    <w:pStyle w:val="40"/>
                    <w:bidi w:val="0"/>
                  </w:pPr>
                  <w:r>
                    <w:t>2#</w:t>
                  </w:r>
                </w:p>
              </w:tc>
              <w:tc>
                <w:tcPr>
                  <w:tcW w:w="953" w:type="dxa"/>
                  <w:tcBorders>
                    <w:top w:val="single" w:color="000000" w:sz="4" w:space="0"/>
                    <w:left w:val="single" w:color="000000" w:sz="4" w:space="0"/>
                    <w:bottom w:val="single" w:color="000000" w:sz="4" w:space="0"/>
                    <w:right w:val="single" w:color="000000" w:sz="4" w:space="0"/>
                  </w:tcBorders>
                  <w:vAlign w:val="center"/>
                </w:tcPr>
                <w:p>
                  <w:pPr>
                    <w:pStyle w:val="40"/>
                    <w:bidi w:val="0"/>
                  </w:pPr>
                  <w:r>
                    <w:t>宫集村</w:t>
                  </w:r>
                </w:p>
              </w:tc>
              <w:tc>
                <w:tcPr>
                  <w:tcW w:w="719" w:type="dxa"/>
                  <w:tcBorders>
                    <w:top w:val="single" w:color="000000" w:sz="4" w:space="0"/>
                    <w:left w:val="single" w:color="000000" w:sz="4" w:space="0"/>
                    <w:bottom w:val="single" w:color="000000" w:sz="4" w:space="0"/>
                    <w:right w:val="single" w:color="000000" w:sz="4" w:space="0"/>
                  </w:tcBorders>
                  <w:vAlign w:val="center"/>
                </w:tcPr>
                <w:p>
                  <w:pPr>
                    <w:pStyle w:val="40"/>
                    <w:bidi w:val="0"/>
                  </w:pPr>
                  <w:r>
                    <w:t>区内</w:t>
                  </w:r>
                </w:p>
              </w:tc>
              <w:tc>
                <w:tcPr>
                  <w:tcW w:w="1173"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bidi w:val="0"/>
                  </w:pPr>
                  <w:r>
                    <w:t>4.29km2规划区</w:t>
                  </w: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0"/>
                    <w:bidi w:val="0"/>
                  </w:pPr>
                  <w:r>
                    <w:t>117.061601,32.657551</w:t>
                  </w:r>
                </w:p>
              </w:tc>
              <w:tc>
                <w:tcPr>
                  <w:tcW w:w="1068" w:type="dxa"/>
                  <w:tcBorders>
                    <w:top w:val="single" w:color="000000" w:sz="4" w:space="0"/>
                    <w:left w:val="single" w:color="000000" w:sz="4" w:space="0"/>
                    <w:bottom w:val="single" w:color="000000" w:sz="4" w:space="0"/>
                    <w:right w:val="single" w:color="000000" w:sz="4" w:space="0"/>
                  </w:tcBorders>
                  <w:vAlign w:val="center"/>
                </w:tcPr>
                <w:p>
                  <w:pPr>
                    <w:pStyle w:val="40"/>
                    <w:bidi w:val="0"/>
                  </w:pPr>
                  <w:r>
                    <w:t>一致</w:t>
                  </w:r>
                </w:p>
              </w:tc>
              <w:tc>
                <w:tcPr>
                  <w:tcW w:w="1627" w:type="dxa"/>
                  <w:vMerge w:val="continue"/>
                  <w:tcBorders>
                    <w:left w:val="single" w:color="000000" w:sz="4" w:space="0"/>
                    <w:bottom w:val="single" w:color="000000" w:sz="4" w:space="0"/>
                    <w:right w:val="single" w:color="000000" w:sz="4" w:space="0"/>
                  </w:tcBorders>
                  <w:vAlign w:val="center"/>
                </w:tcPr>
                <w:p>
                  <w:pPr>
                    <w:pStyle w:val="40"/>
                    <w:bidi w:val="0"/>
                  </w:pPr>
                </w:p>
              </w:tc>
            </w:tr>
            <w:tr>
              <w:tblPrEx>
                <w:tblCellMar>
                  <w:top w:w="0" w:type="dxa"/>
                  <w:left w:w="0" w:type="dxa"/>
                  <w:bottom w:w="0" w:type="dxa"/>
                  <w:right w:w="0" w:type="dxa"/>
                </w:tblCellMar>
              </w:tblPrEx>
              <w:trPr>
                <w:trHeight w:val="454" w:hRule="atLeast"/>
                <w:jc w:val="center"/>
              </w:trPr>
              <w:tc>
                <w:tcPr>
                  <w:tcW w:w="496" w:type="dxa"/>
                  <w:tcBorders>
                    <w:top w:val="single" w:color="000000" w:sz="4" w:space="0"/>
                    <w:left w:val="single" w:color="000000" w:sz="4" w:space="0"/>
                    <w:bottom w:val="single" w:color="000000" w:sz="4" w:space="0"/>
                    <w:right w:val="single" w:color="000000" w:sz="4" w:space="0"/>
                  </w:tcBorders>
                  <w:vAlign w:val="center"/>
                </w:tcPr>
                <w:p>
                  <w:pPr>
                    <w:pStyle w:val="40"/>
                    <w:bidi w:val="0"/>
                  </w:pPr>
                  <w:r>
                    <w:t>3#</w:t>
                  </w:r>
                </w:p>
              </w:tc>
              <w:tc>
                <w:tcPr>
                  <w:tcW w:w="953" w:type="dxa"/>
                  <w:tcBorders>
                    <w:top w:val="single" w:color="000000" w:sz="4" w:space="0"/>
                    <w:left w:val="single" w:color="000000" w:sz="4" w:space="0"/>
                    <w:bottom w:val="single" w:color="000000" w:sz="4" w:space="0"/>
                    <w:right w:val="single" w:color="000000" w:sz="4" w:space="0"/>
                  </w:tcBorders>
                  <w:vAlign w:val="center"/>
                </w:tcPr>
                <w:p>
                  <w:pPr>
                    <w:pStyle w:val="40"/>
                    <w:bidi w:val="0"/>
                  </w:pPr>
                  <w:r>
                    <w:t>金地月伴湾小区</w:t>
                  </w:r>
                </w:p>
              </w:tc>
              <w:tc>
                <w:tcPr>
                  <w:tcW w:w="719" w:type="dxa"/>
                  <w:tcBorders>
                    <w:top w:val="single" w:color="000000" w:sz="4" w:space="0"/>
                    <w:left w:val="single" w:color="000000" w:sz="4" w:space="0"/>
                    <w:bottom w:val="single" w:color="000000" w:sz="4" w:space="0"/>
                    <w:right w:val="single" w:color="000000" w:sz="4" w:space="0"/>
                  </w:tcBorders>
                  <w:vAlign w:val="center"/>
                </w:tcPr>
                <w:p>
                  <w:pPr>
                    <w:pStyle w:val="40"/>
                    <w:bidi w:val="0"/>
                  </w:pPr>
                  <w:r>
                    <w:t>区内</w:t>
                  </w:r>
                </w:p>
              </w:tc>
              <w:tc>
                <w:tcPr>
                  <w:tcW w:w="1173"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bidi w:val="0"/>
                  </w:pPr>
                  <w:r>
                    <w:t>4.29km2规划区</w:t>
                  </w: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0"/>
                    <w:bidi w:val="0"/>
                  </w:pPr>
                  <w:r>
                    <w:t>117.055142,32.641724</w:t>
                  </w:r>
                </w:p>
              </w:tc>
              <w:tc>
                <w:tcPr>
                  <w:tcW w:w="1068" w:type="dxa"/>
                  <w:tcBorders>
                    <w:top w:val="single" w:color="000000" w:sz="4" w:space="0"/>
                    <w:left w:val="single" w:color="000000" w:sz="4" w:space="0"/>
                    <w:bottom w:val="single" w:color="000000" w:sz="4" w:space="0"/>
                    <w:right w:val="single" w:color="000000" w:sz="4" w:space="0"/>
                  </w:tcBorders>
                  <w:vAlign w:val="center"/>
                </w:tcPr>
                <w:p>
                  <w:pPr>
                    <w:pStyle w:val="40"/>
                    <w:bidi w:val="0"/>
                  </w:pPr>
                  <w:r>
                    <w:t>本次新增点位，替代顾庄点位</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40"/>
                    <w:bidi w:val="0"/>
                  </w:pPr>
                  <w:r>
                    <w:t>非甲烷总烃</w:t>
                  </w:r>
                </w:p>
              </w:tc>
            </w:tr>
            <w:tr>
              <w:tblPrEx>
                <w:tblCellMar>
                  <w:top w:w="0" w:type="dxa"/>
                  <w:left w:w="0" w:type="dxa"/>
                  <w:bottom w:w="0" w:type="dxa"/>
                  <w:right w:w="0" w:type="dxa"/>
                </w:tblCellMar>
              </w:tblPrEx>
              <w:trPr>
                <w:trHeight w:val="454" w:hRule="atLeast"/>
                <w:jc w:val="center"/>
              </w:trPr>
              <w:tc>
                <w:tcPr>
                  <w:tcW w:w="496" w:type="dxa"/>
                  <w:tcBorders>
                    <w:top w:val="single" w:color="000000" w:sz="4" w:space="0"/>
                    <w:left w:val="single" w:color="000000" w:sz="4" w:space="0"/>
                    <w:right w:val="single" w:color="000000" w:sz="4" w:space="0"/>
                  </w:tcBorders>
                  <w:vAlign w:val="center"/>
                </w:tcPr>
                <w:p>
                  <w:pPr>
                    <w:pStyle w:val="40"/>
                    <w:bidi w:val="0"/>
                  </w:pPr>
                  <w:r>
                    <w:t>4#</w:t>
                  </w:r>
                </w:p>
              </w:tc>
              <w:tc>
                <w:tcPr>
                  <w:tcW w:w="953" w:type="dxa"/>
                  <w:tcBorders>
                    <w:top w:val="single" w:color="000000" w:sz="4" w:space="0"/>
                    <w:left w:val="single" w:color="000000" w:sz="4" w:space="0"/>
                    <w:right w:val="single" w:color="000000" w:sz="4" w:space="0"/>
                  </w:tcBorders>
                  <w:vAlign w:val="center"/>
                </w:tcPr>
                <w:p>
                  <w:pPr>
                    <w:pStyle w:val="40"/>
                    <w:bidi w:val="0"/>
                  </w:pPr>
                  <w:r>
                    <w:t>淮南文 汇学校</w:t>
                  </w:r>
                </w:p>
              </w:tc>
              <w:tc>
                <w:tcPr>
                  <w:tcW w:w="719" w:type="dxa"/>
                  <w:tcBorders>
                    <w:top w:val="single" w:color="000000" w:sz="4" w:space="0"/>
                    <w:left w:val="single" w:color="000000" w:sz="4" w:space="0"/>
                    <w:right w:val="single" w:color="000000" w:sz="4" w:space="0"/>
                  </w:tcBorders>
                  <w:vAlign w:val="center"/>
                </w:tcPr>
                <w:p>
                  <w:pPr>
                    <w:pStyle w:val="40"/>
                    <w:bidi w:val="0"/>
                  </w:pPr>
                  <w:r>
                    <w:t>区内</w:t>
                  </w:r>
                </w:p>
              </w:tc>
              <w:tc>
                <w:tcPr>
                  <w:tcW w:w="1173" w:type="dxa"/>
                  <w:tcBorders>
                    <w:top w:val="single" w:color="000000" w:sz="4" w:space="0"/>
                    <w:left w:val="single" w:color="000000" w:sz="4" w:space="0"/>
                    <w:right w:val="single" w:color="000000" w:sz="4" w:space="0"/>
                  </w:tcBorders>
                  <w:vAlign w:val="center"/>
                </w:tcPr>
                <w:p>
                  <w:pPr>
                    <w:pStyle w:val="40"/>
                    <w:bidi w:val="0"/>
                  </w:pPr>
                  <w:r>
                    <w:t>/</w:t>
                  </w:r>
                </w:p>
              </w:tc>
              <w:tc>
                <w:tcPr>
                  <w:tcW w:w="1685" w:type="dxa"/>
                  <w:tcBorders>
                    <w:top w:val="single" w:color="000000" w:sz="4" w:space="0"/>
                    <w:left w:val="single" w:color="000000" w:sz="4" w:space="0"/>
                    <w:right w:val="single" w:color="000000" w:sz="4" w:space="0"/>
                  </w:tcBorders>
                  <w:vAlign w:val="center"/>
                </w:tcPr>
                <w:p>
                  <w:pPr>
                    <w:pStyle w:val="40"/>
                    <w:bidi w:val="0"/>
                  </w:pPr>
                  <w:r>
                    <w:t>20km2规划区</w:t>
                  </w:r>
                </w:p>
              </w:tc>
              <w:tc>
                <w:tcPr>
                  <w:tcW w:w="1558" w:type="dxa"/>
                  <w:tcBorders>
                    <w:top w:val="single" w:color="000000" w:sz="4" w:space="0"/>
                    <w:left w:val="single" w:color="000000" w:sz="4" w:space="0"/>
                    <w:right w:val="single" w:color="000000" w:sz="4" w:space="0"/>
                  </w:tcBorders>
                  <w:vAlign w:val="center"/>
                </w:tcPr>
                <w:p>
                  <w:pPr>
                    <w:pStyle w:val="40"/>
                    <w:bidi w:val="0"/>
                  </w:pPr>
                  <w:r>
                    <w:t>117.044531,32.660947</w:t>
                  </w:r>
                </w:p>
              </w:tc>
              <w:tc>
                <w:tcPr>
                  <w:tcW w:w="1068" w:type="dxa"/>
                  <w:tcBorders>
                    <w:top w:val="single" w:color="000000" w:sz="4" w:space="0"/>
                    <w:left w:val="single" w:color="000000" w:sz="4" w:space="0"/>
                    <w:right w:val="single" w:color="000000" w:sz="4" w:space="0"/>
                  </w:tcBorders>
                  <w:vAlign w:val="center"/>
                </w:tcPr>
                <w:p>
                  <w:pPr>
                    <w:pStyle w:val="40"/>
                    <w:bidi w:val="0"/>
                  </w:pPr>
                  <w:r>
                    <w:t>一致</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40"/>
                    <w:bidi w:val="0"/>
                  </w:pPr>
                  <w:r>
                    <w:t>SO2、NO2、PM10、PM2.5、CO、O3、非甲烷总烃、</w:t>
                  </w:r>
                </w:p>
              </w:tc>
            </w:tr>
            <w:tr>
              <w:tblPrEx>
                <w:tblCellMar>
                  <w:top w:w="0" w:type="dxa"/>
                  <w:left w:w="0" w:type="dxa"/>
                  <w:bottom w:w="0" w:type="dxa"/>
                  <w:right w:w="0" w:type="dxa"/>
                </w:tblCellMar>
              </w:tblPrEx>
              <w:trPr>
                <w:trHeight w:val="454" w:hRule="atLeast"/>
                <w:jc w:val="center"/>
              </w:trPr>
              <w:tc>
                <w:tcPr>
                  <w:tcW w:w="496" w:type="dxa"/>
                  <w:tcBorders>
                    <w:top w:val="single" w:color="000000" w:sz="4" w:space="0"/>
                    <w:left w:val="single" w:color="000000" w:sz="4" w:space="0"/>
                    <w:bottom w:val="single" w:color="000000" w:sz="4" w:space="0"/>
                    <w:right w:val="single" w:color="000000" w:sz="4" w:space="0"/>
                  </w:tcBorders>
                  <w:vAlign w:val="center"/>
                </w:tcPr>
                <w:p>
                  <w:pPr>
                    <w:pStyle w:val="40"/>
                    <w:bidi w:val="0"/>
                  </w:pPr>
                  <w:r>
                    <w:t>5#</w:t>
                  </w:r>
                </w:p>
              </w:tc>
              <w:tc>
                <w:tcPr>
                  <w:tcW w:w="953" w:type="dxa"/>
                  <w:tcBorders>
                    <w:top w:val="single" w:color="000000" w:sz="4" w:space="0"/>
                    <w:left w:val="single" w:color="000000" w:sz="4" w:space="0"/>
                    <w:bottom w:val="single" w:color="000000" w:sz="4" w:space="0"/>
                    <w:right w:val="single" w:color="000000" w:sz="4" w:space="0"/>
                  </w:tcBorders>
                  <w:vAlign w:val="center"/>
                </w:tcPr>
                <w:p>
                  <w:pPr>
                    <w:pStyle w:val="40"/>
                    <w:bidi w:val="0"/>
                  </w:pPr>
                  <w:r>
                    <w:t>淮南富力城小区</w:t>
                  </w:r>
                </w:p>
              </w:tc>
              <w:tc>
                <w:tcPr>
                  <w:tcW w:w="719" w:type="dxa"/>
                  <w:tcBorders>
                    <w:top w:val="single" w:color="000000" w:sz="4" w:space="0"/>
                    <w:left w:val="single" w:color="000000" w:sz="4" w:space="0"/>
                    <w:bottom w:val="single" w:color="000000" w:sz="4" w:space="0"/>
                    <w:right w:val="single" w:color="000000" w:sz="4" w:space="0"/>
                  </w:tcBorders>
                  <w:vAlign w:val="center"/>
                </w:tcPr>
                <w:p>
                  <w:pPr>
                    <w:pStyle w:val="40"/>
                    <w:bidi w:val="0"/>
                  </w:pPr>
                  <w:r>
                    <w:t>区内</w:t>
                  </w:r>
                </w:p>
              </w:tc>
              <w:tc>
                <w:tcPr>
                  <w:tcW w:w="1173"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bidi w:val="0"/>
                  </w:pPr>
                  <w:r>
                    <w:t>20km2规划区</w:t>
                  </w: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0"/>
                    <w:bidi w:val="0"/>
                  </w:pPr>
                  <w:r>
                    <w:t>117.077608,32.650758</w:t>
                  </w:r>
                </w:p>
              </w:tc>
              <w:tc>
                <w:tcPr>
                  <w:tcW w:w="1068" w:type="dxa"/>
                  <w:tcBorders>
                    <w:top w:val="single" w:color="000000" w:sz="4" w:space="0"/>
                    <w:left w:val="single" w:color="000000" w:sz="4" w:space="0"/>
                    <w:bottom w:val="single" w:color="000000" w:sz="4" w:space="0"/>
                    <w:right w:val="single" w:color="000000" w:sz="4" w:space="0"/>
                  </w:tcBorders>
                  <w:vAlign w:val="center"/>
                </w:tcPr>
                <w:p>
                  <w:pPr>
                    <w:pStyle w:val="40"/>
                    <w:bidi w:val="0"/>
                  </w:pPr>
                  <w:r>
                    <w:t>本次新增</w:t>
                  </w:r>
                </w:p>
                <w:p>
                  <w:pPr>
                    <w:pStyle w:val="40"/>
                    <w:bidi w:val="0"/>
                  </w:pPr>
                  <w:r>
                    <w:t>点位</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40"/>
                    <w:bidi w:val="0"/>
                  </w:pPr>
                  <w:r>
                    <w:t>非甲烷总烃、</w:t>
                  </w:r>
                </w:p>
              </w:tc>
            </w:tr>
            <w:tr>
              <w:tblPrEx>
                <w:tblCellMar>
                  <w:top w:w="0" w:type="dxa"/>
                  <w:left w:w="0" w:type="dxa"/>
                  <w:bottom w:w="0" w:type="dxa"/>
                  <w:right w:w="0" w:type="dxa"/>
                </w:tblCellMar>
              </w:tblPrEx>
              <w:trPr>
                <w:trHeight w:val="454" w:hRule="atLeast"/>
                <w:jc w:val="center"/>
              </w:trPr>
              <w:tc>
                <w:tcPr>
                  <w:tcW w:w="496" w:type="dxa"/>
                  <w:tcBorders>
                    <w:top w:val="single" w:color="000000" w:sz="4" w:space="0"/>
                    <w:left w:val="single" w:color="000000" w:sz="4" w:space="0"/>
                    <w:right w:val="single" w:color="000000" w:sz="4" w:space="0"/>
                  </w:tcBorders>
                  <w:vAlign w:val="center"/>
                </w:tcPr>
                <w:p>
                  <w:pPr>
                    <w:pStyle w:val="40"/>
                    <w:bidi w:val="0"/>
                  </w:pPr>
                  <w:r>
                    <w:t>6#</w:t>
                  </w:r>
                </w:p>
              </w:tc>
              <w:tc>
                <w:tcPr>
                  <w:tcW w:w="953" w:type="dxa"/>
                  <w:tcBorders>
                    <w:top w:val="single" w:color="000000" w:sz="4" w:space="0"/>
                    <w:left w:val="single" w:color="000000" w:sz="4" w:space="0"/>
                    <w:right w:val="single" w:color="000000" w:sz="4" w:space="0"/>
                  </w:tcBorders>
                  <w:vAlign w:val="center"/>
                </w:tcPr>
                <w:p>
                  <w:pPr>
                    <w:pStyle w:val="40"/>
                    <w:bidi w:val="0"/>
                  </w:pPr>
                  <w:r>
                    <w:t>市二十</w:t>
                  </w:r>
                </w:p>
                <w:p>
                  <w:pPr>
                    <w:pStyle w:val="40"/>
                    <w:bidi w:val="0"/>
                  </w:pPr>
                  <w:r>
                    <w:t>三中</w:t>
                  </w:r>
                </w:p>
              </w:tc>
              <w:tc>
                <w:tcPr>
                  <w:tcW w:w="719" w:type="dxa"/>
                  <w:tcBorders>
                    <w:top w:val="single" w:color="000000" w:sz="4" w:space="0"/>
                    <w:left w:val="single" w:color="000000" w:sz="4" w:space="0"/>
                    <w:right w:val="single" w:color="000000" w:sz="4" w:space="0"/>
                  </w:tcBorders>
                  <w:vAlign w:val="center"/>
                </w:tcPr>
                <w:p>
                  <w:pPr>
                    <w:pStyle w:val="40"/>
                    <w:bidi w:val="0"/>
                  </w:pPr>
                  <w:r>
                    <w:t>区外</w:t>
                  </w:r>
                </w:p>
              </w:tc>
              <w:tc>
                <w:tcPr>
                  <w:tcW w:w="1173" w:type="dxa"/>
                  <w:tcBorders>
                    <w:top w:val="single" w:color="000000" w:sz="4" w:space="0"/>
                    <w:left w:val="single" w:color="000000" w:sz="4" w:space="0"/>
                    <w:right w:val="single" w:color="000000" w:sz="4" w:space="0"/>
                  </w:tcBorders>
                  <w:vAlign w:val="center"/>
                </w:tcPr>
                <w:p>
                  <w:pPr>
                    <w:pStyle w:val="40"/>
                    <w:bidi w:val="0"/>
                  </w:pPr>
                  <w:r>
                    <w:t>1500</w:t>
                  </w:r>
                </w:p>
              </w:tc>
              <w:tc>
                <w:tcPr>
                  <w:tcW w:w="1685" w:type="dxa"/>
                  <w:tcBorders>
                    <w:top w:val="single" w:color="000000" w:sz="4" w:space="0"/>
                    <w:left w:val="single" w:color="000000" w:sz="4" w:space="0"/>
                    <w:right w:val="single" w:color="000000" w:sz="4" w:space="0"/>
                  </w:tcBorders>
                  <w:vAlign w:val="center"/>
                </w:tcPr>
                <w:p>
                  <w:pPr>
                    <w:pStyle w:val="40"/>
                    <w:bidi w:val="0"/>
                  </w:pPr>
                  <w:r>
                    <w:t>下风向敏感点</w:t>
                  </w:r>
                </w:p>
              </w:tc>
              <w:tc>
                <w:tcPr>
                  <w:tcW w:w="1558" w:type="dxa"/>
                  <w:tcBorders>
                    <w:top w:val="single" w:color="000000" w:sz="4" w:space="0"/>
                    <w:left w:val="single" w:color="000000" w:sz="4" w:space="0"/>
                    <w:right w:val="single" w:color="000000" w:sz="4" w:space="0"/>
                  </w:tcBorders>
                  <w:vAlign w:val="center"/>
                </w:tcPr>
                <w:p>
                  <w:pPr>
                    <w:pStyle w:val="40"/>
                    <w:bidi w:val="0"/>
                  </w:pPr>
                  <w:r>
                    <w:t>117.043507,32.661430</w:t>
                  </w:r>
                </w:p>
              </w:tc>
              <w:tc>
                <w:tcPr>
                  <w:tcW w:w="1068" w:type="dxa"/>
                  <w:tcBorders>
                    <w:top w:val="single" w:color="000000" w:sz="4" w:space="0"/>
                    <w:left w:val="single" w:color="000000" w:sz="4" w:space="0"/>
                    <w:right w:val="single" w:color="000000" w:sz="4" w:space="0"/>
                  </w:tcBorders>
                  <w:vAlign w:val="center"/>
                </w:tcPr>
                <w:p>
                  <w:pPr>
                    <w:pStyle w:val="40"/>
                    <w:bidi w:val="0"/>
                  </w:pPr>
                  <w:r>
                    <w:t>一致</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40"/>
                    <w:bidi w:val="0"/>
                  </w:pPr>
                  <w:r>
                    <w:t>SO2、NO2、PM10、PM2.5、CO、O3、</w:t>
                  </w:r>
                </w:p>
              </w:tc>
            </w:tr>
            <w:tr>
              <w:tblPrEx>
                <w:tblCellMar>
                  <w:top w:w="0" w:type="dxa"/>
                  <w:left w:w="0" w:type="dxa"/>
                  <w:bottom w:w="0" w:type="dxa"/>
                  <w:right w:w="0" w:type="dxa"/>
                </w:tblCellMar>
              </w:tblPrEx>
              <w:trPr>
                <w:trHeight w:val="454" w:hRule="atLeast"/>
                <w:jc w:val="center"/>
              </w:trPr>
              <w:tc>
                <w:tcPr>
                  <w:tcW w:w="496" w:type="dxa"/>
                  <w:tcBorders>
                    <w:top w:val="single" w:color="000000" w:sz="4" w:space="0"/>
                    <w:left w:val="single" w:color="000000" w:sz="4" w:space="0"/>
                    <w:bottom w:val="single" w:color="000000" w:sz="4" w:space="0"/>
                    <w:right w:val="single" w:color="000000" w:sz="4" w:space="0"/>
                  </w:tcBorders>
                  <w:vAlign w:val="center"/>
                </w:tcPr>
                <w:p>
                  <w:pPr>
                    <w:pStyle w:val="40"/>
                    <w:bidi w:val="0"/>
                  </w:pPr>
                  <w:r>
                    <w:t>7#</w:t>
                  </w:r>
                </w:p>
              </w:tc>
              <w:tc>
                <w:tcPr>
                  <w:tcW w:w="953" w:type="dxa"/>
                  <w:tcBorders>
                    <w:top w:val="single" w:color="000000" w:sz="4" w:space="0"/>
                    <w:left w:val="single" w:color="000000" w:sz="4" w:space="0"/>
                    <w:bottom w:val="single" w:color="000000" w:sz="4" w:space="0"/>
                    <w:right w:val="single" w:color="000000" w:sz="4" w:space="0"/>
                  </w:tcBorders>
                  <w:vAlign w:val="center"/>
                </w:tcPr>
                <w:p>
                  <w:pPr>
                    <w:pStyle w:val="40"/>
                    <w:bidi w:val="0"/>
                  </w:pPr>
                  <w:r>
                    <w:t>馨雅苑</w:t>
                  </w:r>
                </w:p>
              </w:tc>
              <w:tc>
                <w:tcPr>
                  <w:tcW w:w="719" w:type="dxa"/>
                  <w:tcBorders>
                    <w:top w:val="single" w:color="000000" w:sz="4" w:space="0"/>
                    <w:left w:val="single" w:color="000000" w:sz="4" w:space="0"/>
                    <w:bottom w:val="single" w:color="000000" w:sz="4" w:space="0"/>
                    <w:right w:val="single" w:color="000000" w:sz="4" w:space="0"/>
                  </w:tcBorders>
                  <w:vAlign w:val="center"/>
                </w:tcPr>
                <w:p>
                  <w:pPr>
                    <w:pStyle w:val="40"/>
                    <w:bidi w:val="0"/>
                  </w:pPr>
                  <w:r>
                    <w:t>区外</w:t>
                  </w:r>
                </w:p>
              </w:tc>
              <w:tc>
                <w:tcPr>
                  <w:tcW w:w="1173" w:type="dxa"/>
                  <w:tcBorders>
                    <w:top w:val="single" w:color="000000" w:sz="4" w:space="0"/>
                    <w:left w:val="single" w:color="000000" w:sz="4" w:space="0"/>
                    <w:bottom w:val="single" w:color="000000" w:sz="4" w:space="0"/>
                    <w:right w:val="single" w:color="000000" w:sz="4" w:space="0"/>
                  </w:tcBorders>
                  <w:vAlign w:val="center"/>
                </w:tcPr>
                <w:p>
                  <w:pPr>
                    <w:pStyle w:val="40"/>
                    <w:bidi w:val="0"/>
                  </w:pPr>
                  <w:r>
                    <w:t>2000</w:t>
                  </w:r>
                </w:p>
              </w:tc>
              <w:tc>
                <w:tcPr>
                  <w:tcW w:w="1685" w:type="dxa"/>
                  <w:tcBorders>
                    <w:top w:val="single" w:color="000000" w:sz="4" w:space="0"/>
                    <w:left w:val="single" w:color="000000" w:sz="4" w:space="0"/>
                    <w:bottom w:val="single" w:color="000000" w:sz="4" w:space="0"/>
                    <w:right w:val="single" w:color="000000" w:sz="4" w:space="0"/>
                  </w:tcBorders>
                  <w:vAlign w:val="center"/>
                </w:tcPr>
                <w:p>
                  <w:pPr>
                    <w:pStyle w:val="40"/>
                    <w:bidi w:val="0"/>
                  </w:pPr>
                  <w:r>
                    <w:t>下风向敏感点</w:t>
                  </w:r>
                </w:p>
              </w:tc>
              <w:tc>
                <w:tcPr>
                  <w:tcW w:w="1558" w:type="dxa"/>
                  <w:tcBorders>
                    <w:top w:val="single" w:color="000000" w:sz="4" w:space="0"/>
                    <w:left w:val="single" w:color="000000" w:sz="4" w:space="0"/>
                    <w:bottom w:val="single" w:color="000000" w:sz="4" w:space="0"/>
                    <w:right w:val="single" w:color="000000" w:sz="4" w:space="0"/>
                  </w:tcBorders>
                  <w:vAlign w:val="center"/>
                </w:tcPr>
                <w:p>
                  <w:pPr>
                    <w:pStyle w:val="40"/>
                    <w:bidi w:val="0"/>
                  </w:pPr>
                  <w:r>
                    <w:t>117.027397,32.645274</w:t>
                  </w:r>
                </w:p>
              </w:tc>
              <w:tc>
                <w:tcPr>
                  <w:tcW w:w="1068" w:type="dxa"/>
                  <w:tcBorders>
                    <w:top w:val="single" w:color="000000" w:sz="4" w:space="0"/>
                    <w:left w:val="single" w:color="000000" w:sz="4" w:space="0"/>
                    <w:bottom w:val="single" w:color="000000" w:sz="4" w:space="0"/>
                    <w:right w:val="single" w:color="000000" w:sz="4" w:space="0"/>
                  </w:tcBorders>
                  <w:vAlign w:val="center"/>
                </w:tcPr>
                <w:p>
                  <w:pPr>
                    <w:pStyle w:val="40"/>
                    <w:bidi w:val="0"/>
                  </w:pPr>
                  <w:r>
                    <w:t>一致</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40"/>
                    <w:bidi w:val="0"/>
                  </w:pPr>
                  <w:r>
                    <w:t>非甲烷总烃、</w:t>
                  </w:r>
                </w:p>
              </w:tc>
            </w:tr>
          </w:tbl>
          <w:p>
            <w:pPr>
              <w:pStyle w:val="29"/>
              <w:bidi w:val="0"/>
              <w:rPr>
                <w:rFonts w:hint="eastAsia"/>
                <w:lang w:val="en-US" w:eastAsia="zh-CN"/>
              </w:rPr>
            </w:pPr>
            <w:r>
              <w:rPr>
                <w:rFonts w:hint="eastAsia"/>
                <w:lang w:val="en-US" w:eastAsia="zh-CN"/>
              </w:rPr>
              <w:t>图3-3 环境空气检测点位</w:t>
            </w:r>
          </w:p>
          <w:p>
            <w:pPr>
              <w:pStyle w:val="30"/>
              <w:rPr>
                <w:rFonts w:hint="default"/>
                <w:lang w:val="en-US" w:eastAsia="zh-CN"/>
              </w:rPr>
            </w:pPr>
            <w:r>
              <w:rPr>
                <w:rFonts w:hint="default"/>
                <w:lang w:val="en-US" w:eastAsia="zh-CN"/>
              </w:rPr>
              <w:drawing>
                <wp:inline distT="0" distB="0" distL="114300" distR="114300">
                  <wp:extent cx="5874385" cy="3510280"/>
                  <wp:effectExtent l="0" t="0" r="12065" b="13970"/>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pic:cNvPicPr>
                        </pic:nvPicPr>
                        <pic:blipFill>
                          <a:blip r:embed="rId8"/>
                          <a:stretch>
                            <a:fillRect/>
                          </a:stretch>
                        </pic:blipFill>
                        <pic:spPr>
                          <a:xfrm>
                            <a:off x="0" y="0"/>
                            <a:ext cx="5874385" cy="3510280"/>
                          </a:xfrm>
                          <a:prstGeom prst="rect">
                            <a:avLst/>
                          </a:prstGeom>
                        </pic:spPr>
                      </pic:pic>
                    </a:graphicData>
                  </a:graphic>
                </wp:inline>
              </w:drawing>
            </w:r>
          </w:p>
          <w:p>
            <w:pPr>
              <w:pStyle w:val="5"/>
              <w:bidi w:val="0"/>
            </w:pPr>
            <w:r>
              <w:rPr>
                <w:rFonts w:hint="eastAsia"/>
                <w:lang w:eastAsia="zh-CN"/>
              </w:rPr>
              <w:t>（</w:t>
            </w:r>
            <w:r>
              <w:rPr>
                <w:rFonts w:hint="eastAsia"/>
                <w:lang w:val="en-US" w:eastAsia="zh-CN"/>
              </w:rPr>
              <w:t>3</w:t>
            </w:r>
            <w:r>
              <w:rPr>
                <w:rFonts w:hint="eastAsia"/>
                <w:lang w:eastAsia="zh-CN"/>
              </w:rPr>
              <w:t>）</w:t>
            </w:r>
            <w:r>
              <w:t>监测时间和频次</w:t>
            </w:r>
          </w:p>
          <w:p>
            <w:pPr>
              <w:pStyle w:val="5"/>
              <w:bidi w:val="0"/>
            </w:pPr>
            <w:r>
              <w:t>2020年5月11日~2020年5月17日，连续监测7天。采样同时记录风向、风速、气压、气温、相对湿度和天气状况等常规气象要素。</w:t>
            </w:r>
          </w:p>
          <w:p>
            <w:pPr>
              <w:pStyle w:val="5"/>
              <w:bidi w:val="0"/>
            </w:pPr>
            <w:r>
              <w:rPr>
                <w:rFonts w:hint="eastAsia"/>
                <w:lang w:eastAsia="zh-CN"/>
              </w:rPr>
              <w:t>（</w:t>
            </w:r>
            <w:r>
              <w:rPr>
                <w:rFonts w:hint="eastAsia"/>
                <w:lang w:val="en-US" w:eastAsia="zh-CN"/>
              </w:rPr>
              <w:t>4</w:t>
            </w:r>
            <w:r>
              <w:rPr>
                <w:rFonts w:hint="eastAsia"/>
                <w:lang w:eastAsia="zh-CN"/>
              </w:rPr>
              <w:t>）</w:t>
            </w:r>
            <w:r>
              <w:t>监测方法按国家环保局出版的《环境监测技术规范》和《环境空气质量标准》（GB3095-2012）中规定的分析方法进行。</w:t>
            </w:r>
          </w:p>
          <w:p>
            <w:pPr>
              <w:pStyle w:val="5"/>
              <w:bidi w:val="0"/>
              <w:rPr>
                <w:rFonts w:hint="eastAsia"/>
                <w:lang w:val="en-US" w:eastAsia="zh-CN"/>
              </w:rPr>
            </w:pPr>
            <w:r>
              <w:rPr>
                <w:rFonts w:hint="eastAsia"/>
                <w:lang w:eastAsia="zh-CN"/>
              </w:rPr>
              <w:t>（</w:t>
            </w:r>
            <w:r>
              <w:rPr>
                <w:rFonts w:hint="eastAsia"/>
                <w:lang w:val="en-US" w:eastAsia="zh-CN"/>
              </w:rPr>
              <w:t>5</w:t>
            </w:r>
            <w:r>
              <w:rPr>
                <w:rFonts w:hint="eastAsia"/>
                <w:lang w:eastAsia="zh-CN"/>
              </w:rPr>
              <w:t>）</w:t>
            </w:r>
            <w:r>
              <w:t>监测结果见</w:t>
            </w:r>
            <w:r>
              <w:rPr>
                <w:rFonts w:hint="eastAsia"/>
                <w:lang w:val="en-US" w:eastAsia="zh-CN"/>
              </w:rPr>
              <w:t>下表</w:t>
            </w:r>
          </w:p>
          <w:p>
            <w:pPr>
              <w:pStyle w:val="29"/>
              <w:bidi w:val="0"/>
            </w:pPr>
            <w:r>
              <w:rPr>
                <w:rFonts w:hint="eastAsia"/>
                <w:lang w:val="en-US" w:eastAsia="zh-CN"/>
              </w:rPr>
              <w:t>表3-4</w:t>
            </w:r>
            <w:r>
              <w:t>大气环境现状监测</w:t>
            </w:r>
            <w:r>
              <w:rPr>
                <w:rFonts w:hint="eastAsia"/>
                <w:lang w:val="en-US" w:eastAsia="zh-CN"/>
              </w:rPr>
              <w:t>值</w:t>
            </w:r>
          </w:p>
          <w:tbl>
            <w:tblPr>
              <w:tblStyle w:val="23"/>
              <w:tblW w:w="9286" w:type="dxa"/>
              <w:jc w:val="center"/>
              <w:tblLayout w:type="fixed"/>
              <w:tblCellMar>
                <w:top w:w="0" w:type="dxa"/>
                <w:left w:w="0" w:type="dxa"/>
                <w:bottom w:w="0" w:type="dxa"/>
                <w:right w:w="0" w:type="dxa"/>
              </w:tblCellMar>
            </w:tblPr>
            <w:tblGrid>
              <w:gridCol w:w="1142"/>
              <w:gridCol w:w="1916"/>
              <w:gridCol w:w="1373"/>
              <w:gridCol w:w="1107"/>
              <w:gridCol w:w="693"/>
              <w:gridCol w:w="1327"/>
              <w:gridCol w:w="1084"/>
              <w:gridCol w:w="644"/>
            </w:tblGrid>
            <w:tr>
              <w:trPr>
                <w:trHeight w:val="454" w:hRule="atLeast"/>
                <w:jc w:val="center"/>
              </w:trPr>
              <w:tc>
                <w:tcPr>
                  <w:tcW w:w="1142" w:type="dxa"/>
                  <w:vMerge w:val="restart"/>
                  <w:tcBorders>
                    <w:top w:val="single" w:color="000000" w:sz="4" w:space="0"/>
                    <w:left w:val="single" w:color="000000" w:sz="4" w:space="0"/>
                    <w:right w:val="single" w:color="000000" w:sz="4" w:space="0"/>
                  </w:tcBorders>
                  <w:vAlign w:val="center"/>
                </w:tcPr>
                <w:p>
                  <w:pPr>
                    <w:pStyle w:val="40"/>
                    <w:bidi w:val="0"/>
                  </w:pPr>
                  <w:r>
                    <w:t>项目</w:t>
                  </w:r>
                </w:p>
              </w:tc>
              <w:tc>
                <w:tcPr>
                  <w:tcW w:w="1916" w:type="dxa"/>
                  <w:vMerge w:val="restart"/>
                  <w:tcBorders>
                    <w:top w:val="single" w:color="000000" w:sz="4" w:space="0"/>
                    <w:left w:val="single" w:color="000000" w:sz="4" w:space="0"/>
                    <w:right w:val="single" w:color="000000" w:sz="4" w:space="0"/>
                  </w:tcBorders>
                  <w:vAlign w:val="center"/>
                </w:tcPr>
                <w:p>
                  <w:pPr>
                    <w:pStyle w:val="40"/>
                    <w:bidi w:val="0"/>
                  </w:pPr>
                  <w:r>
                    <w:t>测点编号及名称</w:t>
                  </w:r>
                </w:p>
              </w:tc>
              <w:tc>
                <w:tcPr>
                  <w:tcW w:w="3173" w:type="dxa"/>
                  <w:gridSpan w:val="3"/>
                  <w:tcBorders>
                    <w:top w:val="single" w:color="000000" w:sz="4" w:space="0"/>
                    <w:left w:val="single" w:color="000000" w:sz="4" w:space="0"/>
                    <w:bottom w:val="single" w:color="000000" w:sz="4" w:space="0"/>
                    <w:right w:val="single" w:color="000000" w:sz="4" w:space="0"/>
                  </w:tcBorders>
                  <w:vAlign w:val="center"/>
                </w:tcPr>
                <w:p>
                  <w:pPr>
                    <w:pStyle w:val="40"/>
                    <w:bidi w:val="0"/>
                  </w:pPr>
                  <w:r>
                    <w:t>小时值</w:t>
                  </w:r>
                </w:p>
              </w:tc>
              <w:tc>
                <w:tcPr>
                  <w:tcW w:w="3055" w:type="dxa"/>
                  <w:gridSpan w:val="3"/>
                  <w:tcBorders>
                    <w:top w:val="single" w:color="000000" w:sz="4" w:space="0"/>
                    <w:left w:val="single" w:color="000000" w:sz="4" w:space="0"/>
                    <w:bottom w:val="single" w:color="000000" w:sz="4" w:space="0"/>
                    <w:right w:val="single" w:color="000000" w:sz="4" w:space="0"/>
                  </w:tcBorders>
                  <w:vAlign w:val="center"/>
                </w:tcPr>
                <w:p>
                  <w:pPr>
                    <w:pStyle w:val="40"/>
                    <w:bidi w:val="0"/>
                  </w:pPr>
                  <w:r>
                    <w:t>日均值</w:t>
                  </w:r>
                </w:p>
              </w:tc>
            </w:tr>
            <w:tr>
              <w:tblPrEx>
                <w:tblCellMar>
                  <w:top w:w="0" w:type="dxa"/>
                  <w:left w:w="0" w:type="dxa"/>
                  <w:bottom w:w="0" w:type="dxa"/>
                  <w:right w:w="0" w:type="dxa"/>
                </w:tblCellMar>
              </w:tblPrEx>
              <w:trPr>
                <w:trHeight w:val="454" w:hRule="atLeast"/>
                <w:jc w:val="center"/>
              </w:trPr>
              <w:tc>
                <w:tcPr>
                  <w:tcW w:w="1142" w:type="dxa"/>
                  <w:vMerge w:val="continue"/>
                  <w:tcBorders>
                    <w:left w:val="single" w:color="000000" w:sz="4" w:space="0"/>
                    <w:bottom w:val="single" w:color="000000" w:sz="4" w:space="0"/>
                    <w:right w:val="single" w:color="000000" w:sz="4" w:space="0"/>
                  </w:tcBorders>
                  <w:vAlign w:val="center"/>
                </w:tcPr>
                <w:p>
                  <w:pPr>
                    <w:pStyle w:val="40"/>
                    <w:bidi w:val="0"/>
                  </w:pPr>
                </w:p>
              </w:tc>
              <w:tc>
                <w:tcPr>
                  <w:tcW w:w="1916" w:type="dxa"/>
                  <w:vMerge w:val="continue"/>
                  <w:tcBorders>
                    <w:left w:val="single" w:color="000000" w:sz="4" w:space="0"/>
                    <w:bottom w:val="single" w:color="000000" w:sz="4" w:space="0"/>
                    <w:right w:val="single" w:color="000000" w:sz="4" w:space="0"/>
                  </w:tcBorders>
                  <w:vAlign w:val="center"/>
                </w:tcPr>
                <w:p>
                  <w:pPr>
                    <w:pStyle w:val="40"/>
                    <w:bidi w:val="0"/>
                  </w:pPr>
                </w:p>
              </w:tc>
              <w:tc>
                <w:tcPr>
                  <w:tcW w:w="1373" w:type="dxa"/>
                  <w:tcBorders>
                    <w:top w:val="single" w:color="000000" w:sz="4" w:space="0"/>
                    <w:left w:val="single" w:color="000000" w:sz="4" w:space="0"/>
                    <w:bottom w:val="single" w:color="000000" w:sz="4" w:space="0"/>
                    <w:right w:val="single" w:color="000000" w:sz="4" w:space="0"/>
                  </w:tcBorders>
                  <w:vAlign w:val="center"/>
                </w:tcPr>
                <w:p>
                  <w:pPr>
                    <w:pStyle w:val="40"/>
                    <w:bidi w:val="0"/>
                  </w:pPr>
                  <w:r>
                    <w:t>浓度范围</w:t>
                  </w:r>
                </w:p>
              </w:tc>
              <w:tc>
                <w:tcPr>
                  <w:tcW w:w="1107" w:type="dxa"/>
                  <w:tcBorders>
                    <w:top w:val="single" w:color="000000" w:sz="4" w:space="0"/>
                    <w:left w:val="single" w:color="000000" w:sz="4" w:space="0"/>
                    <w:bottom w:val="single" w:color="000000" w:sz="4" w:space="0"/>
                    <w:right w:val="single" w:color="000000" w:sz="4" w:space="0"/>
                  </w:tcBorders>
                  <w:vAlign w:val="center"/>
                </w:tcPr>
                <w:p>
                  <w:pPr>
                    <w:pStyle w:val="40"/>
                    <w:bidi w:val="0"/>
                  </w:pPr>
                  <w:r>
                    <w:t>Iij 范围</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40"/>
                    <w:bidi w:val="0"/>
                  </w:pPr>
                  <w:r>
                    <w:t>超标率%</w:t>
                  </w:r>
                </w:p>
              </w:tc>
              <w:tc>
                <w:tcPr>
                  <w:tcW w:w="1327" w:type="dxa"/>
                  <w:tcBorders>
                    <w:top w:val="single" w:color="000000" w:sz="4" w:space="0"/>
                    <w:left w:val="single" w:color="000000" w:sz="4" w:space="0"/>
                    <w:bottom w:val="single" w:color="000000" w:sz="4" w:space="0"/>
                    <w:right w:val="single" w:color="000000" w:sz="4" w:space="0"/>
                  </w:tcBorders>
                  <w:vAlign w:val="center"/>
                </w:tcPr>
                <w:p>
                  <w:pPr>
                    <w:pStyle w:val="40"/>
                    <w:bidi w:val="0"/>
                  </w:pPr>
                  <w:r>
                    <w:t>浓度范围</w:t>
                  </w:r>
                </w:p>
              </w:tc>
              <w:tc>
                <w:tcPr>
                  <w:tcW w:w="1084" w:type="dxa"/>
                  <w:tcBorders>
                    <w:top w:val="single" w:color="000000" w:sz="4" w:space="0"/>
                    <w:left w:val="single" w:color="000000" w:sz="4" w:space="0"/>
                    <w:bottom w:val="single" w:color="000000" w:sz="4" w:space="0"/>
                    <w:right w:val="single" w:color="000000" w:sz="4" w:space="0"/>
                  </w:tcBorders>
                  <w:vAlign w:val="center"/>
                </w:tcPr>
                <w:p>
                  <w:pPr>
                    <w:pStyle w:val="40"/>
                    <w:bidi w:val="0"/>
                  </w:pPr>
                  <w:r>
                    <w:t>Iij范围</w:t>
                  </w:r>
                </w:p>
              </w:tc>
              <w:tc>
                <w:tcPr>
                  <w:tcW w:w="644" w:type="dxa"/>
                  <w:tcBorders>
                    <w:top w:val="single" w:color="000000" w:sz="4" w:space="0"/>
                    <w:left w:val="single" w:color="000000" w:sz="4" w:space="0"/>
                    <w:bottom w:val="single" w:color="000000" w:sz="4" w:space="0"/>
                    <w:right w:val="single" w:color="000000" w:sz="4" w:space="0"/>
                  </w:tcBorders>
                  <w:vAlign w:val="center"/>
                </w:tcPr>
                <w:p>
                  <w:pPr>
                    <w:pStyle w:val="40"/>
                    <w:bidi w:val="0"/>
                  </w:pPr>
                  <w:r>
                    <w:t>超标率%</w:t>
                  </w:r>
                </w:p>
              </w:tc>
            </w:tr>
            <w:tr>
              <w:tblPrEx>
                <w:tblCellMar>
                  <w:top w:w="0" w:type="dxa"/>
                  <w:left w:w="0" w:type="dxa"/>
                  <w:bottom w:w="0" w:type="dxa"/>
                  <w:right w:w="0" w:type="dxa"/>
                </w:tblCellMar>
              </w:tblPrEx>
              <w:trPr>
                <w:trHeight w:val="454" w:hRule="atLeast"/>
                <w:jc w:val="center"/>
              </w:trPr>
              <w:tc>
                <w:tcPr>
                  <w:tcW w:w="1142" w:type="dxa"/>
                  <w:vMerge w:val="restart"/>
                  <w:tcBorders>
                    <w:top w:val="single" w:color="000000" w:sz="4" w:space="0"/>
                    <w:left w:val="single" w:color="000000" w:sz="4" w:space="0"/>
                    <w:right w:val="single" w:color="000000" w:sz="4" w:space="0"/>
                  </w:tcBorders>
                  <w:vAlign w:val="center"/>
                </w:tcPr>
                <w:p>
                  <w:pPr>
                    <w:pStyle w:val="40"/>
                    <w:bidi w:val="0"/>
                  </w:pPr>
                  <w:r>
                    <w:t>SO2</w:t>
                  </w:r>
                </w:p>
                <w:p>
                  <w:pPr>
                    <w:pStyle w:val="40"/>
                    <w:bidi w:val="0"/>
                  </w:pPr>
                  <w:r>
                    <w:t>(mg/m³)</w:t>
                  </w:r>
                </w:p>
              </w:tc>
              <w:tc>
                <w:tcPr>
                  <w:tcW w:w="1916" w:type="dxa"/>
                  <w:tcBorders>
                    <w:top w:val="single" w:color="000000" w:sz="4" w:space="0"/>
                    <w:left w:val="single" w:color="000000" w:sz="4" w:space="0"/>
                    <w:bottom w:val="single" w:color="000000" w:sz="4" w:space="0"/>
                    <w:right w:val="single" w:color="000000" w:sz="4" w:space="0"/>
                  </w:tcBorders>
                  <w:vAlign w:val="center"/>
                </w:tcPr>
                <w:p>
                  <w:pPr>
                    <w:pStyle w:val="40"/>
                    <w:bidi w:val="0"/>
                  </w:pPr>
                  <w:r>
                    <w:t>4#淮南文汇学校</w:t>
                  </w:r>
                </w:p>
              </w:tc>
              <w:tc>
                <w:tcPr>
                  <w:tcW w:w="1373" w:type="dxa"/>
                  <w:tcBorders>
                    <w:top w:val="single" w:color="000000" w:sz="4" w:space="0"/>
                    <w:left w:val="single" w:color="000000" w:sz="4" w:space="0"/>
                    <w:bottom w:val="single" w:color="000000" w:sz="4" w:space="0"/>
                    <w:right w:val="single" w:color="000000" w:sz="4" w:space="0"/>
                  </w:tcBorders>
                  <w:vAlign w:val="center"/>
                </w:tcPr>
                <w:p>
                  <w:pPr>
                    <w:pStyle w:val="40"/>
                    <w:bidi w:val="0"/>
                  </w:pPr>
                  <w:r>
                    <w:t>0.19~0.34</w:t>
                  </w:r>
                </w:p>
              </w:tc>
              <w:tc>
                <w:tcPr>
                  <w:tcW w:w="1107" w:type="dxa"/>
                  <w:tcBorders>
                    <w:top w:val="single" w:color="000000" w:sz="4" w:space="0"/>
                    <w:left w:val="single" w:color="000000" w:sz="4" w:space="0"/>
                    <w:bottom w:val="single" w:color="000000" w:sz="4" w:space="0"/>
                    <w:right w:val="single" w:color="000000" w:sz="4" w:space="0"/>
                  </w:tcBorders>
                  <w:vAlign w:val="center"/>
                </w:tcPr>
                <w:p>
                  <w:pPr>
                    <w:pStyle w:val="40"/>
                    <w:bidi w:val="0"/>
                  </w:pPr>
                  <w:r>
                    <w:t>0.38~0.68</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c>
                <w:tcPr>
                  <w:tcW w:w="1327" w:type="dxa"/>
                  <w:tcBorders>
                    <w:top w:val="single" w:color="000000" w:sz="4" w:space="0"/>
                    <w:left w:val="single" w:color="000000" w:sz="4" w:space="0"/>
                    <w:bottom w:val="single" w:color="000000" w:sz="4" w:space="0"/>
                    <w:right w:val="single" w:color="000000" w:sz="4" w:space="0"/>
                  </w:tcBorders>
                  <w:vAlign w:val="center"/>
                </w:tcPr>
                <w:p>
                  <w:pPr>
                    <w:pStyle w:val="40"/>
                    <w:bidi w:val="0"/>
                  </w:pPr>
                  <w:r>
                    <w:t>0.008~0.012</w:t>
                  </w:r>
                </w:p>
              </w:tc>
              <w:tc>
                <w:tcPr>
                  <w:tcW w:w="1084" w:type="dxa"/>
                  <w:tcBorders>
                    <w:top w:val="single" w:color="000000" w:sz="4" w:space="0"/>
                    <w:left w:val="single" w:color="000000" w:sz="4" w:space="0"/>
                    <w:bottom w:val="single" w:color="000000" w:sz="4" w:space="0"/>
                    <w:right w:val="single" w:color="000000" w:sz="4" w:space="0"/>
                  </w:tcBorders>
                  <w:vAlign w:val="center"/>
                </w:tcPr>
                <w:p>
                  <w:pPr>
                    <w:pStyle w:val="40"/>
                    <w:bidi w:val="0"/>
                  </w:pPr>
                  <w:r>
                    <w:t>0.05~0.08</w:t>
                  </w:r>
                </w:p>
              </w:tc>
              <w:tc>
                <w:tcPr>
                  <w:tcW w:w="644"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r>
            <w:tr>
              <w:tblPrEx>
                <w:tblCellMar>
                  <w:top w:w="0" w:type="dxa"/>
                  <w:left w:w="0" w:type="dxa"/>
                  <w:bottom w:w="0" w:type="dxa"/>
                  <w:right w:w="0" w:type="dxa"/>
                </w:tblCellMar>
              </w:tblPrEx>
              <w:trPr>
                <w:trHeight w:val="454" w:hRule="atLeast"/>
                <w:jc w:val="center"/>
              </w:trPr>
              <w:tc>
                <w:tcPr>
                  <w:tcW w:w="1142" w:type="dxa"/>
                  <w:vMerge w:val="continue"/>
                  <w:tcBorders>
                    <w:left w:val="single" w:color="000000" w:sz="4" w:space="0"/>
                    <w:bottom w:val="single" w:color="000000" w:sz="4" w:space="0"/>
                    <w:right w:val="single" w:color="000000" w:sz="4" w:space="0"/>
                  </w:tcBorders>
                  <w:vAlign w:val="center"/>
                </w:tcPr>
                <w:p>
                  <w:pPr>
                    <w:pStyle w:val="40"/>
                    <w:bidi w:val="0"/>
                  </w:pPr>
                </w:p>
              </w:tc>
              <w:tc>
                <w:tcPr>
                  <w:tcW w:w="1916" w:type="dxa"/>
                  <w:tcBorders>
                    <w:top w:val="single" w:color="000000" w:sz="4" w:space="0"/>
                    <w:left w:val="single" w:color="000000" w:sz="4" w:space="0"/>
                    <w:bottom w:val="single" w:color="000000" w:sz="4" w:space="0"/>
                    <w:right w:val="single" w:color="000000" w:sz="4" w:space="0"/>
                  </w:tcBorders>
                  <w:vAlign w:val="center"/>
                </w:tcPr>
                <w:p>
                  <w:pPr>
                    <w:pStyle w:val="40"/>
                    <w:bidi w:val="0"/>
                  </w:pPr>
                  <w:r>
                    <w:t>6#市二十三中</w:t>
                  </w:r>
                </w:p>
              </w:tc>
              <w:tc>
                <w:tcPr>
                  <w:tcW w:w="1373" w:type="dxa"/>
                  <w:tcBorders>
                    <w:top w:val="single" w:color="000000" w:sz="4" w:space="0"/>
                    <w:left w:val="single" w:color="000000" w:sz="4" w:space="0"/>
                    <w:bottom w:val="single" w:color="000000" w:sz="4" w:space="0"/>
                    <w:right w:val="single" w:color="000000" w:sz="4" w:space="0"/>
                  </w:tcBorders>
                  <w:vAlign w:val="center"/>
                </w:tcPr>
                <w:p>
                  <w:pPr>
                    <w:pStyle w:val="40"/>
                    <w:bidi w:val="0"/>
                  </w:pPr>
                  <w:r>
                    <w:t>0.17~0.34</w:t>
                  </w:r>
                </w:p>
              </w:tc>
              <w:tc>
                <w:tcPr>
                  <w:tcW w:w="1107" w:type="dxa"/>
                  <w:tcBorders>
                    <w:top w:val="single" w:color="000000" w:sz="4" w:space="0"/>
                    <w:left w:val="single" w:color="000000" w:sz="4" w:space="0"/>
                    <w:bottom w:val="single" w:color="000000" w:sz="4" w:space="0"/>
                    <w:right w:val="single" w:color="000000" w:sz="4" w:space="0"/>
                  </w:tcBorders>
                  <w:vAlign w:val="center"/>
                </w:tcPr>
                <w:p>
                  <w:pPr>
                    <w:pStyle w:val="40"/>
                    <w:bidi w:val="0"/>
                  </w:pPr>
                  <w:r>
                    <w:t>0.34~0.68</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c>
                <w:tcPr>
                  <w:tcW w:w="1327" w:type="dxa"/>
                  <w:tcBorders>
                    <w:top w:val="single" w:color="000000" w:sz="4" w:space="0"/>
                    <w:left w:val="single" w:color="000000" w:sz="4" w:space="0"/>
                    <w:bottom w:val="single" w:color="000000" w:sz="4" w:space="0"/>
                    <w:right w:val="single" w:color="000000" w:sz="4" w:space="0"/>
                  </w:tcBorders>
                  <w:vAlign w:val="center"/>
                </w:tcPr>
                <w:p>
                  <w:pPr>
                    <w:pStyle w:val="40"/>
                    <w:bidi w:val="0"/>
                  </w:pPr>
                  <w:r>
                    <w:t>0.008~0.012</w:t>
                  </w:r>
                </w:p>
              </w:tc>
              <w:tc>
                <w:tcPr>
                  <w:tcW w:w="1084" w:type="dxa"/>
                  <w:tcBorders>
                    <w:top w:val="single" w:color="000000" w:sz="4" w:space="0"/>
                    <w:left w:val="single" w:color="000000" w:sz="4" w:space="0"/>
                    <w:bottom w:val="single" w:color="000000" w:sz="4" w:space="0"/>
                    <w:right w:val="single" w:color="000000" w:sz="4" w:space="0"/>
                  </w:tcBorders>
                  <w:vAlign w:val="center"/>
                </w:tcPr>
                <w:p>
                  <w:pPr>
                    <w:pStyle w:val="40"/>
                    <w:bidi w:val="0"/>
                  </w:pPr>
                  <w:r>
                    <w:t>0.05~0.08</w:t>
                  </w:r>
                </w:p>
              </w:tc>
              <w:tc>
                <w:tcPr>
                  <w:tcW w:w="644"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r>
            <w:tr>
              <w:tblPrEx>
                <w:tblCellMar>
                  <w:top w:w="0" w:type="dxa"/>
                  <w:left w:w="0" w:type="dxa"/>
                  <w:bottom w:w="0" w:type="dxa"/>
                  <w:right w:w="0" w:type="dxa"/>
                </w:tblCellMar>
              </w:tblPrEx>
              <w:trPr>
                <w:trHeight w:val="454" w:hRule="atLeast"/>
                <w:jc w:val="center"/>
              </w:trPr>
              <w:tc>
                <w:tcPr>
                  <w:tcW w:w="1142" w:type="dxa"/>
                  <w:vMerge w:val="restart"/>
                  <w:tcBorders>
                    <w:top w:val="single" w:color="000000" w:sz="4" w:space="0"/>
                    <w:left w:val="single" w:color="000000" w:sz="4" w:space="0"/>
                    <w:right w:val="single" w:color="000000" w:sz="4" w:space="0"/>
                  </w:tcBorders>
                  <w:vAlign w:val="center"/>
                </w:tcPr>
                <w:p>
                  <w:pPr>
                    <w:pStyle w:val="40"/>
                    <w:bidi w:val="0"/>
                  </w:pPr>
                  <w:r>
                    <w:t>NO2</w:t>
                  </w:r>
                </w:p>
                <w:p>
                  <w:pPr>
                    <w:pStyle w:val="40"/>
                    <w:bidi w:val="0"/>
                  </w:pPr>
                  <w:r>
                    <w:t>(mg/m³)</w:t>
                  </w:r>
                </w:p>
              </w:tc>
              <w:tc>
                <w:tcPr>
                  <w:tcW w:w="1916" w:type="dxa"/>
                  <w:tcBorders>
                    <w:top w:val="single" w:color="000000" w:sz="4" w:space="0"/>
                    <w:left w:val="single" w:color="000000" w:sz="4" w:space="0"/>
                    <w:bottom w:val="single" w:color="000000" w:sz="4" w:space="0"/>
                    <w:right w:val="single" w:color="000000" w:sz="4" w:space="0"/>
                  </w:tcBorders>
                  <w:vAlign w:val="center"/>
                </w:tcPr>
                <w:p>
                  <w:pPr>
                    <w:pStyle w:val="40"/>
                    <w:bidi w:val="0"/>
                  </w:pPr>
                  <w:r>
                    <w:t>4#淮南文汇学校</w:t>
                  </w:r>
                </w:p>
              </w:tc>
              <w:tc>
                <w:tcPr>
                  <w:tcW w:w="1373" w:type="dxa"/>
                  <w:tcBorders>
                    <w:top w:val="single" w:color="000000" w:sz="4" w:space="0"/>
                    <w:left w:val="single" w:color="000000" w:sz="4" w:space="0"/>
                    <w:bottom w:val="single" w:color="000000" w:sz="4" w:space="0"/>
                    <w:right w:val="single" w:color="000000" w:sz="4" w:space="0"/>
                  </w:tcBorders>
                  <w:vAlign w:val="center"/>
                </w:tcPr>
                <w:p>
                  <w:pPr>
                    <w:pStyle w:val="40"/>
                    <w:bidi w:val="0"/>
                  </w:pPr>
                  <w:r>
                    <w:t>0.12~0.19</w:t>
                  </w:r>
                </w:p>
              </w:tc>
              <w:tc>
                <w:tcPr>
                  <w:tcW w:w="1107" w:type="dxa"/>
                  <w:tcBorders>
                    <w:top w:val="single" w:color="000000" w:sz="4" w:space="0"/>
                    <w:left w:val="single" w:color="000000" w:sz="4" w:space="0"/>
                    <w:bottom w:val="single" w:color="000000" w:sz="4" w:space="0"/>
                    <w:right w:val="single" w:color="000000" w:sz="4" w:space="0"/>
                  </w:tcBorders>
                  <w:vAlign w:val="center"/>
                </w:tcPr>
                <w:p>
                  <w:pPr>
                    <w:pStyle w:val="40"/>
                    <w:bidi w:val="0"/>
                  </w:pPr>
                  <w:r>
                    <w:t>0.60~0.95</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c>
                <w:tcPr>
                  <w:tcW w:w="1327" w:type="dxa"/>
                  <w:tcBorders>
                    <w:top w:val="single" w:color="000000" w:sz="4" w:space="0"/>
                    <w:left w:val="single" w:color="000000" w:sz="4" w:space="0"/>
                    <w:bottom w:val="single" w:color="000000" w:sz="4" w:space="0"/>
                    <w:right w:val="single" w:color="000000" w:sz="4" w:space="0"/>
                  </w:tcBorders>
                  <w:vAlign w:val="center"/>
                </w:tcPr>
                <w:p>
                  <w:pPr>
                    <w:pStyle w:val="40"/>
                    <w:bidi w:val="0"/>
                  </w:pPr>
                  <w:r>
                    <w:t>0.005~0.008</w:t>
                  </w:r>
                </w:p>
              </w:tc>
              <w:tc>
                <w:tcPr>
                  <w:tcW w:w="1084" w:type="dxa"/>
                  <w:tcBorders>
                    <w:top w:val="single" w:color="000000" w:sz="4" w:space="0"/>
                    <w:left w:val="single" w:color="000000" w:sz="4" w:space="0"/>
                    <w:bottom w:val="single" w:color="000000" w:sz="4" w:space="0"/>
                    <w:right w:val="single" w:color="000000" w:sz="4" w:space="0"/>
                  </w:tcBorders>
                  <w:vAlign w:val="center"/>
                </w:tcPr>
                <w:p>
                  <w:pPr>
                    <w:pStyle w:val="40"/>
                    <w:bidi w:val="0"/>
                  </w:pPr>
                  <w:r>
                    <w:t>0.03~0.05</w:t>
                  </w:r>
                </w:p>
              </w:tc>
              <w:tc>
                <w:tcPr>
                  <w:tcW w:w="644"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r>
            <w:tr>
              <w:tblPrEx>
                <w:tblCellMar>
                  <w:top w:w="0" w:type="dxa"/>
                  <w:left w:w="0" w:type="dxa"/>
                  <w:bottom w:w="0" w:type="dxa"/>
                  <w:right w:w="0" w:type="dxa"/>
                </w:tblCellMar>
              </w:tblPrEx>
              <w:trPr>
                <w:trHeight w:val="454" w:hRule="atLeast"/>
                <w:jc w:val="center"/>
              </w:trPr>
              <w:tc>
                <w:tcPr>
                  <w:tcW w:w="1142" w:type="dxa"/>
                  <w:vMerge w:val="continue"/>
                  <w:tcBorders>
                    <w:left w:val="single" w:color="000000" w:sz="4" w:space="0"/>
                    <w:bottom w:val="single" w:color="000000" w:sz="4" w:space="0"/>
                    <w:right w:val="single" w:color="000000" w:sz="4" w:space="0"/>
                  </w:tcBorders>
                  <w:vAlign w:val="center"/>
                </w:tcPr>
                <w:p>
                  <w:pPr>
                    <w:pStyle w:val="40"/>
                    <w:bidi w:val="0"/>
                  </w:pPr>
                </w:p>
              </w:tc>
              <w:tc>
                <w:tcPr>
                  <w:tcW w:w="1916" w:type="dxa"/>
                  <w:tcBorders>
                    <w:top w:val="single" w:color="000000" w:sz="4" w:space="0"/>
                    <w:left w:val="single" w:color="000000" w:sz="4" w:space="0"/>
                    <w:bottom w:val="single" w:color="000000" w:sz="4" w:space="0"/>
                    <w:right w:val="single" w:color="000000" w:sz="4" w:space="0"/>
                  </w:tcBorders>
                  <w:vAlign w:val="center"/>
                </w:tcPr>
                <w:p>
                  <w:pPr>
                    <w:pStyle w:val="40"/>
                    <w:bidi w:val="0"/>
                  </w:pPr>
                  <w:r>
                    <w:t>6#市二十三中</w:t>
                  </w:r>
                </w:p>
              </w:tc>
              <w:tc>
                <w:tcPr>
                  <w:tcW w:w="1373" w:type="dxa"/>
                  <w:tcBorders>
                    <w:top w:val="single" w:color="000000" w:sz="4" w:space="0"/>
                    <w:left w:val="single" w:color="000000" w:sz="4" w:space="0"/>
                    <w:bottom w:val="single" w:color="000000" w:sz="4" w:space="0"/>
                    <w:right w:val="single" w:color="000000" w:sz="4" w:space="0"/>
                  </w:tcBorders>
                  <w:vAlign w:val="center"/>
                </w:tcPr>
                <w:p>
                  <w:pPr>
                    <w:pStyle w:val="40"/>
                    <w:bidi w:val="0"/>
                  </w:pPr>
                  <w:r>
                    <w:t>0.12~0.18</w:t>
                  </w:r>
                </w:p>
              </w:tc>
              <w:tc>
                <w:tcPr>
                  <w:tcW w:w="1107" w:type="dxa"/>
                  <w:tcBorders>
                    <w:top w:val="single" w:color="000000" w:sz="4" w:space="0"/>
                    <w:left w:val="single" w:color="000000" w:sz="4" w:space="0"/>
                    <w:bottom w:val="single" w:color="000000" w:sz="4" w:space="0"/>
                    <w:right w:val="single" w:color="000000" w:sz="4" w:space="0"/>
                  </w:tcBorders>
                  <w:vAlign w:val="center"/>
                </w:tcPr>
                <w:p>
                  <w:pPr>
                    <w:pStyle w:val="40"/>
                    <w:bidi w:val="0"/>
                  </w:pPr>
                  <w:r>
                    <w:t>0.60~0.90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c>
                <w:tcPr>
                  <w:tcW w:w="1327" w:type="dxa"/>
                  <w:tcBorders>
                    <w:top w:val="single" w:color="000000" w:sz="4" w:space="0"/>
                    <w:left w:val="single" w:color="000000" w:sz="4" w:space="0"/>
                    <w:bottom w:val="single" w:color="000000" w:sz="4" w:space="0"/>
                    <w:right w:val="single" w:color="000000" w:sz="4" w:space="0"/>
                  </w:tcBorders>
                  <w:vAlign w:val="center"/>
                </w:tcPr>
                <w:p>
                  <w:pPr>
                    <w:pStyle w:val="40"/>
                    <w:bidi w:val="0"/>
                  </w:pPr>
                  <w:r>
                    <w:t>0.005~0.007</w:t>
                  </w:r>
                </w:p>
              </w:tc>
              <w:tc>
                <w:tcPr>
                  <w:tcW w:w="1084" w:type="dxa"/>
                  <w:tcBorders>
                    <w:top w:val="single" w:color="000000" w:sz="4" w:space="0"/>
                    <w:left w:val="single" w:color="000000" w:sz="4" w:space="0"/>
                    <w:bottom w:val="single" w:color="000000" w:sz="4" w:space="0"/>
                    <w:right w:val="single" w:color="000000" w:sz="4" w:space="0"/>
                  </w:tcBorders>
                  <w:vAlign w:val="center"/>
                </w:tcPr>
                <w:p>
                  <w:pPr>
                    <w:pStyle w:val="40"/>
                    <w:bidi w:val="0"/>
                  </w:pPr>
                  <w:r>
                    <w:t>0.03~0.05</w:t>
                  </w:r>
                </w:p>
              </w:tc>
              <w:tc>
                <w:tcPr>
                  <w:tcW w:w="644"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r>
            <w:tr>
              <w:trPr>
                <w:trHeight w:val="454" w:hRule="atLeast"/>
                <w:jc w:val="center"/>
              </w:trPr>
              <w:tc>
                <w:tcPr>
                  <w:tcW w:w="1142" w:type="dxa"/>
                  <w:vMerge w:val="restart"/>
                  <w:tcBorders>
                    <w:top w:val="single" w:color="000000" w:sz="4" w:space="0"/>
                    <w:left w:val="single" w:color="000000" w:sz="4" w:space="0"/>
                    <w:right w:val="single" w:color="000000" w:sz="4" w:space="0"/>
                  </w:tcBorders>
                  <w:vAlign w:val="center"/>
                </w:tcPr>
                <w:p>
                  <w:pPr>
                    <w:pStyle w:val="40"/>
                    <w:bidi w:val="0"/>
                  </w:pPr>
                  <w:r>
                    <w:t>PM2.5</w:t>
                  </w:r>
                </w:p>
                <w:p>
                  <w:pPr>
                    <w:pStyle w:val="40"/>
                    <w:bidi w:val="0"/>
                  </w:pPr>
                  <w:r>
                    <w:t>(mg/m³)</w:t>
                  </w:r>
                </w:p>
              </w:tc>
              <w:tc>
                <w:tcPr>
                  <w:tcW w:w="1916" w:type="dxa"/>
                  <w:tcBorders>
                    <w:top w:val="single" w:color="000000" w:sz="4" w:space="0"/>
                    <w:left w:val="single" w:color="000000" w:sz="4" w:space="0"/>
                    <w:bottom w:val="single" w:color="000000" w:sz="4" w:space="0"/>
                    <w:right w:val="single" w:color="000000" w:sz="4" w:space="0"/>
                  </w:tcBorders>
                  <w:vAlign w:val="center"/>
                </w:tcPr>
                <w:p>
                  <w:pPr>
                    <w:pStyle w:val="40"/>
                    <w:bidi w:val="0"/>
                  </w:pPr>
                  <w:r>
                    <w:t>4#淮南文汇学校</w:t>
                  </w:r>
                </w:p>
              </w:tc>
              <w:tc>
                <w:tcPr>
                  <w:tcW w:w="1373"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1107"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1327" w:type="dxa"/>
                  <w:tcBorders>
                    <w:top w:val="single" w:color="000000" w:sz="4" w:space="0"/>
                    <w:left w:val="single" w:color="000000" w:sz="4" w:space="0"/>
                    <w:bottom w:val="single" w:color="000000" w:sz="4" w:space="0"/>
                    <w:right w:val="single" w:color="000000" w:sz="4" w:space="0"/>
                  </w:tcBorders>
                  <w:vAlign w:val="center"/>
                </w:tcPr>
                <w:p>
                  <w:pPr>
                    <w:pStyle w:val="40"/>
                    <w:bidi w:val="0"/>
                  </w:pPr>
                  <w:r>
                    <w:t>0.036~0.063</w:t>
                  </w:r>
                </w:p>
              </w:tc>
              <w:tc>
                <w:tcPr>
                  <w:tcW w:w="1084" w:type="dxa"/>
                  <w:tcBorders>
                    <w:top w:val="single" w:color="000000" w:sz="4" w:space="0"/>
                    <w:left w:val="single" w:color="000000" w:sz="4" w:space="0"/>
                    <w:bottom w:val="single" w:color="000000" w:sz="4" w:space="0"/>
                    <w:right w:val="single" w:color="000000" w:sz="4" w:space="0"/>
                  </w:tcBorders>
                  <w:vAlign w:val="center"/>
                </w:tcPr>
                <w:p>
                  <w:pPr>
                    <w:pStyle w:val="40"/>
                    <w:bidi w:val="0"/>
                  </w:pPr>
                  <w:r>
                    <w:t>0.48~0.84</w:t>
                  </w:r>
                </w:p>
              </w:tc>
              <w:tc>
                <w:tcPr>
                  <w:tcW w:w="644"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r>
            <w:tr>
              <w:tblPrEx>
                <w:tblCellMar>
                  <w:top w:w="0" w:type="dxa"/>
                  <w:left w:w="0" w:type="dxa"/>
                  <w:bottom w:w="0" w:type="dxa"/>
                  <w:right w:w="0" w:type="dxa"/>
                </w:tblCellMar>
              </w:tblPrEx>
              <w:trPr>
                <w:trHeight w:val="454" w:hRule="atLeast"/>
                <w:jc w:val="center"/>
              </w:trPr>
              <w:tc>
                <w:tcPr>
                  <w:tcW w:w="1142" w:type="dxa"/>
                  <w:vMerge w:val="continue"/>
                  <w:tcBorders>
                    <w:left w:val="single" w:color="000000" w:sz="4" w:space="0"/>
                    <w:bottom w:val="single" w:color="000000" w:sz="4" w:space="0"/>
                    <w:right w:val="single" w:color="000000" w:sz="4" w:space="0"/>
                  </w:tcBorders>
                  <w:vAlign w:val="center"/>
                </w:tcPr>
                <w:p>
                  <w:pPr>
                    <w:pStyle w:val="40"/>
                    <w:bidi w:val="0"/>
                  </w:pPr>
                </w:p>
              </w:tc>
              <w:tc>
                <w:tcPr>
                  <w:tcW w:w="1916" w:type="dxa"/>
                  <w:tcBorders>
                    <w:top w:val="single" w:color="000000" w:sz="4" w:space="0"/>
                    <w:left w:val="single" w:color="000000" w:sz="4" w:space="0"/>
                    <w:bottom w:val="single" w:color="000000" w:sz="4" w:space="0"/>
                    <w:right w:val="single" w:color="000000" w:sz="4" w:space="0"/>
                  </w:tcBorders>
                  <w:vAlign w:val="center"/>
                </w:tcPr>
                <w:p>
                  <w:pPr>
                    <w:pStyle w:val="40"/>
                    <w:bidi w:val="0"/>
                  </w:pPr>
                  <w:r>
                    <w:t>6#市二十三中</w:t>
                  </w:r>
                </w:p>
              </w:tc>
              <w:tc>
                <w:tcPr>
                  <w:tcW w:w="1373"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1107"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1327" w:type="dxa"/>
                  <w:tcBorders>
                    <w:top w:val="single" w:color="000000" w:sz="4" w:space="0"/>
                    <w:left w:val="single" w:color="000000" w:sz="4" w:space="0"/>
                    <w:bottom w:val="single" w:color="000000" w:sz="4" w:space="0"/>
                    <w:right w:val="single" w:color="000000" w:sz="4" w:space="0"/>
                  </w:tcBorders>
                  <w:vAlign w:val="center"/>
                </w:tcPr>
                <w:p>
                  <w:pPr>
                    <w:pStyle w:val="40"/>
                    <w:bidi w:val="0"/>
                  </w:pPr>
                  <w:r>
                    <w:t>0.036~0.054</w:t>
                  </w:r>
                </w:p>
              </w:tc>
              <w:tc>
                <w:tcPr>
                  <w:tcW w:w="1084" w:type="dxa"/>
                  <w:tcBorders>
                    <w:top w:val="single" w:color="000000" w:sz="4" w:space="0"/>
                    <w:left w:val="single" w:color="000000" w:sz="4" w:space="0"/>
                    <w:bottom w:val="single" w:color="000000" w:sz="4" w:space="0"/>
                    <w:right w:val="single" w:color="000000" w:sz="4" w:space="0"/>
                  </w:tcBorders>
                  <w:vAlign w:val="center"/>
                </w:tcPr>
                <w:p>
                  <w:pPr>
                    <w:pStyle w:val="40"/>
                    <w:bidi w:val="0"/>
                  </w:pPr>
                  <w:r>
                    <w:t>0.48~0.72</w:t>
                  </w:r>
                </w:p>
              </w:tc>
              <w:tc>
                <w:tcPr>
                  <w:tcW w:w="644"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r>
            <w:tr>
              <w:tblPrEx>
                <w:tblCellMar>
                  <w:top w:w="0" w:type="dxa"/>
                  <w:left w:w="0" w:type="dxa"/>
                  <w:bottom w:w="0" w:type="dxa"/>
                  <w:right w:w="0" w:type="dxa"/>
                </w:tblCellMar>
              </w:tblPrEx>
              <w:trPr>
                <w:trHeight w:val="454" w:hRule="atLeast"/>
                <w:jc w:val="center"/>
              </w:trPr>
              <w:tc>
                <w:tcPr>
                  <w:tcW w:w="1142" w:type="dxa"/>
                  <w:vMerge w:val="restart"/>
                  <w:tcBorders>
                    <w:top w:val="single" w:color="000000" w:sz="4" w:space="0"/>
                    <w:left w:val="single" w:color="000000" w:sz="4" w:space="0"/>
                    <w:right w:val="single" w:color="000000" w:sz="4" w:space="0"/>
                  </w:tcBorders>
                  <w:vAlign w:val="center"/>
                </w:tcPr>
                <w:p>
                  <w:pPr>
                    <w:pStyle w:val="40"/>
                    <w:bidi w:val="0"/>
                  </w:pPr>
                  <w:r>
                    <w:t>PM10</w:t>
                  </w:r>
                </w:p>
                <w:p>
                  <w:pPr>
                    <w:pStyle w:val="40"/>
                    <w:bidi w:val="0"/>
                  </w:pPr>
                  <w:r>
                    <w:t>(mg/m³)</w:t>
                  </w:r>
                </w:p>
              </w:tc>
              <w:tc>
                <w:tcPr>
                  <w:tcW w:w="1916" w:type="dxa"/>
                  <w:tcBorders>
                    <w:top w:val="single" w:color="000000" w:sz="4" w:space="0"/>
                    <w:left w:val="single" w:color="000000" w:sz="4" w:space="0"/>
                    <w:bottom w:val="single" w:color="000000" w:sz="4" w:space="0"/>
                    <w:right w:val="single" w:color="000000" w:sz="4" w:space="0"/>
                  </w:tcBorders>
                  <w:vAlign w:val="center"/>
                </w:tcPr>
                <w:p>
                  <w:pPr>
                    <w:pStyle w:val="40"/>
                    <w:bidi w:val="0"/>
                  </w:pPr>
                  <w:r>
                    <w:t>4#淮南文汇学校</w:t>
                  </w:r>
                </w:p>
              </w:tc>
              <w:tc>
                <w:tcPr>
                  <w:tcW w:w="1373"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1107"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1327" w:type="dxa"/>
                  <w:tcBorders>
                    <w:top w:val="single" w:color="000000" w:sz="4" w:space="0"/>
                    <w:left w:val="single" w:color="000000" w:sz="4" w:space="0"/>
                    <w:bottom w:val="single" w:color="000000" w:sz="4" w:space="0"/>
                    <w:right w:val="single" w:color="000000" w:sz="4" w:space="0"/>
                  </w:tcBorders>
                  <w:vAlign w:val="center"/>
                </w:tcPr>
                <w:p>
                  <w:pPr>
                    <w:pStyle w:val="40"/>
                    <w:bidi w:val="0"/>
                  </w:pPr>
                  <w:r>
                    <w:t>0.104~0.132</w:t>
                  </w:r>
                </w:p>
              </w:tc>
              <w:tc>
                <w:tcPr>
                  <w:tcW w:w="1084" w:type="dxa"/>
                  <w:tcBorders>
                    <w:top w:val="single" w:color="000000" w:sz="4" w:space="0"/>
                    <w:left w:val="single" w:color="000000" w:sz="4" w:space="0"/>
                    <w:bottom w:val="single" w:color="000000" w:sz="4" w:space="0"/>
                    <w:right w:val="single" w:color="000000" w:sz="4" w:space="0"/>
                  </w:tcBorders>
                  <w:vAlign w:val="center"/>
                </w:tcPr>
                <w:p>
                  <w:pPr>
                    <w:pStyle w:val="40"/>
                    <w:bidi w:val="0"/>
                  </w:pPr>
                  <w:r>
                    <w:t>0.69~0.88</w:t>
                  </w:r>
                </w:p>
              </w:tc>
              <w:tc>
                <w:tcPr>
                  <w:tcW w:w="644"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r>
            <w:tr>
              <w:tblPrEx>
                <w:tblCellMar>
                  <w:top w:w="0" w:type="dxa"/>
                  <w:left w:w="0" w:type="dxa"/>
                  <w:bottom w:w="0" w:type="dxa"/>
                  <w:right w:w="0" w:type="dxa"/>
                </w:tblCellMar>
              </w:tblPrEx>
              <w:trPr>
                <w:trHeight w:val="454" w:hRule="atLeast"/>
                <w:jc w:val="center"/>
              </w:trPr>
              <w:tc>
                <w:tcPr>
                  <w:tcW w:w="1142" w:type="dxa"/>
                  <w:vMerge w:val="continue"/>
                  <w:tcBorders>
                    <w:left w:val="single" w:color="000000" w:sz="4" w:space="0"/>
                    <w:bottom w:val="single" w:color="000000" w:sz="4" w:space="0"/>
                    <w:right w:val="single" w:color="000000" w:sz="4" w:space="0"/>
                  </w:tcBorders>
                  <w:vAlign w:val="center"/>
                </w:tcPr>
                <w:p>
                  <w:pPr>
                    <w:pStyle w:val="40"/>
                    <w:bidi w:val="0"/>
                  </w:pPr>
                </w:p>
              </w:tc>
              <w:tc>
                <w:tcPr>
                  <w:tcW w:w="1916" w:type="dxa"/>
                  <w:tcBorders>
                    <w:top w:val="single" w:color="000000" w:sz="4" w:space="0"/>
                    <w:left w:val="single" w:color="000000" w:sz="4" w:space="0"/>
                    <w:bottom w:val="single" w:color="000000" w:sz="4" w:space="0"/>
                    <w:right w:val="single" w:color="000000" w:sz="4" w:space="0"/>
                  </w:tcBorders>
                  <w:vAlign w:val="center"/>
                </w:tcPr>
                <w:p>
                  <w:pPr>
                    <w:pStyle w:val="40"/>
                    <w:bidi w:val="0"/>
                  </w:pPr>
                  <w:r>
                    <w:t>6#市二十三中</w:t>
                  </w:r>
                </w:p>
              </w:tc>
              <w:tc>
                <w:tcPr>
                  <w:tcW w:w="1373"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1107"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1327" w:type="dxa"/>
                  <w:tcBorders>
                    <w:top w:val="single" w:color="000000" w:sz="4" w:space="0"/>
                    <w:left w:val="single" w:color="000000" w:sz="4" w:space="0"/>
                    <w:bottom w:val="single" w:color="000000" w:sz="4" w:space="0"/>
                    <w:right w:val="single" w:color="000000" w:sz="4" w:space="0"/>
                  </w:tcBorders>
                  <w:vAlign w:val="center"/>
                </w:tcPr>
                <w:p>
                  <w:pPr>
                    <w:pStyle w:val="40"/>
                    <w:bidi w:val="0"/>
                  </w:pPr>
                  <w:r>
                    <w:t>0.105~0.118</w:t>
                  </w:r>
                </w:p>
              </w:tc>
              <w:tc>
                <w:tcPr>
                  <w:tcW w:w="1084" w:type="dxa"/>
                  <w:tcBorders>
                    <w:top w:val="single" w:color="000000" w:sz="4" w:space="0"/>
                    <w:left w:val="single" w:color="000000" w:sz="4" w:space="0"/>
                    <w:bottom w:val="single" w:color="000000" w:sz="4" w:space="0"/>
                    <w:right w:val="single" w:color="000000" w:sz="4" w:space="0"/>
                  </w:tcBorders>
                  <w:vAlign w:val="center"/>
                </w:tcPr>
                <w:p>
                  <w:pPr>
                    <w:pStyle w:val="40"/>
                    <w:bidi w:val="0"/>
                  </w:pPr>
                  <w:r>
                    <w:t>0.70~0.79</w:t>
                  </w:r>
                </w:p>
              </w:tc>
              <w:tc>
                <w:tcPr>
                  <w:tcW w:w="644"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r>
            <w:tr>
              <w:tblPrEx>
                <w:tblCellMar>
                  <w:top w:w="0" w:type="dxa"/>
                  <w:left w:w="0" w:type="dxa"/>
                  <w:bottom w:w="0" w:type="dxa"/>
                  <w:right w:w="0" w:type="dxa"/>
                </w:tblCellMar>
              </w:tblPrEx>
              <w:trPr>
                <w:trHeight w:val="454" w:hRule="atLeast"/>
                <w:jc w:val="center"/>
              </w:trPr>
              <w:tc>
                <w:tcPr>
                  <w:tcW w:w="1142" w:type="dxa"/>
                  <w:vMerge w:val="restart"/>
                  <w:tcBorders>
                    <w:top w:val="single" w:color="000000" w:sz="4" w:space="0"/>
                    <w:left w:val="single" w:color="000000" w:sz="4" w:space="0"/>
                    <w:right w:val="single" w:color="000000" w:sz="4" w:space="0"/>
                  </w:tcBorders>
                  <w:vAlign w:val="center"/>
                </w:tcPr>
                <w:p>
                  <w:pPr>
                    <w:pStyle w:val="40"/>
                    <w:bidi w:val="0"/>
                  </w:pPr>
                  <w:r>
                    <w:t>O3</w:t>
                  </w:r>
                </w:p>
                <w:p>
                  <w:pPr>
                    <w:pStyle w:val="40"/>
                    <w:bidi w:val="0"/>
                  </w:pPr>
                  <w:r>
                    <w:t>(mg/m³)</w:t>
                  </w:r>
                </w:p>
              </w:tc>
              <w:tc>
                <w:tcPr>
                  <w:tcW w:w="1916" w:type="dxa"/>
                  <w:tcBorders>
                    <w:top w:val="single" w:color="000000" w:sz="4" w:space="0"/>
                    <w:left w:val="single" w:color="000000" w:sz="4" w:space="0"/>
                    <w:bottom w:val="single" w:color="000000" w:sz="4" w:space="0"/>
                    <w:right w:val="single" w:color="000000" w:sz="4" w:space="0"/>
                  </w:tcBorders>
                  <w:vAlign w:val="center"/>
                </w:tcPr>
                <w:p>
                  <w:pPr>
                    <w:pStyle w:val="40"/>
                    <w:bidi w:val="0"/>
                  </w:pPr>
                  <w:r>
                    <w:t>4#淮南文汇学校</w:t>
                  </w:r>
                </w:p>
              </w:tc>
              <w:tc>
                <w:tcPr>
                  <w:tcW w:w="1373" w:type="dxa"/>
                  <w:tcBorders>
                    <w:top w:val="single" w:color="000000" w:sz="4" w:space="0"/>
                    <w:left w:val="single" w:color="000000" w:sz="4" w:space="0"/>
                    <w:bottom w:val="single" w:color="000000" w:sz="4" w:space="0"/>
                    <w:right w:val="single" w:color="000000" w:sz="4" w:space="0"/>
                  </w:tcBorders>
                  <w:vAlign w:val="center"/>
                </w:tcPr>
                <w:p>
                  <w:pPr>
                    <w:pStyle w:val="40"/>
                    <w:bidi w:val="0"/>
                  </w:pPr>
                  <w:r>
                    <w:t>0.069~0.096</w:t>
                  </w:r>
                </w:p>
              </w:tc>
              <w:tc>
                <w:tcPr>
                  <w:tcW w:w="1107" w:type="dxa"/>
                  <w:tcBorders>
                    <w:top w:val="single" w:color="000000" w:sz="4" w:space="0"/>
                    <w:left w:val="single" w:color="000000" w:sz="4" w:space="0"/>
                    <w:bottom w:val="single" w:color="000000" w:sz="4" w:space="0"/>
                    <w:right w:val="single" w:color="000000" w:sz="4" w:space="0"/>
                  </w:tcBorders>
                  <w:vAlign w:val="center"/>
                </w:tcPr>
                <w:p>
                  <w:pPr>
                    <w:pStyle w:val="40"/>
                    <w:bidi w:val="0"/>
                  </w:pPr>
                  <w:r>
                    <w:t>0.35~0.48</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c>
                <w:tcPr>
                  <w:tcW w:w="1327" w:type="dxa"/>
                  <w:tcBorders>
                    <w:top w:val="single" w:color="000000" w:sz="4" w:space="0"/>
                    <w:left w:val="single" w:color="000000" w:sz="4" w:space="0"/>
                    <w:bottom w:val="single" w:color="000000" w:sz="4" w:space="0"/>
                    <w:right w:val="single" w:color="000000" w:sz="4" w:space="0"/>
                  </w:tcBorders>
                  <w:vAlign w:val="center"/>
                </w:tcPr>
                <w:p>
                  <w:pPr>
                    <w:pStyle w:val="40"/>
                    <w:bidi w:val="0"/>
                  </w:pPr>
                </w:p>
              </w:tc>
              <w:tc>
                <w:tcPr>
                  <w:tcW w:w="1084" w:type="dxa"/>
                  <w:tcBorders>
                    <w:top w:val="single" w:color="000000" w:sz="4" w:space="0"/>
                    <w:left w:val="single" w:color="000000" w:sz="4" w:space="0"/>
                    <w:bottom w:val="single" w:color="000000" w:sz="4" w:space="0"/>
                    <w:right w:val="single" w:color="000000" w:sz="4" w:space="0"/>
                  </w:tcBorders>
                  <w:vAlign w:val="center"/>
                </w:tcPr>
                <w:p>
                  <w:pPr>
                    <w:pStyle w:val="40"/>
                    <w:bidi w:val="0"/>
                  </w:pPr>
                </w:p>
              </w:tc>
              <w:tc>
                <w:tcPr>
                  <w:tcW w:w="644" w:type="dxa"/>
                  <w:tcBorders>
                    <w:top w:val="single" w:color="000000" w:sz="4" w:space="0"/>
                    <w:left w:val="single" w:color="000000" w:sz="4" w:space="0"/>
                    <w:bottom w:val="single" w:color="000000" w:sz="4" w:space="0"/>
                    <w:right w:val="single" w:color="000000" w:sz="4" w:space="0"/>
                  </w:tcBorders>
                  <w:vAlign w:val="center"/>
                </w:tcPr>
                <w:p>
                  <w:pPr>
                    <w:pStyle w:val="40"/>
                    <w:bidi w:val="0"/>
                  </w:pPr>
                </w:p>
              </w:tc>
            </w:tr>
            <w:tr>
              <w:tblPrEx>
                <w:tblCellMar>
                  <w:top w:w="0" w:type="dxa"/>
                  <w:left w:w="0" w:type="dxa"/>
                  <w:bottom w:w="0" w:type="dxa"/>
                  <w:right w:w="0" w:type="dxa"/>
                </w:tblCellMar>
              </w:tblPrEx>
              <w:trPr>
                <w:trHeight w:val="454" w:hRule="atLeast"/>
                <w:jc w:val="center"/>
              </w:trPr>
              <w:tc>
                <w:tcPr>
                  <w:tcW w:w="1142" w:type="dxa"/>
                  <w:vMerge w:val="continue"/>
                  <w:tcBorders>
                    <w:left w:val="single" w:color="000000" w:sz="4" w:space="0"/>
                    <w:bottom w:val="single" w:color="000000" w:sz="4" w:space="0"/>
                    <w:right w:val="single" w:color="000000" w:sz="4" w:space="0"/>
                  </w:tcBorders>
                  <w:vAlign w:val="center"/>
                </w:tcPr>
                <w:p>
                  <w:pPr>
                    <w:pStyle w:val="40"/>
                    <w:bidi w:val="0"/>
                  </w:pPr>
                </w:p>
              </w:tc>
              <w:tc>
                <w:tcPr>
                  <w:tcW w:w="1916" w:type="dxa"/>
                  <w:tcBorders>
                    <w:top w:val="single" w:color="000000" w:sz="4" w:space="0"/>
                    <w:left w:val="single" w:color="000000" w:sz="4" w:space="0"/>
                    <w:bottom w:val="single" w:color="000000" w:sz="4" w:space="0"/>
                    <w:right w:val="single" w:color="000000" w:sz="4" w:space="0"/>
                  </w:tcBorders>
                  <w:vAlign w:val="center"/>
                </w:tcPr>
                <w:p>
                  <w:pPr>
                    <w:pStyle w:val="40"/>
                    <w:bidi w:val="0"/>
                  </w:pPr>
                  <w:r>
                    <w:t>6#市二十三中</w:t>
                  </w:r>
                </w:p>
              </w:tc>
              <w:tc>
                <w:tcPr>
                  <w:tcW w:w="1373" w:type="dxa"/>
                  <w:tcBorders>
                    <w:top w:val="single" w:color="000000" w:sz="4" w:space="0"/>
                    <w:left w:val="single" w:color="000000" w:sz="4" w:space="0"/>
                    <w:bottom w:val="single" w:color="000000" w:sz="4" w:space="0"/>
                    <w:right w:val="single" w:color="000000" w:sz="4" w:space="0"/>
                  </w:tcBorders>
                  <w:vAlign w:val="center"/>
                </w:tcPr>
                <w:p>
                  <w:pPr>
                    <w:pStyle w:val="40"/>
                    <w:bidi w:val="0"/>
                  </w:pPr>
                  <w:r>
                    <w:t>0.074~0.096</w:t>
                  </w:r>
                </w:p>
              </w:tc>
              <w:tc>
                <w:tcPr>
                  <w:tcW w:w="1107" w:type="dxa"/>
                  <w:tcBorders>
                    <w:top w:val="single" w:color="000000" w:sz="4" w:space="0"/>
                    <w:left w:val="single" w:color="000000" w:sz="4" w:space="0"/>
                    <w:bottom w:val="single" w:color="000000" w:sz="4" w:space="0"/>
                    <w:right w:val="single" w:color="000000" w:sz="4" w:space="0"/>
                  </w:tcBorders>
                  <w:vAlign w:val="center"/>
                </w:tcPr>
                <w:p>
                  <w:pPr>
                    <w:pStyle w:val="40"/>
                    <w:bidi w:val="0"/>
                  </w:pPr>
                  <w:r>
                    <w:t>0.37~0.48</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c>
                <w:tcPr>
                  <w:tcW w:w="1327" w:type="dxa"/>
                  <w:tcBorders>
                    <w:top w:val="single" w:color="000000" w:sz="4" w:space="0"/>
                    <w:left w:val="single" w:color="000000" w:sz="4" w:space="0"/>
                    <w:bottom w:val="single" w:color="000000" w:sz="4" w:space="0"/>
                    <w:right w:val="single" w:color="000000" w:sz="4" w:space="0"/>
                  </w:tcBorders>
                  <w:vAlign w:val="center"/>
                </w:tcPr>
                <w:p>
                  <w:pPr>
                    <w:pStyle w:val="40"/>
                    <w:bidi w:val="0"/>
                  </w:pPr>
                </w:p>
              </w:tc>
              <w:tc>
                <w:tcPr>
                  <w:tcW w:w="1084" w:type="dxa"/>
                  <w:tcBorders>
                    <w:top w:val="single" w:color="000000" w:sz="4" w:space="0"/>
                    <w:left w:val="single" w:color="000000" w:sz="4" w:space="0"/>
                    <w:bottom w:val="single" w:color="000000" w:sz="4" w:space="0"/>
                    <w:right w:val="single" w:color="000000" w:sz="4" w:space="0"/>
                  </w:tcBorders>
                  <w:vAlign w:val="center"/>
                </w:tcPr>
                <w:p>
                  <w:pPr>
                    <w:pStyle w:val="40"/>
                    <w:bidi w:val="0"/>
                  </w:pPr>
                </w:p>
              </w:tc>
              <w:tc>
                <w:tcPr>
                  <w:tcW w:w="644" w:type="dxa"/>
                  <w:tcBorders>
                    <w:top w:val="single" w:color="000000" w:sz="4" w:space="0"/>
                    <w:left w:val="single" w:color="000000" w:sz="4" w:space="0"/>
                    <w:bottom w:val="single" w:color="000000" w:sz="4" w:space="0"/>
                    <w:right w:val="single" w:color="000000" w:sz="4" w:space="0"/>
                  </w:tcBorders>
                  <w:vAlign w:val="center"/>
                </w:tcPr>
                <w:p>
                  <w:pPr>
                    <w:pStyle w:val="40"/>
                    <w:bidi w:val="0"/>
                  </w:pPr>
                </w:p>
              </w:tc>
            </w:tr>
            <w:tr>
              <w:trPr>
                <w:trHeight w:val="454" w:hRule="atLeast"/>
                <w:jc w:val="center"/>
              </w:trPr>
              <w:tc>
                <w:tcPr>
                  <w:tcW w:w="1142" w:type="dxa"/>
                  <w:vMerge w:val="restart"/>
                  <w:tcBorders>
                    <w:top w:val="single" w:color="000000" w:sz="4" w:space="0"/>
                    <w:left w:val="single" w:color="000000" w:sz="4" w:space="0"/>
                    <w:right w:val="single" w:color="000000" w:sz="4" w:space="0"/>
                  </w:tcBorders>
                  <w:vAlign w:val="center"/>
                </w:tcPr>
                <w:p>
                  <w:pPr>
                    <w:pStyle w:val="40"/>
                    <w:bidi w:val="0"/>
                  </w:pPr>
                  <w:r>
                    <w:t>CO</w:t>
                  </w:r>
                </w:p>
                <w:p>
                  <w:pPr>
                    <w:pStyle w:val="40"/>
                    <w:bidi w:val="0"/>
                  </w:pPr>
                  <w:r>
                    <w:t>(mg/m³)</w:t>
                  </w:r>
                </w:p>
              </w:tc>
              <w:tc>
                <w:tcPr>
                  <w:tcW w:w="1916" w:type="dxa"/>
                  <w:tcBorders>
                    <w:top w:val="single" w:color="000000" w:sz="4" w:space="0"/>
                    <w:left w:val="single" w:color="000000" w:sz="4" w:space="0"/>
                    <w:bottom w:val="single" w:color="000000" w:sz="4" w:space="0"/>
                    <w:right w:val="single" w:color="000000" w:sz="4" w:space="0"/>
                  </w:tcBorders>
                  <w:vAlign w:val="center"/>
                </w:tcPr>
                <w:p>
                  <w:pPr>
                    <w:pStyle w:val="40"/>
                    <w:bidi w:val="0"/>
                  </w:pPr>
                  <w:r>
                    <w:t>4#淮南文汇学校</w:t>
                  </w:r>
                </w:p>
              </w:tc>
              <w:tc>
                <w:tcPr>
                  <w:tcW w:w="1373" w:type="dxa"/>
                  <w:tcBorders>
                    <w:top w:val="single" w:color="000000" w:sz="4" w:space="0"/>
                    <w:left w:val="single" w:color="000000" w:sz="4" w:space="0"/>
                    <w:bottom w:val="single" w:color="000000" w:sz="4" w:space="0"/>
                    <w:right w:val="single" w:color="000000" w:sz="4" w:space="0"/>
                  </w:tcBorders>
                  <w:vAlign w:val="center"/>
                </w:tcPr>
                <w:p>
                  <w:pPr>
                    <w:pStyle w:val="40"/>
                    <w:bidi w:val="0"/>
                  </w:pPr>
                  <w:r>
                    <w:t>2.3~3.7</w:t>
                  </w:r>
                </w:p>
              </w:tc>
              <w:tc>
                <w:tcPr>
                  <w:tcW w:w="1107" w:type="dxa"/>
                  <w:tcBorders>
                    <w:top w:val="single" w:color="000000" w:sz="4" w:space="0"/>
                    <w:left w:val="single" w:color="000000" w:sz="4" w:space="0"/>
                    <w:bottom w:val="single" w:color="000000" w:sz="4" w:space="0"/>
                    <w:right w:val="single" w:color="000000" w:sz="4" w:space="0"/>
                  </w:tcBorders>
                  <w:vAlign w:val="center"/>
                </w:tcPr>
                <w:p>
                  <w:pPr>
                    <w:pStyle w:val="40"/>
                    <w:bidi w:val="0"/>
                  </w:pPr>
                  <w:r>
                    <w:t>0.23~0.37</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c>
                <w:tcPr>
                  <w:tcW w:w="1327" w:type="dxa"/>
                  <w:tcBorders>
                    <w:top w:val="single" w:color="000000" w:sz="4" w:space="0"/>
                    <w:left w:val="single" w:color="000000" w:sz="4" w:space="0"/>
                    <w:bottom w:val="single" w:color="000000" w:sz="4" w:space="0"/>
                    <w:right w:val="single" w:color="000000" w:sz="4" w:space="0"/>
                  </w:tcBorders>
                  <w:vAlign w:val="center"/>
                </w:tcPr>
                <w:p>
                  <w:pPr>
                    <w:pStyle w:val="40"/>
                    <w:bidi w:val="0"/>
                  </w:pPr>
                  <w:r>
                    <w:t>0.7~1.1</w:t>
                  </w:r>
                </w:p>
              </w:tc>
              <w:tc>
                <w:tcPr>
                  <w:tcW w:w="1084" w:type="dxa"/>
                  <w:tcBorders>
                    <w:top w:val="single" w:color="000000" w:sz="4" w:space="0"/>
                    <w:left w:val="single" w:color="000000" w:sz="4" w:space="0"/>
                    <w:bottom w:val="single" w:color="000000" w:sz="4" w:space="0"/>
                    <w:right w:val="single" w:color="000000" w:sz="4" w:space="0"/>
                  </w:tcBorders>
                  <w:vAlign w:val="center"/>
                </w:tcPr>
                <w:p>
                  <w:pPr>
                    <w:pStyle w:val="40"/>
                    <w:bidi w:val="0"/>
                  </w:pPr>
                  <w:r>
                    <w:t>0.18~0.28</w:t>
                  </w:r>
                </w:p>
              </w:tc>
              <w:tc>
                <w:tcPr>
                  <w:tcW w:w="644"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r>
            <w:tr>
              <w:tblPrEx>
                <w:tblCellMar>
                  <w:top w:w="0" w:type="dxa"/>
                  <w:left w:w="0" w:type="dxa"/>
                  <w:bottom w:w="0" w:type="dxa"/>
                  <w:right w:w="0" w:type="dxa"/>
                </w:tblCellMar>
              </w:tblPrEx>
              <w:trPr>
                <w:trHeight w:val="454" w:hRule="atLeast"/>
                <w:jc w:val="center"/>
              </w:trPr>
              <w:tc>
                <w:tcPr>
                  <w:tcW w:w="1142" w:type="dxa"/>
                  <w:vMerge w:val="continue"/>
                  <w:tcBorders>
                    <w:left w:val="single" w:color="000000" w:sz="4" w:space="0"/>
                    <w:bottom w:val="single" w:color="000000" w:sz="4" w:space="0"/>
                    <w:right w:val="single" w:color="000000" w:sz="4" w:space="0"/>
                  </w:tcBorders>
                  <w:vAlign w:val="center"/>
                </w:tcPr>
                <w:p>
                  <w:pPr>
                    <w:pStyle w:val="40"/>
                    <w:bidi w:val="0"/>
                  </w:pPr>
                </w:p>
              </w:tc>
              <w:tc>
                <w:tcPr>
                  <w:tcW w:w="1916" w:type="dxa"/>
                  <w:tcBorders>
                    <w:top w:val="single" w:color="000000" w:sz="4" w:space="0"/>
                    <w:left w:val="single" w:color="000000" w:sz="4" w:space="0"/>
                    <w:bottom w:val="single" w:color="000000" w:sz="4" w:space="0"/>
                    <w:right w:val="single" w:color="000000" w:sz="4" w:space="0"/>
                  </w:tcBorders>
                  <w:vAlign w:val="center"/>
                </w:tcPr>
                <w:p>
                  <w:pPr>
                    <w:pStyle w:val="40"/>
                    <w:bidi w:val="0"/>
                  </w:pPr>
                  <w:r>
                    <w:t>6#市二十三中</w:t>
                  </w:r>
                </w:p>
              </w:tc>
              <w:tc>
                <w:tcPr>
                  <w:tcW w:w="1373" w:type="dxa"/>
                  <w:tcBorders>
                    <w:top w:val="single" w:color="000000" w:sz="4" w:space="0"/>
                    <w:left w:val="single" w:color="000000" w:sz="4" w:space="0"/>
                    <w:bottom w:val="single" w:color="000000" w:sz="4" w:space="0"/>
                    <w:right w:val="single" w:color="000000" w:sz="4" w:space="0"/>
                  </w:tcBorders>
                  <w:vAlign w:val="center"/>
                </w:tcPr>
                <w:p>
                  <w:pPr>
                    <w:pStyle w:val="40"/>
                    <w:bidi w:val="0"/>
                  </w:pPr>
                  <w:r>
                    <w:t>2.9~4.6</w:t>
                  </w:r>
                </w:p>
              </w:tc>
              <w:tc>
                <w:tcPr>
                  <w:tcW w:w="1107" w:type="dxa"/>
                  <w:tcBorders>
                    <w:top w:val="single" w:color="000000" w:sz="4" w:space="0"/>
                    <w:left w:val="single" w:color="000000" w:sz="4" w:space="0"/>
                    <w:bottom w:val="single" w:color="000000" w:sz="4" w:space="0"/>
                    <w:right w:val="single" w:color="000000" w:sz="4" w:space="0"/>
                  </w:tcBorders>
                  <w:vAlign w:val="center"/>
                </w:tcPr>
                <w:p>
                  <w:pPr>
                    <w:pStyle w:val="40"/>
                    <w:bidi w:val="0"/>
                  </w:pPr>
                  <w:r>
                    <w:t>0.29~0.46</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c>
                <w:tcPr>
                  <w:tcW w:w="1327" w:type="dxa"/>
                  <w:tcBorders>
                    <w:top w:val="single" w:color="000000" w:sz="4" w:space="0"/>
                    <w:left w:val="single" w:color="000000" w:sz="4" w:space="0"/>
                    <w:bottom w:val="single" w:color="000000" w:sz="4" w:space="0"/>
                    <w:right w:val="single" w:color="000000" w:sz="4" w:space="0"/>
                  </w:tcBorders>
                  <w:vAlign w:val="center"/>
                </w:tcPr>
                <w:p>
                  <w:pPr>
                    <w:pStyle w:val="40"/>
                    <w:bidi w:val="0"/>
                  </w:pPr>
                  <w:r>
                    <w:t>0.8~1.5</w:t>
                  </w:r>
                </w:p>
              </w:tc>
              <w:tc>
                <w:tcPr>
                  <w:tcW w:w="1084" w:type="dxa"/>
                  <w:tcBorders>
                    <w:top w:val="single" w:color="000000" w:sz="4" w:space="0"/>
                    <w:left w:val="single" w:color="000000" w:sz="4" w:space="0"/>
                    <w:bottom w:val="single" w:color="000000" w:sz="4" w:space="0"/>
                    <w:right w:val="single" w:color="000000" w:sz="4" w:space="0"/>
                  </w:tcBorders>
                  <w:vAlign w:val="center"/>
                </w:tcPr>
                <w:p>
                  <w:pPr>
                    <w:pStyle w:val="40"/>
                    <w:bidi w:val="0"/>
                  </w:pPr>
                  <w:r>
                    <w:t>0.2~0.38</w:t>
                  </w:r>
                </w:p>
              </w:tc>
              <w:tc>
                <w:tcPr>
                  <w:tcW w:w="644"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r>
            <w:tr>
              <w:tblPrEx>
                <w:tblCellMar>
                  <w:top w:w="0" w:type="dxa"/>
                  <w:left w:w="0" w:type="dxa"/>
                  <w:bottom w:w="0" w:type="dxa"/>
                  <w:right w:w="0" w:type="dxa"/>
                </w:tblCellMar>
              </w:tblPrEx>
              <w:trPr>
                <w:trHeight w:val="454" w:hRule="atLeast"/>
                <w:jc w:val="center"/>
              </w:trPr>
              <w:tc>
                <w:tcPr>
                  <w:tcW w:w="1142" w:type="dxa"/>
                  <w:vMerge w:val="restart"/>
                  <w:tcBorders>
                    <w:top w:val="single" w:color="000000" w:sz="4" w:space="0"/>
                    <w:left w:val="single" w:color="000000" w:sz="4" w:space="0"/>
                    <w:right w:val="single" w:color="000000" w:sz="4" w:space="0"/>
                  </w:tcBorders>
                  <w:vAlign w:val="center"/>
                </w:tcPr>
                <w:p>
                  <w:pPr>
                    <w:pStyle w:val="40"/>
                    <w:bidi w:val="0"/>
                  </w:pPr>
                  <w:r>
                    <w:t>非甲烷总 烃(mg/m³)</w:t>
                  </w:r>
                </w:p>
              </w:tc>
              <w:tc>
                <w:tcPr>
                  <w:tcW w:w="1916" w:type="dxa"/>
                  <w:tcBorders>
                    <w:top w:val="single" w:color="000000" w:sz="4" w:space="0"/>
                    <w:left w:val="single" w:color="000000" w:sz="4" w:space="0"/>
                    <w:bottom w:val="single" w:color="000000" w:sz="4" w:space="0"/>
                    <w:right w:val="single" w:color="000000" w:sz="4" w:space="0"/>
                  </w:tcBorders>
                  <w:vAlign w:val="center"/>
                </w:tcPr>
                <w:p>
                  <w:pPr>
                    <w:pStyle w:val="40"/>
                    <w:bidi w:val="0"/>
                  </w:pPr>
                  <w:r>
                    <w:t>1#淮南农场</w:t>
                  </w:r>
                </w:p>
              </w:tc>
              <w:tc>
                <w:tcPr>
                  <w:tcW w:w="1373" w:type="dxa"/>
                  <w:tcBorders>
                    <w:top w:val="single" w:color="000000" w:sz="4" w:space="0"/>
                    <w:left w:val="single" w:color="000000" w:sz="4" w:space="0"/>
                    <w:bottom w:val="single" w:color="000000" w:sz="4" w:space="0"/>
                    <w:right w:val="single" w:color="000000" w:sz="4" w:space="0"/>
                  </w:tcBorders>
                  <w:vAlign w:val="center"/>
                </w:tcPr>
                <w:p>
                  <w:pPr>
                    <w:pStyle w:val="40"/>
                    <w:bidi w:val="0"/>
                  </w:pPr>
                  <w:r>
                    <w:t>1.02~1.19</w:t>
                  </w:r>
                </w:p>
              </w:tc>
              <w:tc>
                <w:tcPr>
                  <w:tcW w:w="1107" w:type="dxa"/>
                  <w:tcBorders>
                    <w:top w:val="single" w:color="000000" w:sz="4" w:space="0"/>
                    <w:left w:val="single" w:color="000000" w:sz="4" w:space="0"/>
                    <w:bottom w:val="single" w:color="000000" w:sz="4" w:space="0"/>
                    <w:right w:val="single" w:color="000000" w:sz="4" w:space="0"/>
                  </w:tcBorders>
                  <w:vAlign w:val="center"/>
                </w:tcPr>
                <w:p>
                  <w:pPr>
                    <w:pStyle w:val="40"/>
                    <w:bidi w:val="0"/>
                  </w:pPr>
                  <w:r>
                    <w:t>0.51~0.60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c>
                <w:tcPr>
                  <w:tcW w:w="1327"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1084"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644"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r>
            <w:tr>
              <w:tblPrEx>
                <w:tblCellMar>
                  <w:top w:w="0" w:type="dxa"/>
                  <w:left w:w="0" w:type="dxa"/>
                  <w:bottom w:w="0" w:type="dxa"/>
                  <w:right w:w="0" w:type="dxa"/>
                </w:tblCellMar>
              </w:tblPrEx>
              <w:trPr>
                <w:trHeight w:val="454" w:hRule="atLeast"/>
                <w:jc w:val="center"/>
              </w:trPr>
              <w:tc>
                <w:tcPr>
                  <w:tcW w:w="1142" w:type="dxa"/>
                  <w:vMerge w:val="continue"/>
                  <w:tcBorders>
                    <w:left w:val="single" w:color="000000" w:sz="4" w:space="0"/>
                    <w:right w:val="single" w:color="000000" w:sz="4" w:space="0"/>
                  </w:tcBorders>
                  <w:vAlign w:val="center"/>
                </w:tcPr>
                <w:p>
                  <w:pPr>
                    <w:pStyle w:val="40"/>
                    <w:bidi w:val="0"/>
                  </w:pPr>
                </w:p>
              </w:tc>
              <w:tc>
                <w:tcPr>
                  <w:tcW w:w="1916" w:type="dxa"/>
                  <w:tcBorders>
                    <w:top w:val="single" w:color="000000" w:sz="4" w:space="0"/>
                    <w:left w:val="single" w:color="000000" w:sz="4" w:space="0"/>
                    <w:bottom w:val="single" w:color="000000" w:sz="4" w:space="0"/>
                    <w:right w:val="single" w:color="000000" w:sz="4" w:space="0"/>
                  </w:tcBorders>
                  <w:vAlign w:val="center"/>
                </w:tcPr>
                <w:p>
                  <w:pPr>
                    <w:pStyle w:val="40"/>
                    <w:bidi w:val="0"/>
                  </w:pPr>
                  <w:r>
                    <w:t>2#宫集村</w:t>
                  </w:r>
                </w:p>
              </w:tc>
              <w:tc>
                <w:tcPr>
                  <w:tcW w:w="1373" w:type="dxa"/>
                  <w:tcBorders>
                    <w:top w:val="single" w:color="000000" w:sz="4" w:space="0"/>
                    <w:left w:val="single" w:color="000000" w:sz="4" w:space="0"/>
                    <w:bottom w:val="single" w:color="000000" w:sz="4" w:space="0"/>
                    <w:right w:val="single" w:color="000000" w:sz="4" w:space="0"/>
                  </w:tcBorders>
                  <w:vAlign w:val="center"/>
                </w:tcPr>
                <w:p>
                  <w:pPr>
                    <w:pStyle w:val="40"/>
                    <w:bidi w:val="0"/>
                  </w:pPr>
                  <w:r>
                    <w:t>0.84~1.12</w:t>
                  </w:r>
                </w:p>
              </w:tc>
              <w:tc>
                <w:tcPr>
                  <w:tcW w:w="1107" w:type="dxa"/>
                  <w:tcBorders>
                    <w:top w:val="single" w:color="000000" w:sz="4" w:space="0"/>
                    <w:left w:val="single" w:color="000000" w:sz="4" w:space="0"/>
                    <w:bottom w:val="single" w:color="000000" w:sz="4" w:space="0"/>
                    <w:right w:val="single" w:color="000000" w:sz="4" w:space="0"/>
                  </w:tcBorders>
                  <w:vAlign w:val="center"/>
                </w:tcPr>
                <w:p>
                  <w:pPr>
                    <w:pStyle w:val="40"/>
                    <w:bidi w:val="0"/>
                  </w:pPr>
                  <w:r>
                    <w:t>0.42~0.56</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40"/>
                    <w:bidi w:val="0"/>
                  </w:pPr>
                  <w:r>
                    <w:t>0</w:t>
                  </w:r>
                </w:p>
              </w:tc>
              <w:tc>
                <w:tcPr>
                  <w:tcW w:w="1327"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1084"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c>
                <w:tcPr>
                  <w:tcW w:w="644" w:type="dxa"/>
                  <w:tcBorders>
                    <w:top w:val="single" w:color="000000" w:sz="4" w:space="0"/>
                    <w:left w:val="single" w:color="000000" w:sz="4" w:space="0"/>
                    <w:bottom w:val="single" w:color="000000" w:sz="4" w:space="0"/>
                    <w:right w:val="single" w:color="000000" w:sz="4" w:space="0"/>
                  </w:tcBorders>
                  <w:vAlign w:val="center"/>
                </w:tcPr>
                <w:p>
                  <w:pPr>
                    <w:pStyle w:val="40"/>
                    <w:bidi w:val="0"/>
                  </w:pPr>
                  <w:r>
                    <w:t>/</w:t>
                  </w:r>
                </w:p>
              </w:tc>
            </w:tr>
            <w:tr>
              <w:tblPrEx>
                <w:tblCellMar>
                  <w:top w:w="0" w:type="dxa"/>
                  <w:left w:w="0" w:type="dxa"/>
                  <w:bottom w:w="0" w:type="dxa"/>
                  <w:right w:w="0" w:type="dxa"/>
                </w:tblCellMar>
              </w:tblPrEx>
              <w:trPr>
                <w:trHeight w:val="454" w:hRule="atLeast"/>
                <w:jc w:val="center"/>
              </w:trPr>
              <w:tc>
                <w:tcPr>
                  <w:tcW w:w="1142" w:type="dxa"/>
                  <w:vMerge w:val="continue"/>
                  <w:tcBorders>
                    <w:left w:val="single" w:color="000000" w:sz="4" w:space="0"/>
                    <w:right w:val="single" w:color="000000" w:sz="4" w:space="0"/>
                  </w:tcBorders>
                  <w:vAlign w:val="center"/>
                </w:tcPr>
                <w:p>
                  <w:pPr>
                    <w:pStyle w:val="40"/>
                    <w:bidi w:val="0"/>
                  </w:pPr>
                </w:p>
              </w:tc>
              <w:tc>
                <w:tcPr>
                  <w:tcW w:w="1916" w:type="dxa"/>
                  <w:tcBorders>
                    <w:top w:val="single" w:color="000000" w:sz="4" w:space="0"/>
                    <w:left w:val="single" w:color="000000" w:sz="4" w:space="0"/>
                    <w:bottom w:val="single" w:color="000000" w:sz="4" w:space="0"/>
                    <w:right w:val="single" w:color="000000" w:sz="4" w:space="0"/>
                  </w:tcBorders>
                  <w:vAlign w:val="top"/>
                </w:tcPr>
                <w:p>
                  <w:pPr>
                    <w:pStyle w:val="48"/>
                    <w:spacing w:before="78" w:line="240" w:lineRule="auto"/>
                    <w:ind w:left="113" w:leftChars="0" w:right="0" w:rightChars="0"/>
                    <w:jc w:val="left"/>
                  </w:pPr>
                  <w:r>
                    <w:t>3#金地月伴湾小区</w:t>
                  </w:r>
                </w:p>
              </w:tc>
              <w:tc>
                <w:tcPr>
                  <w:tcW w:w="1373" w:type="dxa"/>
                  <w:tcBorders>
                    <w:top w:val="single" w:color="000000" w:sz="4" w:space="0"/>
                    <w:left w:val="single" w:color="000000" w:sz="4" w:space="0"/>
                    <w:bottom w:val="single" w:color="000000" w:sz="4" w:space="0"/>
                    <w:right w:val="single" w:color="000000" w:sz="4" w:space="0"/>
                  </w:tcBorders>
                  <w:vAlign w:val="top"/>
                </w:tcPr>
                <w:p>
                  <w:pPr>
                    <w:pStyle w:val="48"/>
                    <w:spacing w:before="123" w:line="240" w:lineRule="auto"/>
                    <w:ind w:left="259" w:leftChars="0" w:right="0" w:rightChars="0"/>
                    <w:jc w:val="left"/>
                  </w:pPr>
                  <w:r>
                    <w:t>0.82~1.23</w:t>
                  </w:r>
                </w:p>
              </w:tc>
              <w:tc>
                <w:tcPr>
                  <w:tcW w:w="1107" w:type="dxa"/>
                  <w:tcBorders>
                    <w:top w:val="single" w:color="000000" w:sz="4" w:space="0"/>
                    <w:left w:val="single" w:color="000000" w:sz="4" w:space="0"/>
                    <w:bottom w:val="single" w:color="000000" w:sz="4" w:space="0"/>
                    <w:right w:val="single" w:color="000000" w:sz="4" w:space="0"/>
                  </w:tcBorders>
                  <w:vAlign w:val="top"/>
                </w:tcPr>
                <w:p>
                  <w:pPr>
                    <w:pStyle w:val="48"/>
                    <w:spacing w:before="123" w:line="240" w:lineRule="auto"/>
                    <w:ind w:left="124" w:leftChars="0" w:right="0" w:rightChars="0"/>
                    <w:jc w:val="left"/>
                  </w:pPr>
                  <w:r>
                    <w:t>0.41~0.62</w:t>
                  </w:r>
                </w:p>
              </w:tc>
              <w:tc>
                <w:tcPr>
                  <w:tcW w:w="693" w:type="dxa"/>
                  <w:tcBorders>
                    <w:top w:val="single" w:color="000000" w:sz="4" w:space="0"/>
                    <w:left w:val="single" w:color="000000" w:sz="4" w:space="0"/>
                    <w:bottom w:val="single" w:color="000000" w:sz="4" w:space="0"/>
                    <w:right w:val="single" w:color="000000" w:sz="4" w:space="0"/>
                  </w:tcBorders>
                  <w:vAlign w:val="top"/>
                </w:tcPr>
                <w:p>
                  <w:pPr>
                    <w:pStyle w:val="48"/>
                    <w:spacing w:before="123" w:line="240" w:lineRule="auto"/>
                    <w:ind w:left="269" w:leftChars="0" w:right="269" w:rightChars="0"/>
                    <w:jc w:val="center"/>
                  </w:pPr>
                  <w:r>
                    <w:t>0</w:t>
                  </w:r>
                </w:p>
              </w:tc>
              <w:tc>
                <w:tcPr>
                  <w:tcW w:w="1327" w:type="dxa"/>
                  <w:tcBorders>
                    <w:top w:val="single" w:color="000000" w:sz="4" w:space="0"/>
                    <w:left w:val="single" w:color="000000" w:sz="4" w:space="0"/>
                    <w:bottom w:val="single" w:color="000000" w:sz="4" w:space="0"/>
                    <w:right w:val="single" w:color="000000" w:sz="4" w:space="0"/>
                  </w:tcBorders>
                  <w:vAlign w:val="top"/>
                </w:tcPr>
                <w:p>
                  <w:pPr>
                    <w:pStyle w:val="48"/>
                    <w:spacing w:before="123" w:line="240" w:lineRule="auto"/>
                    <w:ind w:left="608" w:leftChars="0" w:right="611" w:rightChars="0"/>
                    <w:jc w:val="center"/>
                  </w:pPr>
                  <w:r>
                    <w:t>/</w:t>
                  </w:r>
                </w:p>
              </w:tc>
              <w:tc>
                <w:tcPr>
                  <w:tcW w:w="1084" w:type="dxa"/>
                  <w:tcBorders>
                    <w:top w:val="single" w:color="000000" w:sz="4" w:space="0"/>
                    <w:left w:val="single" w:color="000000" w:sz="4" w:space="0"/>
                    <w:bottom w:val="single" w:color="000000" w:sz="4" w:space="0"/>
                    <w:right w:val="single" w:color="000000" w:sz="4" w:space="0"/>
                  </w:tcBorders>
                  <w:vAlign w:val="top"/>
                </w:tcPr>
                <w:p>
                  <w:pPr>
                    <w:pStyle w:val="48"/>
                    <w:spacing w:before="123" w:line="240" w:lineRule="auto"/>
                    <w:ind w:left="489" w:leftChars="0" w:right="488" w:rightChars="0"/>
                    <w:jc w:val="center"/>
                  </w:pPr>
                  <w:r>
                    <w:t>/</w:t>
                  </w:r>
                </w:p>
              </w:tc>
              <w:tc>
                <w:tcPr>
                  <w:tcW w:w="644" w:type="dxa"/>
                  <w:tcBorders>
                    <w:top w:val="single" w:color="000000" w:sz="4" w:space="0"/>
                    <w:left w:val="single" w:color="000000" w:sz="4" w:space="0"/>
                    <w:bottom w:val="single" w:color="000000" w:sz="4" w:space="0"/>
                    <w:right w:val="single" w:color="000000" w:sz="4" w:space="0"/>
                  </w:tcBorders>
                  <w:vAlign w:val="top"/>
                </w:tcPr>
                <w:p>
                  <w:pPr>
                    <w:pStyle w:val="48"/>
                    <w:spacing w:before="123" w:line="240" w:lineRule="auto"/>
                    <w:ind w:left="269" w:leftChars="0" w:right="268" w:rightChars="0"/>
                    <w:jc w:val="center"/>
                  </w:pPr>
                  <w:r>
                    <w:t>/</w:t>
                  </w:r>
                </w:p>
              </w:tc>
            </w:tr>
            <w:tr>
              <w:tblPrEx>
                <w:tblCellMar>
                  <w:top w:w="0" w:type="dxa"/>
                  <w:left w:w="0" w:type="dxa"/>
                  <w:bottom w:w="0" w:type="dxa"/>
                  <w:right w:w="0" w:type="dxa"/>
                </w:tblCellMar>
              </w:tblPrEx>
              <w:trPr>
                <w:trHeight w:val="454" w:hRule="atLeast"/>
                <w:jc w:val="center"/>
              </w:trPr>
              <w:tc>
                <w:tcPr>
                  <w:tcW w:w="1142" w:type="dxa"/>
                  <w:vMerge w:val="continue"/>
                  <w:tcBorders>
                    <w:left w:val="single" w:color="000000" w:sz="4" w:space="0"/>
                    <w:right w:val="single" w:color="000000" w:sz="4" w:space="0"/>
                  </w:tcBorders>
                  <w:vAlign w:val="center"/>
                </w:tcPr>
                <w:p>
                  <w:pPr>
                    <w:pStyle w:val="40"/>
                    <w:bidi w:val="0"/>
                  </w:pPr>
                </w:p>
              </w:tc>
              <w:tc>
                <w:tcPr>
                  <w:tcW w:w="1916" w:type="dxa"/>
                  <w:tcBorders>
                    <w:top w:val="single" w:color="000000" w:sz="4" w:space="0"/>
                    <w:left w:val="single" w:color="000000" w:sz="4" w:space="0"/>
                    <w:bottom w:val="single" w:color="000000" w:sz="4" w:space="0"/>
                    <w:right w:val="single" w:color="000000" w:sz="4" w:space="0"/>
                  </w:tcBorders>
                  <w:vAlign w:val="top"/>
                </w:tcPr>
                <w:p>
                  <w:pPr>
                    <w:pStyle w:val="48"/>
                    <w:spacing w:before="78" w:line="240" w:lineRule="auto"/>
                    <w:ind w:left="219" w:leftChars="0" w:right="0" w:rightChars="0"/>
                    <w:jc w:val="left"/>
                  </w:pPr>
                  <w:r>
                    <w:t>4#淮南文汇学校</w:t>
                  </w:r>
                </w:p>
              </w:tc>
              <w:tc>
                <w:tcPr>
                  <w:tcW w:w="1373" w:type="dxa"/>
                  <w:tcBorders>
                    <w:top w:val="single" w:color="000000" w:sz="4" w:space="0"/>
                    <w:left w:val="single" w:color="000000" w:sz="4" w:space="0"/>
                    <w:bottom w:val="single" w:color="000000" w:sz="4" w:space="0"/>
                    <w:right w:val="single" w:color="000000" w:sz="4" w:space="0"/>
                  </w:tcBorders>
                  <w:vAlign w:val="top"/>
                </w:tcPr>
                <w:p>
                  <w:pPr>
                    <w:pStyle w:val="48"/>
                    <w:spacing w:before="124" w:line="240" w:lineRule="auto"/>
                    <w:ind w:left="259" w:leftChars="0" w:right="0" w:rightChars="0"/>
                    <w:jc w:val="left"/>
                  </w:pPr>
                  <w:r>
                    <w:t>0.79~1.15</w:t>
                  </w:r>
                </w:p>
              </w:tc>
              <w:tc>
                <w:tcPr>
                  <w:tcW w:w="1107" w:type="dxa"/>
                  <w:tcBorders>
                    <w:top w:val="single" w:color="000000" w:sz="4" w:space="0"/>
                    <w:left w:val="single" w:color="000000" w:sz="4" w:space="0"/>
                    <w:bottom w:val="single" w:color="000000" w:sz="4" w:space="0"/>
                    <w:right w:val="single" w:color="000000" w:sz="4" w:space="0"/>
                  </w:tcBorders>
                  <w:vAlign w:val="top"/>
                </w:tcPr>
                <w:p>
                  <w:pPr>
                    <w:pStyle w:val="48"/>
                    <w:spacing w:before="124" w:line="240" w:lineRule="auto"/>
                    <w:ind w:left="124" w:leftChars="0" w:right="0" w:rightChars="0"/>
                    <w:jc w:val="left"/>
                  </w:pPr>
                  <w:r>
                    <w:t>0.40~0.58</w:t>
                  </w:r>
                </w:p>
              </w:tc>
              <w:tc>
                <w:tcPr>
                  <w:tcW w:w="693" w:type="dxa"/>
                  <w:tcBorders>
                    <w:top w:val="single" w:color="000000" w:sz="4" w:space="0"/>
                    <w:left w:val="single" w:color="000000" w:sz="4" w:space="0"/>
                    <w:bottom w:val="single" w:color="000000" w:sz="4" w:space="0"/>
                    <w:right w:val="single" w:color="000000" w:sz="4" w:space="0"/>
                  </w:tcBorders>
                  <w:vAlign w:val="top"/>
                </w:tcPr>
                <w:p>
                  <w:pPr>
                    <w:pStyle w:val="48"/>
                    <w:spacing w:before="124" w:line="240" w:lineRule="auto"/>
                    <w:ind w:left="269" w:leftChars="0" w:right="269" w:rightChars="0"/>
                    <w:jc w:val="center"/>
                  </w:pPr>
                  <w:r>
                    <w:t>0</w:t>
                  </w:r>
                </w:p>
              </w:tc>
              <w:tc>
                <w:tcPr>
                  <w:tcW w:w="1327" w:type="dxa"/>
                  <w:tcBorders>
                    <w:top w:val="single" w:color="000000" w:sz="4" w:space="0"/>
                    <w:left w:val="single" w:color="000000" w:sz="4" w:space="0"/>
                    <w:bottom w:val="single" w:color="000000" w:sz="4" w:space="0"/>
                    <w:right w:val="single" w:color="000000" w:sz="4" w:space="0"/>
                  </w:tcBorders>
                  <w:vAlign w:val="top"/>
                </w:tcPr>
                <w:p>
                  <w:pPr>
                    <w:pStyle w:val="48"/>
                    <w:spacing w:before="124" w:line="240" w:lineRule="auto"/>
                    <w:ind w:left="608" w:leftChars="0" w:right="611" w:rightChars="0"/>
                    <w:jc w:val="center"/>
                  </w:pPr>
                  <w:r>
                    <w:t>/</w:t>
                  </w:r>
                </w:p>
              </w:tc>
              <w:tc>
                <w:tcPr>
                  <w:tcW w:w="1084" w:type="dxa"/>
                  <w:tcBorders>
                    <w:top w:val="single" w:color="000000" w:sz="4" w:space="0"/>
                    <w:left w:val="single" w:color="000000" w:sz="4" w:space="0"/>
                    <w:bottom w:val="single" w:color="000000" w:sz="4" w:space="0"/>
                    <w:right w:val="single" w:color="000000" w:sz="4" w:space="0"/>
                  </w:tcBorders>
                  <w:vAlign w:val="top"/>
                </w:tcPr>
                <w:p>
                  <w:pPr>
                    <w:pStyle w:val="48"/>
                    <w:spacing w:before="124" w:line="240" w:lineRule="auto"/>
                    <w:ind w:left="489" w:leftChars="0" w:right="488" w:rightChars="0"/>
                    <w:jc w:val="center"/>
                  </w:pPr>
                  <w:r>
                    <w:t>/</w:t>
                  </w:r>
                </w:p>
              </w:tc>
              <w:tc>
                <w:tcPr>
                  <w:tcW w:w="644" w:type="dxa"/>
                  <w:tcBorders>
                    <w:top w:val="single" w:color="000000" w:sz="4" w:space="0"/>
                    <w:left w:val="single" w:color="000000" w:sz="4" w:space="0"/>
                    <w:bottom w:val="single" w:color="000000" w:sz="4" w:space="0"/>
                    <w:right w:val="single" w:color="000000" w:sz="4" w:space="0"/>
                  </w:tcBorders>
                  <w:vAlign w:val="top"/>
                </w:tcPr>
                <w:p>
                  <w:pPr>
                    <w:pStyle w:val="48"/>
                    <w:spacing w:before="124" w:line="240" w:lineRule="auto"/>
                    <w:ind w:left="269" w:leftChars="0" w:right="268" w:rightChars="0"/>
                    <w:jc w:val="center"/>
                  </w:pPr>
                  <w:r>
                    <w:t>/</w:t>
                  </w:r>
                </w:p>
              </w:tc>
            </w:tr>
            <w:tr>
              <w:tblPrEx>
                <w:tblCellMar>
                  <w:top w:w="0" w:type="dxa"/>
                  <w:left w:w="0" w:type="dxa"/>
                  <w:bottom w:w="0" w:type="dxa"/>
                  <w:right w:w="0" w:type="dxa"/>
                </w:tblCellMar>
              </w:tblPrEx>
              <w:trPr>
                <w:trHeight w:val="454" w:hRule="atLeast"/>
                <w:jc w:val="center"/>
              </w:trPr>
              <w:tc>
                <w:tcPr>
                  <w:tcW w:w="1142" w:type="dxa"/>
                  <w:vMerge w:val="continue"/>
                  <w:tcBorders>
                    <w:left w:val="single" w:color="000000" w:sz="4" w:space="0"/>
                    <w:right w:val="single" w:color="000000" w:sz="4" w:space="0"/>
                  </w:tcBorders>
                  <w:vAlign w:val="center"/>
                </w:tcPr>
                <w:p>
                  <w:pPr>
                    <w:pStyle w:val="40"/>
                    <w:bidi w:val="0"/>
                  </w:pPr>
                </w:p>
              </w:tc>
              <w:tc>
                <w:tcPr>
                  <w:tcW w:w="1916" w:type="dxa"/>
                  <w:tcBorders>
                    <w:top w:val="single" w:color="000000" w:sz="4" w:space="0"/>
                    <w:left w:val="single" w:color="000000" w:sz="4" w:space="0"/>
                    <w:bottom w:val="single" w:color="000000" w:sz="4" w:space="0"/>
                    <w:right w:val="single" w:color="000000" w:sz="4" w:space="0"/>
                  </w:tcBorders>
                  <w:vAlign w:val="top"/>
                </w:tcPr>
                <w:p>
                  <w:pPr>
                    <w:pStyle w:val="48"/>
                    <w:spacing w:before="78" w:line="240" w:lineRule="auto"/>
                    <w:ind w:left="113" w:leftChars="0" w:right="0" w:rightChars="0"/>
                    <w:jc w:val="left"/>
                  </w:pPr>
                  <w:r>
                    <w:t>5#淮南富力城小区</w:t>
                  </w:r>
                </w:p>
              </w:tc>
              <w:tc>
                <w:tcPr>
                  <w:tcW w:w="1373" w:type="dxa"/>
                  <w:tcBorders>
                    <w:top w:val="single" w:color="000000" w:sz="4" w:space="0"/>
                    <w:left w:val="single" w:color="000000" w:sz="4" w:space="0"/>
                    <w:bottom w:val="single" w:color="000000" w:sz="4" w:space="0"/>
                    <w:right w:val="single" w:color="000000" w:sz="4" w:space="0"/>
                  </w:tcBorders>
                  <w:vAlign w:val="top"/>
                </w:tcPr>
                <w:p>
                  <w:pPr>
                    <w:pStyle w:val="48"/>
                    <w:spacing w:before="124" w:line="240" w:lineRule="auto"/>
                    <w:ind w:left="259" w:leftChars="0" w:right="0" w:rightChars="0"/>
                    <w:jc w:val="left"/>
                  </w:pPr>
                  <w:r>
                    <w:t>0.84~1.15</w:t>
                  </w:r>
                </w:p>
              </w:tc>
              <w:tc>
                <w:tcPr>
                  <w:tcW w:w="1107" w:type="dxa"/>
                  <w:tcBorders>
                    <w:top w:val="single" w:color="000000" w:sz="4" w:space="0"/>
                    <w:left w:val="single" w:color="000000" w:sz="4" w:space="0"/>
                    <w:bottom w:val="single" w:color="000000" w:sz="4" w:space="0"/>
                    <w:right w:val="single" w:color="000000" w:sz="4" w:space="0"/>
                  </w:tcBorders>
                  <w:vAlign w:val="top"/>
                </w:tcPr>
                <w:p>
                  <w:pPr>
                    <w:pStyle w:val="48"/>
                    <w:spacing w:before="124" w:line="240" w:lineRule="auto"/>
                    <w:ind w:left="124" w:leftChars="0" w:right="0" w:rightChars="0"/>
                    <w:jc w:val="left"/>
                  </w:pPr>
                  <w:r>
                    <w:t>0.42~0.58</w:t>
                  </w:r>
                </w:p>
              </w:tc>
              <w:tc>
                <w:tcPr>
                  <w:tcW w:w="693" w:type="dxa"/>
                  <w:tcBorders>
                    <w:top w:val="single" w:color="000000" w:sz="4" w:space="0"/>
                    <w:left w:val="single" w:color="000000" w:sz="4" w:space="0"/>
                    <w:bottom w:val="single" w:color="000000" w:sz="4" w:space="0"/>
                    <w:right w:val="single" w:color="000000" w:sz="4" w:space="0"/>
                  </w:tcBorders>
                  <w:vAlign w:val="top"/>
                </w:tcPr>
                <w:p>
                  <w:pPr>
                    <w:pStyle w:val="48"/>
                    <w:spacing w:before="124" w:line="240" w:lineRule="auto"/>
                    <w:ind w:left="269" w:leftChars="0" w:right="269" w:rightChars="0"/>
                    <w:jc w:val="center"/>
                  </w:pPr>
                  <w:r>
                    <w:t>0</w:t>
                  </w:r>
                </w:p>
              </w:tc>
              <w:tc>
                <w:tcPr>
                  <w:tcW w:w="1327" w:type="dxa"/>
                  <w:tcBorders>
                    <w:top w:val="single" w:color="000000" w:sz="4" w:space="0"/>
                    <w:left w:val="single" w:color="000000" w:sz="4" w:space="0"/>
                    <w:bottom w:val="single" w:color="000000" w:sz="4" w:space="0"/>
                    <w:right w:val="single" w:color="000000" w:sz="4" w:space="0"/>
                  </w:tcBorders>
                  <w:vAlign w:val="top"/>
                </w:tcPr>
                <w:p>
                  <w:pPr>
                    <w:pStyle w:val="48"/>
                    <w:spacing w:before="124" w:line="240" w:lineRule="auto"/>
                    <w:ind w:left="608" w:leftChars="0" w:right="611" w:rightChars="0"/>
                    <w:jc w:val="center"/>
                  </w:pPr>
                  <w:r>
                    <w:t>/</w:t>
                  </w:r>
                </w:p>
              </w:tc>
              <w:tc>
                <w:tcPr>
                  <w:tcW w:w="1084" w:type="dxa"/>
                  <w:tcBorders>
                    <w:top w:val="single" w:color="000000" w:sz="4" w:space="0"/>
                    <w:left w:val="single" w:color="000000" w:sz="4" w:space="0"/>
                    <w:bottom w:val="single" w:color="000000" w:sz="4" w:space="0"/>
                    <w:right w:val="single" w:color="000000" w:sz="4" w:space="0"/>
                  </w:tcBorders>
                  <w:vAlign w:val="top"/>
                </w:tcPr>
                <w:p>
                  <w:pPr>
                    <w:pStyle w:val="48"/>
                    <w:spacing w:before="124" w:line="240" w:lineRule="auto"/>
                    <w:ind w:left="489" w:leftChars="0" w:right="488" w:rightChars="0"/>
                    <w:jc w:val="center"/>
                  </w:pPr>
                  <w:r>
                    <w:t>/</w:t>
                  </w:r>
                </w:p>
              </w:tc>
              <w:tc>
                <w:tcPr>
                  <w:tcW w:w="644" w:type="dxa"/>
                  <w:tcBorders>
                    <w:top w:val="single" w:color="000000" w:sz="4" w:space="0"/>
                    <w:left w:val="single" w:color="000000" w:sz="4" w:space="0"/>
                    <w:bottom w:val="single" w:color="000000" w:sz="4" w:space="0"/>
                    <w:right w:val="single" w:color="000000" w:sz="4" w:space="0"/>
                  </w:tcBorders>
                  <w:vAlign w:val="top"/>
                </w:tcPr>
                <w:p>
                  <w:pPr>
                    <w:pStyle w:val="48"/>
                    <w:spacing w:before="124" w:line="240" w:lineRule="auto"/>
                    <w:ind w:left="269" w:leftChars="0" w:right="268" w:rightChars="0"/>
                    <w:jc w:val="center"/>
                  </w:pPr>
                  <w:r>
                    <w:t>/</w:t>
                  </w:r>
                </w:p>
              </w:tc>
            </w:tr>
            <w:tr>
              <w:tblPrEx>
                <w:tblCellMar>
                  <w:top w:w="0" w:type="dxa"/>
                  <w:left w:w="0" w:type="dxa"/>
                  <w:bottom w:w="0" w:type="dxa"/>
                  <w:right w:w="0" w:type="dxa"/>
                </w:tblCellMar>
              </w:tblPrEx>
              <w:trPr>
                <w:trHeight w:val="454" w:hRule="atLeast"/>
                <w:jc w:val="center"/>
              </w:trPr>
              <w:tc>
                <w:tcPr>
                  <w:tcW w:w="1142" w:type="dxa"/>
                  <w:vMerge w:val="continue"/>
                  <w:tcBorders>
                    <w:left w:val="single" w:color="000000" w:sz="4" w:space="0"/>
                    <w:bottom w:val="single" w:color="000000" w:sz="4" w:space="0"/>
                    <w:right w:val="single" w:color="000000" w:sz="4" w:space="0"/>
                  </w:tcBorders>
                  <w:vAlign w:val="center"/>
                </w:tcPr>
                <w:p>
                  <w:pPr>
                    <w:pStyle w:val="40"/>
                    <w:bidi w:val="0"/>
                  </w:pPr>
                </w:p>
              </w:tc>
              <w:tc>
                <w:tcPr>
                  <w:tcW w:w="1916" w:type="dxa"/>
                  <w:tcBorders>
                    <w:top w:val="single" w:color="000000" w:sz="4" w:space="0"/>
                    <w:left w:val="single" w:color="000000" w:sz="4" w:space="0"/>
                    <w:bottom w:val="single" w:color="000000" w:sz="4" w:space="0"/>
                    <w:right w:val="single" w:color="000000" w:sz="4" w:space="0"/>
                  </w:tcBorders>
                  <w:vAlign w:val="top"/>
                </w:tcPr>
                <w:p>
                  <w:pPr>
                    <w:pStyle w:val="48"/>
                    <w:spacing w:before="79" w:line="240" w:lineRule="auto"/>
                    <w:ind w:left="533" w:leftChars="0" w:right="0" w:rightChars="0"/>
                    <w:jc w:val="left"/>
                  </w:pPr>
                  <w:r>
                    <w:t>7#馨雅苑</w:t>
                  </w:r>
                </w:p>
              </w:tc>
              <w:tc>
                <w:tcPr>
                  <w:tcW w:w="1373" w:type="dxa"/>
                  <w:tcBorders>
                    <w:top w:val="single" w:color="000000" w:sz="4" w:space="0"/>
                    <w:left w:val="single" w:color="000000" w:sz="4" w:space="0"/>
                    <w:bottom w:val="single" w:color="000000" w:sz="4" w:space="0"/>
                    <w:right w:val="single" w:color="000000" w:sz="4" w:space="0"/>
                  </w:tcBorders>
                  <w:vAlign w:val="top"/>
                </w:tcPr>
                <w:p>
                  <w:pPr>
                    <w:pStyle w:val="48"/>
                    <w:spacing w:before="125" w:line="240" w:lineRule="auto"/>
                    <w:ind w:left="259" w:leftChars="0" w:right="0" w:rightChars="0"/>
                    <w:jc w:val="left"/>
                  </w:pPr>
                  <w:r>
                    <w:t>0.85~0.15</w:t>
                  </w:r>
                </w:p>
              </w:tc>
              <w:tc>
                <w:tcPr>
                  <w:tcW w:w="1107" w:type="dxa"/>
                  <w:tcBorders>
                    <w:top w:val="single" w:color="000000" w:sz="4" w:space="0"/>
                    <w:left w:val="single" w:color="000000" w:sz="4" w:space="0"/>
                    <w:bottom w:val="single" w:color="000000" w:sz="4" w:space="0"/>
                    <w:right w:val="single" w:color="000000" w:sz="4" w:space="0"/>
                  </w:tcBorders>
                  <w:vAlign w:val="top"/>
                </w:tcPr>
                <w:p>
                  <w:pPr>
                    <w:pStyle w:val="48"/>
                    <w:spacing w:before="125" w:line="240" w:lineRule="auto"/>
                    <w:ind w:left="124" w:leftChars="0" w:right="0" w:rightChars="0"/>
                    <w:jc w:val="left"/>
                  </w:pPr>
                  <w:r>
                    <w:t>0.43~0.58</w:t>
                  </w:r>
                </w:p>
              </w:tc>
              <w:tc>
                <w:tcPr>
                  <w:tcW w:w="693" w:type="dxa"/>
                  <w:tcBorders>
                    <w:top w:val="single" w:color="000000" w:sz="4" w:space="0"/>
                    <w:left w:val="single" w:color="000000" w:sz="4" w:space="0"/>
                    <w:bottom w:val="single" w:color="000000" w:sz="4" w:space="0"/>
                    <w:right w:val="single" w:color="000000" w:sz="4" w:space="0"/>
                  </w:tcBorders>
                  <w:vAlign w:val="top"/>
                </w:tcPr>
                <w:p>
                  <w:pPr>
                    <w:pStyle w:val="48"/>
                    <w:spacing w:before="125" w:line="240" w:lineRule="auto"/>
                    <w:ind w:left="269" w:leftChars="0" w:right="269" w:rightChars="0"/>
                    <w:jc w:val="center"/>
                  </w:pPr>
                  <w:r>
                    <w:t>0</w:t>
                  </w:r>
                </w:p>
              </w:tc>
              <w:tc>
                <w:tcPr>
                  <w:tcW w:w="1327" w:type="dxa"/>
                  <w:tcBorders>
                    <w:top w:val="single" w:color="000000" w:sz="4" w:space="0"/>
                    <w:left w:val="single" w:color="000000" w:sz="4" w:space="0"/>
                    <w:bottom w:val="single" w:color="000000" w:sz="4" w:space="0"/>
                    <w:right w:val="single" w:color="000000" w:sz="4" w:space="0"/>
                  </w:tcBorders>
                  <w:vAlign w:val="top"/>
                </w:tcPr>
                <w:p>
                  <w:pPr>
                    <w:pStyle w:val="48"/>
                    <w:spacing w:before="125" w:line="240" w:lineRule="auto"/>
                    <w:ind w:left="608" w:leftChars="0" w:right="611" w:rightChars="0"/>
                    <w:jc w:val="center"/>
                  </w:pPr>
                  <w:r>
                    <w:t>/</w:t>
                  </w:r>
                </w:p>
              </w:tc>
              <w:tc>
                <w:tcPr>
                  <w:tcW w:w="1084" w:type="dxa"/>
                  <w:tcBorders>
                    <w:top w:val="single" w:color="000000" w:sz="4" w:space="0"/>
                    <w:left w:val="single" w:color="000000" w:sz="4" w:space="0"/>
                    <w:bottom w:val="single" w:color="000000" w:sz="4" w:space="0"/>
                    <w:right w:val="single" w:color="000000" w:sz="4" w:space="0"/>
                  </w:tcBorders>
                  <w:vAlign w:val="top"/>
                </w:tcPr>
                <w:p>
                  <w:pPr>
                    <w:pStyle w:val="48"/>
                    <w:spacing w:before="125" w:line="240" w:lineRule="auto"/>
                    <w:ind w:left="489" w:leftChars="0" w:right="488" w:rightChars="0"/>
                    <w:jc w:val="center"/>
                  </w:pPr>
                  <w:r>
                    <w:t>/</w:t>
                  </w:r>
                </w:p>
              </w:tc>
              <w:tc>
                <w:tcPr>
                  <w:tcW w:w="644" w:type="dxa"/>
                  <w:tcBorders>
                    <w:top w:val="single" w:color="000000" w:sz="4" w:space="0"/>
                    <w:left w:val="single" w:color="000000" w:sz="4" w:space="0"/>
                    <w:bottom w:val="single" w:color="000000" w:sz="4" w:space="0"/>
                    <w:right w:val="single" w:color="000000" w:sz="4" w:space="0"/>
                  </w:tcBorders>
                  <w:vAlign w:val="top"/>
                </w:tcPr>
                <w:p>
                  <w:pPr>
                    <w:pStyle w:val="48"/>
                    <w:spacing w:before="125" w:line="240" w:lineRule="auto"/>
                    <w:ind w:left="269" w:leftChars="0" w:right="268" w:rightChars="0"/>
                    <w:jc w:val="center"/>
                  </w:pPr>
                  <w:r>
                    <w:t>/</w:t>
                  </w:r>
                </w:p>
              </w:tc>
            </w:tr>
          </w:tbl>
          <w:p>
            <w:pPr>
              <w:pStyle w:val="5"/>
              <w:bidi w:val="0"/>
            </w:pPr>
            <w:r>
              <w:t>环境空气质量现状评价</w:t>
            </w:r>
          </w:p>
          <w:p>
            <w:pPr>
              <w:pStyle w:val="5"/>
              <w:bidi w:val="0"/>
            </w:pPr>
            <w:r>
              <w:rPr>
                <w:rFonts w:hint="eastAsia"/>
                <w:lang w:eastAsia="zh-CN"/>
              </w:rPr>
              <w:t>（</w:t>
            </w:r>
            <w:r>
              <w:rPr>
                <w:rFonts w:hint="eastAsia"/>
                <w:lang w:val="en-US" w:eastAsia="zh-CN"/>
              </w:rPr>
              <w:t>1</w:t>
            </w:r>
            <w:r>
              <w:rPr>
                <w:rFonts w:hint="eastAsia"/>
                <w:lang w:eastAsia="zh-CN"/>
              </w:rPr>
              <w:t>）</w:t>
            </w:r>
            <w:r>
              <w:t>评价标准</w:t>
            </w:r>
          </w:p>
          <w:p>
            <w:pPr>
              <w:pStyle w:val="5"/>
              <w:bidi w:val="0"/>
            </w:pPr>
            <w:r>
              <w:t>SO2、NO2、PM10、PM2.5、CO、O3执行《环境空气质量标准》（GB3095-2012）二级标准；非甲烷总烃参照执行《大气污染物综合排放标准详解》中推荐浓度限值。</w:t>
            </w:r>
          </w:p>
          <w:p>
            <w:pPr>
              <w:pStyle w:val="5"/>
              <w:numPr>
                <w:ilvl w:val="0"/>
                <w:numId w:val="0"/>
              </w:numPr>
              <w:bidi w:val="0"/>
              <w:ind w:leftChars="200"/>
            </w:pPr>
            <w:r>
              <w:rPr>
                <w:rFonts w:hint="eastAsia"/>
                <w:lang w:eastAsia="zh-CN"/>
              </w:rPr>
              <w:t>（</w:t>
            </w:r>
            <w:r>
              <w:rPr>
                <w:rFonts w:hint="eastAsia"/>
                <w:lang w:val="en-US" w:eastAsia="zh-CN"/>
              </w:rPr>
              <w:t>2</w:t>
            </w:r>
            <w:r>
              <w:rPr>
                <w:rFonts w:hint="eastAsia"/>
                <w:lang w:eastAsia="zh-CN"/>
              </w:rPr>
              <w:t>）</w:t>
            </w:r>
            <w:r>
              <w:t>评价方法大气质量现状采用单项标准指数法，即：</w:t>
            </w:r>
          </w:p>
          <w:p>
            <w:pPr>
              <w:pStyle w:val="5"/>
              <w:numPr>
                <w:ilvl w:val="0"/>
                <w:numId w:val="0"/>
              </w:numPr>
              <w:bidi w:val="0"/>
              <w:ind w:leftChars="200"/>
            </w:pPr>
            <w:r>
              <w:t>Iij=Cij/Csj</w:t>
            </w:r>
          </w:p>
          <w:p>
            <w:pPr>
              <w:pStyle w:val="5"/>
              <w:bidi w:val="0"/>
            </w:pPr>
            <w:r>
              <w:t>式中，Iij—第 i 种污染物在第j点的标准指数；</w:t>
            </w:r>
          </w:p>
          <w:p>
            <w:pPr>
              <w:pStyle w:val="5"/>
              <w:bidi w:val="0"/>
            </w:pPr>
            <w:r>
              <w:t>Cij—第i种污染物在第j点的监测平均值，mg/Nm3；</w:t>
            </w:r>
          </w:p>
          <w:p>
            <w:pPr>
              <w:pStyle w:val="5"/>
              <w:bidi w:val="0"/>
            </w:pPr>
            <w:r>
              <w:t>CSj—第 i 种污染物的评价标准，mg/Nm3。</w:t>
            </w:r>
          </w:p>
          <w:p>
            <w:pPr>
              <w:pStyle w:val="5"/>
              <w:bidi w:val="0"/>
            </w:pPr>
            <w:r>
              <w:rPr>
                <w:rFonts w:hint="eastAsia"/>
                <w:lang w:eastAsia="zh-CN"/>
              </w:rPr>
              <w:t>（</w:t>
            </w:r>
            <w:r>
              <w:rPr>
                <w:rFonts w:hint="eastAsia"/>
                <w:lang w:val="en-US" w:eastAsia="zh-CN"/>
              </w:rPr>
              <w:t>3</w:t>
            </w:r>
            <w:r>
              <w:rPr>
                <w:rFonts w:hint="eastAsia"/>
                <w:lang w:eastAsia="zh-CN"/>
              </w:rPr>
              <w:t>）</w:t>
            </w:r>
            <w:r>
              <w:t>评价结果</w:t>
            </w:r>
          </w:p>
          <w:p>
            <w:pPr>
              <w:pStyle w:val="5"/>
              <w:bidi w:val="0"/>
            </w:pPr>
            <w:r>
              <w:t>①SO2小时浓度占标率范围为34%~68%，日均浓度占标率范围为5%~8%，能分别满 足《环境空气质量标准》（GB 3095-2012）中0.5mg/m3和0.15mg/m3限值要求；</w:t>
            </w:r>
          </w:p>
          <w:p>
            <w:pPr>
              <w:pStyle w:val="5"/>
              <w:bidi w:val="0"/>
            </w:pPr>
            <w:r>
              <w:t>②NO2小时浓度占标率范围为60%~95%，日均浓度占标率范围为3%~4%，能分别满 足GB 3095-2012中0.2mg/m3和0.08mg/m3限值要求；</w:t>
            </w:r>
          </w:p>
          <w:p>
            <w:pPr>
              <w:pStyle w:val="5"/>
              <w:bidi w:val="0"/>
            </w:pPr>
            <w:r>
              <w:t>③PM2.5日均浓度占标率范围为48%~84%，满足GB 3095-2012中0.15mg/m3限值要 求；</w:t>
            </w:r>
          </w:p>
          <w:p>
            <w:pPr>
              <w:pStyle w:val="5"/>
              <w:bidi w:val="0"/>
            </w:pPr>
            <w:r>
              <w:t>④PM10日均浓度占标率范围为69%~88%，满足GB 3095-2012中0.075mg/m3限值要 求；</w:t>
            </w:r>
          </w:p>
          <w:p>
            <w:pPr>
              <w:pStyle w:val="5"/>
              <w:bidi w:val="0"/>
            </w:pPr>
            <w:r>
              <w:t>⑤O3小时浓度占标率范围为35%~48%，满足GB 3095-2012中4mg/m3限值要求；</w:t>
            </w:r>
          </w:p>
          <w:p>
            <w:pPr>
              <w:pStyle w:val="5"/>
              <w:bidi w:val="0"/>
            </w:pPr>
            <w:r>
              <w:t>⑥CO小时浓度占标率范围为23%~46%，满足GB 3095-2012中10mg/m3限值要求，日 均浓度占标率范围为18%~38%，满足GB 3095-2012中4mg/m3限值要求；</w:t>
            </w:r>
          </w:p>
          <w:p>
            <w:pPr>
              <w:pStyle w:val="5"/>
              <w:bidi w:val="0"/>
            </w:pPr>
            <w:r>
              <w:t>⑦非甲烷总烃小时浓度占标率范围为40%~62%，满足《大气污染物综合排放标准详 解》中2mg/m3限值要求；</w:t>
            </w:r>
          </w:p>
          <w:p>
            <w:pPr>
              <w:pStyle w:val="5"/>
              <w:bidi w:val="0"/>
            </w:pPr>
            <w:r>
              <w:t>综上分析，本轮跟踪评价监测期间，各个点位各污染物均能满足相应标准限值要求，说明淮南经济技术开发区大气环境质量尚可。</w:t>
            </w:r>
          </w:p>
          <w:p>
            <w:pPr>
              <w:pStyle w:val="4"/>
              <w:numPr>
                <w:ilvl w:val="0"/>
                <w:numId w:val="5"/>
              </w:numPr>
            </w:pPr>
            <w:r>
              <w:rPr>
                <w:rFonts w:hint="eastAsia"/>
              </w:rPr>
              <w:t>水环境质量现状</w:t>
            </w:r>
          </w:p>
          <w:p>
            <w:pPr>
              <w:pStyle w:val="5"/>
              <w:bidi w:val="0"/>
            </w:pPr>
            <w:r>
              <w:rPr>
                <w:rFonts w:hint="eastAsia"/>
              </w:rPr>
              <w:t>污水经过预处理后排入市政污水管网，进入</w:t>
            </w:r>
            <w:r>
              <w:rPr>
                <w:rFonts w:hint="default"/>
                <w:lang w:val="en-US" w:eastAsia="zh-CN"/>
              </w:rPr>
              <w:t>开发区污水处理厂处理</w:t>
            </w:r>
            <w:r>
              <w:rPr>
                <w:rFonts w:hint="eastAsia"/>
              </w:rPr>
              <w:t>，尾水排入淮河，项目的纳污水体为淮河，Ⅲ类水体，执行《地表水环境质量标准》（GB3838-2002）Ⅲ类标准。</w:t>
            </w:r>
            <w:r>
              <w:rPr>
                <w:rFonts w:hint="default"/>
                <w:lang w:val="en-US" w:eastAsia="zh-CN"/>
              </w:rPr>
              <w:t>本评价引用《淮南经济技术开发区化工集中区总体规划环境影响报告书》中淮南经济技术开发区污水处理厂排污口上游500米、排污口处、下游500米、下游4500米断面监测数据，进行分析评价，监测结果详见下表：</w:t>
            </w:r>
          </w:p>
          <w:p>
            <w:pPr>
              <w:pStyle w:val="29"/>
              <w:spacing w:before="65" w:after="65"/>
            </w:pPr>
            <w:r>
              <w:t>表3-</w:t>
            </w:r>
            <w:r>
              <w:rPr>
                <w:rFonts w:hint="eastAsia"/>
                <w:lang w:val="en-US" w:eastAsia="zh-CN"/>
              </w:rPr>
              <w:t>5</w:t>
            </w:r>
            <w:r>
              <w:t xml:space="preserve"> 地表水水质监测结果    单位：mg/</w:t>
            </w:r>
            <w:r>
              <w:rPr>
                <w:rFonts w:hint="eastAsia"/>
              </w:rPr>
              <w:t>L</w:t>
            </w:r>
            <w:r>
              <w:t>（pH除外)</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1730"/>
              <w:gridCol w:w="1565"/>
              <w:gridCol w:w="1687"/>
              <w:gridCol w:w="1442"/>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vMerge w:val="restart"/>
                  <w:noWrap w:val="0"/>
                  <w:vAlign w:val="center"/>
                </w:tcPr>
                <w:p>
                  <w:pPr>
                    <w:pStyle w:val="40"/>
                    <w:bidi w:val="0"/>
                    <w:rPr>
                      <w:rFonts w:hint="default"/>
                    </w:rPr>
                  </w:pPr>
                  <w:bookmarkStart w:id="10" w:name="OLE_LINK33" w:colFirst="0" w:colLast="6"/>
                  <w:bookmarkStart w:id="11" w:name="OLE_LINK47"/>
                  <w:r>
                    <w:rPr>
                      <w:rFonts w:hint="default"/>
                    </w:rPr>
                    <w:t>项目名称</w:t>
                  </w:r>
                </w:p>
              </w:tc>
              <w:tc>
                <w:tcPr>
                  <w:tcW w:w="1730" w:type="dxa"/>
                  <w:vMerge w:val="restart"/>
                  <w:noWrap w:val="0"/>
                  <w:vAlign w:val="center"/>
                </w:tcPr>
                <w:p>
                  <w:pPr>
                    <w:pStyle w:val="40"/>
                    <w:bidi w:val="0"/>
                    <w:rPr>
                      <w:rFonts w:hint="default"/>
                    </w:rPr>
                  </w:pPr>
                  <w:r>
                    <w:rPr>
                      <w:rFonts w:hint="default"/>
                    </w:rPr>
                    <w:t>采样日期</w:t>
                  </w:r>
                </w:p>
              </w:tc>
              <w:tc>
                <w:tcPr>
                  <w:tcW w:w="6260" w:type="dxa"/>
                  <w:gridSpan w:val="4"/>
                  <w:noWrap w:val="0"/>
                  <w:vAlign w:val="center"/>
                </w:tcPr>
                <w:p>
                  <w:pPr>
                    <w:pStyle w:val="40"/>
                    <w:bidi w:val="0"/>
                    <w:rPr>
                      <w:rFonts w:hint="default"/>
                    </w:rPr>
                  </w:pPr>
                  <w:r>
                    <w:rPr>
                      <w:rFonts w:hint="default"/>
                    </w:rPr>
                    <w:t>采样地点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vMerge w:val="continue"/>
                  <w:noWrap w:val="0"/>
                  <w:vAlign w:val="center"/>
                </w:tcPr>
                <w:p>
                  <w:pPr>
                    <w:pStyle w:val="40"/>
                    <w:bidi w:val="0"/>
                    <w:rPr>
                      <w:rFonts w:hint="default"/>
                    </w:rPr>
                  </w:pPr>
                </w:p>
              </w:tc>
              <w:tc>
                <w:tcPr>
                  <w:tcW w:w="1730" w:type="dxa"/>
                  <w:vMerge w:val="continue"/>
                  <w:noWrap w:val="0"/>
                  <w:vAlign w:val="center"/>
                </w:tcPr>
                <w:p>
                  <w:pPr>
                    <w:pStyle w:val="40"/>
                    <w:bidi w:val="0"/>
                    <w:rPr>
                      <w:rFonts w:hint="default"/>
                    </w:rPr>
                  </w:pPr>
                </w:p>
              </w:tc>
              <w:tc>
                <w:tcPr>
                  <w:tcW w:w="6260" w:type="dxa"/>
                  <w:gridSpan w:val="4"/>
                  <w:noWrap w:val="0"/>
                  <w:vAlign w:val="center"/>
                </w:tcPr>
                <w:p>
                  <w:pPr>
                    <w:pStyle w:val="40"/>
                    <w:bidi w:val="0"/>
                    <w:rPr>
                      <w:rFonts w:hint="default"/>
                    </w:rPr>
                  </w:pPr>
                  <w:r>
                    <w:rPr>
                      <w:rFonts w:hint="default"/>
                    </w:rPr>
                    <w:t>淮河淮南段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vMerge w:val="continue"/>
                  <w:noWrap w:val="0"/>
                  <w:vAlign w:val="center"/>
                </w:tcPr>
                <w:p>
                  <w:pPr>
                    <w:pStyle w:val="40"/>
                    <w:bidi w:val="0"/>
                    <w:rPr>
                      <w:rFonts w:hint="default"/>
                    </w:rPr>
                  </w:pPr>
                </w:p>
              </w:tc>
              <w:tc>
                <w:tcPr>
                  <w:tcW w:w="1730" w:type="dxa"/>
                  <w:vMerge w:val="continue"/>
                  <w:noWrap w:val="0"/>
                  <w:vAlign w:val="center"/>
                </w:tcPr>
                <w:p>
                  <w:pPr>
                    <w:pStyle w:val="40"/>
                    <w:bidi w:val="0"/>
                    <w:rPr>
                      <w:rFonts w:hint="default"/>
                    </w:rPr>
                  </w:pPr>
                </w:p>
              </w:tc>
              <w:tc>
                <w:tcPr>
                  <w:tcW w:w="1565" w:type="dxa"/>
                  <w:noWrap w:val="0"/>
                  <w:vAlign w:val="center"/>
                </w:tcPr>
                <w:p>
                  <w:pPr>
                    <w:pStyle w:val="40"/>
                    <w:bidi w:val="0"/>
                    <w:rPr>
                      <w:rFonts w:hint="default"/>
                    </w:rPr>
                  </w:pPr>
                  <w:r>
                    <w:rPr>
                      <w:rFonts w:hint="default"/>
                    </w:rPr>
                    <w:t>排污口</w:t>
                  </w:r>
                </w:p>
                <w:p>
                  <w:pPr>
                    <w:pStyle w:val="40"/>
                    <w:bidi w:val="0"/>
                    <w:rPr>
                      <w:rFonts w:hint="default"/>
                    </w:rPr>
                  </w:pPr>
                  <w:r>
                    <w:rPr>
                      <w:rFonts w:hint="default"/>
                    </w:rPr>
                    <w:t>上游500 m</w:t>
                  </w:r>
                </w:p>
              </w:tc>
              <w:tc>
                <w:tcPr>
                  <w:tcW w:w="1687" w:type="dxa"/>
                  <w:noWrap w:val="0"/>
                  <w:vAlign w:val="center"/>
                </w:tcPr>
                <w:p>
                  <w:pPr>
                    <w:pStyle w:val="40"/>
                    <w:bidi w:val="0"/>
                    <w:rPr>
                      <w:rFonts w:hint="default"/>
                    </w:rPr>
                  </w:pPr>
                  <w:r>
                    <w:rPr>
                      <w:rFonts w:hint="default"/>
                    </w:rPr>
                    <w:t>排污口处</w:t>
                  </w:r>
                </w:p>
              </w:tc>
              <w:tc>
                <w:tcPr>
                  <w:tcW w:w="1442" w:type="dxa"/>
                  <w:noWrap w:val="0"/>
                  <w:vAlign w:val="center"/>
                </w:tcPr>
                <w:p>
                  <w:pPr>
                    <w:pStyle w:val="40"/>
                    <w:bidi w:val="0"/>
                    <w:rPr>
                      <w:rFonts w:hint="default"/>
                    </w:rPr>
                  </w:pPr>
                  <w:r>
                    <w:rPr>
                      <w:rFonts w:hint="default"/>
                    </w:rPr>
                    <w:t>排污口</w:t>
                  </w:r>
                </w:p>
                <w:p>
                  <w:pPr>
                    <w:pStyle w:val="40"/>
                    <w:bidi w:val="0"/>
                    <w:rPr>
                      <w:rFonts w:hint="default"/>
                    </w:rPr>
                  </w:pPr>
                  <w:r>
                    <w:rPr>
                      <w:rFonts w:hint="default"/>
                    </w:rPr>
                    <w:t>下游500m</w:t>
                  </w:r>
                </w:p>
              </w:tc>
              <w:tc>
                <w:tcPr>
                  <w:tcW w:w="1566" w:type="dxa"/>
                  <w:noWrap w:val="0"/>
                  <w:vAlign w:val="center"/>
                </w:tcPr>
                <w:p>
                  <w:pPr>
                    <w:pStyle w:val="40"/>
                    <w:bidi w:val="0"/>
                    <w:rPr>
                      <w:rFonts w:hint="default"/>
                    </w:rPr>
                  </w:pPr>
                  <w:r>
                    <w:rPr>
                      <w:rFonts w:hint="default"/>
                    </w:rPr>
                    <w:t>排污口</w:t>
                  </w:r>
                </w:p>
                <w:p>
                  <w:pPr>
                    <w:pStyle w:val="40"/>
                    <w:bidi w:val="0"/>
                    <w:rPr>
                      <w:rFonts w:hint="default"/>
                    </w:rPr>
                  </w:pPr>
                  <w:r>
                    <w:rPr>
                      <w:rFonts w:hint="default"/>
                    </w:rPr>
                    <w:t>下游4500m</w:t>
                  </w:r>
                </w:p>
              </w:tc>
            </w:tr>
            <w:bookmarkEnd w:id="1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vMerge w:val="restart"/>
                  <w:noWrap w:val="0"/>
                  <w:vAlign w:val="center"/>
                </w:tcPr>
                <w:p>
                  <w:pPr>
                    <w:pStyle w:val="40"/>
                    <w:bidi w:val="0"/>
                    <w:rPr>
                      <w:rFonts w:hint="default"/>
                    </w:rPr>
                  </w:pPr>
                  <w:r>
                    <w:rPr>
                      <w:rFonts w:hint="default"/>
                    </w:rPr>
                    <w:t>pH</w:t>
                  </w:r>
                </w:p>
              </w:tc>
              <w:tc>
                <w:tcPr>
                  <w:tcW w:w="1730" w:type="dxa"/>
                  <w:noWrap w:val="0"/>
                  <w:vAlign w:val="center"/>
                </w:tcPr>
                <w:p>
                  <w:pPr>
                    <w:pStyle w:val="40"/>
                    <w:bidi w:val="0"/>
                    <w:rPr>
                      <w:rFonts w:hint="default"/>
                    </w:rPr>
                  </w:pPr>
                  <w:r>
                    <w:rPr>
                      <w:rFonts w:hint="default"/>
                      <w:lang w:val="en-US" w:eastAsia="zh-CN"/>
                    </w:rPr>
                    <w:t>2019.</w:t>
                  </w:r>
                  <w:r>
                    <w:rPr>
                      <w:rFonts w:hint="default"/>
                    </w:rPr>
                    <w:t>08</w:t>
                  </w:r>
                  <w:r>
                    <w:rPr>
                      <w:rFonts w:hint="default"/>
                      <w:lang w:val="en-US" w:eastAsia="zh-CN"/>
                    </w:rPr>
                    <w:t>.</w:t>
                  </w:r>
                  <w:r>
                    <w:rPr>
                      <w:rFonts w:hint="default"/>
                    </w:rPr>
                    <w:t>21</w:t>
                  </w:r>
                </w:p>
              </w:tc>
              <w:tc>
                <w:tcPr>
                  <w:tcW w:w="1565" w:type="dxa"/>
                  <w:noWrap w:val="0"/>
                  <w:vAlign w:val="center"/>
                </w:tcPr>
                <w:p>
                  <w:pPr>
                    <w:pStyle w:val="40"/>
                    <w:bidi w:val="0"/>
                    <w:rPr>
                      <w:rFonts w:hint="default"/>
                    </w:rPr>
                  </w:pPr>
                  <w:r>
                    <w:rPr>
                      <w:rFonts w:hint="default"/>
                    </w:rPr>
                    <w:t>7.12</w:t>
                  </w:r>
                </w:p>
              </w:tc>
              <w:tc>
                <w:tcPr>
                  <w:tcW w:w="1687" w:type="dxa"/>
                  <w:noWrap w:val="0"/>
                  <w:vAlign w:val="center"/>
                </w:tcPr>
                <w:p>
                  <w:pPr>
                    <w:pStyle w:val="40"/>
                    <w:bidi w:val="0"/>
                    <w:rPr>
                      <w:rFonts w:hint="default"/>
                    </w:rPr>
                  </w:pPr>
                  <w:r>
                    <w:rPr>
                      <w:rFonts w:hint="default"/>
                    </w:rPr>
                    <w:t>7.10</w:t>
                  </w:r>
                </w:p>
              </w:tc>
              <w:tc>
                <w:tcPr>
                  <w:tcW w:w="1442" w:type="dxa"/>
                  <w:noWrap w:val="0"/>
                  <w:vAlign w:val="center"/>
                </w:tcPr>
                <w:p>
                  <w:pPr>
                    <w:pStyle w:val="40"/>
                    <w:bidi w:val="0"/>
                    <w:rPr>
                      <w:rFonts w:hint="default"/>
                    </w:rPr>
                  </w:pPr>
                  <w:r>
                    <w:rPr>
                      <w:rFonts w:hint="default"/>
                    </w:rPr>
                    <w:t>7.10</w:t>
                  </w:r>
                </w:p>
              </w:tc>
              <w:tc>
                <w:tcPr>
                  <w:tcW w:w="1566" w:type="dxa"/>
                  <w:noWrap w:val="0"/>
                  <w:vAlign w:val="center"/>
                </w:tcPr>
                <w:p>
                  <w:pPr>
                    <w:pStyle w:val="40"/>
                    <w:bidi w:val="0"/>
                    <w:rPr>
                      <w:rFonts w:hint="default"/>
                    </w:rPr>
                  </w:pPr>
                  <w:r>
                    <w:rPr>
                      <w:rFonts w:hint="default"/>
                    </w:rPr>
                    <w:t>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vMerge w:val="continue"/>
                  <w:noWrap w:val="0"/>
                  <w:vAlign w:val="center"/>
                </w:tcPr>
                <w:p>
                  <w:pPr>
                    <w:pStyle w:val="40"/>
                    <w:bidi w:val="0"/>
                    <w:rPr>
                      <w:rFonts w:hint="default"/>
                    </w:rPr>
                  </w:pPr>
                </w:p>
              </w:tc>
              <w:tc>
                <w:tcPr>
                  <w:tcW w:w="1730" w:type="dxa"/>
                  <w:noWrap w:val="0"/>
                  <w:vAlign w:val="center"/>
                </w:tcPr>
                <w:p>
                  <w:pPr>
                    <w:pStyle w:val="40"/>
                    <w:bidi w:val="0"/>
                    <w:rPr>
                      <w:rFonts w:hint="default"/>
                      <w:lang w:val="en-US" w:eastAsia="zh-CN"/>
                    </w:rPr>
                  </w:pPr>
                  <w:r>
                    <w:rPr>
                      <w:rFonts w:hint="default"/>
                      <w:lang w:val="en-US" w:eastAsia="zh-CN"/>
                    </w:rPr>
                    <w:t>2019.08.22</w:t>
                  </w:r>
                </w:p>
              </w:tc>
              <w:tc>
                <w:tcPr>
                  <w:tcW w:w="1565" w:type="dxa"/>
                  <w:noWrap w:val="0"/>
                  <w:vAlign w:val="center"/>
                </w:tcPr>
                <w:p>
                  <w:pPr>
                    <w:pStyle w:val="40"/>
                    <w:bidi w:val="0"/>
                    <w:rPr>
                      <w:rFonts w:hint="default"/>
                    </w:rPr>
                  </w:pPr>
                  <w:r>
                    <w:rPr>
                      <w:rFonts w:hint="default"/>
                    </w:rPr>
                    <w:t>7.20</w:t>
                  </w:r>
                </w:p>
              </w:tc>
              <w:tc>
                <w:tcPr>
                  <w:tcW w:w="1687" w:type="dxa"/>
                  <w:noWrap w:val="0"/>
                  <w:vAlign w:val="center"/>
                </w:tcPr>
                <w:p>
                  <w:pPr>
                    <w:pStyle w:val="40"/>
                    <w:bidi w:val="0"/>
                    <w:rPr>
                      <w:rFonts w:hint="default"/>
                    </w:rPr>
                  </w:pPr>
                  <w:r>
                    <w:rPr>
                      <w:rFonts w:hint="default"/>
                    </w:rPr>
                    <w:t>7.16</w:t>
                  </w:r>
                </w:p>
              </w:tc>
              <w:tc>
                <w:tcPr>
                  <w:tcW w:w="1442" w:type="dxa"/>
                  <w:noWrap w:val="0"/>
                  <w:vAlign w:val="center"/>
                </w:tcPr>
                <w:p>
                  <w:pPr>
                    <w:pStyle w:val="40"/>
                    <w:bidi w:val="0"/>
                    <w:rPr>
                      <w:rFonts w:hint="default"/>
                    </w:rPr>
                  </w:pPr>
                  <w:r>
                    <w:rPr>
                      <w:rFonts w:hint="default"/>
                    </w:rPr>
                    <w:t>7.15</w:t>
                  </w:r>
                </w:p>
              </w:tc>
              <w:tc>
                <w:tcPr>
                  <w:tcW w:w="1566" w:type="dxa"/>
                  <w:noWrap w:val="0"/>
                  <w:vAlign w:val="center"/>
                </w:tcPr>
                <w:p>
                  <w:pPr>
                    <w:pStyle w:val="40"/>
                    <w:bidi w:val="0"/>
                    <w:rPr>
                      <w:rFonts w:hint="default"/>
                    </w:rPr>
                  </w:pPr>
                  <w:r>
                    <w:rPr>
                      <w:rFonts w:hint="default"/>
                    </w:rPr>
                    <w:t>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vMerge w:val="restart"/>
                  <w:noWrap w:val="0"/>
                  <w:vAlign w:val="center"/>
                </w:tcPr>
                <w:p>
                  <w:pPr>
                    <w:pStyle w:val="40"/>
                    <w:bidi w:val="0"/>
                    <w:rPr>
                      <w:rFonts w:hint="default"/>
                    </w:rPr>
                  </w:pPr>
                  <w:r>
                    <w:rPr>
                      <w:rFonts w:hint="default"/>
                    </w:rPr>
                    <w:t>COD</w:t>
                  </w:r>
                </w:p>
              </w:tc>
              <w:tc>
                <w:tcPr>
                  <w:tcW w:w="1730" w:type="dxa"/>
                  <w:noWrap w:val="0"/>
                  <w:vAlign w:val="center"/>
                </w:tcPr>
                <w:p>
                  <w:pPr>
                    <w:pStyle w:val="40"/>
                    <w:bidi w:val="0"/>
                    <w:rPr>
                      <w:rFonts w:hint="default"/>
                    </w:rPr>
                  </w:pPr>
                  <w:r>
                    <w:rPr>
                      <w:rFonts w:hint="default"/>
                      <w:lang w:val="en-US" w:eastAsia="zh-CN"/>
                    </w:rPr>
                    <w:t>2019.</w:t>
                  </w:r>
                  <w:r>
                    <w:rPr>
                      <w:rFonts w:hint="default"/>
                    </w:rPr>
                    <w:t>08</w:t>
                  </w:r>
                  <w:r>
                    <w:rPr>
                      <w:rFonts w:hint="default"/>
                      <w:lang w:val="en-US" w:eastAsia="zh-CN"/>
                    </w:rPr>
                    <w:t>.</w:t>
                  </w:r>
                  <w:r>
                    <w:rPr>
                      <w:rFonts w:hint="default"/>
                    </w:rPr>
                    <w:t>21</w:t>
                  </w:r>
                </w:p>
              </w:tc>
              <w:tc>
                <w:tcPr>
                  <w:tcW w:w="1565" w:type="dxa"/>
                  <w:noWrap w:val="0"/>
                  <w:vAlign w:val="center"/>
                </w:tcPr>
                <w:p>
                  <w:pPr>
                    <w:pStyle w:val="40"/>
                    <w:bidi w:val="0"/>
                    <w:rPr>
                      <w:rFonts w:hint="default"/>
                    </w:rPr>
                  </w:pPr>
                  <w:r>
                    <w:rPr>
                      <w:rFonts w:hint="default"/>
                    </w:rPr>
                    <w:t>17</w:t>
                  </w:r>
                </w:p>
              </w:tc>
              <w:tc>
                <w:tcPr>
                  <w:tcW w:w="1687" w:type="dxa"/>
                  <w:noWrap w:val="0"/>
                  <w:vAlign w:val="center"/>
                </w:tcPr>
                <w:p>
                  <w:pPr>
                    <w:pStyle w:val="40"/>
                    <w:bidi w:val="0"/>
                    <w:rPr>
                      <w:rFonts w:hint="default"/>
                    </w:rPr>
                  </w:pPr>
                  <w:r>
                    <w:rPr>
                      <w:rFonts w:hint="default"/>
                    </w:rPr>
                    <w:t>19</w:t>
                  </w:r>
                </w:p>
              </w:tc>
              <w:tc>
                <w:tcPr>
                  <w:tcW w:w="1442" w:type="dxa"/>
                  <w:noWrap w:val="0"/>
                  <w:vAlign w:val="center"/>
                </w:tcPr>
                <w:p>
                  <w:pPr>
                    <w:pStyle w:val="40"/>
                    <w:bidi w:val="0"/>
                    <w:rPr>
                      <w:rFonts w:hint="default"/>
                    </w:rPr>
                  </w:pPr>
                  <w:r>
                    <w:rPr>
                      <w:rFonts w:hint="default"/>
                    </w:rPr>
                    <w:t>17</w:t>
                  </w:r>
                </w:p>
              </w:tc>
              <w:tc>
                <w:tcPr>
                  <w:tcW w:w="1566" w:type="dxa"/>
                  <w:noWrap w:val="0"/>
                  <w:vAlign w:val="center"/>
                </w:tcPr>
                <w:p>
                  <w:pPr>
                    <w:pStyle w:val="40"/>
                    <w:bidi w:val="0"/>
                    <w:rPr>
                      <w:rFonts w:hint="default"/>
                    </w:rPr>
                  </w:pPr>
                  <w:r>
                    <w:rPr>
                      <w:rFonts w:hint="default"/>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vMerge w:val="continue"/>
                  <w:noWrap w:val="0"/>
                  <w:vAlign w:val="center"/>
                </w:tcPr>
                <w:p>
                  <w:pPr>
                    <w:pStyle w:val="40"/>
                    <w:bidi w:val="0"/>
                    <w:rPr>
                      <w:rFonts w:hint="default"/>
                    </w:rPr>
                  </w:pPr>
                </w:p>
              </w:tc>
              <w:tc>
                <w:tcPr>
                  <w:tcW w:w="1730" w:type="dxa"/>
                  <w:noWrap w:val="0"/>
                  <w:vAlign w:val="center"/>
                </w:tcPr>
                <w:p>
                  <w:pPr>
                    <w:pStyle w:val="40"/>
                    <w:bidi w:val="0"/>
                    <w:rPr>
                      <w:rFonts w:hint="default"/>
                    </w:rPr>
                  </w:pPr>
                  <w:r>
                    <w:rPr>
                      <w:rFonts w:hint="default"/>
                      <w:lang w:val="en-US" w:eastAsia="zh-CN"/>
                    </w:rPr>
                    <w:t>2019.08.22</w:t>
                  </w:r>
                </w:p>
              </w:tc>
              <w:tc>
                <w:tcPr>
                  <w:tcW w:w="1565" w:type="dxa"/>
                  <w:noWrap w:val="0"/>
                  <w:vAlign w:val="center"/>
                </w:tcPr>
                <w:p>
                  <w:pPr>
                    <w:pStyle w:val="40"/>
                    <w:bidi w:val="0"/>
                    <w:rPr>
                      <w:rFonts w:hint="default"/>
                    </w:rPr>
                  </w:pPr>
                  <w:r>
                    <w:rPr>
                      <w:rFonts w:hint="default"/>
                    </w:rPr>
                    <w:t>18</w:t>
                  </w:r>
                </w:p>
              </w:tc>
              <w:tc>
                <w:tcPr>
                  <w:tcW w:w="1687" w:type="dxa"/>
                  <w:noWrap w:val="0"/>
                  <w:vAlign w:val="center"/>
                </w:tcPr>
                <w:p>
                  <w:pPr>
                    <w:pStyle w:val="40"/>
                    <w:bidi w:val="0"/>
                    <w:rPr>
                      <w:rFonts w:hint="default"/>
                    </w:rPr>
                  </w:pPr>
                  <w:r>
                    <w:rPr>
                      <w:rFonts w:hint="default"/>
                    </w:rPr>
                    <w:t>18</w:t>
                  </w:r>
                </w:p>
              </w:tc>
              <w:tc>
                <w:tcPr>
                  <w:tcW w:w="1442" w:type="dxa"/>
                  <w:noWrap w:val="0"/>
                  <w:vAlign w:val="center"/>
                </w:tcPr>
                <w:p>
                  <w:pPr>
                    <w:pStyle w:val="40"/>
                    <w:bidi w:val="0"/>
                    <w:rPr>
                      <w:rFonts w:hint="default"/>
                    </w:rPr>
                  </w:pPr>
                  <w:r>
                    <w:rPr>
                      <w:rFonts w:hint="default"/>
                    </w:rPr>
                    <w:t>17</w:t>
                  </w:r>
                </w:p>
              </w:tc>
              <w:tc>
                <w:tcPr>
                  <w:tcW w:w="1566" w:type="dxa"/>
                  <w:noWrap w:val="0"/>
                  <w:vAlign w:val="center"/>
                </w:tcPr>
                <w:p>
                  <w:pPr>
                    <w:pStyle w:val="40"/>
                    <w:bidi w:val="0"/>
                    <w:rPr>
                      <w:rFonts w:hint="default"/>
                    </w:rPr>
                  </w:pPr>
                  <w:r>
                    <w:rPr>
                      <w:rFonts w:hint="default"/>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vMerge w:val="restart"/>
                  <w:noWrap w:val="0"/>
                  <w:vAlign w:val="center"/>
                </w:tcPr>
                <w:p>
                  <w:pPr>
                    <w:pStyle w:val="40"/>
                    <w:bidi w:val="0"/>
                    <w:rPr>
                      <w:rFonts w:hint="default"/>
                    </w:rPr>
                  </w:pPr>
                  <w:bookmarkStart w:id="12" w:name="OLE_LINK9" w:colFirst="3" w:colLast="6"/>
                  <w:r>
                    <w:rPr>
                      <w:rFonts w:hint="default"/>
                    </w:rPr>
                    <w:t>BOD5</w:t>
                  </w:r>
                </w:p>
              </w:tc>
              <w:tc>
                <w:tcPr>
                  <w:tcW w:w="1730" w:type="dxa"/>
                  <w:noWrap w:val="0"/>
                  <w:vAlign w:val="center"/>
                </w:tcPr>
                <w:p>
                  <w:pPr>
                    <w:pStyle w:val="40"/>
                    <w:bidi w:val="0"/>
                    <w:rPr>
                      <w:rFonts w:hint="default"/>
                    </w:rPr>
                  </w:pPr>
                  <w:r>
                    <w:rPr>
                      <w:rFonts w:hint="default"/>
                      <w:lang w:val="en-US" w:eastAsia="zh-CN"/>
                    </w:rPr>
                    <w:t>2019.</w:t>
                  </w:r>
                  <w:r>
                    <w:rPr>
                      <w:rFonts w:hint="default"/>
                    </w:rPr>
                    <w:t>08</w:t>
                  </w:r>
                  <w:r>
                    <w:rPr>
                      <w:rFonts w:hint="default"/>
                      <w:lang w:val="en-US" w:eastAsia="zh-CN"/>
                    </w:rPr>
                    <w:t>.</w:t>
                  </w:r>
                  <w:r>
                    <w:rPr>
                      <w:rFonts w:hint="default"/>
                    </w:rPr>
                    <w:t>21</w:t>
                  </w:r>
                </w:p>
              </w:tc>
              <w:tc>
                <w:tcPr>
                  <w:tcW w:w="1565" w:type="dxa"/>
                  <w:noWrap w:val="0"/>
                  <w:vAlign w:val="center"/>
                </w:tcPr>
                <w:p>
                  <w:pPr>
                    <w:pStyle w:val="40"/>
                    <w:bidi w:val="0"/>
                    <w:rPr>
                      <w:rFonts w:hint="default"/>
                    </w:rPr>
                  </w:pPr>
                  <w:r>
                    <w:rPr>
                      <w:rFonts w:hint="default"/>
                    </w:rPr>
                    <w:t>3.4</w:t>
                  </w:r>
                </w:p>
              </w:tc>
              <w:tc>
                <w:tcPr>
                  <w:tcW w:w="1687" w:type="dxa"/>
                  <w:noWrap w:val="0"/>
                  <w:vAlign w:val="center"/>
                </w:tcPr>
                <w:p>
                  <w:pPr>
                    <w:pStyle w:val="40"/>
                    <w:bidi w:val="0"/>
                    <w:rPr>
                      <w:rFonts w:hint="default"/>
                    </w:rPr>
                  </w:pPr>
                  <w:r>
                    <w:rPr>
                      <w:rFonts w:hint="default"/>
                    </w:rPr>
                    <w:t>3.6</w:t>
                  </w:r>
                </w:p>
              </w:tc>
              <w:tc>
                <w:tcPr>
                  <w:tcW w:w="1442" w:type="dxa"/>
                  <w:noWrap w:val="0"/>
                  <w:vAlign w:val="center"/>
                </w:tcPr>
                <w:p>
                  <w:pPr>
                    <w:pStyle w:val="40"/>
                    <w:bidi w:val="0"/>
                    <w:rPr>
                      <w:rFonts w:hint="default"/>
                    </w:rPr>
                  </w:pPr>
                  <w:r>
                    <w:rPr>
                      <w:rFonts w:hint="default"/>
                    </w:rPr>
                    <w:t>3.3</w:t>
                  </w:r>
                </w:p>
              </w:tc>
              <w:tc>
                <w:tcPr>
                  <w:tcW w:w="1566" w:type="dxa"/>
                  <w:noWrap w:val="0"/>
                  <w:vAlign w:val="center"/>
                </w:tcPr>
                <w:p>
                  <w:pPr>
                    <w:pStyle w:val="40"/>
                    <w:bidi w:val="0"/>
                    <w:rPr>
                      <w:rFonts w:hint="default"/>
                    </w:rPr>
                  </w:pPr>
                  <w:r>
                    <w:rPr>
                      <w:rFonts w:hint="default"/>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vMerge w:val="continue"/>
                  <w:noWrap w:val="0"/>
                  <w:vAlign w:val="center"/>
                </w:tcPr>
                <w:p>
                  <w:pPr>
                    <w:pStyle w:val="40"/>
                    <w:bidi w:val="0"/>
                    <w:rPr>
                      <w:rFonts w:hint="default"/>
                    </w:rPr>
                  </w:pPr>
                </w:p>
              </w:tc>
              <w:tc>
                <w:tcPr>
                  <w:tcW w:w="1730" w:type="dxa"/>
                  <w:noWrap w:val="0"/>
                  <w:vAlign w:val="center"/>
                </w:tcPr>
                <w:p>
                  <w:pPr>
                    <w:pStyle w:val="40"/>
                    <w:bidi w:val="0"/>
                    <w:rPr>
                      <w:rFonts w:hint="default"/>
                    </w:rPr>
                  </w:pPr>
                  <w:r>
                    <w:rPr>
                      <w:rFonts w:hint="default"/>
                      <w:lang w:val="en-US" w:eastAsia="zh-CN"/>
                    </w:rPr>
                    <w:t>2019.08.22</w:t>
                  </w:r>
                </w:p>
              </w:tc>
              <w:tc>
                <w:tcPr>
                  <w:tcW w:w="1565" w:type="dxa"/>
                  <w:noWrap w:val="0"/>
                  <w:vAlign w:val="center"/>
                </w:tcPr>
                <w:p>
                  <w:pPr>
                    <w:pStyle w:val="40"/>
                    <w:bidi w:val="0"/>
                    <w:rPr>
                      <w:rFonts w:hint="default"/>
                    </w:rPr>
                  </w:pPr>
                  <w:r>
                    <w:rPr>
                      <w:rFonts w:hint="default"/>
                    </w:rPr>
                    <w:t>3.5</w:t>
                  </w:r>
                </w:p>
              </w:tc>
              <w:tc>
                <w:tcPr>
                  <w:tcW w:w="1687" w:type="dxa"/>
                  <w:noWrap w:val="0"/>
                  <w:vAlign w:val="center"/>
                </w:tcPr>
                <w:p>
                  <w:pPr>
                    <w:pStyle w:val="40"/>
                    <w:bidi w:val="0"/>
                    <w:rPr>
                      <w:rFonts w:hint="default"/>
                    </w:rPr>
                  </w:pPr>
                  <w:r>
                    <w:rPr>
                      <w:rFonts w:hint="default"/>
                    </w:rPr>
                    <w:t>3.4</w:t>
                  </w:r>
                </w:p>
              </w:tc>
              <w:tc>
                <w:tcPr>
                  <w:tcW w:w="1442" w:type="dxa"/>
                  <w:noWrap w:val="0"/>
                  <w:vAlign w:val="center"/>
                </w:tcPr>
                <w:p>
                  <w:pPr>
                    <w:pStyle w:val="40"/>
                    <w:bidi w:val="0"/>
                    <w:rPr>
                      <w:rFonts w:hint="default"/>
                    </w:rPr>
                  </w:pPr>
                  <w:r>
                    <w:rPr>
                      <w:rFonts w:hint="default"/>
                    </w:rPr>
                    <w:t>3.3</w:t>
                  </w:r>
                </w:p>
              </w:tc>
              <w:tc>
                <w:tcPr>
                  <w:tcW w:w="1566" w:type="dxa"/>
                  <w:noWrap w:val="0"/>
                  <w:vAlign w:val="center"/>
                </w:tcPr>
                <w:p>
                  <w:pPr>
                    <w:pStyle w:val="40"/>
                    <w:bidi w:val="0"/>
                    <w:rPr>
                      <w:rFonts w:hint="default"/>
                    </w:rPr>
                  </w:pPr>
                  <w:r>
                    <w:rPr>
                      <w:rFonts w:hint="default"/>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vMerge w:val="restart"/>
                  <w:noWrap w:val="0"/>
                  <w:vAlign w:val="center"/>
                </w:tcPr>
                <w:p>
                  <w:pPr>
                    <w:pStyle w:val="40"/>
                    <w:bidi w:val="0"/>
                    <w:rPr>
                      <w:rFonts w:hint="default"/>
                    </w:rPr>
                  </w:pPr>
                  <w:r>
                    <w:rPr>
                      <w:rFonts w:hint="default"/>
                    </w:rPr>
                    <w:t>氨氮</w:t>
                  </w:r>
                </w:p>
              </w:tc>
              <w:tc>
                <w:tcPr>
                  <w:tcW w:w="1730" w:type="dxa"/>
                  <w:noWrap w:val="0"/>
                  <w:vAlign w:val="center"/>
                </w:tcPr>
                <w:p>
                  <w:pPr>
                    <w:pStyle w:val="40"/>
                    <w:bidi w:val="0"/>
                    <w:rPr>
                      <w:rFonts w:hint="default"/>
                    </w:rPr>
                  </w:pPr>
                  <w:r>
                    <w:rPr>
                      <w:rFonts w:hint="default"/>
                      <w:lang w:val="en-US" w:eastAsia="zh-CN"/>
                    </w:rPr>
                    <w:t>2019.</w:t>
                  </w:r>
                  <w:r>
                    <w:rPr>
                      <w:rFonts w:hint="default"/>
                    </w:rPr>
                    <w:t>08</w:t>
                  </w:r>
                  <w:r>
                    <w:rPr>
                      <w:rFonts w:hint="default"/>
                      <w:lang w:val="en-US" w:eastAsia="zh-CN"/>
                    </w:rPr>
                    <w:t>.</w:t>
                  </w:r>
                  <w:r>
                    <w:rPr>
                      <w:rFonts w:hint="default"/>
                    </w:rPr>
                    <w:t>21</w:t>
                  </w:r>
                </w:p>
              </w:tc>
              <w:tc>
                <w:tcPr>
                  <w:tcW w:w="1565" w:type="dxa"/>
                  <w:noWrap w:val="0"/>
                  <w:vAlign w:val="center"/>
                </w:tcPr>
                <w:p>
                  <w:pPr>
                    <w:pStyle w:val="40"/>
                    <w:bidi w:val="0"/>
                    <w:rPr>
                      <w:rFonts w:hint="default"/>
                    </w:rPr>
                  </w:pPr>
                  <w:r>
                    <w:rPr>
                      <w:rFonts w:hint="default"/>
                    </w:rPr>
                    <w:t>0.601</w:t>
                  </w:r>
                </w:p>
              </w:tc>
              <w:tc>
                <w:tcPr>
                  <w:tcW w:w="1687" w:type="dxa"/>
                  <w:noWrap w:val="0"/>
                  <w:vAlign w:val="center"/>
                </w:tcPr>
                <w:p>
                  <w:pPr>
                    <w:pStyle w:val="40"/>
                    <w:bidi w:val="0"/>
                    <w:rPr>
                      <w:rFonts w:hint="default"/>
                    </w:rPr>
                  </w:pPr>
                  <w:r>
                    <w:rPr>
                      <w:rFonts w:hint="default"/>
                    </w:rPr>
                    <w:t>0.472</w:t>
                  </w:r>
                </w:p>
              </w:tc>
              <w:tc>
                <w:tcPr>
                  <w:tcW w:w="1442" w:type="dxa"/>
                  <w:noWrap w:val="0"/>
                  <w:vAlign w:val="center"/>
                </w:tcPr>
                <w:p>
                  <w:pPr>
                    <w:pStyle w:val="40"/>
                    <w:bidi w:val="0"/>
                    <w:rPr>
                      <w:rFonts w:hint="default"/>
                    </w:rPr>
                  </w:pPr>
                  <w:r>
                    <w:rPr>
                      <w:rFonts w:hint="default"/>
                    </w:rPr>
                    <w:t>0.616</w:t>
                  </w:r>
                </w:p>
              </w:tc>
              <w:tc>
                <w:tcPr>
                  <w:tcW w:w="1566" w:type="dxa"/>
                  <w:noWrap w:val="0"/>
                  <w:vAlign w:val="center"/>
                </w:tcPr>
                <w:p>
                  <w:pPr>
                    <w:pStyle w:val="40"/>
                    <w:bidi w:val="0"/>
                    <w:rPr>
                      <w:rFonts w:hint="default"/>
                    </w:rPr>
                  </w:pPr>
                  <w:r>
                    <w:rPr>
                      <w:rFonts w:hint="default"/>
                    </w:rPr>
                    <w:t>0.553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vMerge w:val="continue"/>
                  <w:noWrap w:val="0"/>
                  <w:vAlign w:val="center"/>
                </w:tcPr>
                <w:p>
                  <w:pPr>
                    <w:pStyle w:val="40"/>
                    <w:bidi w:val="0"/>
                    <w:rPr>
                      <w:rFonts w:hint="default"/>
                    </w:rPr>
                  </w:pPr>
                </w:p>
              </w:tc>
              <w:tc>
                <w:tcPr>
                  <w:tcW w:w="1730" w:type="dxa"/>
                  <w:noWrap w:val="0"/>
                  <w:vAlign w:val="center"/>
                </w:tcPr>
                <w:p>
                  <w:pPr>
                    <w:pStyle w:val="40"/>
                    <w:bidi w:val="0"/>
                    <w:rPr>
                      <w:rFonts w:hint="default"/>
                    </w:rPr>
                  </w:pPr>
                  <w:r>
                    <w:rPr>
                      <w:rFonts w:hint="default"/>
                      <w:lang w:val="en-US" w:eastAsia="zh-CN"/>
                    </w:rPr>
                    <w:t>2019.08.22</w:t>
                  </w:r>
                </w:p>
              </w:tc>
              <w:tc>
                <w:tcPr>
                  <w:tcW w:w="1565" w:type="dxa"/>
                  <w:noWrap w:val="0"/>
                  <w:vAlign w:val="center"/>
                </w:tcPr>
                <w:p>
                  <w:pPr>
                    <w:pStyle w:val="40"/>
                    <w:bidi w:val="0"/>
                    <w:rPr>
                      <w:rFonts w:hint="default"/>
                    </w:rPr>
                  </w:pPr>
                  <w:r>
                    <w:rPr>
                      <w:rFonts w:hint="default"/>
                    </w:rPr>
                    <w:t>0.606</w:t>
                  </w:r>
                </w:p>
              </w:tc>
              <w:tc>
                <w:tcPr>
                  <w:tcW w:w="1687" w:type="dxa"/>
                  <w:noWrap w:val="0"/>
                  <w:vAlign w:val="center"/>
                </w:tcPr>
                <w:p>
                  <w:pPr>
                    <w:pStyle w:val="40"/>
                    <w:bidi w:val="0"/>
                    <w:rPr>
                      <w:rFonts w:hint="default"/>
                    </w:rPr>
                  </w:pPr>
                  <w:r>
                    <w:rPr>
                      <w:rFonts w:hint="default"/>
                    </w:rPr>
                    <w:t>0.520</w:t>
                  </w:r>
                </w:p>
              </w:tc>
              <w:tc>
                <w:tcPr>
                  <w:tcW w:w="1442" w:type="dxa"/>
                  <w:noWrap w:val="0"/>
                  <w:vAlign w:val="center"/>
                </w:tcPr>
                <w:p>
                  <w:pPr>
                    <w:pStyle w:val="40"/>
                    <w:bidi w:val="0"/>
                    <w:rPr>
                      <w:rFonts w:hint="default"/>
                    </w:rPr>
                  </w:pPr>
                  <w:r>
                    <w:rPr>
                      <w:rFonts w:hint="default"/>
                    </w:rPr>
                    <w:t>0.623</w:t>
                  </w:r>
                </w:p>
              </w:tc>
              <w:tc>
                <w:tcPr>
                  <w:tcW w:w="1566" w:type="dxa"/>
                  <w:noWrap w:val="0"/>
                  <w:vAlign w:val="center"/>
                </w:tcPr>
                <w:p>
                  <w:pPr>
                    <w:pStyle w:val="40"/>
                    <w:bidi w:val="0"/>
                    <w:rPr>
                      <w:rFonts w:hint="default"/>
                    </w:rPr>
                  </w:pPr>
                  <w:r>
                    <w:rPr>
                      <w:rFonts w:hint="default"/>
                    </w:rPr>
                    <w:t>0.548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vMerge w:val="restart"/>
                  <w:noWrap w:val="0"/>
                  <w:vAlign w:val="center"/>
                </w:tcPr>
                <w:p>
                  <w:pPr>
                    <w:pStyle w:val="40"/>
                    <w:bidi w:val="0"/>
                    <w:rPr>
                      <w:rFonts w:hint="default"/>
                    </w:rPr>
                  </w:pPr>
                  <w:r>
                    <w:rPr>
                      <w:rFonts w:hint="default"/>
                    </w:rPr>
                    <w:t>总磷</w:t>
                  </w:r>
                </w:p>
              </w:tc>
              <w:tc>
                <w:tcPr>
                  <w:tcW w:w="1730" w:type="dxa"/>
                  <w:noWrap w:val="0"/>
                  <w:vAlign w:val="center"/>
                </w:tcPr>
                <w:p>
                  <w:pPr>
                    <w:pStyle w:val="40"/>
                    <w:bidi w:val="0"/>
                    <w:rPr>
                      <w:rFonts w:hint="default"/>
                    </w:rPr>
                  </w:pPr>
                  <w:r>
                    <w:rPr>
                      <w:rFonts w:hint="default"/>
                      <w:lang w:val="en-US" w:eastAsia="zh-CN"/>
                    </w:rPr>
                    <w:t>2019.</w:t>
                  </w:r>
                  <w:r>
                    <w:rPr>
                      <w:rFonts w:hint="default"/>
                    </w:rPr>
                    <w:t>08</w:t>
                  </w:r>
                  <w:r>
                    <w:rPr>
                      <w:rFonts w:hint="default"/>
                      <w:lang w:val="en-US" w:eastAsia="zh-CN"/>
                    </w:rPr>
                    <w:t>.</w:t>
                  </w:r>
                  <w:r>
                    <w:rPr>
                      <w:rFonts w:hint="default"/>
                    </w:rPr>
                    <w:t>21</w:t>
                  </w:r>
                </w:p>
              </w:tc>
              <w:tc>
                <w:tcPr>
                  <w:tcW w:w="1565" w:type="dxa"/>
                  <w:noWrap w:val="0"/>
                  <w:vAlign w:val="center"/>
                </w:tcPr>
                <w:p>
                  <w:pPr>
                    <w:pStyle w:val="40"/>
                    <w:bidi w:val="0"/>
                    <w:rPr>
                      <w:rFonts w:hint="default"/>
                    </w:rPr>
                  </w:pPr>
                  <w:r>
                    <w:rPr>
                      <w:rFonts w:hint="default"/>
                    </w:rPr>
                    <w:t>0.10</w:t>
                  </w:r>
                </w:p>
              </w:tc>
              <w:tc>
                <w:tcPr>
                  <w:tcW w:w="1687" w:type="dxa"/>
                  <w:noWrap w:val="0"/>
                  <w:vAlign w:val="center"/>
                </w:tcPr>
                <w:p>
                  <w:pPr>
                    <w:pStyle w:val="40"/>
                    <w:bidi w:val="0"/>
                    <w:rPr>
                      <w:rFonts w:hint="default"/>
                    </w:rPr>
                  </w:pPr>
                  <w:r>
                    <w:rPr>
                      <w:rFonts w:hint="default"/>
                    </w:rPr>
                    <w:t>0.12</w:t>
                  </w:r>
                </w:p>
              </w:tc>
              <w:tc>
                <w:tcPr>
                  <w:tcW w:w="1442" w:type="dxa"/>
                  <w:noWrap w:val="0"/>
                  <w:vAlign w:val="center"/>
                </w:tcPr>
                <w:p>
                  <w:pPr>
                    <w:pStyle w:val="40"/>
                    <w:bidi w:val="0"/>
                    <w:rPr>
                      <w:rFonts w:hint="default"/>
                    </w:rPr>
                  </w:pPr>
                  <w:r>
                    <w:rPr>
                      <w:rFonts w:hint="default"/>
                    </w:rPr>
                    <w:t>0.15</w:t>
                  </w:r>
                </w:p>
              </w:tc>
              <w:tc>
                <w:tcPr>
                  <w:tcW w:w="1566" w:type="dxa"/>
                  <w:noWrap w:val="0"/>
                  <w:vAlign w:val="center"/>
                </w:tcPr>
                <w:p>
                  <w:pPr>
                    <w:pStyle w:val="40"/>
                    <w:bidi w:val="0"/>
                    <w:rPr>
                      <w:rFonts w:hint="default"/>
                    </w:rPr>
                  </w:pPr>
                  <w:r>
                    <w:rPr>
                      <w:rFonts w:hint="default"/>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vMerge w:val="continue"/>
                  <w:noWrap w:val="0"/>
                  <w:vAlign w:val="center"/>
                </w:tcPr>
                <w:p>
                  <w:pPr>
                    <w:pStyle w:val="40"/>
                    <w:bidi w:val="0"/>
                    <w:rPr>
                      <w:rFonts w:hint="default"/>
                    </w:rPr>
                  </w:pPr>
                </w:p>
              </w:tc>
              <w:tc>
                <w:tcPr>
                  <w:tcW w:w="1730" w:type="dxa"/>
                  <w:noWrap w:val="0"/>
                  <w:vAlign w:val="center"/>
                </w:tcPr>
                <w:p>
                  <w:pPr>
                    <w:pStyle w:val="40"/>
                    <w:bidi w:val="0"/>
                    <w:rPr>
                      <w:rFonts w:hint="default"/>
                    </w:rPr>
                  </w:pPr>
                  <w:r>
                    <w:rPr>
                      <w:rFonts w:hint="default"/>
                      <w:lang w:val="en-US" w:eastAsia="zh-CN"/>
                    </w:rPr>
                    <w:t>2019.08.22</w:t>
                  </w:r>
                </w:p>
              </w:tc>
              <w:tc>
                <w:tcPr>
                  <w:tcW w:w="1565" w:type="dxa"/>
                  <w:noWrap w:val="0"/>
                  <w:vAlign w:val="center"/>
                </w:tcPr>
                <w:p>
                  <w:pPr>
                    <w:pStyle w:val="40"/>
                    <w:bidi w:val="0"/>
                    <w:rPr>
                      <w:rFonts w:hint="default"/>
                    </w:rPr>
                  </w:pPr>
                  <w:r>
                    <w:rPr>
                      <w:rFonts w:hint="default"/>
                    </w:rPr>
                    <w:t>0.12</w:t>
                  </w:r>
                </w:p>
              </w:tc>
              <w:tc>
                <w:tcPr>
                  <w:tcW w:w="1687" w:type="dxa"/>
                  <w:noWrap w:val="0"/>
                  <w:vAlign w:val="center"/>
                </w:tcPr>
                <w:p>
                  <w:pPr>
                    <w:pStyle w:val="40"/>
                    <w:bidi w:val="0"/>
                    <w:rPr>
                      <w:rFonts w:hint="default"/>
                    </w:rPr>
                  </w:pPr>
                  <w:r>
                    <w:rPr>
                      <w:rFonts w:hint="default"/>
                    </w:rPr>
                    <w:t>0.13</w:t>
                  </w:r>
                </w:p>
              </w:tc>
              <w:tc>
                <w:tcPr>
                  <w:tcW w:w="1442" w:type="dxa"/>
                  <w:noWrap w:val="0"/>
                  <w:vAlign w:val="center"/>
                </w:tcPr>
                <w:p>
                  <w:pPr>
                    <w:pStyle w:val="40"/>
                    <w:bidi w:val="0"/>
                    <w:rPr>
                      <w:rFonts w:hint="default"/>
                    </w:rPr>
                  </w:pPr>
                  <w:r>
                    <w:rPr>
                      <w:rFonts w:hint="default"/>
                    </w:rPr>
                    <w:t>0.16</w:t>
                  </w:r>
                </w:p>
              </w:tc>
              <w:tc>
                <w:tcPr>
                  <w:tcW w:w="1566" w:type="dxa"/>
                  <w:noWrap w:val="0"/>
                  <w:vAlign w:val="center"/>
                </w:tcPr>
                <w:p>
                  <w:pPr>
                    <w:pStyle w:val="40"/>
                    <w:bidi w:val="0"/>
                    <w:rPr>
                      <w:rFonts w:hint="default"/>
                    </w:rPr>
                  </w:pPr>
                  <w:r>
                    <w:rPr>
                      <w:rFonts w:hint="default"/>
                    </w:rPr>
                    <w:t>0.11</w:t>
                  </w:r>
                </w:p>
              </w:tc>
            </w:tr>
            <w:bookmarkEnd w:id="11"/>
            <w:bookmarkEnd w:id="12"/>
          </w:tbl>
          <w:p>
            <w:pPr>
              <w:pStyle w:val="5"/>
              <w:bidi w:val="0"/>
              <w:ind w:left="0" w:leftChars="0" w:firstLine="480" w:firstLineChars="200"/>
              <w:rPr>
                <w:rFonts w:hint="eastAsia"/>
              </w:rPr>
            </w:pPr>
            <w:r>
              <w:rPr>
                <w:rFonts w:hint="eastAsia"/>
              </w:rPr>
              <w:t>（</w:t>
            </w:r>
            <w:r>
              <w:rPr>
                <w:rFonts w:hint="eastAsia"/>
                <w:lang w:val="en-US" w:eastAsia="zh-CN"/>
              </w:rPr>
              <w:t>1</w:t>
            </w:r>
            <w:r>
              <w:rPr>
                <w:rFonts w:hint="eastAsia"/>
              </w:rPr>
              <w:t>）监测因子</w:t>
            </w:r>
          </w:p>
          <w:p>
            <w:pPr>
              <w:pStyle w:val="5"/>
              <w:bidi w:val="0"/>
              <w:rPr>
                <w:rFonts w:hint="eastAsia"/>
              </w:rPr>
            </w:pPr>
            <w:r>
              <w:rPr>
                <w:rFonts w:hint="eastAsia"/>
              </w:rPr>
              <w:t>根据项目废水排放特征，本次评价地表水环境现状监测因子为：pH、CODcr、BOD5、NH3-N、TP共5项指标。</w:t>
            </w:r>
          </w:p>
          <w:p>
            <w:pPr>
              <w:pStyle w:val="5"/>
              <w:bidi w:val="0"/>
              <w:rPr>
                <w:rFonts w:hint="eastAsia"/>
              </w:rPr>
            </w:pPr>
            <w:r>
              <w:rPr>
                <w:rFonts w:hint="eastAsia"/>
              </w:rPr>
              <w:t>（</w:t>
            </w:r>
            <w:r>
              <w:rPr>
                <w:rFonts w:hint="eastAsia"/>
                <w:lang w:val="en-US" w:eastAsia="zh-CN"/>
              </w:rPr>
              <w:t>2</w:t>
            </w:r>
            <w:r>
              <w:rPr>
                <w:rFonts w:hint="eastAsia"/>
              </w:rPr>
              <w:t>）监测时间和频率</w:t>
            </w:r>
          </w:p>
          <w:p>
            <w:pPr>
              <w:pStyle w:val="5"/>
              <w:bidi w:val="0"/>
              <w:rPr>
                <w:rFonts w:hint="eastAsia"/>
              </w:rPr>
            </w:pPr>
            <w:r>
              <w:rPr>
                <w:rFonts w:hint="eastAsia"/>
              </w:rPr>
              <w:t>监测时间为201</w:t>
            </w:r>
            <w:r>
              <w:rPr>
                <w:rFonts w:hint="eastAsia"/>
                <w:lang w:val="en-US" w:eastAsia="zh-CN"/>
              </w:rPr>
              <w:t>9</w:t>
            </w:r>
            <w:r>
              <w:rPr>
                <w:rFonts w:hint="eastAsia"/>
              </w:rPr>
              <w:t>年</w:t>
            </w:r>
            <w:r>
              <w:rPr>
                <w:rFonts w:hint="eastAsia"/>
                <w:lang w:val="en-US" w:eastAsia="zh-CN"/>
              </w:rPr>
              <w:t>8</w:t>
            </w:r>
            <w:r>
              <w:rPr>
                <w:rFonts w:hint="eastAsia"/>
              </w:rPr>
              <w:t>月</w:t>
            </w:r>
            <w:r>
              <w:rPr>
                <w:rFonts w:hint="eastAsia"/>
                <w:lang w:val="en-US" w:eastAsia="zh-CN"/>
              </w:rPr>
              <w:t>21</w:t>
            </w:r>
            <w:r>
              <w:rPr>
                <w:rFonts w:hint="eastAsia"/>
              </w:rPr>
              <w:t>～</w:t>
            </w:r>
            <w:r>
              <w:rPr>
                <w:rFonts w:hint="eastAsia"/>
                <w:lang w:val="en-US" w:eastAsia="zh-CN"/>
              </w:rPr>
              <w:t>22</w:t>
            </w:r>
            <w:r>
              <w:rPr>
                <w:rFonts w:hint="eastAsia"/>
              </w:rPr>
              <w:t>号，每天监测2次。</w:t>
            </w:r>
          </w:p>
          <w:p>
            <w:pPr>
              <w:pStyle w:val="5"/>
              <w:bidi w:val="0"/>
              <w:rPr>
                <w:rFonts w:hint="eastAsia"/>
              </w:rPr>
            </w:pPr>
            <w:r>
              <w:rPr>
                <w:rFonts w:hint="eastAsia"/>
              </w:rPr>
              <w:t>（</w:t>
            </w:r>
            <w:r>
              <w:rPr>
                <w:rFonts w:hint="eastAsia"/>
                <w:lang w:val="en-US" w:eastAsia="zh-CN"/>
              </w:rPr>
              <w:t>3</w:t>
            </w:r>
            <w:r>
              <w:rPr>
                <w:rFonts w:hint="eastAsia"/>
              </w:rPr>
              <w:t>）采样与分析方法</w:t>
            </w:r>
          </w:p>
          <w:p>
            <w:pPr>
              <w:pStyle w:val="5"/>
              <w:rPr>
                <w:rFonts w:hint="eastAsia"/>
              </w:rPr>
            </w:pPr>
            <w:r>
              <w:rPr>
                <w:rFonts w:hint="eastAsia"/>
              </w:rPr>
              <w:t>采样方法按照《水质采样方法设计规定》（GB12997-91）、《水质采样技术指导》（GB12998-91）、《水质采样、样品保存和管理技术规定》（GB12999-91）中的规定执行；检测分析方法按照《地表水环境质量标准》（GB3838-2002）中的规定方法执行；</w:t>
            </w:r>
          </w:p>
          <w:p>
            <w:pPr>
              <w:pStyle w:val="29"/>
              <w:bidi w:val="0"/>
              <w:rPr>
                <w:rFonts w:hint="eastAsia"/>
              </w:rPr>
            </w:pPr>
            <w:r>
              <w:rPr>
                <w:rFonts w:hint="eastAsia"/>
              </w:rPr>
              <w:t>表</w:t>
            </w:r>
            <w:r>
              <w:rPr>
                <w:rFonts w:hint="eastAsia"/>
                <w:lang w:val="en-US" w:eastAsia="zh-CN"/>
              </w:rPr>
              <w:t>3-6</w:t>
            </w:r>
            <w:r>
              <w:rPr>
                <w:rFonts w:hint="eastAsia"/>
              </w:rPr>
              <w:t xml:space="preserve"> 地表水现状监测分析方法</w:t>
            </w:r>
          </w:p>
          <w:tbl>
            <w:tblPr>
              <w:tblStyle w:val="2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75"/>
              <w:gridCol w:w="1920"/>
              <w:gridCol w:w="4046"/>
              <w:gridCol w:w="22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2" w:hRule="exact"/>
                <w:jc w:val="center"/>
              </w:trPr>
              <w:tc>
                <w:tcPr>
                  <w:tcW w:w="875" w:type="dxa"/>
                  <w:noWrap w:val="0"/>
                  <w:vAlign w:val="center"/>
                </w:tcPr>
                <w:p>
                  <w:pPr>
                    <w:pStyle w:val="40"/>
                    <w:bidi w:val="0"/>
                  </w:pPr>
                  <w:r>
                    <w:rPr>
                      <w:rFonts w:hint="eastAsia"/>
                    </w:rPr>
                    <w:t>序号</w:t>
                  </w:r>
                </w:p>
              </w:tc>
              <w:tc>
                <w:tcPr>
                  <w:tcW w:w="1920" w:type="dxa"/>
                  <w:noWrap w:val="0"/>
                  <w:vAlign w:val="center"/>
                </w:tcPr>
                <w:p>
                  <w:pPr>
                    <w:pStyle w:val="40"/>
                    <w:bidi w:val="0"/>
                  </w:pPr>
                  <w:r>
                    <w:rPr>
                      <w:rFonts w:hint="eastAsia"/>
                    </w:rPr>
                    <w:t>监测项目</w:t>
                  </w:r>
                </w:p>
              </w:tc>
              <w:tc>
                <w:tcPr>
                  <w:tcW w:w="4046" w:type="dxa"/>
                  <w:noWrap w:val="0"/>
                  <w:vAlign w:val="center"/>
                </w:tcPr>
                <w:p>
                  <w:pPr>
                    <w:pStyle w:val="40"/>
                    <w:bidi w:val="0"/>
                  </w:pPr>
                  <w:r>
                    <w:rPr>
                      <w:rFonts w:hint="eastAsia"/>
                    </w:rPr>
                    <w:t>分析方法</w:t>
                  </w:r>
                </w:p>
              </w:tc>
              <w:tc>
                <w:tcPr>
                  <w:tcW w:w="2230" w:type="dxa"/>
                  <w:noWrap w:val="0"/>
                  <w:vAlign w:val="center"/>
                </w:tcPr>
                <w:p>
                  <w:pPr>
                    <w:pStyle w:val="40"/>
                    <w:bidi w:val="0"/>
                  </w:pPr>
                  <w:r>
                    <w:rPr>
                      <w:rFonts w:hint="eastAsia"/>
                    </w:rPr>
                    <w:t>方法依据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30" w:hRule="exact"/>
                <w:jc w:val="center"/>
              </w:trPr>
              <w:tc>
                <w:tcPr>
                  <w:tcW w:w="875" w:type="dxa"/>
                  <w:noWrap w:val="0"/>
                  <w:vAlign w:val="center"/>
                </w:tcPr>
                <w:p>
                  <w:pPr>
                    <w:pStyle w:val="40"/>
                    <w:bidi w:val="0"/>
                  </w:pPr>
                  <w:r>
                    <w:t>1</w:t>
                  </w:r>
                </w:p>
              </w:tc>
              <w:tc>
                <w:tcPr>
                  <w:tcW w:w="1920" w:type="dxa"/>
                  <w:noWrap w:val="0"/>
                  <w:vAlign w:val="center"/>
                </w:tcPr>
                <w:p>
                  <w:pPr>
                    <w:pStyle w:val="40"/>
                    <w:bidi w:val="0"/>
                  </w:pPr>
                  <w:r>
                    <w:t>pH</w:t>
                  </w:r>
                </w:p>
              </w:tc>
              <w:tc>
                <w:tcPr>
                  <w:tcW w:w="4046" w:type="dxa"/>
                  <w:noWrap w:val="0"/>
                  <w:vAlign w:val="center"/>
                </w:tcPr>
                <w:p>
                  <w:pPr>
                    <w:pStyle w:val="40"/>
                    <w:bidi w:val="0"/>
                  </w:pPr>
                  <w:r>
                    <w:rPr>
                      <w:rFonts w:hint="eastAsia"/>
                    </w:rPr>
                    <w:t>玻璃电极法</w:t>
                  </w:r>
                </w:p>
              </w:tc>
              <w:tc>
                <w:tcPr>
                  <w:tcW w:w="2230" w:type="dxa"/>
                  <w:noWrap w:val="0"/>
                  <w:vAlign w:val="center"/>
                </w:tcPr>
                <w:p>
                  <w:pPr>
                    <w:pStyle w:val="40"/>
                    <w:bidi w:val="0"/>
                  </w:pPr>
                  <w:r>
                    <w:t>GB/T 6920-1986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2" w:hRule="exact"/>
                <w:jc w:val="center"/>
              </w:trPr>
              <w:tc>
                <w:tcPr>
                  <w:tcW w:w="875" w:type="dxa"/>
                  <w:noWrap w:val="0"/>
                  <w:vAlign w:val="center"/>
                </w:tcPr>
                <w:p>
                  <w:pPr>
                    <w:pStyle w:val="40"/>
                    <w:bidi w:val="0"/>
                  </w:pPr>
                  <w:r>
                    <w:t>2</w:t>
                  </w:r>
                </w:p>
              </w:tc>
              <w:tc>
                <w:tcPr>
                  <w:tcW w:w="1920" w:type="dxa"/>
                  <w:noWrap w:val="0"/>
                  <w:vAlign w:val="center"/>
                </w:tcPr>
                <w:p>
                  <w:pPr>
                    <w:pStyle w:val="40"/>
                    <w:bidi w:val="0"/>
                  </w:pPr>
                  <w:r>
                    <w:t>CODCr</w:t>
                  </w:r>
                </w:p>
              </w:tc>
              <w:tc>
                <w:tcPr>
                  <w:tcW w:w="4046" w:type="dxa"/>
                  <w:noWrap w:val="0"/>
                  <w:vAlign w:val="center"/>
                </w:tcPr>
                <w:p>
                  <w:pPr>
                    <w:pStyle w:val="40"/>
                    <w:bidi w:val="0"/>
                  </w:pPr>
                  <w:r>
                    <w:rPr>
                      <w:rFonts w:hint="eastAsia"/>
                    </w:rPr>
                    <w:t>重铬酸盐法</w:t>
                  </w:r>
                </w:p>
              </w:tc>
              <w:tc>
                <w:tcPr>
                  <w:tcW w:w="2230" w:type="dxa"/>
                  <w:noWrap w:val="0"/>
                  <w:vAlign w:val="center"/>
                </w:tcPr>
                <w:p>
                  <w:pPr>
                    <w:pStyle w:val="40"/>
                    <w:bidi w:val="0"/>
                  </w:pPr>
                  <w:r>
                    <w:t>GB/T 11914-89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0" w:hRule="exact"/>
                <w:jc w:val="center"/>
              </w:trPr>
              <w:tc>
                <w:tcPr>
                  <w:tcW w:w="875" w:type="dxa"/>
                  <w:noWrap w:val="0"/>
                  <w:vAlign w:val="center"/>
                </w:tcPr>
                <w:p>
                  <w:pPr>
                    <w:pStyle w:val="40"/>
                    <w:bidi w:val="0"/>
                  </w:pPr>
                  <w:r>
                    <w:t>3</w:t>
                  </w:r>
                </w:p>
              </w:tc>
              <w:tc>
                <w:tcPr>
                  <w:tcW w:w="1920" w:type="dxa"/>
                  <w:noWrap w:val="0"/>
                  <w:vAlign w:val="center"/>
                </w:tcPr>
                <w:p>
                  <w:pPr>
                    <w:pStyle w:val="40"/>
                    <w:bidi w:val="0"/>
                  </w:pPr>
                  <w:r>
                    <w:t>BOD5</w:t>
                  </w:r>
                </w:p>
              </w:tc>
              <w:tc>
                <w:tcPr>
                  <w:tcW w:w="4046" w:type="dxa"/>
                  <w:noWrap w:val="0"/>
                  <w:vAlign w:val="center"/>
                </w:tcPr>
                <w:p>
                  <w:pPr>
                    <w:pStyle w:val="40"/>
                    <w:bidi w:val="0"/>
                  </w:pPr>
                  <w:r>
                    <w:rPr>
                      <w:rFonts w:hint="eastAsia"/>
                    </w:rPr>
                    <w:t>稀释与接种法</w:t>
                  </w:r>
                </w:p>
              </w:tc>
              <w:tc>
                <w:tcPr>
                  <w:tcW w:w="2230" w:type="dxa"/>
                  <w:noWrap w:val="0"/>
                  <w:vAlign w:val="center"/>
                </w:tcPr>
                <w:p>
                  <w:pPr>
                    <w:pStyle w:val="40"/>
                    <w:bidi w:val="0"/>
                  </w:pPr>
                  <w:r>
                    <w:t>HJ 505-2009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jc w:val="center"/>
              </w:trPr>
              <w:tc>
                <w:tcPr>
                  <w:tcW w:w="875" w:type="dxa"/>
                  <w:noWrap w:val="0"/>
                  <w:vAlign w:val="center"/>
                </w:tcPr>
                <w:p>
                  <w:pPr>
                    <w:pStyle w:val="40"/>
                    <w:bidi w:val="0"/>
                  </w:pPr>
                  <w:r>
                    <w:t>4</w:t>
                  </w:r>
                </w:p>
              </w:tc>
              <w:tc>
                <w:tcPr>
                  <w:tcW w:w="1920" w:type="dxa"/>
                  <w:noWrap w:val="0"/>
                  <w:vAlign w:val="center"/>
                </w:tcPr>
                <w:p>
                  <w:pPr>
                    <w:pStyle w:val="40"/>
                    <w:bidi w:val="0"/>
                  </w:pPr>
                  <w:r>
                    <w:rPr>
                      <w:rFonts w:hint="eastAsia"/>
                    </w:rPr>
                    <w:t>氨氮</w:t>
                  </w:r>
                </w:p>
              </w:tc>
              <w:tc>
                <w:tcPr>
                  <w:tcW w:w="4046" w:type="dxa"/>
                  <w:noWrap w:val="0"/>
                  <w:vAlign w:val="center"/>
                </w:tcPr>
                <w:p>
                  <w:pPr>
                    <w:pStyle w:val="40"/>
                    <w:bidi w:val="0"/>
                  </w:pPr>
                  <w:r>
                    <w:fldChar w:fldCharType="begin"/>
                  </w:r>
                  <w:r>
                    <w:instrText xml:space="preserve"> HYPERLINK "http://kjs.mep.gov.cn/hjbhbz/bzwb/shjbh/sjcgfffbz/201001/t20100112_184155.htm" </w:instrText>
                  </w:r>
                  <w:r>
                    <w:fldChar w:fldCharType="separate"/>
                  </w:r>
                  <w:r>
                    <w:rPr>
                      <w:rFonts w:hint="eastAsia"/>
                    </w:rPr>
                    <w:t>纳氏试剂分光光度法</w:t>
                  </w:r>
                  <w:r>
                    <w:rPr>
                      <w:rFonts w:hint="eastAsia"/>
                    </w:rPr>
                    <w:fldChar w:fldCharType="end"/>
                  </w:r>
                </w:p>
              </w:tc>
              <w:tc>
                <w:tcPr>
                  <w:tcW w:w="2230" w:type="dxa"/>
                  <w:noWrap w:val="0"/>
                  <w:vAlign w:val="center"/>
                </w:tcPr>
                <w:p>
                  <w:pPr>
                    <w:pStyle w:val="40"/>
                    <w:bidi w:val="0"/>
                  </w:pPr>
                  <w:r>
                    <w:t>HJ 535-2009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exact"/>
                <w:jc w:val="center"/>
              </w:trPr>
              <w:tc>
                <w:tcPr>
                  <w:tcW w:w="875" w:type="dxa"/>
                  <w:noWrap w:val="0"/>
                  <w:vAlign w:val="center"/>
                </w:tcPr>
                <w:p>
                  <w:pPr>
                    <w:pStyle w:val="40"/>
                    <w:bidi w:val="0"/>
                    <w:rPr>
                      <w:rFonts w:hint="eastAsia"/>
                    </w:rPr>
                  </w:pPr>
                  <w:r>
                    <w:rPr>
                      <w:rFonts w:hint="eastAsia"/>
                    </w:rPr>
                    <w:t>5</w:t>
                  </w:r>
                </w:p>
              </w:tc>
              <w:tc>
                <w:tcPr>
                  <w:tcW w:w="1920" w:type="dxa"/>
                  <w:noWrap w:val="0"/>
                  <w:vAlign w:val="center"/>
                </w:tcPr>
                <w:p>
                  <w:pPr>
                    <w:pStyle w:val="40"/>
                    <w:bidi w:val="0"/>
                  </w:pPr>
                  <w:r>
                    <w:t>TP</w:t>
                  </w:r>
                </w:p>
              </w:tc>
              <w:tc>
                <w:tcPr>
                  <w:tcW w:w="4046" w:type="dxa"/>
                  <w:noWrap w:val="0"/>
                  <w:vAlign w:val="center"/>
                </w:tcPr>
                <w:p>
                  <w:pPr>
                    <w:pStyle w:val="40"/>
                    <w:bidi w:val="0"/>
                  </w:pPr>
                  <w:r>
                    <w:t>GB 11893-1989</w:t>
                  </w:r>
                  <w:r>
                    <w:rPr>
                      <w:rFonts w:hint="eastAsia"/>
                    </w:rPr>
                    <w:t>钼酸铵分光光度法</w:t>
                  </w:r>
                </w:p>
              </w:tc>
              <w:tc>
                <w:tcPr>
                  <w:tcW w:w="2230" w:type="dxa"/>
                  <w:noWrap w:val="0"/>
                  <w:vAlign w:val="center"/>
                </w:tcPr>
                <w:p>
                  <w:pPr>
                    <w:pStyle w:val="40"/>
                    <w:bidi w:val="0"/>
                  </w:pPr>
                  <w:r>
                    <w:t>HJ 535-2009</w:t>
                  </w:r>
                </w:p>
              </w:tc>
            </w:tr>
          </w:tbl>
          <w:p>
            <w:pPr>
              <w:pStyle w:val="5"/>
              <w:bidi w:val="0"/>
              <w:rPr>
                <w:rFonts w:hint="eastAsia"/>
              </w:rPr>
            </w:pPr>
            <w:r>
              <w:rPr>
                <w:rFonts w:hint="eastAsia"/>
              </w:rPr>
              <w:t>（</w:t>
            </w:r>
            <w:r>
              <w:rPr>
                <w:rFonts w:hint="eastAsia"/>
                <w:lang w:val="en-US" w:eastAsia="zh-CN"/>
              </w:rPr>
              <w:t>4</w:t>
            </w:r>
            <w:r>
              <w:rPr>
                <w:rFonts w:hint="eastAsia"/>
              </w:rPr>
              <w:t>）评价标准</w:t>
            </w:r>
          </w:p>
          <w:p>
            <w:pPr>
              <w:pStyle w:val="5"/>
              <w:bidi w:val="0"/>
              <w:rPr>
                <w:rFonts w:hint="eastAsia"/>
              </w:rPr>
            </w:pPr>
            <w:r>
              <w:rPr>
                <w:rFonts w:hint="eastAsia"/>
              </w:rPr>
              <w:t>执行《地表水环境质量标准》(GB3838-2002)中III类标准，</w:t>
            </w:r>
          </w:p>
          <w:p>
            <w:pPr>
              <w:pStyle w:val="5"/>
              <w:bidi w:val="0"/>
              <w:rPr>
                <w:rFonts w:hint="eastAsia"/>
              </w:rPr>
            </w:pPr>
            <w:r>
              <w:rPr>
                <w:rFonts w:hint="eastAsia"/>
              </w:rPr>
              <w:t>（</w:t>
            </w:r>
            <w:r>
              <w:rPr>
                <w:rFonts w:hint="eastAsia"/>
                <w:lang w:val="en-US" w:eastAsia="zh-CN"/>
              </w:rPr>
              <w:t>5</w:t>
            </w:r>
            <w:r>
              <w:rPr>
                <w:rFonts w:hint="eastAsia"/>
              </w:rPr>
              <w:t>）评价方法</w:t>
            </w:r>
          </w:p>
          <w:p>
            <w:pPr>
              <w:pStyle w:val="5"/>
              <w:bidi w:val="0"/>
              <w:rPr>
                <w:rFonts w:hint="eastAsia"/>
              </w:rPr>
            </w:pPr>
            <w:r>
              <w:rPr>
                <w:rFonts w:hint="eastAsia"/>
              </w:rPr>
              <w:t>采用单因子评价工程所在水域水环境现状质量。计算公式如下：</w:t>
            </w:r>
          </w:p>
          <w:p>
            <w:pPr>
              <w:pStyle w:val="5"/>
              <w:bidi w:val="0"/>
              <w:rPr>
                <w:rFonts w:hint="eastAsia"/>
              </w:rPr>
            </w:pPr>
            <w:r>
              <w:rPr>
                <w:rFonts w:hint="eastAsia"/>
              </w:rPr>
              <w:t>Pi = Ci/Bi</w:t>
            </w:r>
          </w:p>
          <w:p>
            <w:pPr>
              <w:pStyle w:val="5"/>
              <w:bidi w:val="0"/>
              <w:rPr>
                <w:rFonts w:hint="eastAsia"/>
              </w:rPr>
            </w:pPr>
            <w:r>
              <w:rPr>
                <w:rFonts w:hint="eastAsia"/>
              </w:rPr>
              <w:t>式中：Pi——i因子的环境质量指数；</w:t>
            </w:r>
          </w:p>
          <w:p>
            <w:pPr>
              <w:pStyle w:val="5"/>
              <w:bidi w:val="0"/>
              <w:rPr>
                <w:rFonts w:hint="eastAsia"/>
              </w:rPr>
            </w:pPr>
            <w:r>
              <w:rPr>
                <w:rFonts w:hint="eastAsia"/>
              </w:rPr>
              <w:t>Ci——i因子的现状监测结果，mg/L；</w:t>
            </w:r>
          </w:p>
          <w:p>
            <w:pPr>
              <w:pStyle w:val="5"/>
              <w:bidi w:val="0"/>
              <w:rPr>
                <w:rFonts w:hint="eastAsia"/>
              </w:rPr>
            </w:pPr>
            <w:r>
              <w:rPr>
                <w:rFonts w:hint="eastAsia"/>
              </w:rPr>
              <w:t>Bi——i因子的评价标准，mg/L。</w:t>
            </w:r>
          </w:p>
          <w:p>
            <w:pPr>
              <w:pStyle w:val="5"/>
              <w:bidi w:val="0"/>
              <w:rPr>
                <w:rFonts w:hint="eastAsia"/>
              </w:rPr>
            </w:pPr>
            <w:r>
              <w:rPr>
                <w:rFonts w:hint="eastAsia"/>
              </w:rPr>
              <w:t>pH值的评价公式：</w:t>
            </w:r>
          </w:p>
          <w:p>
            <w:pPr>
              <w:pStyle w:val="5"/>
              <w:bidi w:val="0"/>
              <w:rPr>
                <w:rFonts w:hint="eastAsia"/>
              </w:rPr>
            </w:pPr>
            <w:r>
              <w:rPr>
                <w:rFonts w:hint="eastAsia"/>
              </w:rPr>
              <w:t>Pi=(7.0-Ci)/(7.0-Csd)     (Ci≤7.0)</w:t>
            </w:r>
          </w:p>
          <w:p>
            <w:pPr>
              <w:pStyle w:val="5"/>
              <w:bidi w:val="0"/>
              <w:rPr>
                <w:rFonts w:hint="eastAsia"/>
              </w:rPr>
            </w:pPr>
            <w:r>
              <w:rPr>
                <w:rFonts w:hint="eastAsia"/>
              </w:rPr>
              <w:t>Pi=(Ci-7.0)/(Csu-7.0)     (Ci≥7.0)</w:t>
            </w:r>
          </w:p>
          <w:p>
            <w:pPr>
              <w:pStyle w:val="5"/>
              <w:bidi w:val="0"/>
              <w:rPr>
                <w:rFonts w:hint="eastAsia"/>
              </w:rPr>
            </w:pPr>
            <w:r>
              <w:rPr>
                <w:rFonts w:hint="eastAsia"/>
              </w:rPr>
              <w:t>式中：Csd——评价标准的下限值；</w:t>
            </w:r>
          </w:p>
          <w:p>
            <w:pPr>
              <w:pStyle w:val="5"/>
              <w:bidi w:val="0"/>
              <w:rPr>
                <w:rFonts w:hint="eastAsia"/>
              </w:rPr>
            </w:pPr>
            <w:r>
              <w:rPr>
                <w:rFonts w:hint="eastAsia"/>
              </w:rPr>
              <w:t>Csu——评价标准的上限值。</w:t>
            </w:r>
          </w:p>
          <w:p>
            <w:pPr>
              <w:pStyle w:val="5"/>
              <w:numPr>
                <w:ilvl w:val="0"/>
                <w:numId w:val="6"/>
              </w:numPr>
              <w:bidi w:val="0"/>
            </w:pPr>
            <w:r>
              <w:rPr>
                <w:rFonts w:hint="eastAsia"/>
              </w:rPr>
              <w:t>评价结果</w:t>
            </w:r>
          </w:p>
          <w:p>
            <w:pPr>
              <w:pStyle w:val="5"/>
              <w:bidi w:val="0"/>
              <w:rPr>
                <w:rFonts w:hint="eastAsia"/>
              </w:rPr>
            </w:pPr>
            <w:r>
              <w:rPr>
                <w:rFonts w:hint="default"/>
              </w:rPr>
              <w:t>水质现状评价结果见下表</w:t>
            </w:r>
          </w:p>
          <w:p>
            <w:pPr>
              <w:pStyle w:val="29"/>
              <w:bidi w:val="0"/>
              <w:rPr>
                <w:rFonts w:hint="default"/>
                <w:lang w:val="en-US" w:eastAsia="zh-CN"/>
              </w:rPr>
            </w:pPr>
            <w:r>
              <w:rPr>
                <w:rFonts w:hint="default"/>
              </w:rPr>
              <w:t>表3-</w:t>
            </w:r>
            <w:r>
              <w:rPr>
                <w:rFonts w:hint="eastAsia"/>
                <w:lang w:val="en-US" w:eastAsia="zh-CN"/>
              </w:rPr>
              <w:t>7</w:t>
            </w:r>
            <w:r>
              <w:rPr>
                <w:rFonts w:hint="default"/>
              </w:rPr>
              <w:t>地表水质单因子指数计算结果表 单位：mg/</w:t>
            </w:r>
            <w:r>
              <w:rPr>
                <w:rFonts w:hint="eastAsia"/>
              </w:rPr>
              <w:t>L</w:t>
            </w:r>
            <w:r>
              <w:rPr>
                <w:rFonts w:hint="default"/>
              </w:rPr>
              <w:t>（pH除外)</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1455"/>
              <w:gridCol w:w="1572"/>
              <w:gridCol w:w="1472"/>
              <w:gridCol w:w="1454"/>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2" w:type="dxa"/>
                  <w:vMerge w:val="restart"/>
                  <w:noWrap w:val="0"/>
                  <w:vAlign w:val="center"/>
                </w:tcPr>
                <w:p>
                  <w:pPr>
                    <w:adjustRightInd w:val="0"/>
                    <w:snapToGrid w:val="0"/>
                    <w:jc w:val="center"/>
                    <w:textAlignment w:val="baseline"/>
                    <w:rPr>
                      <w:rFonts w:hint="default"/>
                    </w:rPr>
                  </w:pPr>
                  <w:r>
                    <w:rPr>
                      <w:rFonts w:hint="default"/>
                    </w:rPr>
                    <w:t>项目名称</w:t>
                  </w:r>
                </w:p>
              </w:tc>
              <w:tc>
                <w:tcPr>
                  <w:tcW w:w="1455" w:type="dxa"/>
                  <w:vMerge w:val="restart"/>
                  <w:noWrap w:val="0"/>
                  <w:vAlign w:val="center"/>
                </w:tcPr>
                <w:p>
                  <w:pPr>
                    <w:adjustRightInd w:val="0"/>
                    <w:snapToGrid w:val="0"/>
                    <w:jc w:val="center"/>
                    <w:textAlignment w:val="baseline"/>
                    <w:rPr>
                      <w:rFonts w:hint="default"/>
                    </w:rPr>
                  </w:pPr>
                  <w:r>
                    <w:rPr>
                      <w:rFonts w:hint="default"/>
                    </w:rPr>
                    <w:t>采样日期</w:t>
                  </w:r>
                </w:p>
              </w:tc>
              <w:tc>
                <w:tcPr>
                  <w:tcW w:w="5910" w:type="dxa"/>
                  <w:gridSpan w:val="4"/>
                  <w:noWrap w:val="0"/>
                  <w:vAlign w:val="center"/>
                </w:tcPr>
                <w:p>
                  <w:pPr>
                    <w:adjustRightInd w:val="0"/>
                    <w:snapToGrid w:val="0"/>
                    <w:jc w:val="center"/>
                    <w:textAlignment w:val="baseline"/>
                    <w:rPr>
                      <w:rFonts w:hint="default"/>
                      <w:lang w:val="en-US"/>
                    </w:rPr>
                  </w:pPr>
                  <w:r>
                    <w:rPr>
                      <w:rFonts w:hint="eastAsia"/>
                      <w:lang w:val="en-US" w:eastAsia="zh-CN"/>
                    </w:rPr>
                    <w:t>采样地点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2" w:type="dxa"/>
                  <w:vMerge w:val="continue"/>
                  <w:noWrap w:val="0"/>
                  <w:vAlign w:val="center"/>
                </w:tcPr>
                <w:p>
                  <w:pPr>
                    <w:adjustRightInd w:val="0"/>
                    <w:snapToGrid w:val="0"/>
                    <w:jc w:val="center"/>
                    <w:textAlignment w:val="baseline"/>
                    <w:rPr>
                      <w:rFonts w:hint="default"/>
                    </w:rPr>
                  </w:pPr>
                </w:p>
              </w:tc>
              <w:tc>
                <w:tcPr>
                  <w:tcW w:w="1455" w:type="dxa"/>
                  <w:vMerge w:val="continue"/>
                  <w:noWrap w:val="0"/>
                  <w:vAlign w:val="center"/>
                </w:tcPr>
                <w:p>
                  <w:pPr>
                    <w:adjustRightInd w:val="0"/>
                    <w:snapToGrid w:val="0"/>
                    <w:jc w:val="center"/>
                    <w:textAlignment w:val="baseline"/>
                    <w:rPr>
                      <w:rFonts w:hint="default"/>
                    </w:rPr>
                  </w:pPr>
                </w:p>
              </w:tc>
              <w:tc>
                <w:tcPr>
                  <w:tcW w:w="1572" w:type="dxa"/>
                  <w:noWrap w:val="0"/>
                  <w:vAlign w:val="center"/>
                </w:tcPr>
                <w:p>
                  <w:pPr>
                    <w:widowControl/>
                    <w:jc w:val="center"/>
                    <w:textAlignment w:val="center"/>
                    <w:rPr>
                      <w:rFonts w:hint="default"/>
                    </w:rPr>
                  </w:pPr>
                  <w:r>
                    <w:rPr>
                      <w:rFonts w:hint="default"/>
                    </w:rPr>
                    <w:t>排污口</w:t>
                  </w:r>
                </w:p>
                <w:p>
                  <w:pPr>
                    <w:widowControl/>
                    <w:jc w:val="center"/>
                    <w:textAlignment w:val="center"/>
                    <w:rPr>
                      <w:rFonts w:hint="default"/>
                    </w:rPr>
                  </w:pPr>
                  <w:r>
                    <w:rPr>
                      <w:rFonts w:hint="default"/>
                    </w:rPr>
                    <w:t>上游500 m</w:t>
                  </w:r>
                </w:p>
              </w:tc>
              <w:tc>
                <w:tcPr>
                  <w:tcW w:w="1472" w:type="dxa"/>
                  <w:noWrap w:val="0"/>
                  <w:vAlign w:val="center"/>
                </w:tcPr>
                <w:p>
                  <w:pPr>
                    <w:widowControl/>
                    <w:jc w:val="center"/>
                    <w:textAlignment w:val="center"/>
                    <w:rPr>
                      <w:rFonts w:hint="default"/>
                    </w:rPr>
                  </w:pPr>
                  <w:r>
                    <w:rPr>
                      <w:rFonts w:hint="default"/>
                    </w:rPr>
                    <w:t>排污口处</w:t>
                  </w:r>
                </w:p>
              </w:tc>
              <w:tc>
                <w:tcPr>
                  <w:tcW w:w="1454" w:type="dxa"/>
                  <w:noWrap w:val="0"/>
                  <w:vAlign w:val="center"/>
                </w:tcPr>
                <w:p>
                  <w:pPr>
                    <w:widowControl/>
                    <w:jc w:val="center"/>
                    <w:textAlignment w:val="center"/>
                    <w:rPr>
                      <w:rFonts w:hint="default"/>
                    </w:rPr>
                  </w:pPr>
                  <w:r>
                    <w:rPr>
                      <w:rFonts w:hint="default"/>
                    </w:rPr>
                    <w:t>排污口</w:t>
                  </w:r>
                </w:p>
                <w:p>
                  <w:pPr>
                    <w:widowControl/>
                    <w:jc w:val="center"/>
                    <w:textAlignment w:val="center"/>
                    <w:rPr>
                      <w:rFonts w:hint="default"/>
                    </w:rPr>
                  </w:pPr>
                  <w:r>
                    <w:rPr>
                      <w:rFonts w:hint="default"/>
                    </w:rPr>
                    <w:t>下游500m</w:t>
                  </w:r>
                </w:p>
              </w:tc>
              <w:tc>
                <w:tcPr>
                  <w:tcW w:w="1412" w:type="dxa"/>
                  <w:noWrap w:val="0"/>
                  <w:vAlign w:val="center"/>
                </w:tcPr>
                <w:p>
                  <w:pPr>
                    <w:widowControl/>
                    <w:jc w:val="center"/>
                    <w:textAlignment w:val="center"/>
                    <w:rPr>
                      <w:rFonts w:hint="default"/>
                    </w:rPr>
                  </w:pPr>
                  <w:r>
                    <w:rPr>
                      <w:rFonts w:hint="default"/>
                    </w:rPr>
                    <w:t>排污口</w:t>
                  </w:r>
                </w:p>
                <w:p>
                  <w:pPr>
                    <w:widowControl/>
                    <w:jc w:val="center"/>
                    <w:textAlignment w:val="center"/>
                    <w:rPr>
                      <w:rFonts w:hint="default"/>
                    </w:rPr>
                  </w:pPr>
                  <w:r>
                    <w:rPr>
                      <w:rFonts w:hint="default"/>
                    </w:rPr>
                    <w:t>下游4500m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2" w:type="dxa"/>
                  <w:vMerge w:val="restart"/>
                  <w:noWrap w:val="0"/>
                  <w:vAlign w:val="center"/>
                </w:tcPr>
                <w:p>
                  <w:pPr>
                    <w:adjustRightInd w:val="0"/>
                    <w:snapToGrid w:val="0"/>
                    <w:spacing w:line="276" w:lineRule="auto"/>
                    <w:jc w:val="center"/>
                    <w:rPr>
                      <w:rFonts w:hint="default"/>
                    </w:rPr>
                  </w:pPr>
                  <w:r>
                    <w:rPr>
                      <w:rFonts w:hint="default"/>
                    </w:rPr>
                    <w:t>pH</w:t>
                  </w:r>
                </w:p>
              </w:tc>
              <w:tc>
                <w:tcPr>
                  <w:tcW w:w="1455" w:type="dxa"/>
                  <w:noWrap w:val="0"/>
                  <w:vAlign w:val="center"/>
                </w:tcPr>
                <w:p>
                  <w:pPr>
                    <w:widowControl/>
                    <w:jc w:val="center"/>
                    <w:textAlignment w:val="center"/>
                    <w:rPr>
                      <w:rFonts w:hint="default"/>
                    </w:rPr>
                  </w:pPr>
                  <w:r>
                    <w:rPr>
                      <w:rFonts w:hint="default"/>
                      <w:lang w:val="en-US" w:eastAsia="zh-CN"/>
                    </w:rPr>
                    <w:t>2019.</w:t>
                  </w:r>
                  <w:r>
                    <w:rPr>
                      <w:rFonts w:hint="default"/>
                    </w:rPr>
                    <w:t>08</w:t>
                  </w:r>
                  <w:r>
                    <w:rPr>
                      <w:rFonts w:hint="default"/>
                      <w:lang w:val="en-US" w:eastAsia="zh-CN"/>
                    </w:rPr>
                    <w:t>.</w:t>
                  </w:r>
                  <w:r>
                    <w:rPr>
                      <w:rFonts w:hint="default"/>
                    </w:rPr>
                    <w:t>21</w:t>
                  </w:r>
                </w:p>
              </w:tc>
              <w:tc>
                <w:tcPr>
                  <w:tcW w:w="1572" w:type="dxa"/>
                  <w:noWrap w:val="0"/>
                  <w:vAlign w:val="center"/>
                </w:tcPr>
                <w:p>
                  <w:pPr>
                    <w:adjustRightInd w:val="0"/>
                    <w:snapToGrid w:val="0"/>
                    <w:spacing w:line="276" w:lineRule="auto"/>
                    <w:jc w:val="center"/>
                    <w:rPr>
                      <w:rFonts w:hint="default"/>
                    </w:rPr>
                  </w:pPr>
                  <w:r>
                    <w:rPr>
                      <w:rFonts w:hint="default"/>
                    </w:rPr>
                    <w:t>0.06</w:t>
                  </w:r>
                </w:p>
              </w:tc>
              <w:tc>
                <w:tcPr>
                  <w:tcW w:w="1472" w:type="dxa"/>
                  <w:noWrap w:val="0"/>
                  <w:vAlign w:val="center"/>
                </w:tcPr>
                <w:p>
                  <w:pPr>
                    <w:adjustRightInd w:val="0"/>
                    <w:snapToGrid w:val="0"/>
                    <w:spacing w:line="276" w:lineRule="auto"/>
                    <w:jc w:val="center"/>
                    <w:rPr>
                      <w:rFonts w:hint="default"/>
                    </w:rPr>
                  </w:pPr>
                  <w:r>
                    <w:rPr>
                      <w:rFonts w:hint="default"/>
                    </w:rPr>
                    <w:t>0.05</w:t>
                  </w:r>
                </w:p>
              </w:tc>
              <w:tc>
                <w:tcPr>
                  <w:tcW w:w="1454" w:type="dxa"/>
                  <w:noWrap w:val="0"/>
                  <w:vAlign w:val="center"/>
                </w:tcPr>
                <w:p>
                  <w:pPr>
                    <w:adjustRightInd w:val="0"/>
                    <w:snapToGrid w:val="0"/>
                    <w:spacing w:line="276" w:lineRule="auto"/>
                    <w:jc w:val="center"/>
                    <w:rPr>
                      <w:rFonts w:hint="default"/>
                    </w:rPr>
                  </w:pPr>
                  <w:r>
                    <w:rPr>
                      <w:rFonts w:hint="default"/>
                    </w:rPr>
                    <w:t>0.05</w:t>
                  </w:r>
                </w:p>
              </w:tc>
              <w:tc>
                <w:tcPr>
                  <w:tcW w:w="1412" w:type="dxa"/>
                  <w:noWrap w:val="0"/>
                  <w:vAlign w:val="center"/>
                </w:tcPr>
                <w:p>
                  <w:pPr>
                    <w:adjustRightInd w:val="0"/>
                    <w:snapToGrid w:val="0"/>
                    <w:spacing w:line="276" w:lineRule="auto"/>
                    <w:jc w:val="center"/>
                    <w:rPr>
                      <w:rFonts w:hint="default"/>
                    </w:rPr>
                  </w:pPr>
                  <w:r>
                    <w:rPr>
                      <w:rFonts w:hint="default"/>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2" w:type="dxa"/>
                  <w:vMerge w:val="continue"/>
                  <w:noWrap w:val="0"/>
                  <w:vAlign w:val="center"/>
                </w:tcPr>
                <w:p>
                  <w:pPr>
                    <w:adjustRightInd w:val="0"/>
                    <w:snapToGrid w:val="0"/>
                    <w:spacing w:line="276" w:lineRule="auto"/>
                    <w:jc w:val="center"/>
                    <w:rPr>
                      <w:rFonts w:hint="default"/>
                    </w:rPr>
                  </w:pPr>
                </w:p>
              </w:tc>
              <w:tc>
                <w:tcPr>
                  <w:tcW w:w="1455" w:type="dxa"/>
                  <w:noWrap w:val="0"/>
                  <w:vAlign w:val="center"/>
                </w:tcPr>
                <w:p>
                  <w:pPr>
                    <w:widowControl/>
                    <w:jc w:val="center"/>
                    <w:rPr>
                      <w:rFonts w:hint="default"/>
                    </w:rPr>
                  </w:pPr>
                  <w:r>
                    <w:rPr>
                      <w:rFonts w:hint="default"/>
                      <w:lang w:val="en-US" w:eastAsia="zh-CN"/>
                    </w:rPr>
                    <w:t>2019.08.22</w:t>
                  </w:r>
                </w:p>
              </w:tc>
              <w:tc>
                <w:tcPr>
                  <w:tcW w:w="1572" w:type="dxa"/>
                  <w:noWrap w:val="0"/>
                  <w:vAlign w:val="center"/>
                </w:tcPr>
                <w:p>
                  <w:pPr>
                    <w:adjustRightInd w:val="0"/>
                    <w:snapToGrid w:val="0"/>
                    <w:spacing w:line="276" w:lineRule="auto"/>
                    <w:jc w:val="center"/>
                    <w:rPr>
                      <w:rFonts w:hint="default"/>
                    </w:rPr>
                  </w:pPr>
                  <w:r>
                    <w:rPr>
                      <w:rFonts w:hint="default"/>
                    </w:rPr>
                    <w:t>0.10</w:t>
                  </w:r>
                </w:p>
              </w:tc>
              <w:tc>
                <w:tcPr>
                  <w:tcW w:w="1472" w:type="dxa"/>
                  <w:noWrap w:val="0"/>
                  <w:vAlign w:val="center"/>
                </w:tcPr>
                <w:p>
                  <w:pPr>
                    <w:adjustRightInd w:val="0"/>
                    <w:snapToGrid w:val="0"/>
                    <w:spacing w:line="276" w:lineRule="auto"/>
                    <w:jc w:val="center"/>
                    <w:rPr>
                      <w:rFonts w:hint="default"/>
                    </w:rPr>
                  </w:pPr>
                  <w:r>
                    <w:rPr>
                      <w:rFonts w:hint="default"/>
                    </w:rPr>
                    <w:t>0.08</w:t>
                  </w:r>
                </w:p>
              </w:tc>
              <w:tc>
                <w:tcPr>
                  <w:tcW w:w="1454" w:type="dxa"/>
                  <w:noWrap w:val="0"/>
                  <w:vAlign w:val="center"/>
                </w:tcPr>
                <w:p>
                  <w:pPr>
                    <w:adjustRightInd w:val="0"/>
                    <w:snapToGrid w:val="0"/>
                    <w:spacing w:line="276" w:lineRule="auto"/>
                    <w:jc w:val="center"/>
                    <w:rPr>
                      <w:rFonts w:hint="default"/>
                    </w:rPr>
                  </w:pPr>
                  <w:r>
                    <w:rPr>
                      <w:rFonts w:hint="default"/>
                    </w:rPr>
                    <w:t>0.08</w:t>
                  </w:r>
                </w:p>
              </w:tc>
              <w:tc>
                <w:tcPr>
                  <w:tcW w:w="1412" w:type="dxa"/>
                  <w:noWrap w:val="0"/>
                  <w:vAlign w:val="center"/>
                </w:tcPr>
                <w:p>
                  <w:pPr>
                    <w:adjustRightInd w:val="0"/>
                    <w:snapToGrid w:val="0"/>
                    <w:spacing w:line="276" w:lineRule="auto"/>
                    <w:jc w:val="center"/>
                    <w:rPr>
                      <w:rFonts w:hint="default"/>
                    </w:rPr>
                  </w:pPr>
                  <w:r>
                    <w:rPr>
                      <w:rFonts w:hint="default"/>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2" w:type="dxa"/>
                  <w:vMerge w:val="restart"/>
                  <w:noWrap w:val="0"/>
                  <w:vAlign w:val="center"/>
                </w:tcPr>
                <w:p>
                  <w:pPr>
                    <w:adjustRightInd w:val="0"/>
                    <w:snapToGrid w:val="0"/>
                    <w:spacing w:line="276" w:lineRule="auto"/>
                    <w:jc w:val="center"/>
                    <w:rPr>
                      <w:rFonts w:hint="default"/>
                    </w:rPr>
                  </w:pPr>
                  <w:r>
                    <w:rPr>
                      <w:rFonts w:hint="default"/>
                    </w:rPr>
                    <w:t>COD</w:t>
                  </w:r>
                </w:p>
              </w:tc>
              <w:tc>
                <w:tcPr>
                  <w:tcW w:w="1455" w:type="dxa"/>
                  <w:noWrap w:val="0"/>
                  <w:vAlign w:val="center"/>
                </w:tcPr>
                <w:p>
                  <w:pPr>
                    <w:widowControl/>
                    <w:jc w:val="center"/>
                    <w:textAlignment w:val="center"/>
                    <w:rPr>
                      <w:rFonts w:hint="default"/>
                    </w:rPr>
                  </w:pPr>
                  <w:r>
                    <w:rPr>
                      <w:rFonts w:hint="default"/>
                      <w:lang w:val="en-US" w:eastAsia="zh-CN"/>
                    </w:rPr>
                    <w:t>2019.</w:t>
                  </w:r>
                  <w:r>
                    <w:rPr>
                      <w:rFonts w:hint="default"/>
                    </w:rPr>
                    <w:t>08</w:t>
                  </w:r>
                  <w:r>
                    <w:rPr>
                      <w:rFonts w:hint="default"/>
                      <w:lang w:val="en-US" w:eastAsia="zh-CN"/>
                    </w:rPr>
                    <w:t>.</w:t>
                  </w:r>
                  <w:r>
                    <w:rPr>
                      <w:rFonts w:hint="default"/>
                    </w:rPr>
                    <w:t>21</w:t>
                  </w:r>
                </w:p>
              </w:tc>
              <w:tc>
                <w:tcPr>
                  <w:tcW w:w="1572" w:type="dxa"/>
                  <w:noWrap w:val="0"/>
                  <w:vAlign w:val="center"/>
                </w:tcPr>
                <w:p>
                  <w:pPr>
                    <w:adjustRightInd w:val="0"/>
                    <w:snapToGrid w:val="0"/>
                    <w:spacing w:line="276" w:lineRule="auto"/>
                    <w:jc w:val="center"/>
                    <w:rPr>
                      <w:rFonts w:hint="default"/>
                    </w:rPr>
                  </w:pPr>
                  <w:r>
                    <w:rPr>
                      <w:rFonts w:hint="default"/>
                    </w:rPr>
                    <w:t>0.85</w:t>
                  </w:r>
                </w:p>
              </w:tc>
              <w:tc>
                <w:tcPr>
                  <w:tcW w:w="1472" w:type="dxa"/>
                  <w:noWrap w:val="0"/>
                  <w:vAlign w:val="center"/>
                </w:tcPr>
                <w:p>
                  <w:pPr>
                    <w:adjustRightInd w:val="0"/>
                    <w:snapToGrid w:val="0"/>
                    <w:spacing w:line="276" w:lineRule="auto"/>
                    <w:jc w:val="center"/>
                    <w:rPr>
                      <w:rFonts w:hint="default"/>
                    </w:rPr>
                  </w:pPr>
                  <w:r>
                    <w:rPr>
                      <w:rFonts w:hint="default"/>
                    </w:rPr>
                    <w:t>0.95</w:t>
                  </w:r>
                </w:p>
              </w:tc>
              <w:tc>
                <w:tcPr>
                  <w:tcW w:w="1454" w:type="dxa"/>
                  <w:noWrap w:val="0"/>
                  <w:vAlign w:val="center"/>
                </w:tcPr>
                <w:p>
                  <w:pPr>
                    <w:adjustRightInd w:val="0"/>
                    <w:snapToGrid w:val="0"/>
                    <w:spacing w:line="276" w:lineRule="auto"/>
                    <w:jc w:val="center"/>
                    <w:rPr>
                      <w:rFonts w:hint="default"/>
                    </w:rPr>
                  </w:pPr>
                  <w:r>
                    <w:rPr>
                      <w:rFonts w:hint="default"/>
                    </w:rPr>
                    <w:t>0.85</w:t>
                  </w:r>
                </w:p>
              </w:tc>
              <w:tc>
                <w:tcPr>
                  <w:tcW w:w="1412" w:type="dxa"/>
                  <w:noWrap w:val="0"/>
                  <w:vAlign w:val="center"/>
                </w:tcPr>
                <w:p>
                  <w:pPr>
                    <w:adjustRightInd w:val="0"/>
                    <w:snapToGrid w:val="0"/>
                    <w:spacing w:line="276" w:lineRule="auto"/>
                    <w:jc w:val="center"/>
                    <w:rPr>
                      <w:rFonts w:hint="default"/>
                    </w:rPr>
                  </w:pPr>
                  <w:r>
                    <w:rPr>
                      <w:rFonts w:hint="default"/>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2" w:type="dxa"/>
                  <w:vMerge w:val="continue"/>
                  <w:noWrap w:val="0"/>
                  <w:vAlign w:val="center"/>
                </w:tcPr>
                <w:p>
                  <w:pPr>
                    <w:adjustRightInd w:val="0"/>
                    <w:snapToGrid w:val="0"/>
                    <w:spacing w:line="276" w:lineRule="auto"/>
                    <w:jc w:val="center"/>
                    <w:rPr>
                      <w:rFonts w:hint="default"/>
                    </w:rPr>
                  </w:pPr>
                </w:p>
              </w:tc>
              <w:tc>
                <w:tcPr>
                  <w:tcW w:w="1455" w:type="dxa"/>
                  <w:noWrap w:val="0"/>
                  <w:vAlign w:val="center"/>
                </w:tcPr>
                <w:p>
                  <w:pPr>
                    <w:widowControl/>
                    <w:jc w:val="center"/>
                    <w:rPr>
                      <w:rFonts w:hint="default"/>
                    </w:rPr>
                  </w:pPr>
                  <w:r>
                    <w:rPr>
                      <w:rFonts w:hint="default"/>
                      <w:lang w:val="en-US" w:eastAsia="zh-CN"/>
                    </w:rPr>
                    <w:t>2019.08.22</w:t>
                  </w:r>
                </w:p>
              </w:tc>
              <w:tc>
                <w:tcPr>
                  <w:tcW w:w="1572" w:type="dxa"/>
                  <w:noWrap w:val="0"/>
                  <w:vAlign w:val="center"/>
                </w:tcPr>
                <w:p>
                  <w:pPr>
                    <w:adjustRightInd w:val="0"/>
                    <w:snapToGrid w:val="0"/>
                    <w:spacing w:line="276" w:lineRule="auto"/>
                    <w:jc w:val="center"/>
                    <w:rPr>
                      <w:rFonts w:hint="default"/>
                    </w:rPr>
                  </w:pPr>
                  <w:r>
                    <w:rPr>
                      <w:rFonts w:hint="default"/>
                    </w:rPr>
                    <w:t>0.9</w:t>
                  </w:r>
                </w:p>
              </w:tc>
              <w:tc>
                <w:tcPr>
                  <w:tcW w:w="1472" w:type="dxa"/>
                  <w:noWrap w:val="0"/>
                  <w:vAlign w:val="center"/>
                </w:tcPr>
                <w:p>
                  <w:pPr>
                    <w:adjustRightInd w:val="0"/>
                    <w:snapToGrid w:val="0"/>
                    <w:spacing w:line="276" w:lineRule="auto"/>
                    <w:jc w:val="center"/>
                    <w:rPr>
                      <w:rFonts w:hint="default"/>
                    </w:rPr>
                  </w:pPr>
                  <w:r>
                    <w:rPr>
                      <w:rFonts w:hint="default"/>
                    </w:rPr>
                    <w:t>0.9</w:t>
                  </w:r>
                </w:p>
              </w:tc>
              <w:tc>
                <w:tcPr>
                  <w:tcW w:w="1454" w:type="dxa"/>
                  <w:noWrap w:val="0"/>
                  <w:vAlign w:val="center"/>
                </w:tcPr>
                <w:p>
                  <w:pPr>
                    <w:adjustRightInd w:val="0"/>
                    <w:snapToGrid w:val="0"/>
                    <w:spacing w:line="276" w:lineRule="auto"/>
                    <w:jc w:val="center"/>
                    <w:rPr>
                      <w:rFonts w:hint="default"/>
                    </w:rPr>
                  </w:pPr>
                  <w:r>
                    <w:rPr>
                      <w:rFonts w:hint="default"/>
                    </w:rPr>
                    <w:t>0.85</w:t>
                  </w:r>
                </w:p>
              </w:tc>
              <w:tc>
                <w:tcPr>
                  <w:tcW w:w="1412" w:type="dxa"/>
                  <w:noWrap w:val="0"/>
                  <w:vAlign w:val="center"/>
                </w:tcPr>
                <w:p>
                  <w:pPr>
                    <w:adjustRightInd w:val="0"/>
                    <w:snapToGrid w:val="0"/>
                    <w:spacing w:line="276" w:lineRule="auto"/>
                    <w:jc w:val="center"/>
                    <w:rPr>
                      <w:rFonts w:hint="default"/>
                    </w:rPr>
                  </w:pPr>
                  <w:r>
                    <w:rPr>
                      <w:rFonts w:hint="default"/>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2" w:type="dxa"/>
                  <w:vMerge w:val="restart"/>
                  <w:noWrap w:val="0"/>
                  <w:vAlign w:val="center"/>
                </w:tcPr>
                <w:p>
                  <w:pPr>
                    <w:adjustRightInd w:val="0"/>
                    <w:snapToGrid w:val="0"/>
                    <w:spacing w:line="276" w:lineRule="auto"/>
                    <w:jc w:val="center"/>
                    <w:rPr>
                      <w:rFonts w:hint="default"/>
                    </w:rPr>
                  </w:pPr>
                  <w:r>
                    <w:rPr>
                      <w:rFonts w:hint="default"/>
                    </w:rPr>
                    <w:t>BOD5</w:t>
                  </w:r>
                </w:p>
              </w:tc>
              <w:tc>
                <w:tcPr>
                  <w:tcW w:w="1455" w:type="dxa"/>
                  <w:noWrap w:val="0"/>
                  <w:vAlign w:val="center"/>
                </w:tcPr>
                <w:p>
                  <w:pPr>
                    <w:widowControl/>
                    <w:jc w:val="center"/>
                    <w:textAlignment w:val="center"/>
                    <w:rPr>
                      <w:rFonts w:hint="default"/>
                    </w:rPr>
                  </w:pPr>
                  <w:r>
                    <w:rPr>
                      <w:rFonts w:hint="default"/>
                      <w:lang w:val="en-US" w:eastAsia="zh-CN"/>
                    </w:rPr>
                    <w:t>2019.</w:t>
                  </w:r>
                  <w:r>
                    <w:rPr>
                      <w:rFonts w:hint="default"/>
                    </w:rPr>
                    <w:t>08</w:t>
                  </w:r>
                  <w:r>
                    <w:rPr>
                      <w:rFonts w:hint="default"/>
                      <w:lang w:val="en-US" w:eastAsia="zh-CN"/>
                    </w:rPr>
                    <w:t>.</w:t>
                  </w:r>
                  <w:r>
                    <w:rPr>
                      <w:rFonts w:hint="default"/>
                    </w:rPr>
                    <w:t>21</w:t>
                  </w:r>
                </w:p>
              </w:tc>
              <w:tc>
                <w:tcPr>
                  <w:tcW w:w="1572" w:type="dxa"/>
                  <w:noWrap w:val="0"/>
                  <w:vAlign w:val="center"/>
                </w:tcPr>
                <w:p>
                  <w:pPr>
                    <w:adjustRightInd w:val="0"/>
                    <w:snapToGrid w:val="0"/>
                    <w:spacing w:line="276" w:lineRule="auto"/>
                    <w:jc w:val="center"/>
                    <w:rPr>
                      <w:rFonts w:hint="default"/>
                    </w:rPr>
                  </w:pPr>
                  <w:r>
                    <w:rPr>
                      <w:rFonts w:hint="default"/>
                    </w:rPr>
                    <w:t>0.85</w:t>
                  </w:r>
                </w:p>
              </w:tc>
              <w:tc>
                <w:tcPr>
                  <w:tcW w:w="1472" w:type="dxa"/>
                  <w:noWrap w:val="0"/>
                  <w:vAlign w:val="center"/>
                </w:tcPr>
                <w:p>
                  <w:pPr>
                    <w:adjustRightInd w:val="0"/>
                    <w:snapToGrid w:val="0"/>
                    <w:spacing w:line="276" w:lineRule="auto"/>
                    <w:jc w:val="center"/>
                    <w:rPr>
                      <w:rFonts w:hint="default"/>
                    </w:rPr>
                  </w:pPr>
                  <w:r>
                    <w:rPr>
                      <w:rFonts w:hint="default"/>
                    </w:rPr>
                    <w:t>0.9</w:t>
                  </w:r>
                </w:p>
              </w:tc>
              <w:tc>
                <w:tcPr>
                  <w:tcW w:w="1454" w:type="dxa"/>
                  <w:noWrap w:val="0"/>
                  <w:vAlign w:val="center"/>
                </w:tcPr>
                <w:p>
                  <w:pPr>
                    <w:adjustRightInd w:val="0"/>
                    <w:snapToGrid w:val="0"/>
                    <w:spacing w:line="276" w:lineRule="auto"/>
                    <w:jc w:val="center"/>
                    <w:rPr>
                      <w:rFonts w:hint="default"/>
                    </w:rPr>
                  </w:pPr>
                  <w:r>
                    <w:rPr>
                      <w:rFonts w:hint="default"/>
                    </w:rPr>
                    <w:t>0.83</w:t>
                  </w:r>
                </w:p>
              </w:tc>
              <w:tc>
                <w:tcPr>
                  <w:tcW w:w="1412" w:type="dxa"/>
                  <w:noWrap w:val="0"/>
                  <w:vAlign w:val="center"/>
                </w:tcPr>
                <w:p>
                  <w:pPr>
                    <w:adjustRightInd w:val="0"/>
                    <w:snapToGrid w:val="0"/>
                    <w:spacing w:line="276" w:lineRule="auto"/>
                    <w:jc w:val="center"/>
                    <w:rPr>
                      <w:rFonts w:hint="default"/>
                    </w:rPr>
                  </w:pPr>
                  <w:r>
                    <w:rPr>
                      <w:rFonts w:hint="default"/>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2" w:type="dxa"/>
                  <w:vMerge w:val="continue"/>
                  <w:noWrap w:val="0"/>
                  <w:vAlign w:val="center"/>
                </w:tcPr>
                <w:p>
                  <w:pPr>
                    <w:adjustRightInd w:val="0"/>
                    <w:snapToGrid w:val="0"/>
                    <w:jc w:val="center"/>
                    <w:textAlignment w:val="baseline"/>
                    <w:rPr>
                      <w:rFonts w:hint="default"/>
                    </w:rPr>
                  </w:pPr>
                </w:p>
              </w:tc>
              <w:tc>
                <w:tcPr>
                  <w:tcW w:w="1455" w:type="dxa"/>
                  <w:noWrap w:val="0"/>
                  <w:vAlign w:val="center"/>
                </w:tcPr>
                <w:p>
                  <w:pPr>
                    <w:widowControl/>
                    <w:jc w:val="center"/>
                    <w:rPr>
                      <w:rFonts w:hint="default"/>
                    </w:rPr>
                  </w:pPr>
                  <w:r>
                    <w:rPr>
                      <w:rFonts w:hint="default"/>
                      <w:lang w:val="en-US" w:eastAsia="zh-CN"/>
                    </w:rPr>
                    <w:t>2019.08.22</w:t>
                  </w:r>
                </w:p>
              </w:tc>
              <w:tc>
                <w:tcPr>
                  <w:tcW w:w="1572" w:type="dxa"/>
                  <w:noWrap w:val="0"/>
                  <w:vAlign w:val="center"/>
                </w:tcPr>
                <w:p>
                  <w:pPr>
                    <w:adjustRightInd w:val="0"/>
                    <w:snapToGrid w:val="0"/>
                    <w:spacing w:line="276" w:lineRule="auto"/>
                    <w:jc w:val="center"/>
                    <w:rPr>
                      <w:rFonts w:hint="default"/>
                    </w:rPr>
                  </w:pPr>
                  <w:r>
                    <w:rPr>
                      <w:rFonts w:hint="default"/>
                    </w:rPr>
                    <w:t>0.88</w:t>
                  </w:r>
                </w:p>
              </w:tc>
              <w:tc>
                <w:tcPr>
                  <w:tcW w:w="1472" w:type="dxa"/>
                  <w:noWrap w:val="0"/>
                  <w:vAlign w:val="center"/>
                </w:tcPr>
                <w:p>
                  <w:pPr>
                    <w:adjustRightInd w:val="0"/>
                    <w:snapToGrid w:val="0"/>
                    <w:spacing w:line="276" w:lineRule="auto"/>
                    <w:jc w:val="center"/>
                    <w:rPr>
                      <w:rFonts w:hint="default"/>
                    </w:rPr>
                  </w:pPr>
                  <w:r>
                    <w:rPr>
                      <w:rFonts w:hint="default"/>
                    </w:rPr>
                    <w:t>0.85</w:t>
                  </w:r>
                </w:p>
              </w:tc>
              <w:tc>
                <w:tcPr>
                  <w:tcW w:w="1454" w:type="dxa"/>
                  <w:noWrap w:val="0"/>
                  <w:vAlign w:val="center"/>
                </w:tcPr>
                <w:p>
                  <w:pPr>
                    <w:adjustRightInd w:val="0"/>
                    <w:snapToGrid w:val="0"/>
                    <w:spacing w:line="276" w:lineRule="auto"/>
                    <w:jc w:val="center"/>
                    <w:rPr>
                      <w:rFonts w:hint="default"/>
                    </w:rPr>
                  </w:pPr>
                  <w:r>
                    <w:rPr>
                      <w:rFonts w:hint="default"/>
                    </w:rPr>
                    <w:t>0.83</w:t>
                  </w:r>
                </w:p>
              </w:tc>
              <w:tc>
                <w:tcPr>
                  <w:tcW w:w="1412" w:type="dxa"/>
                  <w:noWrap w:val="0"/>
                  <w:vAlign w:val="center"/>
                </w:tcPr>
                <w:p>
                  <w:pPr>
                    <w:adjustRightInd w:val="0"/>
                    <w:snapToGrid w:val="0"/>
                    <w:spacing w:line="276" w:lineRule="auto"/>
                    <w:jc w:val="center"/>
                    <w:rPr>
                      <w:rFonts w:hint="default"/>
                    </w:rPr>
                  </w:pPr>
                  <w:r>
                    <w:rPr>
                      <w:rFonts w:hint="default"/>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2" w:type="dxa"/>
                  <w:vMerge w:val="restart"/>
                  <w:noWrap w:val="0"/>
                  <w:vAlign w:val="center"/>
                </w:tcPr>
                <w:p>
                  <w:pPr>
                    <w:adjustRightInd w:val="0"/>
                    <w:snapToGrid w:val="0"/>
                    <w:spacing w:line="276" w:lineRule="auto"/>
                    <w:jc w:val="center"/>
                    <w:rPr>
                      <w:rFonts w:hint="default"/>
                    </w:rPr>
                  </w:pPr>
                  <w:r>
                    <w:rPr>
                      <w:rFonts w:hint="default"/>
                    </w:rPr>
                    <w:t>氨氮</w:t>
                  </w:r>
                </w:p>
              </w:tc>
              <w:tc>
                <w:tcPr>
                  <w:tcW w:w="1455" w:type="dxa"/>
                  <w:noWrap w:val="0"/>
                  <w:vAlign w:val="center"/>
                </w:tcPr>
                <w:p>
                  <w:pPr>
                    <w:widowControl/>
                    <w:jc w:val="center"/>
                    <w:textAlignment w:val="center"/>
                    <w:rPr>
                      <w:rFonts w:hint="default"/>
                    </w:rPr>
                  </w:pPr>
                  <w:r>
                    <w:rPr>
                      <w:rFonts w:hint="default"/>
                      <w:lang w:val="en-US" w:eastAsia="zh-CN"/>
                    </w:rPr>
                    <w:t>2019.</w:t>
                  </w:r>
                  <w:r>
                    <w:rPr>
                      <w:rFonts w:hint="default"/>
                    </w:rPr>
                    <w:t>08</w:t>
                  </w:r>
                  <w:r>
                    <w:rPr>
                      <w:rFonts w:hint="default"/>
                      <w:lang w:val="en-US" w:eastAsia="zh-CN"/>
                    </w:rPr>
                    <w:t>.</w:t>
                  </w:r>
                  <w:r>
                    <w:rPr>
                      <w:rFonts w:hint="default"/>
                    </w:rPr>
                    <w:t>21</w:t>
                  </w:r>
                </w:p>
              </w:tc>
              <w:tc>
                <w:tcPr>
                  <w:tcW w:w="1572" w:type="dxa"/>
                  <w:noWrap w:val="0"/>
                  <w:vAlign w:val="center"/>
                </w:tcPr>
                <w:p>
                  <w:pPr>
                    <w:adjustRightInd w:val="0"/>
                    <w:snapToGrid w:val="0"/>
                    <w:spacing w:line="276" w:lineRule="auto"/>
                    <w:jc w:val="center"/>
                    <w:rPr>
                      <w:rFonts w:hint="default"/>
                    </w:rPr>
                  </w:pPr>
                  <w:r>
                    <w:rPr>
                      <w:rFonts w:hint="default"/>
                    </w:rPr>
                    <w:t>0.601</w:t>
                  </w:r>
                </w:p>
              </w:tc>
              <w:tc>
                <w:tcPr>
                  <w:tcW w:w="1472" w:type="dxa"/>
                  <w:noWrap w:val="0"/>
                  <w:vAlign w:val="center"/>
                </w:tcPr>
                <w:p>
                  <w:pPr>
                    <w:adjustRightInd w:val="0"/>
                    <w:snapToGrid w:val="0"/>
                    <w:spacing w:line="276" w:lineRule="auto"/>
                    <w:jc w:val="center"/>
                    <w:rPr>
                      <w:rFonts w:hint="default"/>
                    </w:rPr>
                  </w:pPr>
                  <w:r>
                    <w:rPr>
                      <w:rFonts w:hint="default"/>
                    </w:rPr>
                    <w:t>0.472</w:t>
                  </w:r>
                </w:p>
              </w:tc>
              <w:tc>
                <w:tcPr>
                  <w:tcW w:w="1454" w:type="dxa"/>
                  <w:noWrap w:val="0"/>
                  <w:vAlign w:val="center"/>
                </w:tcPr>
                <w:p>
                  <w:pPr>
                    <w:adjustRightInd w:val="0"/>
                    <w:snapToGrid w:val="0"/>
                    <w:spacing w:line="276" w:lineRule="auto"/>
                    <w:jc w:val="center"/>
                    <w:rPr>
                      <w:rFonts w:hint="default"/>
                    </w:rPr>
                  </w:pPr>
                  <w:r>
                    <w:rPr>
                      <w:rFonts w:hint="default"/>
                    </w:rPr>
                    <w:t>0.616</w:t>
                  </w:r>
                </w:p>
              </w:tc>
              <w:tc>
                <w:tcPr>
                  <w:tcW w:w="1412" w:type="dxa"/>
                  <w:noWrap w:val="0"/>
                  <w:vAlign w:val="center"/>
                </w:tcPr>
                <w:p>
                  <w:pPr>
                    <w:adjustRightInd w:val="0"/>
                    <w:snapToGrid w:val="0"/>
                    <w:spacing w:line="276" w:lineRule="auto"/>
                    <w:jc w:val="center"/>
                    <w:rPr>
                      <w:rFonts w:hint="default"/>
                    </w:rPr>
                  </w:pPr>
                  <w:r>
                    <w:rPr>
                      <w:rFonts w:hint="default"/>
                    </w:rPr>
                    <w:t>0.553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2" w:type="dxa"/>
                  <w:vMerge w:val="continue"/>
                  <w:noWrap w:val="0"/>
                  <w:vAlign w:val="center"/>
                </w:tcPr>
                <w:p>
                  <w:pPr>
                    <w:adjustRightInd w:val="0"/>
                    <w:snapToGrid w:val="0"/>
                    <w:jc w:val="center"/>
                    <w:textAlignment w:val="baseline"/>
                    <w:rPr>
                      <w:rFonts w:hint="default"/>
                    </w:rPr>
                  </w:pPr>
                </w:p>
              </w:tc>
              <w:tc>
                <w:tcPr>
                  <w:tcW w:w="1455" w:type="dxa"/>
                  <w:noWrap w:val="0"/>
                  <w:vAlign w:val="center"/>
                </w:tcPr>
                <w:p>
                  <w:pPr>
                    <w:widowControl/>
                    <w:jc w:val="center"/>
                    <w:rPr>
                      <w:rFonts w:hint="default"/>
                    </w:rPr>
                  </w:pPr>
                  <w:r>
                    <w:rPr>
                      <w:rFonts w:hint="default"/>
                      <w:lang w:val="en-US" w:eastAsia="zh-CN"/>
                    </w:rPr>
                    <w:t>2019.08.22</w:t>
                  </w:r>
                </w:p>
              </w:tc>
              <w:tc>
                <w:tcPr>
                  <w:tcW w:w="1572" w:type="dxa"/>
                  <w:noWrap w:val="0"/>
                  <w:vAlign w:val="center"/>
                </w:tcPr>
                <w:p>
                  <w:pPr>
                    <w:adjustRightInd w:val="0"/>
                    <w:snapToGrid w:val="0"/>
                    <w:spacing w:line="276" w:lineRule="auto"/>
                    <w:jc w:val="center"/>
                    <w:rPr>
                      <w:rFonts w:hint="default"/>
                    </w:rPr>
                  </w:pPr>
                  <w:r>
                    <w:rPr>
                      <w:rFonts w:hint="default"/>
                    </w:rPr>
                    <w:t>0.606</w:t>
                  </w:r>
                </w:p>
              </w:tc>
              <w:tc>
                <w:tcPr>
                  <w:tcW w:w="1472" w:type="dxa"/>
                  <w:noWrap w:val="0"/>
                  <w:vAlign w:val="center"/>
                </w:tcPr>
                <w:p>
                  <w:pPr>
                    <w:adjustRightInd w:val="0"/>
                    <w:snapToGrid w:val="0"/>
                    <w:spacing w:line="276" w:lineRule="auto"/>
                    <w:jc w:val="center"/>
                    <w:rPr>
                      <w:rFonts w:hint="default"/>
                    </w:rPr>
                  </w:pPr>
                  <w:r>
                    <w:rPr>
                      <w:rFonts w:hint="default"/>
                    </w:rPr>
                    <w:t>0.520</w:t>
                  </w:r>
                </w:p>
              </w:tc>
              <w:tc>
                <w:tcPr>
                  <w:tcW w:w="1454" w:type="dxa"/>
                  <w:noWrap w:val="0"/>
                  <w:vAlign w:val="center"/>
                </w:tcPr>
                <w:p>
                  <w:pPr>
                    <w:adjustRightInd w:val="0"/>
                    <w:snapToGrid w:val="0"/>
                    <w:spacing w:line="276" w:lineRule="auto"/>
                    <w:jc w:val="center"/>
                    <w:rPr>
                      <w:rFonts w:hint="default"/>
                    </w:rPr>
                  </w:pPr>
                  <w:r>
                    <w:rPr>
                      <w:rFonts w:hint="default"/>
                    </w:rPr>
                    <w:t>0.623</w:t>
                  </w:r>
                </w:p>
              </w:tc>
              <w:tc>
                <w:tcPr>
                  <w:tcW w:w="1412" w:type="dxa"/>
                  <w:noWrap w:val="0"/>
                  <w:vAlign w:val="center"/>
                </w:tcPr>
                <w:p>
                  <w:pPr>
                    <w:adjustRightInd w:val="0"/>
                    <w:snapToGrid w:val="0"/>
                    <w:spacing w:line="276" w:lineRule="auto"/>
                    <w:jc w:val="center"/>
                    <w:rPr>
                      <w:rFonts w:hint="default"/>
                    </w:rPr>
                  </w:pPr>
                  <w:r>
                    <w:rPr>
                      <w:rFonts w:hint="default"/>
                    </w:rPr>
                    <w:t>0.548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2" w:type="dxa"/>
                  <w:vMerge w:val="restart"/>
                  <w:noWrap w:val="0"/>
                  <w:vAlign w:val="center"/>
                </w:tcPr>
                <w:p>
                  <w:pPr>
                    <w:adjustRightInd w:val="0"/>
                    <w:snapToGrid w:val="0"/>
                    <w:spacing w:line="276" w:lineRule="auto"/>
                    <w:jc w:val="center"/>
                    <w:rPr>
                      <w:rFonts w:hint="default"/>
                    </w:rPr>
                  </w:pPr>
                  <w:r>
                    <w:rPr>
                      <w:rFonts w:hint="default"/>
                    </w:rPr>
                    <w:t>总磷</w:t>
                  </w:r>
                </w:p>
              </w:tc>
              <w:tc>
                <w:tcPr>
                  <w:tcW w:w="1455" w:type="dxa"/>
                  <w:noWrap w:val="0"/>
                  <w:vAlign w:val="center"/>
                </w:tcPr>
                <w:p>
                  <w:pPr>
                    <w:widowControl/>
                    <w:jc w:val="center"/>
                    <w:textAlignment w:val="center"/>
                    <w:rPr>
                      <w:rFonts w:hint="default"/>
                    </w:rPr>
                  </w:pPr>
                  <w:r>
                    <w:rPr>
                      <w:rFonts w:hint="default"/>
                      <w:lang w:val="en-US" w:eastAsia="zh-CN"/>
                    </w:rPr>
                    <w:t>2019.</w:t>
                  </w:r>
                  <w:r>
                    <w:rPr>
                      <w:rFonts w:hint="default"/>
                    </w:rPr>
                    <w:t>08</w:t>
                  </w:r>
                  <w:r>
                    <w:rPr>
                      <w:rFonts w:hint="default"/>
                      <w:lang w:val="en-US" w:eastAsia="zh-CN"/>
                    </w:rPr>
                    <w:t>.</w:t>
                  </w:r>
                  <w:r>
                    <w:rPr>
                      <w:rFonts w:hint="default"/>
                    </w:rPr>
                    <w:t>21</w:t>
                  </w:r>
                </w:p>
              </w:tc>
              <w:tc>
                <w:tcPr>
                  <w:tcW w:w="1572" w:type="dxa"/>
                  <w:noWrap w:val="0"/>
                  <w:vAlign w:val="center"/>
                </w:tcPr>
                <w:p>
                  <w:pPr>
                    <w:adjustRightInd w:val="0"/>
                    <w:snapToGrid w:val="0"/>
                    <w:spacing w:line="276" w:lineRule="auto"/>
                    <w:jc w:val="center"/>
                    <w:rPr>
                      <w:rFonts w:hint="default"/>
                    </w:rPr>
                  </w:pPr>
                  <w:r>
                    <w:rPr>
                      <w:rFonts w:hint="default"/>
                    </w:rPr>
                    <w:t>0.5</w:t>
                  </w:r>
                </w:p>
              </w:tc>
              <w:tc>
                <w:tcPr>
                  <w:tcW w:w="1472" w:type="dxa"/>
                  <w:noWrap w:val="0"/>
                  <w:vAlign w:val="center"/>
                </w:tcPr>
                <w:p>
                  <w:pPr>
                    <w:adjustRightInd w:val="0"/>
                    <w:snapToGrid w:val="0"/>
                    <w:spacing w:line="276" w:lineRule="auto"/>
                    <w:jc w:val="center"/>
                    <w:rPr>
                      <w:rFonts w:hint="default"/>
                    </w:rPr>
                  </w:pPr>
                  <w:r>
                    <w:rPr>
                      <w:rFonts w:hint="default"/>
                    </w:rPr>
                    <w:t>0.6</w:t>
                  </w:r>
                </w:p>
              </w:tc>
              <w:tc>
                <w:tcPr>
                  <w:tcW w:w="1454" w:type="dxa"/>
                  <w:noWrap w:val="0"/>
                  <w:vAlign w:val="center"/>
                </w:tcPr>
                <w:p>
                  <w:pPr>
                    <w:adjustRightInd w:val="0"/>
                    <w:snapToGrid w:val="0"/>
                    <w:spacing w:line="276" w:lineRule="auto"/>
                    <w:jc w:val="center"/>
                    <w:rPr>
                      <w:rFonts w:hint="default"/>
                    </w:rPr>
                  </w:pPr>
                  <w:r>
                    <w:rPr>
                      <w:rFonts w:hint="default"/>
                    </w:rPr>
                    <w:t>0.75</w:t>
                  </w:r>
                </w:p>
              </w:tc>
              <w:tc>
                <w:tcPr>
                  <w:tcW w:w="1412" w:type="dxa"/>
                  <w:noWrap w:val="0"/>
                  <w:vAlign w:val="center"/>
                </w:tcPr>
                <w:p>
                  <w:pPr>
                    <w:adjustRightInd w:val="0"/>
                    <w:snapToGrid w:val="0"/>
                    <w:spacing w:line="276" w:lineRule="auto"/>
                    <w:jc w:val="center"/>
                    <w:rPr>
                      <w:rFonts w:hint="default"/>
                    </w:rPr>
                  </w:pPr>
                  <w:r>
                    <w:rPr>
                      <w:rFonts w:hint="default"/>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2" w:type="dxa"/>
                  <w:vMerge w:val="continue"/>
                  <w:noWrap w:val="0"/>
                  <w:vAlign w:val="center"/>
                </w:tcPr>
                <w:p>
                  <w:pPr>
                    <w:adjustRightInd w:val="0"/>
                    <w:snapToGrid w:val="0"/>
                    <w:jc w:val="center"/>
                    <w:textAlignment w:val="baseline"/>
                    <w:rPr>
                      <w:rFonts w:hint="default"/>
                    </w:rPr>
                  </w:pPr>
                </w:p>
              </w:tc>
              <w:tc>
                <w:tcPr>
                  <w:tcW w:w="1455" w:type="dxa"/>
                  <w:noWrap w:val="0"/>
                  <w:vAlign w:val="center"/>
                </w:tcPr>
                <w:p>
                  <w:pPr>
                    <w:widowControl/>
                    <w:jc w:val="center"/>
                    <w:rPr>
                      <w:rFonts w:hint="default"/>
                    </w:rPr>
                  </w:pPr>
                  <w:r>
                    <w:rPr>
                      <w:rFonts w:hint="default"/>
                      <w:lang w:val="en-US" w:eastAsia="zh-CN"/>
                    </w:rPr>
                    <w:t>2019.08.22</w:t>
                  </w:r>
                </w:p>
              </w:tc>
              <w:tc>
                <w:tcPr>
                  <w:tcW w:w="1572" w:type="dxa"/>
                  <w:noWrap w:val="0"/>
                  <w:vAlign w:val="center"/>
                </w:tcPr>
                <w:p>
                  <w:pPr>
                    <w:adjustRightInd w:val="0"/>
                    <w:snapToGrid w:val="0"/>
                    <w:spacing w:line="276" w:lineRule="auto"/>
                    <w:jc w:val="center"/>
                    <w:rPr>
                      <w:rFonts w:hint="default"/>
                    </w:rPr>
                  </w:pPr>
                  <w:r>
                    <w:rPr>
                      <w:rFonts w:hint="default"/>
                    </w:rPr>
                    <w:t>0.6</w:t>
                  </w:r>
                </w:p>
              </w:tc>
              <w:tc>
                <w:tcPr>
                  <w:tcW w:w="1472" w:type="dxa"/>
                  <w:noWrap w:val="0"/>
                  <w:vAlign w:val="center"/>
                </w:tcPr>
                <w:p>
                  <w:pPr>
                    <w:adjustRightInd w:val="0"/>
                    <w:snapToGrid w:val="0"/>
                    <w:spacing w:line="276" w:lineRule="auto"/>
                    <w:jc w:val="center"/>
                    <w:rPr>
                      <w:rFonts w:hint="default"/>
                    </w:rPr>
                  </w:pPr>
                  <w:r>
                    <w:rPr>
                      <w:rFonts w:hint="default"/>
                    </w:rPr>
                    <w:t>0.65</w:t>
                  </w:r>
                </w:p>
              </w:tc>
              <w:tc>
                <w:tcPr>
                  <w:tcW w:w="1454" w:type="dxa"/>
                  <w:noWrap w:val="0"/>
                  <w:vAlign w:val="center"/>
                </w:tcPr>
                <w:p>
                  <w:pPr>
                    <w:adjustRightInd w:val="0"/>
                    <w:snapToGrid w:val="0"/>
                    <w:spacing w:line="276" w:lineRule="auto"/>
                    <w:jc w:val="center"/>
                    <w:rPr>
                      <w:rFonts w:hint="default"/>
                    </w:rPr>
                  </w:pPr>
                  <w:r>
                    <w:rPr>
                      <w:rFonts w:hint="default"/>
                    </w:rPr>
                    <w:t>0.8</w:t>
                  </w:r>
                </w:p>
              </w:tc>
              <w:tc>
                <w:tcPr>
                  <w:tcW w:w="1412" w:type="dxa"/>
                  <w:noWrap w:val="0"/>
                  <w:vAlign w:val="center"/>
                </w:tcPr>
                <w:p>
                  <w:pPr>
                    <w:adjustRightInd w:val="0"/>
                    <w:snapToGrid w:val="0"/>
                    <w:spacing w:line="276" w:lineRule="auto"/>
                    <w:jc w:val="center"/>
                    <w:rPr>
                      <w:rFonts w:hint="default"/>
                    </w:rPr>
                  </w:pPr>
                  <w:r>
                    <w:rPr>
                      <w:rFonts w:hint="default"/>
                    </w:rPr>
                    <w:t>0.55</w:t>
                  </w:r>
                </w:p>
              </w:tc>
            </w:tr>
          </w:tbl>
          <w:p>
            <w:pPr>
              <w:pStyle w:val="4"/>
            </w:pPr>
            <w:r>
              <w:rPr>
                <w:rFonts w:hint="eastAsia"/>
              </w:rPr>
              <w:t>三、声环境质量现状</w:t>
            </w:r>
          </w:p>
          <w:bookmarkEnd w:id="9"/>
          <w:p>
            <w:pPr>
              <w:pStyle w:val="5"/>
            </w:pPr>
            <w:r>
              <w:rPr>
                <w:rFonts w:hint="eastAsia"/>
              </w:rPr>
              <w:t>2019年，淮南市区域噪声昼间平均等效声级为51.5dB（A），噪声总体水平为二级，声环境质量较好，与2018年相比下降0.2分贝（A），噪声总体水平等级稳定保持二级。项目所在地厂界噪声。</w:t>
            </w:r>
          </w:p>
          <w:p>
            <w:pPr>
              <w:pStyle w:val="5"/>
            </w:pPr>
            <w:r>
              <w:rPr>
                <w:rFonts w:hint="eastAsia"/>
              </w:rPr>
              <w:t>本项目声环境质量现状监测点位选择厂址东、西、南、北厂界外1m处各1个，合计4个。检测单位为淮南市宜青环境检测有限公司，监测时间为2020年9月28日至9月29日，连续监测2天。昼夜各监测一次。声环境质量现状监测结果见下表。</w:t>
            </w:r>
          </w:p>
          <w:p>
            <w:pPr>
              <w:pStyle w:val="29"/>
              <w:spacing w:before="65" w:after="65"/>
            </w:pPr>
            <w:r>
              <w:rPr>
                <w:rFonts w:hint="eastAsia"/>
              </w:rPr>
              <w:t>表3-</w:t>
            </w:r>
            <w:r>
              <w:rPr>
                <w:rFonts w:hint="eastAsia"/>
                <w:lang w:val="en-US" w:eastAsia="zh-CN"/>
              </w:rPr>
              <w:t>8</w:t>
            </w:r>
            <w:r>
              <w:rPr>
                <w:rFonts w:hint="eastAsia"/>
              </w:rPr>
              <w:t>声环境质量监测数据统计表（单位：dB（A））</w:t>
            </w:r>
          </w:p>
          <w:tbl>
            <w:tblPr>
              <w:tblStyle w:val="23"/>
              <w:tblW w:w="9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2406"/>
              <w:gridCol w:w="1377"/>
              <w:gridCol w:w="1377"/>
              <w:gridCol w:w="1377"/>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6" w:type="dxa"/>
                  <w:vMerge w:val="restart"/>
                  <w:noWrap/>
                  <w:vAlign w:val="center"/>
                </w:tcPr>
                <w:p>
                  <w:pPr>
                    <w:pStyle w:val="40"/>
                  </w:pPr>
                  <w:r>
                    <w:rPr>
                      <w:rFonts w:hint="eastAsia"/>
                    </w:rPr>
                    <w:t>测点编号</w:t>
                  </w:r>
                </w:p>
              </w:tc>
              <w:tc>
                <w:tcPr>
                  <w:tcW w:w="2406" w:type="dxa"/>
                  <w:vMerge w:val="restart"/>
                  <w:noWrap/>
                  <w:vAlign w:val="center"/>
                </w:tcPr>
                <w:p>
                  <w:pPr>
                    <w:pStyle w:val="40"/>
                  </w:pPr>
                  <w:r>
                    <w:rPr>
                      <w:rFonts w:hint="eastAsia"/>
                    </w:rPr>
                    <w:t>测点名称</w:t>
                  </w:r>
                </w:p>
              </w:tc>
              <w:tc>
                <w:tcPr>
                  <w:tcW w:w="2754" w:type="dxa"/>
                  <w:gridSpan w:val="2"/>
                  <w:noWrap/>
                  <w:vAlign w:val="center"/>
                </w:tcPr>
                <w:p>
                  <w:pPr>
                    <w:pStyle w:val="40"/>
                  </w:pPr>
                  <w:r>
                    <w:rPr>
                      <w:rFonts w:hint="eastAsia"/>
                    </w:rPr>
                    <w:t>2020年</w:t>
                  </w:r>
                  <w:r>
                    <w:rPr>
                      <w:rFonts w:hint="eastAsia"/>
                      <w:lang w:val="en-US" w:eastAsia="zh-CN"/>
                    </w:rPr>
                    <w:t>9</w:t>
                  </w:r>
                  <w:r>
                    <w:rPr>
                      <w:rFonts w:hint="eastAsia"/>
                    </w:rPr>
                    <w:t>月</w:t>
                  </w:r>
                  <w:r>
                    <w:rPr>
                      <w:rFonts w:hint="eastAsia"/>
                      <w:lang w:val="en-US" w:eastAsia="zh-CN"/>
                    </w:rPr>
                    <w:t>28</w:t>
                  </w:r>
                  <w:r>
                    <w:rPr>
                      <w:rFonts w:hint="eastAsia"/>
                    </w:rPr>
                    <w:t>日</w:t>
                  </w:r>
                </w:p>
              </w:tc>
              <w:tc>
                <w:tcPr>
                  <w:tcW w:w="2675" w:type="dxa"/>
                  <w:gridSpan w:val="2"/>
                  <w:noWrap/>
                  <w:vAlign w:val="center"/>
                </w:tcPr>
                <w:p>
                  <w:pPr>
                    <w:pStyle w:val="40"/>
                  </w:pPr>
                  <w:r>
                    <w:rPr>
                      <w:rFonts w:hint="eastAsia"/>
                    </w:rPr>
                    <w:t>2020年</w:t>
                  </w:r>
                  <w:r>
                    <w:rPr>
                      <w:rFonts w:hint="eastAsia"/>
                      <w:lang w:val="en-US" w:eastAsia="zh-CN"/>
                    </w:rPr>
                    <w:t>9</w:t>
                  </w:r>
                  <w:r>
                    <w:rPr>
                      <w:rFonts w:hint="eastAsia"/>
                    </w:rPr>
                    <w:t>月</w:t>
                  </w:r>
                  <w:r>
                    <w:rPr>
                      <w:rFonts w:hint="eastAsia"/>
                      <w:lang w:val="en-US" w:eastAsia="zh-CN"/>
                    </w:rPr>
                    <w:t>29</w:t>
                  </w:r>
                  <w:r>
                    <w:rPr>
                      <w:rFonts w:hint="eastAsi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6" w:type="dxa"/>
                  <w:vMerge w:val="continue"/>
                  <w:noWrap/>
                  <w:vAlign w:val="center"/>
                </w:tcPr>
                <w:p>
                  <w:pPr>
                    <w:pStyle w:val="40"/>
                  </w:pPr>
                </w:p>
              </w:tc>
              <w:tc>
                <w:tcPr>
                  <w:tcW w:w="2406" w:type="dxa"/>
                  <w:vMerge w:val="continue"/>
                  <w:noWrap/>
                  <w:vAlign w:val="center"/>
                </w:tcPr>
                <w:p>
                  <w:pPr>
                    <w:pStyle w:val="40"/>
                  </w:pPr>
                </w:p>
              </w:tc>
              <w:tc>
                <w:tcPr>
                  <w:tcW w:w="1377" w:type="dxa"/>
                  <w:noWrap/>
                  <w:vAlign w:val="center"/>
                </w:tcPr>
                <w:p>
                  <w:pPr>
                    <w:pStyle w:val="40"/>
                  </w:pPr>
                  <w:r>
                    <w:rPr>
                      <w:rFonts w:hint="eastAsia"/>
                    </w:rPr>
                    <w:t>昼间</w:t>
                  </w:r>
                </w:p>
              </w:tc>
              <w:tc>
                <w:tcPr>
                  <w:tcW w:w="1377" w:type="dxa"/>
                  <w:noWrap/>
                  <w:vAlign w:val="center"/>
                </w:tcPr>
                <w:p>
                  <w:pPr>
                    <w:pStyle w:val="40"/>
                  </w:pPr>
                  <w:r>
                    <w:rPr>
                      <w:rFonts w:hint="eastAsia"/>
                    </w:rPr>
                    <w:t>夜间</w:t>
                  </w:r>
                </w:p>
              </w:tc>
              <w:tc>
                <w:tcPr>
                  <w:tcW w:w="1377" w:type="dxa"/>
                  <w:noWrap/>
                  <w:vAlign w:val="center"/>
                </w:tcPr>
                <w:p>
                  <w:pPr>
                    <w:pStyle w:val="40"/>
                  </w:pPr>
                  <w:r>
                    <w:rPr>
                      <w:rFonts w:hint="eastAsia"/>
                    </w:rPr>
                    <w:t>昼间</w:t>
                  </w:r>
                </w:p>
              </w:tc>
              <w:tc>
                <w:tcPr>
                  <w:tcW w:w="1298" w:type="dxa"/>
                  <w:noWrap/>
                  <w:vAlign w:val="center"/>
                </w:tcPr>
                <w:p>
                  <w:pPr>
                    <w:pStyle w:val="40"/>
                  </w:pPr>
                  <w:r>
                    <w:rPr>
                      <w:rFonts w:hint="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6" w:type="dxa"/>
                  <w:noWrap/>
                  <w:vAlign w:val="center"/>
                </w:tcPr>
                <w:p>
                  <w:pPr>
                    <w:pStyle w:val="40"/>
                  </w:pPr>
                  <w:r>
                    <w:rPr>
                      <w:rFonts w:hint="eastAsia"/>
                    </w:rPr>
                    <w:t>1</w:t>
                  </w:r>
                </w:p>
              </w:tc>
              <w:tc>
                <w:tcPr>
                  <w:tcW w:w="2406" w:type="dxa"/>
                  <w:noWrap/>
                  <w:vAlign w:val="center"/>
                </w:tcPr>
                <w:p>
                  <w:pPr>
                    <w:pStyle w:val="40"/>
                  </w:pPr>
                  <w:r>
                    <w:rPr>
                      <w:rFonts w:hint="eastAsia"/>
                    </w:rPr>
                    <w:t>北</w:t>
                  </w:r>
                </w:p>
              </w:tc>
              <w:tc>
                <w:tcPr>
                  <w:tcW w:w="1377" w:type="dxa"/>
                  <w:noWrap/>
                  <w:vAlign w:val="center"/>
                </w:tcPr>
                <w:p>
                  <w:pPr>
                    <w:pStyle w:val="40"/>
                  </w:pPr>
                  <w:r>
                    <w:rPr>
                      <w:rFonts w:hint="eastAsia"/>
                    </w:rPr>
                    <w:t>50.5</w:t>
                  </w:r>
                </w:p>
              </w:tc>
              <w:tc>
                <w:tcPr>
                  <w:tcW w:w="1377" w:type="dxa"/>
                  <w:noWrap/>
                  <w:vAlign w:val="center"/>
                </w:tcPr>
                <w:p>
                  <w:pPr>
                    <w:pStyle w:val="40"/>
                  </w:pPr>
                  <w:r>
                    <w:rPr>
                      <w:rFonts w:hint="eastAsia"/>
                    </w:rPr>
                    <w:t>43.8</w:t>
                  </w:r>
                </w:p>
              </w:tc>
              <w:tc>
                <w:tcPr>
                  <w:tcW w:w="1377" w:type="dxa"/>
                  <w:noWrap/>
                  <w:vAlign w:val="center"/>
                </w:tcPr>
                <w:p>
                  <w:pPr>
                    <w:pStyle w:val="40"/>
                  </w:pPr>
                  <w:r>
                    <w:rPr>
                      <w:rFonts w:hint="eastAsia"/>
                    </w:rPr>
                    <w:t>52.3</w:t>
                  </w:r>
                </w:p>
              </w:tc>
              <w:tc>
                <w:tcPr>
                  <w:tcW w:w="1298" w:type="dxa"/>
                  <w:noWrap/>
                  <w:vAlign w:val="center"/>
                </w:tcPr>
                <w:p>
                  <w:pPr>
                    <w:pStyle w:val="40"/>
                  </w:pPr>
                  <w:r>
                    <w:rPr>
                      <w:rFonts w:hint="eastAsia"/>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6" w:type="dxa"/>
                  <w:noWrap/>
                  <w:vAlign w:val="center"/>
                </w:tcPr>
                <w:p>
                  <w:pPr>
                    <w:pStyle w:val="40"/>
                  </w:pPr>
                  <w:r>
                    <w:rPr>
                      <w:rFonts w:hint="eastAsia"/>
                    </w:rPr>
                    <w:t>2</w:t>
                  </w:r>
                </w:p>
              </w:tc>
              <w:tc>
                <w:tcPr>
                  <w:tcW w:w="2406" w:type="dxa"/>
                  <w:noWrap/>
                  <w:vAlign w:val="center"/>
                </w:tcPr>
                <w:p>
                  <w:pPr>
                    <w:pStyle w:val="40"/>
                  </w:pPr>
                  <w:r>
                    <w:rPr>
                      <w:rFonts w:hint="eastAsia"/>
                    </w:rPr>
                    <w:t>西</w:t>
                  </w:r>
                </w:p>
              </w:tc>
              <w:tc>
                <w:tcPr>
                  <w:tcW w:w="1377" w:type="dxa"/>
                  <w:noWrap/>
                  <w:vAlign w:val="center"/>
                </w:tcPr>
                <w:p>
                  <w:pPr>
                    <w:pStyle w:val="40"/>
                  </w:pPr>
                  <w:r>
                    <w:rPr>
                      <w:rFonts w:hint="eastAsia"/>
                    </w:rPr>
                    <w:t>52.1</w:t>
                  </w:r>
                </w:p>
              </w:tc>
              <w:tc>
                <w:tcPr>
                  <w:tcW w:w="1377" w:type="dxa"/>
                  <w:noWrap/>
                  <w:vAlign w:val="center"/>
                </w:tcPr>
                <w:p>
                  <w:pPr>
                    <w:pStyle w:val="40"/>
                  </w:pPr>
                  <w:r>
                    <w:rPr>
                      <w:rFonts w:hint="eastAsia"/>
                    </w:rPr>
                    <w:t>41.3</w:t>
                  </w:r>
                </w:p>
              </w:tc>
              <w:tc>
                <w:tcPr>
                  <w:tcW w:w="1377" w:type="dxa"/>
                  <w:noWrap/>
                  <w:vAlign w:val="center"/>
                </w:tcPr>
                <w:p>
                  <w:pPr>
                    <w:pStyle w:val="40"/>
                  </w:pPr>
                  <w:r>
                    <w:rPr>
                      <w:rFonts w:hint="eastAsia"/>
                    </w:rPr>
                    <w:t>52.6</w:t>
                  </w:r>
                </w:p>
              </w:tc>
              <w:tc>
                <w:tcPr>
                  <w:tcW w:w="1298" w:type="dxa"/>
                  <w:noWrap/>
                  <w:vAlign w:val="center"/>
                </w:tcPr>
                <w:p>
                  <w:pPr>
                    <w:pStyle w:val="40"/>
                  </w:pPr>
                  <w:r>
                    <w:rPr>
                      <w:rFonts w:hint="eastAsia"/>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6" w:type="dxa"/>
                  <w:noWrap/>
                  <w:vAlign w:val="center"/>
                </w:tcPr>
                <w:p>
                  <w:pPr>
                    <w:pStyle w:val="40"/>
                  </w:pPr>
                  <w:r>
                    <w:rPr>
                      <w:rFonts w:hint="eastAsia"/>
                    </w:rPr>
                    <w:t>3</w:t>
                  </w:r>
                </w:p>
              </w:tc>
              <w:tc>
                <w:tcPr>
                  <w:tcW w:w="2406" w:type="dxa"/>
                  <w:noWrap/>
                  <w:vAlign w:val="center"/>
                </w:tcPr>
                <w:p>
                  <w:pPr>
                    <w:pStyle w:val="40"/>
                  </w:pPr>
                  <w:r>
                    <w:rPr>
                      <w:rFonts w:hint="eastAsia"/>
                    </w:rPr>
                    <w:t>南</w:t>
                  </w:r>
                </w:p>
              </w:tc>
              <w:tc>
                <w:tcPr>
                  <w:tcW w:w="1377" w:type="dxa"/>
                  <w:noWrap/>
                  <w:vAlign w:val="center"/>
                </w:tcPr>
                <w:p>
                  <w:pPr>
                    <w:pStyle w:val="40"/>
                  </w:pPr>
                  <w:r>
                    <w:rPr>
                      <w:rFonts w:hint="eastAsia"/>
                    </w:rPr>
                    <w:t>54.8</w:t>
                  </w:r>
                </w:p>
              </w:tc>
              <w:tc>
                <w:tcPr>
                  <w:tcW w:w="1377" w:type="dxa"/>
                  <w:noWrap/>
                  <w:vAlign w:val="center"/>
                </w:tcPr>
                <w:p>
                  <w:pPr>
                    <w:pStyle w:val="40"/>
                  </w:pPr>
                  <w:r>
                    <w:rPr>
                      <w:rFonts w:hint="eastAsia"/>
                    </w:rPr>
                    <w:t>41.4</w:t>
                  </w:r>
                </w:p>
              </w:tc>
              <w:tc>
                <w:tcPr>
                  <w:tcW w:w="1377" w:type="dxa"/>
                  <w:noWrap/>
                  <w:vAlign w:val="center"/>
                </w:tcPr>
                <w:p>
                  <w:pPr>
                    <w:pStyle w:val="40"/>
                  </w:pPr>
                  <w:r>
                    <w:rPr>
                      <w:rFonts w:hint="eastAsia"/>
                    </w:rPr>
                    <w:t>53.3.</w:t>
                  </w:r>
                </w:p>
              </w:tc>
              <w:tc>
                <w:tcPr>
                  <w:tcW w:w="1298" w:type="dxa"/>
                  <w:noWrap/>
                  <w:vAlign w:val="center"/>
                </w:tcPr>
                <w:p>
                  <w:pPr>
                    <w:pStyle w:val="40"/>
                  </w:pPr>
                  <w:r>
                    <w:rPr>
                      <w:rFonts w:hint="eastAsia"/>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6" w:type="dxa"/>
                  <w:noWrap/>
                  <w:vAlign w:val="center"/>
                </w:tcPr>
                <w:p>
                  <w:pPr>
                    <w:pStyle w:val="40"/>
                  </w:pPr>
                  <w:r>
                    <w:rPr>
                      <w:rFonts w:hint="eastAsia"/>
                    </w:rPr>
                    <w:t>4</w:t>
                  </w:r>
                </w:p>
              </w:tc>
              <w:tc>
                <w:tcPr>
                  <w:tcW w:w="2406" w:type="dxa"/>
                  <w:noWrap/>
                  <w:vAlign w:val="center"/>
                </w:tcPr>
                <w:p>
                  <w:pPr>
                    <w:pStyle w:val="40"/>
                  </w:pPr>
                  <w:r>
                    <w:rPr>
                      <w:rFonts w:hint="eastAsia"/>
                    </w:rPr>
                    <w:t>东</w:t>
                  </w:r>
                </w:p>
              </w:tc>
              <w:tc>
                <w:tcPr>
                  <w:tcW w:w="1377" w:type="dxa"/>
                  <w:noWrap/>
                  <w:vAlign w:val="center"/>
                </w:tcPr>
                <w:p>
                  <w:pPr>
                    <w:pStyle w:val="40"/>
                  </w:pPr>
                  <w:r>
                    <w:rPr>
                      <w:rFonts w:hint="eastAsia"/>
                    </w:rPr>
                    <w:t>54.0</w:t>
                  </w:r>
                </w:p>
              </w:tc>
              <w:tc>
                <w:tcPr>
                  <w:tcW w:w="1377" w:type="dxa"/>
                  <w:noWrap/>
                  <w:vAlign w:val="center"/>
                </w:tcPr>
                <w:p>
                  <w:pPr>
                    <w:pStyle w:val="40"/>
                  </w:pPr>
                  <w:r>
                    <w:rPr>
                      <w:rFonts w:hint="eastAsia"/>
                    </w:rPr>
                    <w:t>40.6</w:t>
                  </w:r>
                </w:p>
              </w:tc>
              <w:tc>
                <w:tcPr>
                  <w:tcW w:w="1377" w:type="dxa"/>
                  <w:noWrap/>
                  <w:vAlign w:val="center"/>
                </w:tcPr>
                <w:p>
                  <w:pPr>
                    <w:pStyle w:val="40"/>
                  </w:pPr>
                  <w:r>
                    <w:rPr>
                      <w:rFonts w:hint="eastAsia"/>
                    </w:rPr>
                    <w:t>55.4</w:t>
                  </w:r>
                </w:p>
              </w:tc>
              <w:tc>
                <w:tcPr>
                  <w:tcW w:w="1298" w:type="dxa"/>
                  <w:noWrap/>
                  <w:vAlign w:val="center"/>
                </w:tcPr>
                <w:p>
                  <w:pPr>
                    <w:pStyle w:val="40"/>
                  </w:pPr>
                  <w:r>
                    <w:rPr>
                      <w:rFonts w:hint="eastAsia"/>
                    </w:rPr>
                    <w:t>43.5</w:t>
                  </w:r>
                </w:p>
              </w:tc>
            </w:tr>
          </w:tbl>
          <w:p>
            <w:pPr>
              <w:pStyle w:val="5"/>
            </w:pPr>
            <w:r>
              <w:rPr>
                <w:rFonts w:hint="eastAsia"/>
              </w:rPr>
              <w:t>由上表可知，本项目拟选厂址厂界声环境质量现状昼间在50.5～54.8dB(A)、夜间在40.6～4dB(A)，均满足《声环境质量标准》（GB3096-2008）中3类标准。</w:t>
            </w:r>
          </w:p>
          <w:p>
            <w:pPr>
              <w:jc w:val="center"/>
            </w:pPr>
            <w:r>
              <w:drawing>
                <wp:inline distT="0" distB="0" distL="114300" distR="114300">
                  <wp:extent cx="4962525" cy="3352800"/>
                  <wp:effectExtent l="0" t="0" r="9525" b="0"/>
                  <wp:docPr id="1" name="图片 14" descr="微信图片_2020102814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微信图片_20201028143125"/>
                          <pic:cNvPicPr>
                            <a:picLocks noChangeAspect="1"/>
                          </pic:cNvPicPr>
                        </pic:nvPicPr>
                        <pic:blipFill>
                          <a:blip r:embed="rId9"/>
                          <a:stretch>
                            <a:fillRect/>
                          </a:stretch>
                        </pic:blipFill>
                        <pic:spPr>
                          <a:xfrm>
                            <a:off x="0" y="0"/>
                            <a:ext cx="4962525" cy="3352800"/>
                          </a:xfrm>
                          <a:prstGeom prst="rect">
                            <a:avLst/>
                          </a:prstGeom>
                          <a:noFill/>
                          <a:ln>
                            <a:noFill/>
                          </a:ln>
                        </pic:spPr>
                      </pic:pic>
                    </a:graphicData>
                  </a:graphic>
                </wp:inline>
              </w:drawing>
            </w:r>
          </w:p>
          <w:p>
            <w:pPr>
              <w:pStyle w:val="29"/>
              <w:spacing w:before="65" w:after="65"/>
            </w:pPr>
            <w:r>
              <w:rPr>
                <w:rFonts w:hint="eastAsia"/>
              </w:rPr>
              <w:t>图3-</w:t>
            </w:r>
            <w:r>
              <w:rPr>
                <w:rFonts w:hint="eastAsia"/>
                <w:lang w:val="en-US" w:eastAsia="zh-CN"/>
              </w:rPr>
              <w:t>6</w:t>
            </w:r>
            <w:r>
              <w:rPr>
                <w:rFonts w:hint="eastAsia"/>
              </w:rPr>
              <w:t>噪声监测布点图</w:t>
            </w:r>
          </w:p>
          <w:p>
            <w:pPr>
              <w:pStyle w:val="4"/>
            </w:pPr>
            <w:bookmarkStart w:id="13" w:name="_Toc27299"/>
            <w:r>
              <w:rPr>
                <w:rFonts w:hint="eastAsia"/>
              </w:rPr>
              <w:t>四、主要环境保护目标（列出名单及保护级别）</w:t>
            </w:r>
            <w:bookmarkEnd w:id="13"/>
          </w:p>
          <w:p>
            <w:pPr>
              <w:pStyle w:val="6"/>
              <w:spacing w:line="360" w:lineRule="auto"/>
              <w:ind w:firstLine="480"/>
            </w:pPr>
            <w:r>
              <w:t>建设项目周围无水源保护地、文物保护地、风景名胜区。主要保护目标见</w:t>
            </w:r>
            <w:r>
              <w:rPr>
                <w:rFonts w:hint="eastAsia"/>
              </w:rPr>
              <w:t>下</w:t>
            </w:r>
            <w:r>
              <w:t>表</w:t>
            </w:r>
          </w:p>
          <w:p>
            <w:pPr>
              <w:pStyle w:val="29"/>
              <w:spacing w:before="65" w:after="65"/>
            </w:pPr>
            <w:r>
              <w:t>表</w:t>
            </w:r>
            <w:r>
              <w:rPr>
                <w:rFonts w:hint="eastAsia"/>
              </w:rPr>
              <w:t>3-</w:t>
            </w:r>
            <w:r>
              <w:rPr>
                <w:rFonts w:hint="eastAsia"/>
                <w:lang w:val="en-US" w:eastAsia="zh-CN"/>
              </w:rPr>
              <w:t>7</w:t>
            </w:r>
            <w:r>
              <w:rPr>
                <w:rFonts w:hint="eastAsia"/>
              </w:rPr>
              <w:t xml:space="preserve"> </w:t>
            </w:r>
            <w:r>
              <w:t xml:space="preserve"> 主要环境保护目标</w:t>
            </w:r>
            <w:r>
              <w:rPr>
                <w:rFonts w:hint="eastAsia"/>
              </w:rPr>
              <w:t>一览表</w:t>
            </w:r>
          </w:p>
          <w:tbl>
            <w:tblPr>
              <w:tblStyle w:val="23"/>
              <w:tblW w:w="49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92"/>
              <w:gridCol w:w="1622"/>
              <w:gridCol w:w="568"/>
              <w:gridCol w:w="735"/>
              <w:gridCol w:w="749"/>
              <w:gridCol w:w="885"/>
              <w:gridCol w:w="1424"/>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restart"/>
                  <w:noWrap/>
                  <w:vAlign w:val="center"/>
                </w:tcPr>
                <w:p>
                  <w:pPr>
                    <w:pStyle w:val="40"/>
                  </w:pPr>
                  <w:r>
                    <w:rPr>
                      <w:rFonts w:hint="eastAsia"/>
                    </w:rPr>
                    <w:t>环境要素</w:t>
                  </w:r>
                </w:p>
              </w:tc>
              <w:tc>
                <w:tcPr>
                  <w:tcW w:w="886" w:type="pct"/>
                  <w:vMerge w:val="restart"/>
                  <w:noWrap/>
                  <w:vAlign w:val="center"/>
                </w:tcPr>
                <w:p>
                  <w:pPr>
                    <w:pStyle w:val="40"/>
                  </w:pPr>
                  <w:r>
                    <w:rPr>
                      <w:rFonts w:hint="eastAsia"/>
                    </w:rPr>
                    <w:t>保护目标</w:t>
                  </w:r>
                </w:p>
              </w:tc>
              <w:tc>
                <w:tcPr>
                  <w:tcW w:w="311" w:type="pct"/>
                  <w:vMerge w:val="restart"/>
                  <w:noWrap/>
                  <w:vAlign w:val="center"/>
                </w:tcPr>
                <w:p>
                  <w:pPr>
                    <w:pStyle w:val="40"/>
                  </w:pPr>
                  <w:r>
                    <w:rPr>
                      <w:rFonts w:hint="eastAsia"/>
                    </w:rPr>
                    <w:t>方位</w:t>
                  </w:r>
                </w:p>
              </w:tc>
              <w:tc>
                <w:tcPr>
                  <w:tcW w:w="812" w:type="pct"/>
                  <w:gridSpan w:val="2"/>
                  <w:noWrap/>
                  <w:vAlign w:val="center"/>
                </w:tcPr>
                <w:p>
                  <w:pPr>
                    <w:pStyle w:val="40"/>
                  </w:pPr>
                  <w:r>
                    <w:rPr>
                      <w:rFonts w:hint="eastAsia"/>
                    </w:rPr>
                    <w:t>经纬度</w:t>
                  </w:r>
                </w:p>
              </w:tc>
              <w:tc>
                <w:tcPr>
                  <w:tcW w:w="484" w:type="pct"/>
                  <w:vMerge w:val="restart"/>
                  <w:noWrap/>
                  <w:vAlign w:val="center"/>
                </w:tcPr>
                <w:p>
                  <w:pPr>
                    <w:pStyle w:val="40"/>
                  </w:pPr>
                  <w:r>
                    <w:rPr>
                      <w:rFonts w:hint="eastAsia"/>
                    </w:rPr>
                    <w:t>距离（m）</w:t>
                  </w:r>
                </w:p>
              </w:tc>
              <w:tc>
                <w:tcPr>
                  <w:tcW w:w="779" w:type="pct"/>
                  <w:vMerge w:val="restart"/>
                  <w:noWrap/>
                  <w:vAlign w:val="center"/>
                </w:tcPr>
                <w:p>
                  <w:pPr>
                    <w:pStyle w:val="40"/>
                  </w:pPr>
                  <w:r>
                    <w:rPr>
                      <w:rFonts w:hint="eastAsia"/>
                    </w:rPr>
                    <w:t>规模</w:t>
                  </w:r>
                </w:p>
                <w:p>
                  <w:pPr>
                    <w:pStyle w:val="40"/>
                  </w:pPr>
                  <w:r>
                    <w:rPr>
                      <w:rFonts w:hint="eastAsia"/>
                    </w:rPr>
                    <w:t>（人口）</w:t>
                  </w:r>
                </w:p>
              </w:tc>
              <w:tc>
                <w:tcPr>
                  <w:tcW w:w="1347" w:type="pct"/>
                  <w:vMerge w:val="restart"/>
                  <w:noWrap/>
                  <w:vAlign w:val="center"/>
                </w:tcPr>
                <w:p>
                  <w:pPr>
                    <w:pStyle w:val="40"/>
                  </w:pPr>
                  <w:r>
                    <w:rPr>
                      <w:rFonts w:hint="eastAsia"/>
                    </w:rPr>
                    <w:t>环境功能及</w:t>
                  </w:r>
                </w:p>
                <w:p>
                  <w:pPr>
                    <w:pStyle w:val="40"/>
                  </w:pPr>
                  <w:r>
                    <w:rPr>
                      <w:rFonts w:hint="eastAsia"/>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continue"/>
                  <w:noWrap/>
                  <w:vAlign w:val="center"/>
                </w:tcPr>
                <w:p>
                  <w:pPr>
                    <w:pStyle w:val="40"/>
                  </w:pPr>
                </w:p>
              </w:tc>
              <w:tc>
                <w:tcPr>
                  <w:tcW w:w="886" w:type="pct"/>
                  <w:vMerge w:val="continue"/>
                  <w:noWrap/>
                  <w:vAlign w:val="center"/>
                </w:tcPr>
                <w:p>
                  <w:pPr>
                    <w:pStyle w:val="40"/>
                  </w:pPr>
                </w:p>
              </w:tc>
              <w:tc>
                <w:tcPr>
                  <w:tcW w:w="311" w:type="pct"/>
                  <w:vMerge w:val="continue"/>
                  <w:noWrap/>
                  <w:vAlign w:val="center"/>
                </w:tcPr>
                <w:p>
                  <w:pPr>
                    <w:pStyle w:val="40"/>
                  </w:pPr>
                </w:p>
              </w:tc>
              <w:tc>
                <w:tcPr>
                  <w:tcW w:w="402" w:type="pct"/>
                  <w:noWrap/>
                  <w:vAlign w:val="center"/>
                </w:tcPr>
                <w:p>
                  <w:pPr>
                    <w:pStyle w:val="40"/>
                  </w:pPr>
                  <w:r>
                    <w:rPr>
                      <w:rFonts w:hint="eastAsia"/>
                    </w:rPr>
                    <w:t>经度</w:t>
                  </w:r>
                </w:p>
              </w:tc>
              <w:tc>
                <w:tcPr>
                  <w:tcW w:w="410" w:type="pct"/>
                  <w:noWrap/>
                  <w:vAlign w:val="center"/>
                </w:tcPr>
                <w:p>
                  <w:pPr>
                    <w:pStyle w:val="40"/>
                  </w:pPr>
                  <w:r>
                    <w:rPr>
                      <w:rFonts w:hint="eastAsia"/>
                    </w:rPr>
                    <w:t>纬度</w:t>
                  </w:r>
                </w:p>
              </w:tc>
              <w:tc>
                <w:tcPr>
                  <w:tcW w:w="484" w:type="pct"/>
                  <w:vMerge w:val="continue"/>
                  <w:noWrap/>
                  <w:vAlign w:val="center"/>
                </w:tcPr>
                <w:p>
                  <w:pPr>
                    <w:pStyle w:val="40"/>
                  </w:pPr>
                </w:p>
              </w:tc>
              <w:tc>
                <w:tcPr>
                  <w:tcW w:w="779" w:type="pct"/>
                  <w:vMerge w:val="continue"/>
                  <w:noWrap/>
                  <w:vAlign w:val="center"/>
                </w:tcPr>
                <w:p>
                  <w:pPr>
                    <w:pStyle w:val="40"/>
                  </w:pPr>
                </w:p>
              </w:tc>
              <w:tc>
                <w:tcPr>
                  <w:tcW w:w="1347" w:type="pct"/>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restart"/>
                  <w:noWrap/>
                  <w:vAlign w:val="center"/>
                </w:tcPr>
                <w:p>
                  <w:pPr>
                    <w:pStyle w:val="40"/>
                  </w:pPr>
                  <w:r>
                    <w:rPr>
                      <w:rFonts w:hint="eastAsia"/>
                    </w:rPr>
                    <w:t>大气</w:t>
                  </w:r>
                </w:p>
                <w:p>
                  <w:pPr>
                    <w:pStyle w:val="40"/>
                  </w:pPr>
                  <w:r>
                    <w:rPr>
                      <w:rFonts w:hint="eastAsia"/>
                    </w:rPr>
                    <w:t>环境</w:t>
                  </w:r>
                </w:p>
              </w:tc>
              <w:tc>
                <w:tcPr>
                  <w:tcW w:w="886" w:type="pct"/>
                  <w:noWrap/>
                  <w:vAlign w:val="center"/>
                </w:tcPr>
                <w:p>
                  <w:pPr>
                    <w:pStyle w:val="40"/>
                  </w:pPr>
                  <w:r>
                    <w:rPr>
                      <w:rFonts w:hint="eastAsia"/>
                    </w:rPr>
                    <w:t>淮南经济开发区管理委员会</w:t>
                  </w:r>
                </w:p>
              </w:tc>
              <w:tc>
                <w:tcPr>
                  <w:tcW w:w="311" w:type="pct"/>
                  <w:noWrap/>
                  <w:vAlign w:val="center"/>
                </w:tcPr>
                <w:p>
                  <w:pPr>
                    <w:pStyle w:val="40"/>
                  </w:pPr>
                  <w:r>
                    <w:rPr>
                      <w:rFonts w:hint="eastAsia"/>
                    </w:rPr>
                    <w:t>S</w:t>
                  </w:r>
                </w:p>
              </w:tc>
              <w:tc>
                <w:tcPr>
                  <w:tcW w:w="402" w:type="pct"/>
                  <w:noWrap/>
                  <w:vAlign w:val="center"/>
                </w:tcPr>
                <w:p>
                  <w:pPr>
                    <w:pStyle w:val="40"/>
                  </w:pPr>
                  <w:r>
                    <w:rPr>
                      <w:rFonts w:hint="eastAsia"/>
                    </w:rPr>
                    <w:t>117.063820</w:t>
                  </w:r>
                </w:p>
              </w:tc>
              <w:tc>
                <w:tcPr>
                  <w:tcW w:w="410" w:type="pct"/>
                  <w:noWrap/>
                  <w:vAlign w:val="center"/>
                </w:tcPr>
                <w:p>
                  <w:pPr>
                    <w:pStyle w:val="40"/>
                  </w:pPr>
                  <w:r>
                    <w:rPr>
                      <w:rFonts w:hint="eastAsia"/>
                    </w:rPr>
                    <w:t>32.660374</w:t>
                  </w:r>
                </w:p>
              </w:tc>
              <w:tc>
                <w:tcPr>
                  <w:tcW w:w="484" w:type="pct"/>
                  <w:noWrap/>
                  <w:vAlign w:val="center"/>
                </w:tcPr>
                <w:p>
                  <w:pPr>
                    <w:pStyle w:val="40"/>
                  </w:pPr>
                  <w:r>
                    <w:rPr>
                      <w:rFonts w:hint="eastAsia"/>
                    </w:rPr>
                    <w:t>800m</w:t>
                  </w:r>
                </w:p>
              </w:tc>
              <w:tc>
                <w:tcPr>
                  <w:tcW w:w="779" w:type="pct"/>
                  <w:noWrap/>
                  <w:vAlign w:val="center"/>
                </w:tcPr>
                <w:p>
                  <w:pPr>
                    <w:pStyle w:val="40"/>
                  </w:pPr>
                  <w:r>
                    <w:rPr>
                      <w:rFonts w:hint="eastAsia"/>
                    </w:rPr>
                    <w:t>约150人</w:t>
                  </w:r>
                </w:p>
              </w:tc>
              <w:tc>
                <w:tcPr>
                  <w:tcW w:w="1347" w:type="pct"/>
                  <w:vMerge w:val="restart"/>
                  <w:noWrap/>
                  <w:vAlign w:val="center"/>
                </w:tcPr>
                <w:p>
                  <w:pPr>
                    <w:pStyle w:val="40"/>
                  </w:pPr>
                  <w:r>
                    <w:rPr>
                      <w:rFonts w:hint="eastAsia"/>
                    </w:rPr>
                    <w:t>《环境空气质量标准》</w:t>
                  </w:r>
                </w:p>
                <w:p>
                  <w:pPr>
                    <w:pStyle w:val="40"/>
                  </w:pPr>
                  <w:r>
                    <w:rPr>
                      <w:rFonts w:hint="eastAsia"/>
                    </w:rPr>
                    <w:t>（GB3095-2012）二级标准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continue"/>
                  <w:noWrap/>
                  <w:vAlign w:val="center"/>
                </w:tcPr>
                <w:p>
                  <w:pPr>
                    <w:pStyle w:val="40"/>
                  </w:pPr>
                </w:p>
              </w:tc>
              <w:tc>
                <w:tcPr>
                  <w:tcW w:w="886" w:type="pct"/>
                  <w:noWrap/>
                  <w:vAlign w:val="center"/>
                </w:tcPr>
                <w:p>
                  <w:pPr>
                    <w:pStyle w:val="40"/>
                  </w:pPr>
                  <w:r>
                    <w:rPr>
                      <w:rFonts w:hint="eastAsia"/>
                    </w:rPr>
                    <w:t>田东花园小区</w:t>
                  </w:r>
                </w:p>
              </w:tc>
              <w:tc>
                <w:tcPr>
                  <w:tcW w:w="311" w:type="pct"/>
                  <w:noWrap/>
                  <w:vAlign w:val="center"/>
                </w:tcPr>
                <w:p>
                  <w:pPr>
                    <w:pStyle w:val="40"/>
                  </w:pPr>
                  <w:r>
                    <w:rPr>
                      <w:rFonts w:hint="eastAsia"/>
                    </w:rPr>
                    <w:t>W</w:t>
                  </w:r>
                </w:p>
              </w:tc>
              <w:tc>
                <w:tcPr>
                  <w:tcW w:w="402" w:type="pct"/>
                  <w:noWrap/>
                  <w:vAlign w:val="center"/>
                </w:tcPr>
                <w:p>
                  <w:pPr>
                    <w:pStyle w:val="40"/>
                  </w:pPr>
                  <w:r>
                    <w:rPr>
                      <w:rFonts w:hint="eastAsia"/>
                    </w:rPr>
                    <w:t>117.056759</w:t>
                  </w:r>
                </w:p>
              </w:tc>
              <w:tc>
                <w:tcPr>
                  <w:tcW w:w="410" w:type="pct"/>
                  <w:noWrap/>
                  <w:vAlign w:val="center"/>
                </w:tcPr>
                <w:p>
                  <w:pPr>
                    <w:pStyle w:val="40"/>
                  </w:pPr>
                  <w:r>
                    <w:rPr>
                      <w:rFonts w:hint="eastAsia"/>
                    </w:rPr>
                    <w:t>32.662110</w:t>
                  </w:r>
                </w:p>
              </w:tc>
              <w:tc>
                <w:tcPr>
                  <w:tcW w:w="484" w:type="pct"/>
                  <w:noWrap/>
                  <w:vAlign w:val="center"/>
                </w:tcPr>
                <w:p>
                  <w:pPr>
                    <w:pStyle w:val="40"/>
                  </w:pPr>
                  <w:r>
                    <w:rPr>
                      <w:rFonts w:hint="eastAsia"/>
                    </w:rPr>
                    <w:t>950m</w:t>
                  </w:r>
                </w:p>
              </w:tc>
              <w:tc>
                <w:tcPr>
                  <w:tcW w:w="779" w:type="pct"/>
                  <w:noWrap/>
                  <w:vAlign w:val="center"/>
                </w:tcPr>
                <w:p>
                  <w:pPr>
                    <w:pStyle w:val="40"/>
                  </w:pPr>
                  <w:r>
                    <w:rPr>
                      <w:rFonts w:hint="eastAsia"/>
                    </w:rPr>
                    <w:t>约1200人</w:t>
                  </w:r>
                </w:p>
              </w:tc>
              <w:tc>
                <w:tcPr>
                  <w:tcW w:w="1347" w:type="pct"/>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continue"/>
                  <w:noWrap/>
                  <w:vAlign w:val="center"/>
                </w:tcPr>
                <w:p>
                  <w:pPr>
                    <w:pStyle w:val="40"/>
                  </w:pPr>
                </w:p>
              </w:tc>
              <w:tc>
                <w:tcPr>
                  <w:tcW w:w="886" w:type="pct"/>
                  <w:noWrap/>
                  <w:vAlign w:val="center"/>
                </w:tcPr>
                <w:p>
                  <w:pPr>
                    <w:pStyle w:val="40"/>
                  </w:pPr>
                  <w:r>
                    <w:rPr>
                      <w:rFonts w:hint="eastAsia"/>
                    </w:rPr>
                    <w:t>新庄孜</w:t>
                  </w:r>
                </w:p>
              </w:tc>
              <w:tc>
                <w:tcPr>
                  <w:tcW w:w="311" w:type="pct"/>
                  <w:noWrap/>
                  <w:vAlign w:val="center"/>
                </w:tcPr>
                <w:p>
                  <w:pPr>
                    <w:pStyle w:val="40"/>
                  </w:pPr>
                  <w:r>
                    <w:rPr>
                      <w:rFonts w:hint="eastAsia"/>
                    </w:rPr>
                    <w:t>N</w:t>
                  </w:r>
                </w:p>
              </w:tc>
              <w:tc>
                <w:tcPr>
                  <w:tcW w:w="402" w:type="pct"/>
                  <w:noWrap/>
                  <w:vAlign w:val="center"/>
                </w:tcPr>
                <w:p>
                  <w:pPr>
                    <w:pStyle w:val="40"/>
                  </w:pPr>
                  <w:r>
                    <w:rPr>
                      <w:rFonts w:hint="eastAsia"/>
                    </w:rPr>
                    <w:t>117.058533</w:t>
                  </w:r>
                </w:p>
              </w:tc>
              <w:tc>
                <w:tcPr>
                  <w:tcW w:w="410" w:type="pct"/>
                  <w:noWrap/>
                  <w:vAlign w:val="center"/>
                </w:tcPr>
                <w:p>
                  <w:pPr>
                    <w:pStyle w:val="40"/>
                  </w:pPr>
                  <w:r>
                    <w:rPr>
                      <w:rFonts w:hint="eastAsia"/>
                    </w:rPr>
                    <w:t>32.672683</w:t>
                  </w:r>
                </w:p>
              </w:tc>
              <w:tc>
                <w:tcPr>
                  <w:tcW w:w="484" w:type="pct"/>
                  <w:noWrap/>
                  <w:vAlign w:val="center"/>
                </w:tcPr>
                <w:p>
                  <w:pPr>
                    <w:pStyle w:val="40"/>
                  </w:pPr>
                  <w:r>
                    <w:rPr>
                      <w:rFonts w:hint="eastAsia"/>
                    </w:rPr>
                    <w:t>700m</w:t>
                  </w:r>
                </w:p>
              </w:tc>
              <w:tc>
                <w:tcPr>
                  <w:tcW w:w="779" w:type="pct"/>
                  <w:noWrap/>
                  <w:vAlign w:val="center"/>
                </w:tcPr>
                <w:p>
                  <w:pPr>
                    <w:pStyle w:val="40"/>
                  </w:pPr>
                  <w:r>
                    <w:rPr>
                      <w:rFonts w:hint="eastAsia"/>
                    </w:rPr>
                    <w:t>约200人</w:t>
                  </w:r>
                </w:p>
              </w:tc>
              <w:tc>
                <w:tcPr>
                  <w:tcW w:w="1347" w:type="pct"/>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continue"/>
                  <w:noWrap/>
                  <w:vAlign w:val="center"/>
                </w:tcPr>
                <w:p>
                  <w:pPr>
                    <w:pStyle w:val="40"/>
                  </w:pPr>
                </w:p>
              </w:tc>
              <w:tc>
                <w:tcPr>
                  <w:tcW w:w="886" w:type="pct"/>
                  <w:noWrap/>
                  <w:vAlign w:val="center"/>
                </w:tcPr>
                <w:p>
                  <w:pPr>
                    <w:pStyle w:val="40"/>
                  </w:pPr>
                  <w:r>
                    <w:rPr>
                      <w:rFonts w:hint="eastAsia"/>
                    </w:rPr>
                    <w:t>朝阳村</w:t>
                  </w:r>
                </w:p>
              </w:tc>
              <w:tc>
                <w:tcPr>
                  <w:tcW w:w="311" w:type="pct"/>
                  <w:noWrap/>
                  <w:vAlign w:val="center"/>
                </w:tcPr>
                <w:p>
                  <w:pPr>
                    <w:pStyle w:val="40"/>
                  </w:pPr>
                  <w:r>
                    <w:rPr>
                      <w:rFonts w:hint="eastAsia"/>
                    </w:rPr>
                    <w:t>NW</w:t>
                  </w:r>
                </w:p>
              </w:tc>
              <w:tc>
                <w:tcPr>
                  <w:tcW w:w="402" w:type="pct"/>
                  <w:noWrap/>
                  <w:vAlign w:val="center"/>
                </w:tcPr>
                <w:p>
                  <w:pPr>
                    <w:pStyle w:val="40"/>
                  </w:pPr>
                  <w:r>
                    <w:rPr>
                      <w:rFonts w:hint="eastAsia"/>
                    </w:rPr>
                    <w:t>117.053468</w:t>
                  </w:r>
                </w:p>
              </w:tc>
              <w:tc>
                <w:tcPr>
                  <w:tcW w:w="410" w:type="pct"/>
                  <w:noWrap/>
                  <w:vAlign w:val="center"/>
                </w:tcPr>
                <w:p>
                  <w:pPr>
                    <w:pStyle w:val="40"/>
                  </w:pPr>
                  <w:r>
                    <w:rPr>
                      <w:rFonts w:hint="eastAsia"/>
                    </w:rPr>
                    <w:t>32.672612</w:t>
                  </w:r>
                </w:p>
              </w:tc>
              <w:tc>
                <w:tcPr>
                  <w:tcW w:w="484" w:type="pct"/>
                  <w:noWrap/>
                  <w:vAlign w:val="center"/>
                </w:tcPr>
                <w:p>
                  <w:pPr>
                    <w:pStyle w:val="40"/>
                  </w:pPr>
                  <w:r>
                    <w:rPr>
                      <w:rFonts w:hint="eastAsia"/>
                    </w:rPr>
                    <w:t>1200m</w:t>
                  </w:r>
                </w:p>
              </w:tc>
              <w:tc>
                <w:tcPr>
                  <w:tcW w:w="779" w:type="pct"/>
                  <w:noWrap/>
                  <w:vAlign w:val="center"/>
                </w:tcPr>
                <w:p>
                  <w:pPr>
                    <w:pStyle w:val="40"/>
                  </w:pPr>
                  <w:r>
                    <w:rPr>
                      <w:rFonts w:hint="eastAsia"/>
                    </w:rPr>
                    <w:t>约300人</w:t>
                  </w:r>
                </w:p>
              </w:tc>
              <w:tc>
                <w:tcPr>
                  <w:tcW w:w="1347" w:type="pct"/>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continue"/>
                  <w:noWrap/>
                  <w:vAlign w:val="center"/>
                </w:tcPr>
                <w:p>
                  <w:pPr>
                    <w:pStyle w:val="40"/>
                  </w:pPr>
                </w:p>
              </w:tc>
              <w:tc>
                <w:tcPr>
                  <w:tcW w:w="886" w:type="pct"/>
                  <w:noWrap/>
                  <w:vAlign w:val="center"/>
                </w:tcPr>
                <w:p>
                  <w:pPr>
                    <w:pStyle w:val="40"/>
                  </w:pPr>
                  <w:r>
                    <w:rPr>
                      <w:rFonts w:hint="eastAsia"/>
                    </w:rPr>
                    <w:t>田东村</w:t>
                  </w:r>
                </w:p>
              </w:tc>
              <w:tc>
                <w:tcPr>
                  <w:tcW w:w="311" w:type="pct"/>
                  <w:noWrap/>
                  <w:vAlign w:val="center"/>
                </w:tcPr>
                <w:p>
                  <w:pPr>
                    <w:pStyle w:val="40"/>
                  </w:pPr>
                  <w:r>
                    <w:rPr>
                      <w:rFonts w:hint="eastAsia"/>
                    </w:rPr>
                    <w:t>NW</w:t>
                  </w:r>
                </w:p>
              </w:tc>
              <w:tc>
                <w:tcPr>
                  <w:tcW w:w="402" w:type="pct"/>
                  <w:noWrap/>
                  <w:vAlign w:val="center"/>
                </w:tcPr>
                <w:p>
                  <w:pPr>
                    <w:pStyle w:val="40"/>
                  </w:pPr>
                  <w:r>
                    <w:rPr>
                      <w:rFonts w:hint="eastAsia"/>
                    </w:rPr>
                    <w:t>117.060280</w:t>
                  </w:r>
                </w:p>
              </w:tc>
              <w:tc>
                <w:tcPr>
                  <w:tcW w:w="410" w:type="pct"/>
                  <w:noWrap/>
                  <w:vAlign w:val="center"/>
                </w:tcPr>
                <w:p>
                  <w:pPr>
                    <w:pStyle w:val="40"/>
                  </w:pPr>
                  <w:r>
                    <w:rPr>
                      <w:rFonts w:hint="eastAsia"/>
                    </w:rPr>
                    <w:t>32.675380</w:t>
                  </w:r>
                </w:p>
              </w:tc>
              <w:tc>
                <w:tcPr>
                  <w:tcW w:w="484" w:type="pct"/>
                  <w:noWrap/>
                  <w:vAlign w:val="center"/>
                </w:tcPr>
                <w:p>
                  <w:pPr>
                    <w:pStyle w:val="40"/>
                  </w:pPr>
                  <w:r>
                    <w:rPr>
                      <w:rFonts w:hint="eastAsia"/>
                    </w:rPr>
                    <w:t>1000m</w:t>
                  </w:r>
                </w:p>
              </w:tc>
              <w:tc>
                <w:tcPr>
                  <w:tcW w:w="779" w:type="pct"/>
                  <w:noWrap/>
                  <w:vAlign w:val="center"/>
                </w:tcPr>
                <w:p>
                  <w:pPr>
                    <w:pStyle w:val="40"/>
                  </w:pPr>
                  <w:r>
                    <w:rPr>
                      <w:rFonts w:hint="eastAsia"/>
                    </w:rPr>
                    <w:t>约1120人</w:t>
                  </w:r>
                </w:p>
              </w:tc>
              <w:tc>
                <w:tcPr>
                  <w:tcW w:w="1347" w:type="pct"/>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continue"/>
                  <w:noWrap/>
                  <w:vAlign w:val="center"/>
                </w:tcPr>
                <w:p>
                  <w:pPr>
                    <w:pStyle w:val="40"/>
                  </w:pPr>
                </w:p>
              </w:tc>
              <w:tc>
                <w:tcPr>
                  <w:tcW w:w="886" w:type="pct"/>
                  <w:noWrap/>
                  <w:vAlign w:val="center"/>
                </w:tcPr>
                <w:p>
                  <w:pPr>
                    <w:pStyle w:val="40"/>
                  </w:pPr>
                  <w:r>
                    <w:rPr>
                      <w:rFonts w:hint="eastAsia"/>
                    </w:rPr>
                    <w:t>文汇学校</w:t>
                  </w:r>
                </w:p>
              </w:tc>
              <w:tc>
                <w:tcPr>
                  <w:tcW w:w="311" w:type="pct"/>
                  <w:noWrap/>
                  <w:vAlign w:val="center"/>
                </w:tcPr>
                <w:p>
                  <w:pPr>
                    <w:pStyle w:val="40"/>
                  </w:pPr>
                  <w:r>
                    <w:rPr>
                      <w:rFonts w:hint="eastAsia"/>
                    </w:rPr>
                    <w:t>WS</w:t>
                  </w:r>
                </w:p>
              </w:tc>
              <w:tc>
                <w:tcPr>
                  <w:tcW w:w="402" w:type="pct"/>
                  <w:noWrap/>
                  <w:vAlign w:val="center"/>
                </w:tcPr>
                <w:p>
                  <w:pPr>
                    <w:pStyle w:val="40"/>
                  </w:pPr>
                  <w:r>
                    <w:rPr>
                      <w:rFonts w:hint="eastAsia"/>
                    </w:rPr>
                    <w:t>117.047468</w:t>
                  </w:r>
                </w:p>
              </w:tc>
              <w:tc>
                <w:tcPr>
                  <w:tcW w:w="410" w:type="pct"/>
                  <w:noWrap/>
                  <w:vAlign w:val="center"/>
                </w:tcPr>
                <w:p>
                  <w:pPr>
                    <w:pStyle w:val="40"/>
                  </w:pPr>
                  <w:r>
                    <w:rPr>
                      <w:rFonts w:hint="eastAsia"/>
                    </w:rPr>
                    <w:t>32.649000</w:t>
                  </w:r>
                </w:p>
              </w:tc>
              <w:tc>
                <w:tcPr>
                  <w:tcW w:w="484" w:type="pct"/>
                  <w:noWrap/>
                  <w:vAlign w:val="center"/>
                </w:tcPr>
                <w:p>
                  <w:pPr>
                    <w:pStyle w:val="40"/>
                  </w:pPr>
                  <w:r>
                    <w:rPr>
                      <w:rFonts w:hint="eastAsia"/>
                    </w:rPr>
                    <w:t>2400m</w:t>
                  </w:r>
                </w:p>
              </w:tc>
              <w:tc>
                <w:tcPr>
                  <w:tcW w:w="779" w:type="pct"/>
                  <w:noWrap/>
                  <w:vAlign w:val="center"/>
                </w:tcPr>
                <w:p>
                  <w:pPr>
                    <w:pStyle w:val="40"/>
                  </w:pPr>
                  <w:r>
                    <w:rPr>
                      <w:rFonts w:hint="eastAsia"/>
                    </w:rPr>
                    <w:t>约1500人</w:t>
                  </w:r>
                </w:p>
              </w:tc>
              <w:tc>
                <w:tcPr>
                  <w:tcW w:w="1347" w:type="pct"/>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continue"/>
                  <w:noWrap/>
                  <w:vAlign w:val="center"/>
                </w:tcPr>
                <w:p>
                  <w:pPr>
                    <w:pStyle w:val="40"/>
                  </w:pPr>
                </w:p>
              </w:tc>
              <w:tc>
                <w:tcPr>
                  <w:tcW w:w="886" w:type="pct"/>
                  <w:noWrap/>
                  <w:vAlign w:val="center"/>
                </w:tcPr>
                <w:p>
                  <w:pPr>
                    <w:pStyle w:val="40"/>
                  </w:pPr>
                  <w:r>
                    <w:rPr>
                      <w:rFonts w:hint="eastAsia"/>
                    </w:rPr>
                    <w:t>下陶村</w:t>
                  </w:r>
                </w:p>
              </w:tc>
              <w:tc>
                <w:tcPr>
                  <w:tcW w:w="311" w:type="pct"/>
                  <w:noWrap/>
                  <w:vAlign w:val="center"/>
                </w:tcPr>
                <w:p>
                  <w:pPr>
                    <w:pStyle w:val="40"/>
                  </w:pPr>
                  <w:r>
                    <w:rPr>
                      <w:rFonts w:hint="eastAsia"/>
                    </w:rPr>
                    <w:t>W</w:t>
                  </w:r>
                </w:p>
              </w:tc>
              <w:tc>
                <w:tcPr>
                  <w:tcW w:w="402" w:type="pct"/>
                  <w:noWrap/>
                  <w:vAlign w:val="center"/>
                </w:tcPr>
                <w:p>
                  <w:pPr>
                    <w:pStyle w:val="40"/>
                  </w:pPr>
                  <w:r>
                    <w:rPr>
                      <w:rFonts w:hint="eastAsia"/>
                    </w:rPr>
                    <w:t>117.043075</w:t>
                  </w:r>
                </w:p>
              </w:tc>
              <w:tc>
                <w:tcPr>
                  <w:tcW w:w="410" w:type="pct"/>
                  <w:noWrap/>
                  <w:vAlign w:val="center"/>
                </w:tcPr>
                <w:p>
                  <w:pPr>
                    <w:pStyle w:val="40"/>
                  </w:pPr>
                  <w:r>
                    <w:rPr>
                      <w:rFonts w:hint="eastAsia"/>
                    </w:rPr>
                    <w:t>32.669837</w:t>
                  </w:r>
                </w:p>
              </w:tc>
              <w:tc>
                <w:tcPr>
                  <w:tcW w:w="484" w:type="pct"/>
                  <w:noWrap/>
                  <w:vAlign w:val="center"/>
                </w:tcPr>
                <w:p>
                  <w:pPr>
                    <w:pStyle w:val="40"/>
                  </w:pPr>
                  <w:r>
                    <w:rPr>
                      <w:rFonts w:hint="eastAsia"/>
                    </w:rPr>
                    <w:t>1800m</w:t>
                  </w:r>
                </w:p>
              </w:tc>
              <w:tc>
                <w:tcPr>
                  <w:tcW w:w="779" w:type="pct"/>
                  <w:noWrap/>
                  <w:vAlign w:val="center"/>
                </w:tcPr>
                <w:p>
                  <w:pPr>
                    <w:pStyle w:val="40"/>
                  </w:pPr>
                  <w:r>
                    <w:rPr>
                      <w:rFonts w:hint="eastAsia"/>
                    </w:rPr>
                    <w:t>约300人</w:t>
                  </w:r>
                </w:p>
              </w:tc>
              <w:tc>
                <w:tcPr>
                  <w:tcW w:w="1347" w:type="pct"/>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continue"/>
                  <w:noWrap/>
                  <w:vAlign w:val="center"/>
                </w:tcPr>
                <w:p>
                  <w:pPr>
                    <w:pStyle w:val="40"/>
                  </w:pPr>
                </w:p>
              </w:tc>
              <w:tc>
                <w:tcPr>
                  <w:tcW w:w="886" w:type="pct"/>
                  <w:noWrap/>
                  <w:vAlign w:val="center"/>
                </w:tcPr>
                <w:p>
                  <w:pPr>
                    <w:pStyle w:val="40"/>
                  </w:pPr>
                  <w:r>
                    <w:rPr>
                      <w:rFonts w:hint="eastAsia"/>
                    </w:rPr>
                    <w:t>东城国际</w:t>
                  </w:r>
                </w:p>
              </w:tc>
              <w:tc>
                <w:tcPr>
                  <w:tcW w:w="311" w:type="pct"/>
                  <w:noWrap/>
                  <w:vAlign w:val="center"/>
                </w:tcPr>
                <w:p>
                  <w:pPr>
                    <w:pStyle w:val="40"/>
                  </w:pPr>
                  <w:r>
                    <w:rPr>
                      <w:rFonts w:hint="eastAsia"/>
                    </w:rPr>
                    <w:t>WS</w:t>
                  </w:r>
                </w:p>
              </w:tc>
              <w:tc>
                <w:tcPr>
                  <w:tcW w:w="402" w:type="pct"/>
                  <w:noWrap/>
                  <w:vAlign w:val="center"/>
                </w:tcPr>
                <w:p>
                  <w:pPr>
                    <w:pStyle w:val="40"/>
                  </w:pPr>
                  <w:r>
                    <w:rPr>
                      <w:rFonts w:hint="eastAsia"/>
                    </w:rPr>
                    <w:t>117.050920</w:t>
                  </w:r>
                </w:p>
              </w:tc>
              <w:tc>
                <w:tcPr>
                  <w:tcW w:w="410" w:type="pct"/>
                  <w:noWrap/>
                  <w:vAlign w:val="center"/>
                </w:tcPr>
                <w:p>
                  <w:pPr>
                    <w:pStyle w:val="40"/>
                  </w:pPr>
                  <w:r>
                    <w:rPr>
                      <w:rFonts w:hint="eastAsia"/>
                    </w:rPr>
                    <w:t>32.653539</w:t>
                  </w:r>
                </w:p>
              </w:tc>
              <w:tc>
                <w:tcPr>
                  <w:tcW w:w="484" w:type="pct"/>
                  <w:noWrap/>
                  <w:vAlign w:val="center"/>
                </w:tcPr>
                <w:p>
                  <w:pPr>
                    <w:pStyle w:val="40"/>
                  </w:pPr>
                  <w:r>
                    <w:rPr>
                      <w:rFonts w:hint="eastAsia"/>
                    </w:rPr>
                    <w:t>1850m</w:t>
                  </w:r>
                </w:p>
              </w:tc>
              <w:tc>
                <w:tcPr>
                  <w:tcW w:w="779" w:type="pct"/>
                  <w:noWrap/>
                  <w:vAlign w:val="center"/>
                </w:tcPr>
                <w:p>
                  <w:pPr>
                    <w:pStyle w:val="40"/>
                  </w:pPr>
                  <w:r>
                    <w:rPr>
                      <w:rFonts w:hint="eastAsia"/>
                    </w:rPr>
                    <w:t>约1500人</w:t>
                  </w:r>
                </w:p>
              </w:tc>
              <w:tc>
                <w:tcPr>
                  <w:tcW w:w="1347" w:type="pct"/>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continue"/>
                  <w:noWrap/>
                  <w:vAlign w:val="center"/>
                </w:tcPr>
                <w:p>
                  <w:pPr>
                    <w:pStyle w:val="40"/>
                  </w:pPr>
                </w:p>
              </w:tc>
              <w:tc>
                <w:tcPr>
                  <w:tcW w:w="886" w:type="pct"/>
                  <w:noWrap/>
                  <w:vAlign w:val="center"/>
                </w:tcPr>
                <w:p>
                  <w:pPr>
                    <w:pStyle w:val="40"/>
                  </w:pPr>
                  <w:r>
                    <w:rPr>
                      <w:rFonts w:hint="eastAsia"/>
                    </w:rPr>
                    <w:t>刘郢村</w:t>
                  </w:r>
                </w:p>
              </w:tc>
              <w:tc>
                <w:tcPr>
                  <w:tcW w:w="311" w:type="pct"/>
                  <w:noWrap/>
                  <w:vAlign w:val="center"/>
                </w:tcPr>
                <w:p>
                  <w:pPr>
                    <w:pStyle w:val="40"/>
                  </w:pPr>
                  <w:r>
                    <w:rPr>
                      <w:rFonts w:hint="eastAsia"/>
                    </w:rPr>
                    <w:t>E</w:t>
                  </w:r>
                </w:p>
              </w:tc>
              <w:tc>
                <w:tcPr>
                  <w:tcW w:w="402" w:type="pct"/>
                  <w:noWrap/>
                  <w:vAlign w:val="center"/>
                </w:tcPr>
                <w:p>
                  <w:pPr>
                    <w:pStyle w:val="40"/>
                  </w:pPr>
                  <w:r>
                    <w:rPr>
                      <w:rFonts w:hint="eastAsia"/>
                    </w:rPr>
                    <w:t>117.081733</w:t>
                  </w:r>
                </w:p>
              </w:tc>
              <w:tc>
                <w:tcPr>
                  <w:tcW w:w="410" w:type="pct"/>
                  <w:noWrap/>
                  <w:vAlign w:val="center"/>
                </w:tcPr>
                <w:p>
                  <w:pPr>
                    <w:pStyle w:val="40"/>
                  </w:pPr>
                  <w:r>
                    <w:rPr>
                      <w:rFonts w:hint="eastAsia"/>
                    </w:rPr>
                    <w:t>32.669351</w:t>
                  </w:r>
                </w:p>
              </w:tc>
              <w:tc>
                <w:tcPr>
                  <w:tcW w:w="484" w:type="pct"/>
                  <w:noWrap/>
                  <w:vAlign w:val="center"/>
                </w:tcPr>
                <w:p>
                  <w:pPr>
                    <w:pStyle w:val="40"/>
                  </w:pPr>
                  <w:r>
                    <w:rPr>
                      <w:rFonts w:hint="eastAsia"/>
                    </w:rPr>
                    <w:t>1500m</w:t>
                  </w:r>
                </w:p>
              </w:tc>
              <w:tc>
                <w:tcPr>
                  <w:tcW w:w="779" w:type="pct"/>
                  <w:noWrap/>
                  <w:vAlign w:val="center"/>
                </w:tcPr>
                <w:p>
                  <w:pPr>
                    <w:pStyle w:val="40"/>
                  </w:pPr>
                  <w:r>
                    <w:rPr>
                      <w:rFonts w:hint="eastAsia"/>
                    </w:rPr>
                    <w:t>约165人</w:t>
                  </w:r>
                </w:p>
              </w:tc>
              <w:tc>
                <w:tcPr>
                  <w:tcW w:w="1347" w:type="pct"/>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continue"/>
                  <w:noWrap/>
                  <w:vAlign w:val="center"/>
                </w:tcPr>
                <w:p>
                  <w:pPr>
                    <w:pStyle w:val="40"/>
                  </w:pPr>
                </w:p>
              </w:tc>
              <w:tc>
                <w:tcPr>
                  <w:tcW w:w="886" w:type="pct"/>
                  <w:noWrap/>
                  <w:vAlign w:val="center"/>
                </w:tcPr>
                <w:p>
                  <w:pPr>
                    <w:pStyle w:val="40"/>
                  </w:pPr>
                  <w:r>
                    <w:rPr>
                      <w:rFonts w:hint="eastAsia"/>
                    </w:rPr>
                    <w:t>陈郢村</w:t>
                  </w:r>
                </w:p>
              </w:tc>
              <w:tc>
                <w:tcPr>
                  <w:tcW w:w="311" w:type="pct"/>
                  <w:noWrap/>
                  <w:vAlign w:val="center"/>
                </w:tcPr>
                <w:p>
                  <w:pPr>
                    <w:pStyle w:val="40"/>
                  </w:pPr>
                  <w:r>
                    <w:rPr>
                      <w:rFonts w:hint="eastAsia"/>
                    </w:rPr>
                    <w:t>N</w:t>
                  </w:r>
                </w:p>
              </w:tc>
              <w:tc>
                <w:tcPr>
                  <w:tcW w:w="402" w:type="pct"/>
                  <w:noWrap/>
                  <w:vAlign w:val="center"/>
                </w:tcPr>
                <w:p>
                  <w:pPr>
                    <w:pStyle w:val="40"/>
                  </w:pPr>
                  <w:r>
                    <w:rPr>
                      <w:rFonts w:hint="eastAsia"/>
                    </w:rPr>
                    <w:t>117.066559</w:t>
                  </w:r>
                </w:p>
              </w:tc>
              <w:tc>
                <w:tcPr>
                  <w:tcW w:w="410" w:type="pct"/>
                  <w:noWrap/>
                  <w:vAlign w:val="center"/>
                </w:tcPr>
                <w:p>
                  <w:pPr>
                    <w:pStyle w:val="40"/>
                  </w:pPr>
                  <w:r>
                    <w:rPr>
                      <w:rFonts w:hint="eastAsia"/>
                    </w:rPr>
                    <w:t>32.679071</w:t>
                  </w:r>
                </w:p>
              </w:tc>
              <w:tc>
                <w:tcPr>
                  <w:tcW w:w="484" w:type="pct"/>
                  <w:noWrap/>
                  <w:vAlign w:val="center"/>
                </w:tcPr>
                <w:p>
                  <w:pPr>
                    <w:pStyle w:val="40"/>
                  </w:pPr>
                  <w:r>
                    <w:rPr>
                      <w:rFonts w:hint="eastAsia"/>
                    </w:rPr>
                    <w:t>1050m</w:t>
                  </w:r>
                </w:p>
              </w:tc>
              <w:tc>
                <w:tcPr>
                  <w:tcW w:w="779" w:type="pct"/>
                  <w:noWrap/>
                  <w:vAlign w:val="center"/>
                </w:tcPr>
                <w:p>
                  <w:pPr>
                    <w:pStyle w:val="40"/>
                  </w:pPr>
                  <w:r>
                    <w:rPr>
                      <w:rFonts w:hint="eastAsia"/>
                    </w:rPr>
                    <w:t>约300人</w:t>
                  </w:r>
                </w:p>
              </w:tc>
              <w:tc>
                <w:tcPr>
                  <w:tcW w:w="1347" w:type="pct"/>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continue"/>
                  <w:noWrap/>
                  <w:vAlign w:val="center"/>
                </w:tcPr>
                <w:p>
                  <w:pPr>
                    <w:pStyle w:val="40"/>
                  </w:pPr>
                </w:p>
              </w:tc>
              <w:tc>
                <w:tcPr>
                  <w:tcW w:w="886" w:type="pct"/>
                  <w:noWrap/>
                  <w:vAlign w:val="center"/>
                </w:tcPr>
                <w:p>
                  <w:pPr>
                    <w:pStyle w:val="40"/>
                  </w:pPr>
                  <w:r>
                    <w:rPr>
                      <w:rFonts w:hint="eastAsia"/>
                    </w:rPr>
                    <w:t>淮南十八中</w:t>
                  </w:r>
                </w:p>
              </w:tc>
              <w:tc>
                <w:tcPr>
                  <w:tcW w:w="311" w:type="pct"/>
                  <w:noWrap/>
                  <w:vAlign w:val="center"/>
                </w:tcPr>
                <w:p>
                  <w:pPr>
                    <w:pStyle w:val="40"/>
                  </w:pPr>
                  <w:r>
                    <w:rPr>
                      <w:rFonts w:hint="eastAsia"/>
                    </w:rPr>
                    <w:t>E</w:t>
                  </w:r>
                </w:p>
              </w:tc>
              <w:tc>
                <w:tcPr>
                  <w:tcW w:w="402" w:type="pct"/>
                  <w:noWrap/>
                  <w:vAlign w:val="center"/>
                </w:tcPr>
                <w:p>
                  <w:pPr>
                    <w:pStyle w:val="40"/>
                  </w:pPr>
                  <w:r>
                    <w:rPr>
                      <w:rFonts w:hint="eastAsia"/>
                    </w:rPr>
                    <w:t>117.078100</w:t>
                  </w:r>
                </w:p>
              </w:tc>
              <w:tc>
                <w:tcPr>
                  <w:tcW w:w="410" w:type="pct"/>
                  <w:noWrap/>
                  <w:vAlign w:val="center"/>
                </w:tcPr>
                <w:p>
                  <w:pPr>
                    <w:pStyle w:val="40"/>
                  </w:pPr>
                  <w:r>
                    <w:rPr>
                      <w:rFonts w:hint="eastAsia"/>
                    </w:rPr>
                    <w:t>32.665916</w:t>
                  </w:r>
                </w:p>
              </w:tc>
              <w:tc>
                <w:tcPr>
                  <w:tcW w:w="484" w:type="pct"/>
                  <w:noWrap/>
                  <w:vAlign w:val="center"/>
                </w:tcPr>
                <w:p>
                  <w:pPr>
                    <w:pStyle w:val="40"/>
                  </w:pPr>
                  <w:r>
                    <w:rPr>
                      <w:rFonts w:hint="eastAsia"/>
                    </w:rPr>
                    <w:t>1200m</w:t>
                  </w:r>
                </w:p>
              </w:tc>
              <w:tc>
                <w:tcPr>
                  <w:tcW w:w="779" w:type="pct"/>
                  <w:noWrap/>
                  <w:vAlign w:val="center"/>
                </w:tcPr>
                <w:p>
                  <w:pPr>
                    <w:pStyle w:val="40"/>
                  </w:pPr>
                  <w:r>
                    <w:rPr>
                      <w:rFonts w:hint="eastAsia"/>
                    </w:rPr>
                    <w:t>约130人</w:t>
                  </w:r>
                </w:p>
              </w:tc>
              <w:tc>
                <w:tcPr>
                  <w:tcW w:w="1347" w:type="pct"/>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noWrap/>
                  <w:vAlign w:val="center"/>
                </w:tcPr>
                <w:p>
                  <w:pPr>
                    <w:pStyle w:val="40"/>
                  </w:pPr>
                  <w:r>
                    <w:rPr>
                      <w:rFonts w:hint="eastAsia"/>
                    </w:rPr>
                    <w:t>地表水</w:t>
                  </w:r>
                </w:p>
              </w:tc>
              <w:tc>
                <w:tcPr>
                  <w:tcW w:w="886" w:type="pct"/>
                  <w:noWrap/>
                  <w:vAlign w:val="center"/>
                </w:tcPr>
                <w:p>
                  <w:pPr>
                    <w:pStyle w:val="40"/>
                  </w:pPr>
                  <w:r>
                    <w:rPr>
                      <w:rFonts w:hint="eastAsia"/>
                    </w:rPr>
                    <w:t>淮河</w:t>
                  </w:r>
                </w:p>
              </w:tc>
              <w:tc>
                <w:tcPr>
                  <w:tcW w:w="311" w:type="pct"/>
                  <w:noWrap/>
                  <w:vAlign w:val="center"/>
                </w:tcPr>
                <w:p>
                  <w:pPr>
                    <w:pStyle w:val="40"/>
                  </w:pPr>
                  <w:r>
                    <w:rPr>
                      <w:rFonts w:hint="eastAsia"/>
                    </w:rPr>
                    <w:t>N</w:t>
                  </w:r>
                </w:p>
              </w:tc>
              <w:tc>
                <w:tcPr>
                  <w:tcW w:w="402" w:type="pct"/>
                  <w:noWrap/>
                  <w:vAlign w:val="center"/>
                </w:tcPr>
                <w:p>
                  <w:pPr>
                    <w:pStyle w:val="40"/>
                  </w:pPr>
                  <w:r>
                    <w:rPr>
                      <w:rFonts w:hint="eastAsia"/>
                    </w:rPr>
                    <w:t>/</w:t>
                  </w:r>
                </w:p>
              </w:tc>
              <w:tc>
                <w:tcPr>
                  <w:tcW w:w="410" w:type="pct"/>
                  <w:noWrap/>
                  <w:vAlign w:val="center"/>
                </w:tcPr>
                <w:p>
                  <w:pPr>
                    <w:pStyle w:val="40"/>
                  </w:pPr>
                  <w:r>
                    <w:rPr>
                      <w:rFonts w:hint="eastAsia"/>
                    </w:rPr>
                    <w:t>/</w:t>
                  </w:r>
                </w:p>
              </w:tc>
              <w:tc>
                <w:tcPr>
                  <w:tcW w:w="484" w:type="pct"/>
                  <w:noWrap/>
                  <w:vAlign w:val="center"/>
                </w:tcPr>
                <w:p>
                  <w:pPr>
                    <w:pStyle w:val="40"/>
                  </w:pPr>
                  <w:r>
                    <w:rPr>
                      <w:rFonts w:hint="eastAsia"/>
                    </w:rPr>
                    <w:t>2100m</w:t>
                  </w:r>
                </w:p>
              </w:tc>
              <w:tc>
                <w:tcPr>
                  <w:tcW w:w="779" w:type="pct"/>
                  <w:noWrap/>
                  <w:vAlign w:val="center"/>
                </w:tcPr>
                <w:p>
                  <w:pPr>
                    <w:pStyle w:val="40"/>
                  </w:pPr>
                  <w:r>
                    <w:rPr>
                      <w:rFonts w:hint="eastAsia"/>
                    </w:rPr>
                    <w:t>大型河流</w:t>
                  </w:r>
                </w:p>
              </w:tc>
              <w:tc>
                <w:tcPr>
                  <w:tcW w:w="1347" w:type="pct"/>
                  <w:noWrap/>
                  <w:vAlign w:val="center"/>
                </w:tcPr>
                <w:p>
                  <w:pPr>
                    <w:pStyle w:val="40"/>
                  </w:pPr>
                  <w:r>
                    <w:rPr>
                      <w:rFonts w:hint="eastAsia"/>
                    </w:rPr>
                    <w:t>《地表水环境质量标准》</w:t>
                  </w:r>
                </w:p>
                <w:p>
                  <w:pPr>
                    <w:pStyle w:val="40"/>
                  </w:pPr>
                  <w:r>
                    <w:rPr>
                      <w:rFonts w:hint="eastAsia"/>
                    </w:rPr>
                    <w:t>(GB3838-2002)Ⅲ类标准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noWrap/>
                  <w:vAlign w:val="center"/>
                </w:tcPr>
                <w:p>
                  <w:pPr>
                    <w:pStyle w:val="40"/>
                  </w:pPr>
                  <w:r>
                    <w:rPr>
                      <w:rFonts w:hint="eastAsia"/>
                    </w:rPr>
                    <w:t>声环境</w:t>
                  </w:r>
                </w:p>
              </w:tc>
              <w:tc>
                <w:tcPr>
                  <w:tcW w:w="886" w:type="pct"/>
                  <w:noWrap/>
                  <w:vAlign w:val="center"/>
                </w:tcPr>
                <w:p>
                  <w:pPr>
                    <w:pStyle w:val="40"/>
                  </w:pPr>
                  <w:r>
                    <w:rPr>
                      <w:rFonts w:hint="eastAsia"/>
                    </w:rPr>
                    <w:t>厂界四周</w:t>
                  </w:r>
                </w:p>
              </w:tc>
              <w:tc>
                <w:tcPr>
                  <w:tcW w:w="311" w:type="pct"/>
                  <w:noWrap/>
                  <w:vAlign w:val="center"/>
                </w:tcPr>
                <w:p>
                  <w:pPr>
                    <w:pStyle w:val="40"/>
                  </w:pPr>
                  <w:r>
                    <w:rPr>
                      <w:rFonts w:hint="eastAsia"/>
                    </w:rPr>
                    <w:t>/</w:t>
                  </w:r>
                </w:p>
              </w:tc>
              <w:tc>
                <w:tcPr>
                  <w:tcW w:w="812" w:type="pct"/>
                  <w:gridSpan w:val="2"/>
                  <w:noWrap/>
                  <w:vAlign w:val="center"/>
                </w:tcPr>
                <w:p>
                  <w:pPr>
                    <w:pStyle w:val="40"/>
                  </w:pPr>
                  <w:r>
                    <w:rPr>
                      <w:rFonts w:hint="eastAsia"/>
                    </w:rPr>
                    <w:t>/</w:t>
                  </w:r>
                </w:p>
              </w:tc>
              <w:tc>
                <w:tcPr>
                  <w:tcW w:w="484" w:type="pct"/>
                  <w:noWrap/>
                  <w:vAlign w:val="center"/>
                </w:tcPr>
                <w:p>
                  <w:pPr>
                    <w:pStyle w:val="40"/>
                  </w:pPr>
                  <w:r>
                    <w:rPr>
                      <w:rFonts w:hint="eastAsia"/>
                    </w:rPr>
                    <w:t>/</w:t>
                  </w:r>
                </w:p>
              </w:tc>
              <w:tc>
                <w:tcPr>
                  <w:tcW w:w="779" w:type="pct"/>
                  <w:noWrap/>
                  <w:vAlign w:val="center"/>
                </w:tcPr>
                <w:p>
                  <w:pPr>
                    <w:pStyle w:val="40"/>
                  </w:pPr>
                  <w:r>
                    <w:rPr>
                      <w:rFonts w:hint="eastAsia"/>
                    </w:rPr>
                    <w:t>/</w:t>
                  </w:r>
                </w:p>
              </w:tc>
              <w:tc>
                <w:tcPr>
                  <w:tcW w:w="1347" w:type="pct"/>
                  <w:noWrap/>
                  <w:vAlign w:val="center"/>
                </w:tcPr>
                <w:p>
                  <w:pPr>
                    <w:pStyle w:val="40"/>
                  </w:pPr>
                  <w:r>
                    <w:rPr>
                      <w:rFonts w:hint="eastAsia"/>
                    </w:rPr>
                    <w:t>《声环境质量标准》</w:t>
                  </w:r>
                </w:p>
                <w:p>
                  <w:pPr>
                    <w:pStyle w:val="40"/>
                  </w:pPr>
                  <w:r>
                    <w:rPr>
                      <w:rFonts w:hint="eastAsia"/>
                    </w:rPr>
                    <w:t>(GB3096-2008)3类区标准</w:t>
                  </w:r>
                </w:p>
              </w:tc>
            </w:tr>
          </w:tbl>
          <w:p>
            <w:pPr>
              <w:pStyle w:val="10"/>
            </w:pPr>
          </w:p>
          <w:p/>
          <w:p>
            <w:pPr>
              <w:pStyle w:val="14"/>
              <w:ind w:firstLine="560"/>
            </w:pPr>
          </w:p>
          <w:p/>
          <w:p>
            <w:pPr>
              <w:pStyle w:val="14"/>
              <w:ind w:firstLine="560"/>
            </w:pPr>
          </w:p>
          <w:p/>
          <w:p>
            <w:pPr>
              <w:pStyle w:val="14"/>
              <w:ind w:firstLine="560"/>
            </w:pPr>
          </w:p>
          <w:p>
            <w:pPr>
              <w:pStyle w:val="14"/>
              <w:ind w:firstLine="0" w:firstLineChars="0"/>
            </w:pPr>
          </w:p>
          <w:p/>
          <w:p>
            <w:pPr>
              <w:pStyle w:val="18"/>
            </w:pPr>
          </w:p>
          <w:p>
            <w:pPr>
              <w:pStyle w:val="19"/>
            </w:pPr>
          </w:p>
          <w:p>
            <w:pPr>
              <w:pStyle w:val="19"/>
            </w:pPr>
          </w:p>
          <w:p>
            <w:pPr>
              <w:pStyle w:val="19"/>
            </w:pPr>
          </w:p>
          <w:p>
            <w:pPr>
              <w:pStyle w:val="19"/>
            </w:pPr>
          </w:p>
          <w:p>
            <w:pPr>
              <w:pStyle w:val="19"/>
            </w:pPr>
          </w:p>
          <w:p>
            <w:pPr>
              <w:pStyle w:val="19"/>
              <w:ind w:left="0" w:leftChars="0" w:firstLine="0" w:firstLineChars="0"/>
            </w:pPr>
          </w:p>
        </w:tc>
      </w:tr>
    </w:tbl>
    <w:p>
      <w:pPr>
        <w:outlineLvl w:val="0"/>
        <w:rPr>
          <w:rStyle w:val="51"/>
        </w:rPr>
      </w:pPr>
      <w:r>
        <w:rPr>
          <w:rFonts w:hint="eastAsia"/>
        </w:rPr>
        <w:br w:type="page"/>
      </w:r>
      <w:r>
        <w:rPr>
          <w:rStyle w:val="51"/>
          <w:rFonts w:hint="eastAsia"/>
        </w:rPr>
        <w:t>四、评价适用标准</w:t>
      </w:r>
    </w:p>
    <w:tbl>
      <w:tblPr>
        <w:tblStyle w:val="23"/>
        <w:tblW w:w="9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9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3" w:hRule="atLeast"/>
          <w:jc w:val="center"/>
        </w:trPr>
        <w:tc>
          <w:tcPr>
            <w:tcW w:w="440" w:type="dxa"/>
            <w:noWrap/>
            <w:vAlign w:val="center"/>
          </w:tcPr>
          <w:p>
            <w:pPr>
              <w:pStyle w:val="40"/>
            </w:pPr>
            <w:r>
              <w:rPr>
                <w:rFonts w:hint="eastAsia"/>
              </w:rPr>
              <w:t>环</w:t>
            </w:r>
          </w:p>
          <w:p>
            <w:pPr>
              <w:pStyle w:val="40"/>
            </w:pPr>
            <w:r>
              <w:rPr>
                <w:rFonts w:hint="eastAsia"/>
              </w:rPr>
              <w:t>境</w:t>
            </w:r>
          </w:p>
          <w:p>
            <w:pPr>
              <w:pStyle w:val="40"/>
            </w:pPr>
            <w:r>
              <w:rPr>
                <w:rFonts w:hint="eastAsia"/>
              </w:rPr>
              <w:t>质</w:t>
            </w:r>
          </w:p>
          <w:p>
            <w:pPr>
              <w:pStyle w:val="40"/>
            </w:pPr>
            <w:r>
              <w:rPr>
                <w:rFonts w:hint="eastAsia"/>
              </w:rPr>
              <w:t>量</w:t>
            </w:r>
          </w:p>
          <w:p>
            <w:pPr>
              <w:pStyle w:val="40"/>
            </w:pPr>
            <w:r>
              <w:rPr>
                <w:rFonts w:hint="eastAsia"/>
              </w:rPr>
              <w:t>标</w:t>
            </w:r>
          </w:p>
          <w:p>
            <w:pPr>
              <w:pStyle w:val="40"/>
              <w:rPr>
                <w:rFonts w:ascii="仿宋" w:hAnsi="仿宋" w:eastAsia="仿宋" w:cs="仿宋"/>
                <w:color w:val="FF0000"/>
                <w:szCs w:val="28"/>
              </w:rPr>
            </w:pPr>
            <w:r>
              <w:rPr>
                <w:rFonts w:hint="eastAsia"/>
              </w:rPr>
              <w:t>准</w:t>
            </w:r>
          </w:p>
        </w:tc>
        <w:tc>
          <w:tcPr>
            <w:tcW w:w="9056" w:type="dxa"/>
            <w:noWrap/>
          </w:tcPr>
          <w:p>
            <w:pPr>
              <w:pStyle w:val="4"/>
            </w:pPr>
            <w:r>
              <w:rPr>
                <w:rFonts w:hint="eastAsia"/>
              </w:rPr>
              <w:t>一、</w:t>
            </w:r>
            <w:r>
              <w:t>环境空气质量标准</w:t>
            </w:r>
          </w:p>
          <w:p>
            <w:pPr>
              <w:pStyle w:val="5"/>
            </w:pPr>
            <w:r>
              <w:t>按淮南市环境空气质量功能区分类，该区域属二类区，应执行《环境空气质量标准》（GB3095-2012）中的二级标准</w:t>
            </w:r>
            <w:r>
              <w:rPr>
                <w:rFonts w:hint="eastAsia"/>
              </w:rPr>
              <w:t>，</w:t>
            </w:r>
            <w:r>
              <w:t>环境空气质量标准限值详见</w:t>
            </w:r>
            <w:r>
              <w:rPr>
                <w:rFonts w:hint="eastAsia"/>
              </w:rPr>
              <w:t>下</w:t>
            </w:r>
            <w:r>
              <w:t>表</w:t>
            </w:r>
          </w:p>
          <w:p>
            <w:pPr>
              <w:pStyle w:val="29"/>
              <w:spacing w:before="65" w:after="65"/>
            </w:pPr>
            <w:r>
              <w:rPr>
                <w:rFonts w:hint="eastAsia"/>
              </w:rPr>
              <w:t>表4-1 环境空气质量标准</w:t>
            </w:r>
          </w:p>
          <w:tbl>
            <w:tblPr>
              <w:tblStyle w:val="23"/>
              <w:tblW w:w="8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474"/>
              <w:gridCol w:w="1134"/>
              <w:gridCol w:w="1134"/>
              <w:gridCol w:w="1418"/>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03" w:type="dxa"/>
                  <w:vMerge w:val="restart"/>
                  <w:noWrap/>
                  <w:vAlign w:val="center"/>
                </w:tcPr>
                <w:p>
                  <w:pPr>
                    <w:pStyle w:val="40"/>
                  </w:pPr>
                  <w:r>
                    <w:t>污染物名称</w:t>
                  </w:r>
                </w:p>
              </w:tc>
              <w:tc>
                <w:tcPr>
                  <w:tcW w:w="5160" w:type="dxa"/>
                  <w:gridSpan w:val="4"/>
                  <w:noWrap/>
                  <w:vAlign w:val="center"/>
                </w:tcPr>
                <w:p>
                  <w:pPr>
                    <w:pStyle w:val="40"/>
                  </w:pPr>
                  <w:r>
                    <w:t>二级标准浓度限值（mg/</w:t>
                  </w:r>
                  <w:r>
                    <w:rPr>
                      <w:highlight w:val="none"/>
                    </w:rPr>
                    <w:t>m</w:t>
                  </w:r>
                  <w:r>
                    <w:rPr>
                      <w:highlight w:val="none"/>
                      <w:vertAlign w:val="superscript"/>
                    </w:rPr>
                    <w:t>3</w:t>
                  </w:r>
                  <w:r>
                    <w:t>）</w:t>
                  </w:r>
                </w:p>
              </w:tc>
              <w:tc>
                <w:tcPr>
                  <w:tcW w:w="2300" w:type="dxa"/>
                  <w:vMerge w:val="restart"/>
                  <w:noWrap/>
                  <w:vAlign w:val="center"/>
                </w:tcPr>
                <w:p>
                  <w:pPr>
                    <w:pStyle w:val="40"/>
                  </w:pPr>
                  <w: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03" w:type="dxa"/>
                  <w:vMerge w:val="continue"/>
                  <w:noWrap/>
                  <w:vAlign w:val="center"/>
                </w:tcPr>
                <w:p>
                  <w:pPr>
                    <w:pStyle w:val="40"/>
                  </w:pPr>
                </w:p>
              </w:tc>
              <w:tc>
                <w:tcPr>
                  <w:tcW w:w="1474" w:type="dxa"/>
                  <w:noWrap/>
                  <w:vAlign w:val="center"/>
                </w:tcPr>
                <w:p>
                  <w:pPr>
                    <w:pStyle w:val="40"/>
                  </w:pPr>
                  <w:r>
                    <w:t>1小时平均</w:t>
                  </w:r>
                </w:p>
              </w:tc>
              <w:tc>
                <w:tcPr>
                  <w:tcW w:w="1134" w:type="dxa"/>
                  <w:noWrap/>
                  <w:vAlign w:val="center"/>
                </w:tcPr>
                <w:p>
                  <w:pPr>
                    <w:pStyle w:val="40"/>
                  </w:pPr>
                  <w:r>
                    <w:t>日平均</w:t>
                  </w:r>
                </w:p>
              </w:tc>
              <w:tc>
                <w:tcPr>
                  <w:tcW w:w="1134" w:type="dxa"/>
                  <w:tcBorders>
                    <w:bottom w:val="single" w:color="auto" w:sz="4" w:space="0"/>
                  </w:tcBorders>
                  <w:noWrap/>
                  <w:vAlign w:val="center"/>
                </w:tcPr>
                <w:p>
                  <w:pPr>
                    <w:pStyle w:val="40"/>
                  </w:pPr>
                  <w:r>
                    <w:t>年平均</w:t>
                  </w:r>
                </w:p>
              </w:tc>
              <w:tc>
                <w:tcPr>
                  <w:tcW w:w="1418" w:type="dxa"/>
                  <w:tcBorders>
                    <w:bottom w:val="single" w:color="auto" w:sz="4" w:space="0"/>
                  </w:tcBorders>
                  <w:noWrap/>
                  <w:vAlign w:val="center"/>
                </w:tcPr>
                <w:p>
                  <w:pPr>
                    <w:pStyle w:val="40"/>
                  </w:pPr>
                  <w:r>
                    <w:t>日最大8小时平均</w:t>
                  </w:r>
                </w:p>
              </w:tc>
              <w:tc>
                <w:tcPr>
                  <w:tcW w:w="2300" w:type="dxa"/>
                  <w:vMerge w:val="continue"/>
                  <w:tcBorders>
                    <w:bottom w:val="single" w:color="auto" w:sz="4" w:space="0"/>
                  </w:tcBorders>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03" w:type="dxa"/>
                  <w:noWrap/>
                  <w:vAlign w:val="center"/>
                </w:tcPr>
                <w:p>
                  <w:pPr>
                    <w:pStyle w:val="40"/>
                  </w:pPr>
                  <w:r>
                    <w:t>SO</w:t>
                  </w:r>
                  <w:r>
                    <w:rPr>
                      <w:vertAlign w:val="subscript"/>
                    </w:rPr>
                    <w:t>2</w:t>
                  </w:r>
                </w:p>
              </w:tc>
              <w:tc>
                <w:tcPr>
                  <w:tcW w:w="1474" w:type="dxa"/>
                  <w:noWrap/>
                  <w:vAlign w:val="center"/>
                </w:tcPr>
                <w:p>
                  <w:pPr>
                    <w:pStyle w:val="40"/>
                  </w:pPr>
                  <w:r>
                    <w:t>0.50</w:t>
                  </w:r>
                </w:p>
              </w:tc>
              <w:tc>
                <w:tcPr>
                  <w:tcW w:w="1134" w:type="dxa"/>
                  <w:noWrap/>
                  <w:vAlign w:val="center"/>
                </w:tcPr>
                <w:p>
                  <w:pPr>
                    <w:pStyle w:val="40"/>
                  </w:pPr>
                  <w:r>
                    <w:t>0.15</w:t>
                  </w:r>
                </w:p>
              </w:tc>
              <w:tc>
                <w:tcPr>
                  <w:tcW w:w="1134" w:type="dxa"/>
                  <w:noWrap/>
                  <w:vAlign w:val="center"/>
                </w:tcPr>
                <w:p>
                  <w:pPr>
                    <w:pStyle w:val="40"/>
                  </w:pPr>
                  <w:r>
                    <w:t>0.06</w:t>
                  </w:r>
                </w:p>
              </w:tc>
              <w:tc>
                <w:tcPr>
                  <w:tcW w:w="1418" w:type="dxa"/>
                  <w:noWrap/>
                  <w:vAlign w:val="center"/>
                </w:tcPr>
                <w:p>
                  <w:pPr>
                    <w:pStyle w:val="40"/>
                  </w:pPr>
                  <w:r>
                    <w:t>/</w:t>
                  </w:r>
                </w:p>
              </w:tc>
              <w:tc>
                <w:tcPr>
                  <w:tcW w:w="2300" w:type="dxa"/>
                  <w:vMerge w:val="restart"/>
                  <w:noWrap/>
                  <w:vAlign w:val="center"/>
                </w:tcPr>
                <w:p>
                  <w:pPr>
                    <w:pStyle w:val="40"/>
                  </w:pPr>
                  <w:r>
                    <w:t>《环境空气质量标准》</w:t>
                  </w:r>
                </w:p>
                <w:p>
                  <w:pPr>
                    <w:pStyle w:val="40"/>
                  </w:pPr>
                  <w:r>
                    <w:t>（GB3095-2012）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03" w:type="dxa"/>
                  <w:noWrap/>
                  <w:vAlign w:val="center"/>
                </w:tcPr>
                <w:p>
                  <w:pPr>
                    <w:pStyle w:val="40"/>
                  </w:pPr>
                  <w:r>
                    <w:t>NO</w:t>
                  </w:r>
                  <w:r>
                    <w:rPr>
                      <w:vertAlign w:val="subscript"/>
                    </w:rPr>
                    <w:t>2</w:t>
                  </w:r>
                </w:p>
              </w:tc>
              <w:tc>
                <w:tcPr>
                  <w:tcW w:w="1474" w:type="dxa"/>
                  <w:noWrap/>
                  <w:vAlign w:val="center"/>
                </w:tcPr>
                <w:p>
                  <w:pPr>
                    <w:pStyle w:val="40"/>
                  </w:pPr>
                  <w:r>
                    <w:t>0.20</w:t>
                  </w:r>
                </w:p>
              </w:tc>
              <w:tc>
                <w:tcPr>
                  <w:tcW w:w="1134" w:type="dxa"/>
                  <w:noWrap/>
                  <w:vAlign w:val="center"/>
                </w:tcPr>
                <w:p>
                  <w:pPr>
                    <w:pStyle w:val="40"/>
                  </w:pPr>
                  <w:r>
                    <w:t>0.08</w:t>
                  </w:r>
                </w:p>
              </w:tc>
              <w:tc>
                <w:tcPr>
                  <w:tcW w:w="1134" w:type="dxa"/>
                  <w:noWrap/>
                  <w:vAlign w:val="center"/>
                </w:tcPr>
                <w:p>
                  <w:pPr>
                    <w:pStyle w:val="40"/>
                  </w:pPr>
                  <w:r>
                    <w:t>0.04</w:t>
                  </w:r>
                </w:p>
              </w:tc>
              <w:tc>
                <w:tcPr>
                  <w:tcW w:w="1418" w:type="dxa"/>
                  <w:noWrap/>
                  <w:vAlign w:val="center"/>
                </w:tcPr>
                <w:p>
                  <w:pPr>
                    <w:pStyle w:val="40"/>
                  </w:pPr>
                  <w:r>
                    <w:t>/</w:t>
                  </w:r>
                </w:p>
              </w:tc>
              <w:tc>
                <w:tcPr>
                  <w:tcW w:w="2300" w:type="dxa"/>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03" w:type="dxa"/>
                  <w:noWrap/>
                  <w:vAlign w:val="center"/>
                </w:tcPr>
                <w:p>
                  <w:pPr>
                    <w:pStyle w:val="40"/>
                  </w:pPr>
                  <w:r>
                    <w:t>PM</w:t>
                  </w:r>
                  <w:r>
                    <w:rPr>
                      <w:vertAlign w:val="subscript"/>
                    </w:rPr>
                    <w:t>2.5</w:t>
                  </w:r>
                </w:p>
              </w:tc>
              <w:tc>
                <w:tcPr>
                  <w:tcW w:w="1474" w:type="dxa"/>
                  <w:noWrap/>
                  <w:vAlign w:val="center"/>
                </w:tcPr>
                <w:p>
                  <w:pPr>
                    <w:pStyle w:val="40"/>
                  </w:pPr>
                  <w:r>
                    <w:t>/</w:t>
                  </w:r>
                </w:p>
              </w:tc>
              <w:tc>
                <w:tcPr>
                  <w:tcW w:w="1134" w:type="dxa"/>
                  <w:noWrap/>
                  <w:vAlign w:val="center"/>
                </w:tcPr>
                <w:p>
                  <w:pPr>
                    <w:pStyle w:val="40"/>
                  </w:pPr>
                  <w:r>
                    <w:t>0.075</w:t>
                  </w:r>
                </w:p>
              </w:tc>
              <w:tc>
                <w:tcPr>
                  <w:tcW w:w="1134" w:type="dxa"/>
                  <w:noWrap/>
                  <w:vAlign w:val="center"/>
                </w:tcPr>
                <w:p>
                  <w:pPr>
                    <w:pStyle w:val="40"/>
                  </w:pPr>
                  <w:r>
                    <w:t>0.035</w:t>
                  </w:r>
                </w:p>
              </w:tc>
              <w:tc>
                <w:tcPr>
                  <w:tcW w:w="1418" w:type="dxa"/>
                  <w:noWrap/>
                  <w:vAlign w:val="center"/>
                </w:tcPr>
                <w:p>
                  <w:pPr>
                    <w:pStyle w:val="40"/>
                  </w:pPr>
                  <w:r>
                    <w:t>/</w:t>
                  </w:r>
                </w:p>
              </w:tc>
              <w:tc>
                <w:tcPr>
                  <w:tcW w:w="2300" w:type="dxa"/>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03" w:type="dxa"/>
                  <w:noWrap/>
                  <w:vAlign w:val="center"/>
                </w:tcPr>
                <w:p>
                  <w:pPr>
                    <w:pStyle w:val="40"/>
                  </w:pPr>
                  <w:r>
                    <w:t>PM</w:t>
                  </w:r>
                  <w:r>
                    <w:rPr>
                      <w:vertAlign w:val="subscript"/>
                    </w:rPr>
                    <w:t>10</w:t>
                  </w:r>
                </w:p>
              </w:tc>
              <w:tc>
                <w:tcPr>
                  <w:tcW w:w="1474" w:type="dxa"/>
                  <w:noWrap/>
                  <w:vAlign w:val="center"/>
                </w:tcPr>
                <w:p>
                  <w:pPr>
                    <w:pStyle w:val="40"/>
                  </w:pPr>
                  <w:r>
                    <w:t>/</w:t>
                  </w:r>
                </w:p>
              </w:tc>
              <w:tc>
                <w:tcPr>
                  <w:tcW w:w="1134" w:type="dxa"/>
                  <w:noWrap/>
                  <w:vAlign w:val="center"/>
                </w:tcPr>
                <w:p>
                  <w:pPr>
                    <w:pStyle w:val="40"/>
                  </w:pPr>
                  <w:r>
                    <w:t>0.15</w:t>
                  </w:r>
                </w:p>
              </w:tc>
              <w:tc>
                <w:tcPr>
                  <w:tcW w:w="1134" w:type="dxa"/>
                  <w:noWrap/>
                  <w:vAlign w:val="center"/>
                </w:tcPr>
                <w:p>
                  <w:pPr>
                    <w:pStyle w:val="40"/>
                  </w:pPr>
                  <w:r>
                    <w:t>0.07</w:t>
                  </w:r>
                </w:p>
              </w:tc>
              <w:tc>
                <w:tcPr>
                  <w:tcW w:w="1418" w:type="dxa"/>
                  <w:noWrap/>
                  <w:vAlign w:val="center"/>
                </w:tcPr>
                <w:p>
                  <w:pPr>
                    <w:pStyle w:val="40"/>
                  </w:pPr>
                  <w:r>
                    <w:t>/</w:t>
                  </w:r>
                </w:p>
              </w:tc>
              <w:tc>
                <w:tcPr>
                  <w:tcW w:w="2300" w:type="dxa"/>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03" w:type="dxa"/>
                  <w:noWrap/>
                  <w:vAlign w:val="center"/>
                </w:tcPr>
                <w:p>
                  <w:pPr>
                    <w:pStyle w:val="40"/>
                  </w:pPr>
                  <w:r>
                    <w:t>TSP</w:t>
                  </w:r>
                </w:p>
              </w:tc>
              <w:tc>
                <w:tcPr>
                  <w:tcW w:w="1474" w:type="dxa"/>
                  <w:noWrap/>
                  <w:vAlign w:val="center"/>
                </w:tcPr>
                <w:p>
                  <w:pPr>
                    <w:pStyle w:val="40"/>
                  </w:pPr>
                  <w:r>
                    <w:t>/</w:t>
                  </w:r>
                </w:p>
              </w:tc>
              <w:tc>
                <w:tcPr>
                  <w:tcW w:w="1134" w:type="dxa"/>
                  <w:noWrap/>
                  <w:vAlign w:val="center"/>
                </w:tcPr>
                <w:p>
                  <w:pPr>
                    <w:pStyle w:val="40"/>
                  </w:pPr>
                  <w:r>
                    <w:t>0.30</w:t>
                  </w:r>
                </w:p>
              </w:tc>
              <w:tc>
                <w:tcPr>
                  <w:tcW w:w="1134" w:type="dxa"/>
                  <w:noWrap/>
                  <w:vAlign w:val="center"/>
                </w:tcPr>
                <w:p>
                  <w:pPr>
                    <w:pStyle w:val="40"/>
                  </w:pPr>
                  <w:r>
                    <w:t>0.20</w:t>
                  </w:r>
                </w:p>
              </w:tc>
              <w:tc>
                <w:tcPr>
                  <w:tcW w:w="1418" w:type="dxa"/>
                  <w:noWrap/>
                  <w:vAlign w:val="center"/>
                </w:tcPr>
                <w:p>
                  <w:pPr>
                    <w:pStyle w:val="40"/>
                  </w:pPr>
                  <w:r>
                    <w:t>/</w:t>
                  </w:r>
                </w:p>
              </w:tc>
              <w:tc>
                <w:tcPr>
                  <w:tcW w:w="2300" w:type="dxa"/>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03" w:type="dxa"/>
                  <w:noWrap/>
                  <w:vAlign w:val="center"/>
                </w:tcPr>
                <w:p>
                  <w:pPr>
                    <w:pStyle w:val="40"/>
                  </w:pPr>
                  <w:r>
                    <w:t>CO</w:t>
                  </w:r>
                </w:p>
              </w:tc>
              <w:tc>
                <w:tcPr>
                  <w:tcW w:w="1474" w:type="dxa"/>
                  <w:noWrap/>
                  <w:vAlign w:val="center"/>
                </w:tcPr>
                <w:p>
                  <w:pPr>
                    <w:pStyle w:val="40"/>
                  </w:pPr>
                  <w:r>
                    <w:t>10</w:t>
                  </w:r>
                </w:p>
              </w:tc>
              <w:tc>
                <w:tcPr>
                  <w:tcW w:w="1134" w:type="dxa"/>
                  <w:noWrap/>
                  <w:vAlign w:val="center"/>
                </w:tcPr>
                <w:p>
                  <w:pPr>
                    <w:pStyle w:val="40"/>
                  </w:pPr>
                  <w:r>
                    <w:t>4</w:t>
                  </w:r>
                </w:p>
              </w:tc>
              <w:tc>
                <w:tcPr>
                  <w:tcW w:w="1134" w:type="dxa"/>
                  <w:noWrap/>
                  <w:vAlign w:val="center"/>
                </w:tcPr>
                <w:p>
                  <w:pPr>
                    <w:pStyle w:val="40"/>
                  </w:pPr>
                  <w:r>
                    <w:t>/</w:t>
                  </w:r>
                </w:p>
              </w:tc>
              <w:tc>
                <w:tcPr>
                  <w:tcW w:w="1418" w:type="dxa"/>
                  <w:noWrap/>
                  <w:vAlign w:val="center"/>
                </w:tcPr>
                <w:p>
                  <w:pPr>
                    <w:pStyle w:val="40"/>
                  </w:pPr>
                  <w:r>
                    <w:t>/</w:t>
                  </w:r>
                </w:p>
              </w:tc>
              <w:tc>
                <w:tcPr>
                  <w:tcW w:w="2300" w:type="dxa"/>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03" w:type="dxa"/>
                  <w:noWrap/>
                  <w:vAlign w:val="center"/>
                </w:tcPr>
                <w:p>
                  <w:pPr>
                    <w:pStyle w:val="40"/>
                  </w:pPr>
                  <w:r>
                    <w:t>O</w:t>
                  </w:r>
                  <w:r>
                    <w:rPr>
                      <w:vertAlign w:val="subscript"/>
                    </w:rPr>
                    <w:t>3</w:t>
                  </w:r>
                </w:p>
              </w:tc>
              <w:tc>
                <w:tcPr>
                  <w:tcW w:w="1474" w:type="dxa"/>
                  <w:noWrap/>
                  <w:vAlign w:val="center"/>
                </w:tcPr>
                <w:p>
                  <w:pPr>
                    <w:pStyle w:val="40"/>
                  </w:pPr>
                  <w:r>
                    <w:t>0.2</w:t>
                  </w:r>
                </w:p>
              </w:tc>
              <w:tc>
                <w:tcPr>
                  <w:tcW w:w="1134" w:type="dxa"/>
                  <w:noWrap/>
                  <w:vAlign w:val="center"/>
                </w:tcPr>
                <w:p>
                  <w:pPr>
                    <w:pStyle w:val="40"/>
                  </w:pPr>
                  <w:r>
                    <w:t>/</w:t>
                  </w:r>
                </w:p>
              </w:tc>
              <w:tc>
                <w:tcPr>
                  <w:tcW w:w="1134" w:type="dxa"/>
                  <w:noWrap/>
                  <w:vAlign w:val="center"/>
                </w:tcPr>
                <w:p>
                  <w:pPr>
                    <w:pStyle w:val="40"/>
                  </w:pPr>
                  <w:r>
                    <w:t>/</w:t>
                  </w:r>
                </w:p>
              </w:tc>
              <w:tc>
                <w:tcPr>
                  <w:tcW w:w="1418" w:type="dxa"/>
                  <w:noWrap/>
                  <w:vAlign w:val="center"/>
                </w:tcPr>
                <w:p>
                  <w:pPr>
                    <w:pStyle w:val="40"/>
                  </w:pPr>
                  <w:r>
                    <w:t>0.16</w:t>
                  </w:r>
                </w:p>
              </w:tc>
              <w:tc>
                <w:tcPr>
                  <w:tcW w:w="2300" w:type="dxa"/>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03" w:type="dxa"/>
                  <w:noWrap/>
                  <w:vAlign w:val="center"/>
                </w:tcPr>
                <w:p>
                  <w:pPr>
                    <w:pStyle w:val="40"/>
                  </w:pPr>
                  <w:r>
                    <w:rPr>
                      <w:rFonts w:hint="eastAsia"/>
                    </w:rPr>
                    <w:t>非甲烷总烃</w:t>
                  </w:r>
                </w:p>
              </w:tc>
              <w:tc>
                <w:tcPr>
                  <w:tcW w:w="1474" w:type="dxa"/>
                  <w:noWrap/>
                  <w:vAlign w:val="center"/>
                </w:tcPr>
                <w:p>
                  <w:pPr>
                    <w:pStyle w:val="40"/>
                  </w:pPr>
                  <w:r>
                    <w:rPr>
                      <w:rFonts w:hint="eastAsia"/>
                    </w:rPr>
                    <w:t>2</w:t>
                  </w:r>
                </w:p>
              </w:tc>
              <w:tc>
                <w:tcPr>
                  <w:tcW w:w="1134" w:type="dxa"/>
                  <w:noWrap/>
                  <w:vAlign w:val="center"/>
                </w:tcPr>
                <w:p>
                  <w:pPr>
                    <w:pStyle w:val="40"/>
                  </w:pPr>
                  <w:r>
                    <w:rPr>
                      <w:rFonts w:hint="eastAsia"/>
                    </w:rPr>
                    <w:t>/</w:t>
                  </w:r>
                </w:p>
              </w:tc>
              <w:tc>
                <w:tcPr>
                  <w:tcW w:w="1134" w:type="dxa"/>
                  <w:noWrap/>
                  <w:vAlign w:val="center"/>
                </w:tcPr>
                <w:p>
                  <w:pPr>
                    <w:pStyle w:val="40"/>
                  </w:pPr>
                  <w:r>
                    <w:rPr>
                      <w:rFonts w:hint="eastAsia"/>
                    </w:rPr>
                    <w:t>/</w:t>
                  </w:r>
                </w:p>
              </w:tc>
              <w:tc>
                <w:tcPr>
                  <w:tcW w:w="1418" w:type="dxa"/>
                  <w:noWrap/>
                  <w:vAlign w:val="center"/>
                </w:tcPr>
                <w:p>
                  <w:pPr>
                    <w:pStyle w:val="40"/>
                  </w:pPr>
                  <w:r>
                    <w:rPr>
                      <w:rFonts w:hint="eastAsia"/>
                    </w:rPr>
                    <w:t>/</w:t>
                  </w:r>
                </w:p>
              </w:tc>
              <w:tc>
                <w:tcPr>
                  <w:tcW w:w="2300" w:type="dxa"/>
                  <w:noWrap/>
                  <w:vAlign w:val="center"/>
                </w:tcPr>
                <w:p>
                  <w:pPr>
                    <w:pStyle w:val="40"/>
                  </w:pPr>
                  <w:r>
                    <w:rPr>
                      <w:rFonts w:hint="eastAsia"/>
                    </w:rPr>
                    <w:t>《大气污染物综合排放标准制定详解》（</w:t>
                  </w:r>
                  <w:r>
                    <w:t>GB16297-1996</w:t>
                  </w:r>
                  <w:r>
                    <w:rPr>
                      <w:rFonts w:hint="eastAsia"/>
                    </w:rPr>
                    <w:t>）</w:t>
                  </w:r>
                </w:p>
              </w:tc>
            </w:tr>
          </w:tbl>
          <w:p>
            <w:pPr>
              <w:pStyle w:val="4"/>
            </w:pPr>
            <w:r>
              <w:rPr>
                <w:rFonts w:hint="eastAsia"/>
              </w:rPr>
              <w:t>二、</w:t>
            </w:r>
            <w:r>
              <w:t>水环境质量标准</w:t>
            </w:r>
          </w:p>
          <w:p>
            <w:pPr>
              <w:pStyle w:val="5"/>
            </w:pPr>
            <w:r>
              <w:rPr>
                <w:rFonts w:hint="eastAsia"/>
              </w:rPr>
              <w:t>评价区域地表水淮河淮南段水质执行《地表水环境质量标准》（GB3838-2002）Ⅲ类标准</w:t>
            </w:r>
            <w:r>
              <w:t>，标准限值见</w:t>
            </w:r>
            <w:r>
              <w:rPr>
                <w:rFonts w:hint="eastAsia"/>
              </w:rPr>
              <w:t>下</w:t>
            </w:r>
            <w:r>
              <w:t>表</w:t>
            </w:r>
          </w:p>
          <w:p>
            <w:pPr>
              <w:pStyle w:val="29"/>
              <w:spacing w:before="65" w:after="65"/>
            </w:pPr>
            <w:r>
              <w:rPr>
                <w:rFonts w:hint="eastAsia"/>
              </w:rPr>
              <w:t>表4-2 地表水质量标准（Ⅲ类）</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2211"/>
              <w:gridCol w:w="2211"/>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11" w:type="dxa"/>
                  <w:noWrap/>
                  <w:vAlign w:val="center"/>
                </w:tcPr>
                <w:p>
                  <w:pPr>
                    <w:pStyle w:val="40"/>
                  </w:pPr>
                  <w:r>
                    <w:rPr>
                      <w:rFonts w:hint="eastAsia"/>
                    </w:rPr>
                    <w:t>监测项目</w:t>
                  </w:r>
                </w:p>
              </w:tc>
              <w:tc>
                <w:tcPr>
                  <w:tcW w:w="2211" w:type="dxa"/>
                  <w:noWrap/>
                  <w:vAlign w:val="center"/>
                </w:tcPr>
                <w:p>
                  <w:pPr>
                    <w:pStyle w:val="40"/>
                  </w:pPr>
                  <w:r>
                    <w:rPr>
                      <w:rFonts w:hint="eastAsia"/>
                    </w:rPr>
                    <w:t>Ⅲ类标准值</w:t>
                  </w:r>
                </w:p>
              </w:tc>
              <w:tc>
                <w:tcPr>
                  <w:tcW w:w="2211" w:type="dxa"/>
                  <w:noWrap/>
                  <w:vAlign w:val="center"/>
                </w:tcPr>
                <w:p>
                  <w:pPr>
                    <w:pStyle w:val="40"/>
                  </w:pPr>
                  <w:r>
                    <w:rPr>
                      <w:rFonts w:hint="eastAsia"/>
                    </w:rPr>
                    <w:t>监测项目</w:t>
                  </w:r>
                </w:p>
              </w:tc>
              <w:tc>
                <w:tcPr>
                  <w:tcW w:w="2211" w:type="dxa"/>
                  <w:noWrap/>
                  <w:vAlign w:val="center"/>
                </w:tcPr>
                <w:p>
                  <w:pPr>
                    <w:pStyle w:val="40"/>
                  </w:pPr>
                  <w:r>
                    <w:rPr>
                      <w:rFonts w:hint="eastAsia"/>
                    </w:rPr>
                    <w:t>Ⅲ类标准值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11" w:type="dxa"/>
                  <w:noWrap/>
                  <w:vAlign w:val="center"/>
                </w:tcPr>
                <w:p>
                  <w:pPr>
                    <w:pStyle w:val="40"/>
                  </w:pPr>
                  <w:r>
                    <w:rPr>
                      <w:rFonts w:hint="eastAsia"/>
                    </w:rPr>
                    <w:t>pH（无量纲）</w:t>
                  </w:r>
                </w:p>
              </w:tc>
              <w:tc>
                <w:tcPr>
                  <w:tcW w:w="2211" w:type="dxa"/>
                  <w:noWrap/>
                  <w:vAlign w:val="center"/>
                </w:tcPr>
                <w:p>
                  <w:pPr>
                    <w:pStyle w:val="40"/>
                  </w:pPr>
                  <w:r>
                    <w:rPr>
                      <w:rFonts w:hint="eastAsia"/>
                    </w:rPr>
                    <w:t>6～9</w:t>
                  </w:r>
                </w:p>
              </w:tc>
              <w:tc>
                <w:tcPr>
                  <w:tcW w:w="2211" w:type="dxa"/>
                  <w:noWrap/>
                  <w:vAlign w:val="center"/>
                </w:tcPr>
                <w:p>
                  <w:pPr>
                    <w:pStyle w:val="40"/>
                  </w:pPr>
                  <w:r>
                    <w:rPr>
                      <w:rFonts w:hint="eastAsia"/>
                    </w:rPr>
                    <w:t>COD</w:t>
                  </w:r>
                </w:p>
              </w:tc>
              <w:tc>
                <w:tcPr>
                  <w:tcW w:w="2211" w:type="dxa"/>
                  <w:noWrap/>
                  <w:vAlign w:val="center"/>
                </w:tcPr>
                <w:p>
                  <w:pPr>
                    <w:pStyle w:val="40"/>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11" w:type="dxa"/>
                  <w:noWrap/>
                  <w:vAlign w:val="center"/>
                </w:tcPr>
                <w:p>
                  <w:pPr>
                    <w:pStyle w:val="40"/>
                  </w:pPr>
                  <w:r>
                    <w:rPr>
                      <w:rFonts w:hint="eastAsia"/>
                    </w:rPr>
                    <w:t>氨氮（mg/L）</w:t>
                  </w:r>
                </w:p>
              </w:tc>
              <w:tc>
                <w:tcPr>
                  <w:tcW w:w="2211" w:type="dxa"/>
                  <w:noWrap/>
                  <w:vAlign w:val="center"/>
                </w:tcPr>
                <w:p>
                  <w:pPr>
                    <w:pStyle w:val="40"/>
                  </w:pPr>
                  <w:r>
                    <w:rPr>
                      <w:rFonts w:hint="eastAsia"/>
                    </w:rPr>
                    <w:t>≤1.0</w:t>
                  </w:r>
                </w:p>
              </w:tc>
              <w:tc>
                <w:tcPr>
                  <w:tcW w:w="2211" w:type="dxa"/>
                  <w:noWrap/>
                  <w:vAlign w:val="center"/>
                </w:tcPr>
                <w:p>
                  <w:pPr>
                    <w:pStyle w:val="40"/>
                  </w:pPr>
                  <w:r>
                    <w:rPr>
                      <w:rFonts w:hint="eastAsia"/>
                    </w:rPr>
                    <w:t>BOD</w:t>
                  </w:r>
                  <w:r>
                    <w:rPr>
                      <w:rFonts w:hint="eastAsia"/>
                      <w:vertAlign w:val="subscript"/>
                    </w:rPr>
                    <w:t>5</w:t>
                  </w:r>
                </w:p>
              </w:tc>
              <w:tc>
                <w:tcPr>
                  <w:tcW w:w="2211" w:type="dxa"/>
                  <w:noWrap/>
                  <w:vAlign w:val="center"/>
                </w:tcPr>
                <w:p>
                  <w:pPr>
                    <w:pStyle w:val="40"/>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11" w:type="dxa"/>
                  <w:noWrap/>
                  <w:vAlign w:val="center"/>
                </w:tcPr>
                <w:p>
                  <w:pPr>
                    <w:pStyle w:val="40"/>
                  </w:pPr>
                  <w:r>
                    <w:rPr>
                      <w:rFonts w:hint="eastAsia"/>
                    </w:rPr>
                    <w:t>TP（mg/L）</w:t>
                  </w:r>
                </w:p>
              </w:tc>
              <w:tc>
                <w:tcPr>
                  <w:tcW w:w="2211" w:type="dxa"/>
                  <w:noWrap/>
                  <w:vAlign w:val="center"/>
                </w:tcPr>
                <w:p>
                  <w:pPr>
                    <w:pStyle w:val="40"/>
                  </w:pPr>
                  <w:r>
                    <w:rPr>
                      <w:rFonts w:hint="eastAsia"/>
                    </w:rPr>
                    <w:t>≤0.2（湖、库0.05）</w:t>
                  </w:r>
                </w:p>
              </w:tc>
              <w:tc>
                <w:tcPr>
                  <w:tcW w:w="2211" w:type="dxa"/>
                  <w:noWrap/>
                  <w:vAlign w:val="center"/>
                </w:tcPr>
                <w:p>
                  <w:pPr>
                    <w:pStyle w:val="40"/>
                  </w:pPr>
                  <w:r>
                    <w:rPr>
                      <w:rFonts w:hint="eastAsia"/>
                    </w:rPr>
                    <w:t>石油类</w:t>
                  </w:r>
                </w:p>
              </w:tc>
              <w:tc>
                <w:tcPr>
                  <w:tcW w:w="2211" w:type="dxa"/>
                  <w:noWrap/>
                  <w:vAlign w:val="center"/>
                </w:tcPr>
                <w:p>
                  <w:pPr>
                    <w:pStyle w:val="40"/>
                  </w:pPr>
                  <w:r>
                    <w:rPr>
                      <w:rFonts w:hint="eastAsia"/>
                    </w:rPr>
                    <w:t>≤0.05</w:t>
                  </w:r>
                </w:p>
              </w:tc>
            </w:tr>
          </w:tbl>
          <w:p>
            <w:pPr>
              <w:pStyle w:val="4"/>
            </w:pPr>
            <w:r>
              <w:rPr>
                <w:rFonts w:hint="eastAsia"/>
              </w:rPr>
              <w:t>三、</w:t>
            </w:r>
            <w:r>
              <w:t>声环境质量标准</w:t>
            </w:r>
          </w:p>
          <w:p>
            <w:pPr>
              <w:pStyle w:val="5"/>
            </w:pPr>
            <w:r>
              <w:rPr>
                <w:rFonts w:hint="eastAsia"/>
              </w:rPr>
              <w:t>根据声环境功能区划的要求，该项目区声环境标准执行《声环境质量标准》（GB3096-2008）中3类区标准。具体指标见下表</w:t>
            </w:r>
          </w:p>
          <w:p>
            <w:pPr>
              <w:pStyle w:val="29"/>
              <w:spacing w:before="65" w:after="65"/>
            </w:pPr>
            <w:r>
              <w:t>表4-3  环境噪声质量标准限值   单位：dB（A）</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2211"/>
              <w:gridCol w:w="2211"/>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1" w:type="dxa"/>
                  <w:vMerge w:val="restart"/>
                  <w:tcBorders>
                    <w:tl2br w:val="nil"/>
                    <w:tr2bl w:val="nil"/>
                  </w:tcBorders>
                  <w:noWrap/>
                  <w:vAlign w:val="center"/>
                </w:tcPr>
                <w:p>
                  <w:pPr>
                    <w:pStyle w:val="40"/>
                  </w:pPr>
                  <w:r>
                    <w:rPr>
                      <w:rFonts w:hint="eastAsia"/>
                    </w:rPr>
                    <w:t>标准级别</w:t>
                  </w:r>
                </w:p>
              </w:tc>
              <w:tc>
                <w:tcPr>
                  <w:tcW w:w="2211" w:type="dxa"/>
                  <w:gridSpan w:val="2"/>
                  <w:tcBorders>
                    <w:tl2br w:val="nil"/>
                    <w:tr2bl w:val="nil"/>
                  </w:tcBorders>
                  <w:noWrap/>
                  <w:vAlign w:val="center"/>
                </w:tcPr>
                <w:p>
                  <w:pPr>
                    <w:pStyle w:val="40"/>
                  </w:pPr>
                  <w:r>
                    <w:rPr>
                      <w:rFonts w:hint="eastAsia"/>
                    </w:rPr>
                    <w:t>标准限值</w:t>
                  </w:r>
                </w:p>
              </w:tc>
              <w:tc>
                <w:tcPr>
                  <w:tcW w:w="2211" w:type="dxa"/>
                  <w:vMerge w:val="restart"/>
                  <w:tcBorders>
                    <w:tl2br w:val="nil"/>
                    <w:tr2bl w:val="nil"/>
                  </w:tcBorders>
                  <w:noWrap/>
                  <w:vAlign w:val="center"/>
                </w:tcPr>
                <w:p>
                  <w:pPr>
                    <w:pStyle w:val="40"/>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1" w:type="dxa"/>
                  <w:vMerge w:val="continue"/>
                  <w:tcBorders>
                    <w:tl2br w:val="nil"/>
                    <w:tr2bl w:val="nil"/>
                  </w:tcBorders>
                  <w:noWrap/>
                  <w:vAlign w:val="center"/>
                </w:tcPr>
                <w:p>
                  <w:pPr>
                    <w:pStyle w:val="40"/>
                  </w:pPr>
                </w:p>
              </w:tc>
              <w:tc>
                <w:tcPr>
                  <w:tcW w:w="2211" w:type="dxa"/>
                  <w:tcBorders>
                    <w:tl2br w:val="nil"/>
                    <w:tr2bl w:val="nil"/>
                  </w:tcBorders>
                  <w:noWrap/>
                  <w:vAlign w:val="center"/>
                </w:tcPr>
                <w:p>
                  <w:pPr>
                    <w:pStyle w:val="40"/>
                  </w:pPr>
                  <w:r>
                    <w:rPr>
                      <w:rFonts w:hint="eastAsia"/>
                    </w:rPr>
                    <w:t>昼间</w:t>
                  </w:r>
                </w:p>
              </w:tc>
              <w:tc>
                <w:tcPr>
                  <w:tcW w:w="2211" w:type="dxa"/>
                  <w:tcBorders>
                    <w:tl2br w:val="nil"/>
                    <w:tr2bl w:val="nil"/>
                  </w:tcBorders>
                  <w:noWrap/>
                  <w:vAlign w:val="center"/>
                </w:tcPr>
                <w:p>
                  <w:pPr>
                    <w:pStyle w:val="40"/>
                  </w:pPr>
                  <w:r>
                    <w:rPr>
                      <w:rFonts w:hint="eastAsia"/>
                    </w:rPr>
                    <w:t>夜间</w:t>
                  </w:r>
                </w:p>
              </w:tc>
              <w:tc>
                <w:tcPr>
                  <w:tcW w:w="2211" w:type="dxa"/>
                  <w:vMerge w:val="continue"/>
                  <w:tcBorders>
                    <w:tl2br w:val="nil"/>
                    <w:tr2bl w:val="nil"/>
                  </w:tcBorders>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1" w:type="dxa"/>
                  <w:tcBorders>
                    <w:tl2br w:val="nil"/>
                    <w:tr2bl w:val="nil"/>
                  </w:tcBorders>
                  <w:noWrap/>
                  <w:vAlign w:val="center"/>
                </w:tcPr>
                <w:p>
                  <w:pPr>
                    <w:pStyle w:val="40"/>
                  </w:pPr>
                  <w:r>
                    <w:rPr>
                      <w:rFonts w:hint="eastAsia"/>
                    </w:rPr>
                    <w:t>3类</w:t>
                  </w:r>
                </w:p>
              </w:tc>
              <w:tc>
                <w:tcPr>
                  <w:tcW w:w="2211" w:type="dxa"/>
                  <w:tcBorders>
                    <w:tl2br w:val="nil"/>
                    <w:tr2bl w:val="nil"/>
                  </w:tcBorders>
                  <w:noWrap/>
                  <w:vAlign w:val="center"/>
                </w:tcPr>
                <w:p>
                  <w:pPr>
                    <w:pStyle w:val="40"/>
                  </w:pPr>
                  <w:r>
                    <w:rPr>
                      <w:rFonts w:hint="eastAsia"/>
                    </w:rPr>
                    <w:t>65</w:t>
                  </w:r>
                </w:p>
              </w:tc>
              <w:tc>
                <w:tcPr>
                  <w:tcW w:w="2211" w:type="dxa"/>
                  <w:tcBorders>
                    <w:tl2br w:val="nil"/>
                    <w:tr2bl w:val="nil"/>
                  </w:tcBorders>
                  <w:noWrap/>
                  <w:vAlign w:val="center"/>
                </w:tcPr>
                <w:p>
                  <w:pPr>
                    <w:pStyle w:val="40"/>
                  </w:pPr>
                  <w:r>
                    <w:rPr>
                      <w:rFonts w:hint="eastAsia"/>
                    </w:rPr>
                    <w:t>55</w:t>
                  </w:r>
                </w:p>
              </w:tc>
              <w:tc>
                <w:tcPr>
                  <w:tcW w:w="2211" w:type="dxa"/>
                  <w:tcBorders>
                    <w:tl2br w:val="nil"/>
                    <w:tr2bl w:val="nil"/>
                  </w:tcBorders>
                  <w:noWrap/>
                  <w:vAlign w:val="center"/>
                </w:tcPr>
                <w:p>
                  <w:pPr>
                    <w:pStyle w:val="40"/>
                  </w:pPr>
                  <w:r>
                    <w:rPr>
                      <w:rFonts w:hint="eastAsia"/>
                    </w:rPr>
                    <w:t>《声环境质量标准》（GB3096-2008）</w:t>
                  </w:r>
                </w:p>
              </w:tc>
            </w:tr>
          </w:tbl>
          <w:p>
            <w:pPr>
              <w:pStyle w:val="1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0" w:hRule="atLeast"/>
          <w:jc w:val="center"/>
        </w:trPr>
        <w:tc>
          <w:tcPr>
            <w:tcW w:w="440" w:type="dxa"/>
            <w:noWrap/>
            <w:vAlign w:val="center"/>
          </w:tcPr>
          <w:p>
            <w:pPr>
              <w:pStyle w:val="40"/>
            </w:pPr>
            <w:r>
              <w:rPr>
                <w:rFonts w:hint="eastAsia"/>
              </w:rPr>
              <w:t>污</w:t>
            </w:r>
          </w:p>
          <w:p>
            <w:pPr>
              <w:pStyle w:val="40"/>
            </w:pPr>
            <w:r>
              <w:rPr>
                <w:rFonts w:hint="eastAsia"/>
              </w:rPr>
              <w:t>染</w:t>
            </w:r>
          </w:p>
          <w:p>
            <w:pPr>
              <w:pStyle w:val="40"/>
            </w:pPr>
            <w:r>
              <w:rPr>
                <w:rFonts w:hint="eastAsia"/>
              </w:rPr>
              <w:t>物</w:t>
            </w:r>
          </w:p>
          <w:p>
            <w:pPr>
              <w:pStyle w:val="40"/>
            </w:pPr>
            <w:r>
              <w:rPr>
                <w:rFonts w:hint="eastAsia"/>
              </w:rPr>
              <w:t>排</w:t>
            </w:r>
          </w:p>
          <w:p>
            <w:pPr>
              <w:pStyle w:val="40"/>
            </w:pPr>
            <w:r>
              <w:rPr>
                <w:rFonts w:hint="eastAsia"/>
              </w:rPr>
              <w:t>放</w:t>
            </w:r>
          </w:p>
          <w:p>
            <w:pPr>
              <w:pStyle w:val="40"/>
            </w:pPr>
            <w:r>
              <w:rPr>
                <w:rFonts w:hint="eastAsia"/>
              </w:rPr>
              <w:t>标</w:t>
            </w:r>
          </w:p>
          <w:p>
            <w:pPr>
              <w:pStyle w:val="40"/>
              <w:rPr>
                <w:b/>
                <w:bCs/>
                <w:color w:val="FF0000"/>
              </w:rPr>
            </w:pPr>
            <w:r>
              <w:rPr>
                <w:rFonts w:hint="eastAsia"/>
              </w:rPr>
              <w:t>准</w:t>
            </w:r>
          </w:p>
        </w:tc>
        <w:tc>
          <w:tcPr>
            <w:tcW w:w="9056" w:type="dxa"/>
            <w:noWrap/>
          </w:tcPr>
          <w:p>
            <w:pPr>
              <w:pStyle w:val="4"/>
            </w:pPr>
            <w:r>
              <w:rPr>
                <w:rFonts w:hint="eastAsia"/>
              </w:rPr>
              <w:t>四、大气污染物排放标准</w:t>
            </w:r>
          </w:p>
          <w:p>
            <w:pPr>
              <w:pStyle w:val="5"/>
              <w:bidi w:val="0"/>
              <w:rPr>
                <w:rFonts w:hint="eastAsia"/>
              </w:rPr>
            </w:pPr>
            <w:r>
              <w:t>1</w:t>
            </w:r>
            <w:r>
              <w:rPr>
                <w:rFonts w:hint="eastAsia"/>
              </w:rPr>
              <w:t>、VOCs</w:t>
            </w:r>
            <w:r>
              <w:t>废气排放参照执行上海市地方标准《大气污染物综合排放标准》（DB31/933-2015）中</w:t>
            </w:r>
            <w:r>
              <w:rPr>
                <w:rFonts w:hint="eastAsia"/>
              </w:rPr>
              <w:t>标准</w:t>
            </w:r>
            <w:r>
              <w:t>限值</w:t>
            </w:r>
            <w:r>
              <w:rPr>
                <w:rFonts w:hint="eastAsia"/>
              </w:rPr>
              <w:t>，</w:t>
            </w:r>
            <w:r>
              <w:t>企业厂区内VOCs无组织排放监控点浓度执行《挥发性有机物无组织排放控制标准》（GB 37822-2019）中表A.1规定的限值。</w:t>
            </w:r>
          </w:p>
          <w:p>
            <w:pPr>
              <w:pStyle w:val="29"/>
              <w:bidi w:val="0"/>
            </w:pPr>
            <w:r>
              <w:rPr>
                <w:rFonts w:hint="eastAsia"/>
              </w:rPr>
              <w:t xml:space="preserve">表 4-4 </w:t>
            </w:r>
            <w:r>
              <w:t>本项目废气排放标准</w:t>
            </w:r>
          </w:p>
          <w:tbl>
            <w:tblPr>
              <w:tblStyle w:val="23"/>
              <w:tblW w:w="497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828"/>
              <w:gridCol w:w="1212"/>
              <w:gridCol w:w="1697"/>
              <w:gridCol w:w="1025"/>
              <w:gridCol w:w="1185"/>
              <w:gridCol w:w="1472"/>
              <w:gridCol w:w="13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22" w:hRule="atLeast"/>
                <w:jc w:val="center"/>
              </w:trPr>
              <w:tc>
                <w:tcPr>
                  <w:tcW w:w="470" w:type="pct"/>
                  <w:vMerge w:val="restart"/>
                  <w:noWrap w:val="0"/>
                  <w:vAlign w:val="center"/>
                </w:tcPr>
                <w:p>
                  <w:pPr>
                    <w:pStyle w:val="40"/>
                    <w:bidi w:val="0"/>
                  </w:pPr>
                  <w:r>
                    <w:t>污染物</w:t>
                  </w:r>
                </w:p>
              </w:tc>
              <w:tc>
                <w:tcPr>
                  <w:tcW w:w="689" w:type="pct"/>
                  <w:vMerge w:val="restart"/>
                  <w:noWrap w:val="0"/>
                  <w:vAlign w:val="center"/>
                </w:tcPr>
                <w:p>
                  <w:pPr>
                    <w:pStyle w:val="40"/>
                    <w:bidi w:val="0"/>
                  </w:pPr>
                  <w:r>
                    <w:t>最高允许排放浓度（mg/m</w:t>
                  </w:r>
                  <w:r>
                    <w:rPr>
                      <w:vertAlign w:val="superscript"/>
                    </w:rPr>
                    <w:t>3</w:t>
                  </w:r>
                  <w:r>
                    <w:t>）</w:t>
                  </w:r>
                </w:p>
              </w:tc>
              <w:tc>
                <w:tcPr>
                  <w:tcW w:w="1547" w:type="pct"/>
                  <w:gridSpan w:val="2"/>
                  <w:noWrap w:val="0"/>
                  <w:vAlign w:val="center"/>
                </w:tcPr>
                <w:p>
                  <w:pPr>
                    <w:pStyle w:val="40"/>
                    <w:bidi w:val="0"/>
                  </w:pPr>
                  <w:r>
                    <w:t>最高允许排放速率（kg/h）</w:t>
                  </w:r>
                </w:p>
              </w:tc>
              <w:tc>
                <w:tcPr>
                  <w:tcW w:w="1510" w:type="pct"/>
                  <w:gridSpan w:val="2"/>
                  <w:noWrap w:val="0"/>
                  <w:vAlign w:val="center"/>
                </w:tcPr>
                <w:p>
                  <w:pPr>
                    <w:pStyle w:val="40"/>
                    <w:bidi w:val="0"/>
                  </w:pPr>
                  <w:r>
                    <w:t>无组织排放监控浓度限值</w:t>
                  </w:r>
                </w:p>
              </w:tc>
              <w:tc>
                <w:tcPr>
                  <w:tcW w:w="781" w:type="pct"/>
                  <w:vMerge w:val="restart"/>
                  <w:noWrap w:val="0"/>
                  <w:vAlign w:val="center"/>
                </w:tcPr>
                <w:p>
                  <w:pPr>
                    <w:pStyle w:val="40"/>
                    <w:bidi w:val="0"/>
                  </w:pPr>
                  <w:r>
                    <w:t>标准</w:t>
                  </w:r>
                </w:p>
                <w:p>
                  <w:pPr>
                    <w:pStyle w:val="40"/>
                    <w:bidi w:val="0"/>
                  </w:pPr>
                  <w: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81" w:hRule="atLeast"/>
                <w:jc w:val="center"/>
              </w:trPr>
              <w:tc>
                <w:tcPr>
                  <w:tcW w:w="470" w:type="pct"/>
                  <w:vMerge w:val="continue"/>
                  <w:noWrap w:val="0"/>
                  <w:vAlign w:val="center"/>
                </w:tcPr>
                <w:p>
                  <w:pPr>
                    <w:pStyle w:val="40"/>
                    <w:bidi w:val="0"/>
                  </w:pPr>
                </w:p>
              </w:tc>
              <w:tc>
                <w:tcPr>
                  <w:tcW w:w="689" w:type="pct"/>
                  <w:vMerge w:val="continue"/>
                  <w:noWrap w:val="0"/>
                  <w:vAlign w:val="center"/>
                </w:tcPr>
                <w:p>
                  <w:pPr>
                    <w:pStyle w:val="40"/>
                    <w:bidi w:val="0"/>
                  </w:pPr>
                </w:p>
              </w:tc>
              <w:tc>
                <w:tcPr>
                  <w:tcW w:w="964" w:type="pct"/>
                  <w:noWrap w:val="0"/>
                  <w:vAlign w:val="center"/>
                </w:tcPr>
                <w:p>
                  <w:pPr>
                    <w:pStyle w:val="40"/>
                    <w:bidi w:val="0"/>
                  </w:pPr>
                  <w:r>
                    <w:t>排气筒高度（m）</w:t>
                  </w:r>
                </w:p>
              </w:tc>
              <w:tc>
                <w:tcPr>
                  <w:tcW w:w="582" w:type="pct"/>
                  <w:noWrap w:val="0"/>
                  <w:vAlign w:val="center"/>
                </w:tcPr>
                <w:p>
                  <w:pPr>
                    <w:pStyle w:val="40"/>
                    <w:bidi w:val="0"/>
                  </w:pPr>
                  <w:r>
                    <w:t>二级</w:t>
                  </w:r>
                </w:p>
              </w:tc>
              <w:tc>
                <w:tcPr>
                  <w:tcW w:w="673" w:type="pct"/>
                  <w:noWrap w:val="0"/>
                  <w:vAlign w:val="center"/>
                </w:tcPr>
                <w:p>
                  <w:pPr>
                    <w:pStyle w:val="40"/>
                    <w:bidi w:val="0"/>
                  </w:pPr>
                  <w:r>
                    <w:t>监控点</w:t>
                  </w:r>
                </w:p>
              </w:tc>
              <w:tc>
                <w:tcPr>
                  <w:tcW w:w="837" w:type="pct"/>
                  <w:noWrap w:val="0"/>
                  <w:vAlign w:val="center"/>
                </w:tcPr>
                <w:p>
                  <w:pPr>
                    <w:pStyle w:val="40"/>
                    <w:bidi w:val="0"/>
                  </w:pPr>
                  <w:r>
                    <w:t>浓度（mg/m3）</w:t>
                  </w:r>
                </w:p>
              </w:tc>
              <w:tc>
                <w:tcPr>
                  <w:tcW w:w="781" w:type="pct"/>
                  <w:vMerge w:val="continue"/>
                  <w:noWrap w:val="0"/>
                  <w:vAlign w:val="center"/>
                </w:tcPr>
                <w:p>
                  <w:pPr>
                    <w:pStyle w:val="40"/>
                    <w:bidi w:val="0"/>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36" w:hRule="atLeast"/>
                <w:jc w:val="center"/>
              </w:trPr>
              <w:tc>
                <w:tcPr>
                  <w:tcW w:w="470" w:type="pct"/>
                  <w:noWrap w:val="0"/>
                  <w:vAlign w:val="center"/>
                </w:tcPr>
                <w:p>
                  <w:pPr>
                    <w:pStyle w:val="40"/>
                    <w:bidi w:val="0"/>
                  </w:pPr>
                  <w:r>
                    <w:t>非甲烷总烃</w:t>
                  </w:r>
                </w:p>
              </w:tc>
              <w:tc>
                <w:tcPr>
                  <w:tcW w:w="689" w:type="pct"/>
                  <w:noWrap w:val="0"/>
                  <w:vAlign w:val="center"/>
                </w:tcPr>
                <w:p>
                  <w:pPr>
                    <w:pStyle w:val="40"/>
                    <w:bidi w:val="0"/>
                    <w:rPr>
                      <w:rFonts w:hint="eastAsia"/>
                    </w:rPr>
                  </w:pPr>
                  <w:r>
                    <w:rPr>
                      <w:rFonts w:hint="eastAsia"/>
                    </w:rPr>
                    <w:t>70</w:t>
                  </w:r>
                </w:p>
              </w:tc>
              <w:tc>
                <w:tcPr>
                  <w:tcW w:w="964" w:type="pct"/>
                  <w:noWrap w:val="0"/>
                  <w:vAlign w:val="center"/>
                </w:tcPr>
                <w:p>
                  <w:pPr>
                    <w:pStyle w:val="40"/>
                    <w:bidi w:val="0"/>
                    <w:rPr>
                      <w:rFonts w:hint="eastAsia"/>
                    </w:rPr>
                  </w:pPr>
                  <w:r>
                    <w:rPr>
                      <w:rFonts w:hint="eastAsia"/>
                    </w:rPr>
                    <w:t>15</w:t>
                  </w:r>
                </w:p>
              </w:tc>
              <w:tc>
                <w:tcPr>
                  <w:tcW w:w="582" w:type="pct"/>
                  <w:noWrap w:val="0"/>
                  <w:vAlign w:val="center"/>
                </w:tcPr>
                <w:p>
                  <w:pPr>
                    <w:pStyle w:val="40"/>
                    <w:bidi w:val="0"/>
                    <w:rPr>
                      <w:rFonts w:hint="eastAsia"/>
                    </w:rPr>
                  </w:pPr>
                  <w:r>
                    <w:rPr>
                      <w:rFonts w:hint="eastAsia"/>
                    </w:rPr>
                    <w:t>3.0</w:t>
                  </w:r>
                </w:p>
              </w:tc>
              <w:tc>
                <w:tcPr>
                  <w:tcW w:w="673" w:type="pct"/>
                  <w:noWrap w:val="0"/>
                  <w:vAlign w:val="center"/>
                </w:tcPr>
                <w:p>
                  <w:pPr>
                    <w:pStyle w:val="40"/>
                    <w:bidi w:val="0"/>
                  </w:pPr>
                  <w:r>
                    <w:t>周界外浓度最高点</w:t>
                  </w:r>
                </w:p>
              </w:tc>
              <w:tc>
                <w:tcPr>
                  <w:tcW w:w="837" w:type="pct"/>
                  <w:noWrap w:val="0"/>
                  <w:vAlign w:val="center"/>
                </w:tcPr>
                <w:p>
                  <w:pPr>
                    <w:pStyle w:val="40"/>
                    <w:bidi w:val="0"/>
                    <w:rPr>
                      <w:rFonts w:hint="eastAsia"/>
                    </w:rPr>
                  </w:pPr>
                  <w:r>
                    <w:rPr>
                      <w:rFonts w:hint="eastAsia"/>
                    </w:rPr>
                    <w:t>4.0</w:t>
                  </w:r>
                </w:p>
              </w:tc>
              <w:tc>
                <w:tcPr>
                  <w:tcW w:w="781" w:type="pct"/>
                  <w:vMerge w:val="continue"/>
                  <w:noWrap w:val="0"/>
                  <w:vAlign w:val="center"/>
                </w:tcPr>
                <w:p>
                  <w:pPr>
                    <w:pStyle w:val="40"/>
                    <w:bidi w:val="0"/>
                  </w:pPr>
                </w:p>
              </w:tc>
            </w:tr>
          </w:tbl>
          <w:p>
            <w:pPr>
              <w:pStyle w:val="5"/>
              <w:ind w:left="0" w:leftChars="0" w:firstLine="480" w:firstLineChars="200"/>
            </w:pPr>
            <w:r>
              <w:rPr>
                <w:rFonts w:hint="eastAsia"/>
              </w:rPr>
              <w:t>VOCs 无组织排放废气</w:t>
            </w:r>
            <w:r>
              <w:rPr>
                <w:rFonts w:hint="default" w:ascii="Times New Roman" w:hAnsi="Times New Roman" w:cs="Times New Roman"/>
                <w:color w:val="auto"/>
                <w:kern w:val="2"/>
                <w:sz w:val="24"/>
                <w:szCs w:val="24"/>
                <w:lang w:val="en-US" w:eastAsia="zh-CN" w:bidi="ar-SA"/>
              </w:rPr>
              <w:t>执行《挥发性有机物无组织排放控制标准》（GB 37822-2019）中表A.1规定的限值</w:t>
            </w:r>
            <w:r>
              <w:rPr>
                <w:rFonts w:hint="eastAsia" w:ascii="Times New Roman" w:hAnsi="Times New Roman" w:cs="Times New Roman"/>
                <w:color w:val="auto"/>
                <w:kern w:val="2"/>
                <w:sz w:val="24"/>
                <w:szCs w:val="24"/>
                <w:lang w:val="en-US" w:eastAsia="zh-CN" w:bidi="ar-SA"/>
              </w:rPr>
              <w:t>。</w:t>
            </w:r>
            <w:r>
              <w:rPr>
                <w:rFonts w:hint="eastAsia"/>
              </w:rPr>
              <w:t>具体见下表</w:t>
            </w:r>
          </w:p>
          <w:p>
            <w:pPr>
              <w:pStyle w:val="29"/>
              <w:bidi w:val="0"/>
            </w:pPr>
            <w:r>
              <w:rPr>
                <w:rFonts w:hint="eastAsia"/>
              </w:rPr>
              <w:t>表4-5</w:t>
            </w:r>
            <w:r>
              <w:t>无组织排放非甲烷总烃排放标准限值</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2430"/>
              <w:gridCol w:w="2595"/>
              <w:gridCol w:w="2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3" w:type="dxa"/>
                  <w:noWrap w:val="0"/>
                  <w:vAlign w:val="center"/>
                </w:tcPr>
                <w:p>
                  <w:pPr>
                    <w:pStyle w:val="40"/>
                    <w:bidi w:val="0"/>
                    <w:rPr>
                      <w:lang w:val="en-US" w:eastAsia="zh-CN"/>
                    </w:rPr>
                  </w:pPr>
                  <w:r>
                    <w:rPr>
                      <w:lang w:val="en-US" w:eastAsia="zh-CN"/>
                    </w:rPr>
                    <w:t>污染物</w:t>
                  </w:r>
                </w:p>
              </w:tc>
              <w:tc>
                <w:tcPr>
                  <w:tcW w:w="2430" w:type="dxa"/>
                  <w:noWrap w:val="0"/>
                  <w:vAlign w:val="center"/>
                </w:tcPr>
                <w:p>
                  <w:pPr>
                    <w:pStyle w:val="40"/>
                    <w:bidi w:val="0"/>
                    <w:rPr>
                      <w:lang w:val="en-US" w:eastAsia="zh-CN"/>
                    </w:rPr>
                  </w:pPr>
                  <w:r>
                    <w:rPr>
                      <w:lang w:val="en-US" w:eastAsia="zh-CN"/>
                    </w:rPr>
                    <w:t>特别排放限值（mg/m3）</w:t>
                  </w:r>
                </w:p>
              </w:tc>
              <w:tc>
                <w:tcPr>
                  <w:tcW w:w="2595" w:type="dxa"/>
                  <w:noWrap w:val="0"/>
                  <w:vAlign w:val="center"/>
                </w:tcPr>
                <w:p>
                  <w:pPr>
                    <w:pStyle w:val="40"/>
                    <w:bidi w:val="0"/>
                    <w:rPr>
                      <w:lang w:val="en-US" w:eastAsia="zh-CN"/>
                    </w:rPr>
                  </w:pPr>
                  <w:r>
                    <w:rPr>
                      <w:lang w:val="en-US" w:eastAsia="zh-CN"/>
                    </w:rPr>
                    <w:t>限值含义</w:t>
                  </w:r>
                </w:p>
              </w:tc>
              <w:tc>
                <w:tcPr>
                  <w:tcW w:w="2162" w:type="dxa"/>
                  <w:noWrap w:val="0"/>
                  <w:vAlign w:val="center"/>
                </w:tcPr>
                <w:p>
                  <w:pPr>
                    <w:pStyle w:val="40"/>
                    <w:bidi w:val="0"/>
                    <w:rPr>
                      <w:lang w:val="en-US" w:eastAsia="zh-CN"/>
                    </w:rPr>
                  </w:pPr>
                  <w:r>
                    <w:rPr>
                      <w:lang w:val="en-US"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3" w:type="dxa"/>
                  <w:vMerge w:val="restart"/>
                  <w:noWrap w:val="0"/>
                  <w:vAlign w:val="center"/>
                </w:tcPr>
                <w:p>
                  <w:pPr>
                    <w:pStyle w:val="40"/>
                    <w:bidi w:val="0"/>
                    <w:rPr>
                      <w:lang w:val="en-US" w:eastAsia="zh-CN"/>
                    </w:rPr>
                  </w:pPr>
                  <w:r>
                    <w:rPr>
                      <w:lang w:val="en-US" w:eastAsia="zh-CN"/>
                    </w:rPr>
                    <w:t>非甲烷总烃</w:t>
                  </w:r>
                </w:p>
              </w:tc>
              <w:tc>
                <w:tcPr>
                  <w:tcW w:w="2430" w:type="dxa"/>
                  <w:noWrap w:val="0"/>
                  <w:vAlign w:val="center"/>
                </w:tcPr>
                <w:p>
                  <w:pPr>
                    <w:pStyle w:val="40"/>
                    <w:bidi w:val="0"/>
                    <w:rPr>
                      <w:lang w:val="en-US" w:eastAsia="zh-CN"/>
                    </w:rPr>
                  </w:pPr>
                  <w:r>
                    <w:rPr>
                      <w:lang w:val="en-US" w:eastAsia="zh-CN"/>
                    </w:rPr>
                    <w:t>6</w:t>
                  </w:r>
                </w:p>
              </w:tc>
              <w:tc>
                <w:tcPr>
                  <w:tcW w:w="2595" w:type="dxa"/>
                  <w:noWrap w:val="0"/>
                  <w:vAlign w:val="center"/>
                </w:tcPr>
                <w:p>
                  <w:pPr>
                    <w:pStyle w:val="40"/>
                    <w:bidi w:val="0"/>
                    <w:rPr>
                      <w:lang w:val="en-US" w:eastAsia="zh-CN"/>
                    </w:rPr>
                  </w:pPr>
                  <w:r>
                    <w:rPr>
                      <w:lang w:val="en-US" w:eastAsia="zh-CN"/>
                    </w:rPr>
                    <w:t>监控点处1h平均浓度值</w:t>
                  </w:r>
                </w:p>
              </w:tc>
              <w:tc>
                <w:tcPr>
                  <w:tcW w:w="2162" w:type="dxa"/>
                  <w:vMerge w:val="restart"/>
                  <w:noWrap w:val="0"/>
                  <w:vAlign w:val="center"/>
                </w:tcPr>
                <w:p>
                  <w:pPr>
                    <w:pStyle w:val="40"/>
                    <w:bidi w:val="0"/>
                    <w:rPr>
                      <w:lang w:val="en-US" w:eastAsia="zh-CN"/>
                    </w:rPr>
                  </w:pPr>
                  <w:r>
                    <w:rPr>
                      <w:lang w:val="en-US" w:eastAsia="zh-CN"/>
                    </w:rPr>
                    <w:t>在厂外设置监控点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3" w:type="dxa"/>
                  <w:vMerge w:val="continue"/>
                  <w:noWrap w:val="0"/>
                  <w:vAlign w:val="center"/>
                </w:tcPr>
                <w:p>
                  <w:pPr>
                    <w:pStyle w:val="40"/>
                    <w:bidi w:val="0"/>
                    <w:rPr>
                      <w:lang w:val="en-US" w:eastAsia="zh-CN"/>
                    </w:rPr>
                  </w:pPr>
                </w:p>
              </w:tc>
              <w:tc>
                <w:tcPr>
                  <w:tcW w:w="2430" w:type="dxa"/>
                  <w:noWrap w:val="0"/>
                  <w:vAlign w:val="center"/>
                </w:tcPr>
                <w:p>
                  <w:pPr>
                    <w:pStyle w:val="40"/>
                    <w:bidi w:val="0"/>
                    <w:rPr>
                      <w:lang w:val="en-US" w:eastAsia="zh-CN"/>
                    </w:rPr>
                  </w:pPr>
                  <w:r>
                    <w:rPr>
                      <w:lang w:val="en-US" w:eastAsia="zh-CN"/>
                    </w:rPr>
                    <w:t>20</w:t>
                  </w:r>
                </w:p>
              </w:tc>
              <w:tc>
                <w:tcPr>
                  <w:tcW w:w="2595" w:type="dxa"/>
                  <w:noWrap w:val="0"/>
                  <w:vAlign w:val="center"/>
                </w:tcPr>
                <w:p>
                  <w:pPr>
                    <w:pStyle w:val="40"/>
                    <w:bidi w:val="0"/>
                    <w:rPr>
                      <w:lang w:val="en-US" w:eastAsia="zh-CN"/>
                    </w:rPr>
                  </w:pPr>
                  <w:r>
                    <w:rPr>
                      <w:lang w:val="en-US" w:eastAsia="zh-CN"/>
                    </w:rPr>
                    <w:t>监控点处任意一次浓度值</w:t>
                  </w:r>
                </w:p>
              </w:tc>
              <w:tc>
                <w:tcPr>
                  <w:tcW w:w="2162" w:type="dxa"/>
                  <w:vMerge w:val="continue"/>
                  <w:noWrap w:val="0"/>
                  <w:vAlign w:val="center"/>
                </w:tcPr>
                <w:p>
                  <w:pPr>
                    <w:pStyle w:val="40"/>
                    <w:bidi w:val="0"/>
                    <w:rPr>
                      <w:lang w:val="en-US" w:eastAsia="zh-CN"/>
                    </w:rPr>
                  </w:pPr>
                </w:p>
              </w:tc>
            </w:tr>
          </w:tbl>
          <w:p>
            <w:pPr>
              <w:pStyle w:val="4"/>
            </w:pPr>
            <w:r>
              <w:rPr>
                <w:rFonts w:hint="eastAsia"/>
              </w:rPr>
              <w:t>五、水污染物排放标准</w:t>
            </w:r>
          </w:p>
          <w:p>
            <w:pPr>
              <w:pStyle w:val="5"/>
            </w:pPr>
            <w:r>
              <w:rPr>
                <w:rFonts w:hint="eastAsia"/>
              </w:rPr>
              <w:t>产生的生活污水经过化粪池预处理后达到</w:t>
            </w:r>
            <w:r>
              <w:t>《</w:t>
            </w:r>
            <w:r>
              <w:rPr>
                <w:rFonts w:hint="eastAsia"/>
              </w:rPr>
              <w:t>污水排入城镇下水道水质标准</w:t>
            </w:r>
            <w:r>
              <w:t>》（</w:t>
            </w:r>
            <w:r>
              <w:rPr>
                <w:rFonts w:hint="eastAsia"/>
              </w:rPr>
              <w:t>GB/T 31962-2015</w:t>
            </w:r>
            <w:r>
              <w:t>）中</w:t>
            </w:r>
            <w:r>
              <w:rPr>
                <w:rFonts w:hint="eastAsia"/>
              </w:rPr>
              <w:t>B等级</w:t>
            </w:r>
            <w:r>
              <w:t>放标准</w:t>
            </w:r>
            <w:r>
              <w:rPr>
                <w:rFonts w:hint="eastAsia"/>
              </w:rPr>
              <w:t>排入园区污水管网，进入</w:t>
            </w:r>
            <w:r>
              <w:rPr>
                <w:rFonts w:hint="eastAsia"/>
                <w:lang w:val="en-US" w:eastAsia="zh-CN"/>
              </w:rPr>
              <w:t>淮南经济技术开发区</w:t>
            </w:r>
            <w:r>
              <w:rPr>
                <w:rFonts w:hint="eastAsia"/>
              </w:rPr>
              <w:t>污水处理厂处理。污水排放执行</w:t>
            </w:r>
            <w:r>
              <w:t>《</w:t>
            </w:r>
            <w:r>
              <w:rPr>
                <w:rFonts w:hint="eastAsia"/>
              </w:rPr>
              <w:t>污水排入城镇下水道水质标准</w:t>
            </w:r>
            <w:r>
              <w:t>》（</w:t>
            </w:r>
            <w:r>
              <w:rPr>
                <w:rFonts w:hint="eastAsia"/>
              </w:rPr>
              <w:t>GB/T 31962-2015</w:t>
            </w:r>
            <w:r>
              <w:t>）</w:t>
            </w:r>
            <w:r>
              <w:rPr>
                <w:rFonts w:hint="eastAsia"/>
              </w:rPr>
              <w:t>，具体标准值</w:t>
            </w:r>
            <w:r>
              <w:t>详见</w:t>
            </w:r>
            <w:r>
              <w:rPr>
                <w:rFonts w:hint="eastAsia"/>
              </w:rPr>
              <w:t>下</w:t>
            </w:r>
            <w:r>
              <w:t>表</w:t>
            </w:r>
          </w:p>
          <w:p>
            <w:pPr>
              <w:pStyle w:val="29"/>
              <w:spacing w:before="65" w:after="65"/>
            </w:pPr>
            <w:r>
              <w:t>表</w:t>
            </w:r>
            <w:r>
              <w:rPr>
                <w:rFonts w:hint="eastAsia"/>
              </w:rPr>
              <w:t>4-6</w:t>
            </w:r>
            <w:r>
              <w:t xml:space="preserve">污水综合排放标准限值 </w:t>
            </w:r>
            <w:r>
              <w:rPr>
                <w:rFonts w:hint="eastAsia"/>
              </w:rPr>
              <w:t>单位：</w:t>
            </w:r>
            <w:r>
              <w:t>mg/L，pH值除外</w:t>
            </w:r>
          </w:p>
          <w:tbl>
            <w:tblPr>
              <w:tblStyle w:val="23"/>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2341"/>
              <w:gridCol w:w="2265"/>
              <w:gridCol w:w="4108"/>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41" w:type="dxa"/>
                  <w:noWrap/>
                  <w:vAlign w:val="center"/>
                </w:tcPr>
                <w:p>
                  <w:pPr>
                    <w:pStyle w:val="40"/>
                  </w:pPr>
                  <w:r>
                    <w:rPr>
                      <w:rFonts w:hint="eastAsia"/>
                    </w:rPr>
                    <w:t>项目</w:t>
                  </w:r>
                </w:p>
              </w:tc>
              <w:tc>
                <w:tcPr>
                  <w:tcW w:w="2265" w:type="dxa"/>
                  <w:noWrap/>
                  <w:vAlign w:val="center"/>
                </w:tcPr>
                <w:p>
                  <w:pPr>
                    <w:pStyle w:val="40"/>
                  </w:pPr>
                  <w:r>
                    <w:rPr>
                      <w:rFonts w:hint="eastAsia"/>
                    </w:rPr>
                    <w:t>标准值</w:t>
                  </w:r>
                </w:p>
              </w:tc>
              <w:tc>
                <w:tcPr>
                  <w:tcW w:w="4108" w:type="dxa"/>
                  <w:noWrap/>
                  <w:vAlign w:val="center"/>
                </w:tcPr>
                <w:p>
                  <w:pPr>
                    <w:pStyle w:val="40"/>
                  </w:pPr>
                  <w:r>
                    <w:rPr>
                      <w:rFonts w:hint="eastAsia"/>
                    </w:rPr>
                    <w:t>标准来源</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341" w:type="dxa"/>
                  <w:noWrap/>
                  <w:vAlign w:val="center"/>
                </w:tcPr>
                <w:p>
                  <w:pPr>
                    <w:pStyle w:val="40"/>
                  </w:pPr>
                  <w:r>
                    <w:rPr>
                      <w:rFonts w:hint="eastAsia"/>
                    </w:rPr>
                    <w:t>pH</w:t>
                  </w:r>
                </w:p>
              </w:tc>
              <w:tc>
                <w:tcPr>
                  <w:tcW w:w="2265" w:type="dxa"/>
                  <w:noWrap/>
                  <w:vAlign w:val="center"/>
                </w:tcPr>
                <w:p>
                  <w:pPr>
                    <w:pStyle w:val="40"/>
                  </w:pPr>
                  <w:r>
                    <w:rPr>
                      <w:rFonts w:hint="eastAsia"/>
                    </w:rPr>
                    <w:t>6～9</w:t>
                  </w:r>
                </w:p>
              </w:tc>
              <w:tc>
                <w:tcPr>
                  <w:tcW w:w="4108" w:type="dxa"/>
                  <w:vMerge w:val="restart"/>
                  <w:noWrap/>
                  <w:vAlign w:val="center"/>
                </w:tcPr>
                <w:p>
                  <w:pPr>
                    <w:pStyle w:val="40"/>
                  </w:pPr>
                  <w:r>
                    <w:rPr>
                      <w:rFonts w:hint="eastAsia"/>
                    </w:rPr>
                    <w:t>《污水排入城镇下水道水质标准》（GB/T 31962-2015）中B等级排放标准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41" w:type="dxa"/>
                  <w:noWrap/>
                  <w:vAlign w:val="center"/>
                </w:tcPr>
                <w:p>
                  <w:pPr>
                    <w:pStyle w:val="40"/>
                  </w:pPr>
                  <w:r>
                    <w:rPr>
                      <w:rFonts w:hint="eastAsia"/>
                    </w:rPr>
                    <w:t>COD</w:t>
                  </w:r>
                  <w:r>
                    <w:rPr>
                      <w:rFonts w:hint="eastAsia"/>
                      <w:vertAlign w:val="subscript"/>
                    </w:rPr>
                    <w:t>Cr</w:t>
                  </w:r>
                </w:p>
              </w:tc>
              <w:tc>
                <w:tcPr>
                  <w:tcW w:w="2265" w:type="dxa"/>
                  <w:noWrap/>
                  <w:vAlign w:val="center"/>
                </w:tcPr>
                <w:p>
                  <w:pPr>
                    <w:pStyle w:val="40"/>
                  </w:pPr>
                  <w:r>
                    <w:rPr>
                      <w:rFonts w:hint="eastAsia"/>
                    </w:rPr>
                    <w:t>≤500</w:t>
                  </w:r>
                </w:p>
              </w:tc>
              <w:tc>
                <w:tcPr>
                  <w:tcW w:w="4108" w:type="dxa"/>
                  <w:vMerge w:val="continue"/>
                  <w:noWrap/>
                  <w:vAlign w:val="center"/>
                </w:tcPr>
                <w:p>
                  <w:pPr>
                    <w:pStyle w:val="40"/>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41" w:type="dxa"/>
                  <w:noWrap/>
                  <w:vAlign w:val="center"/>
                </w:tcPr>
                <w:p>
                  <w:pPr>
                    <w:pStyle w:val="40"/>
                  </w:pPr>
                  <w:r>
                    <w:rPr>
                      <w:rFonts w:hint="eastAsia"/>
                    </w:rPr>
                    <w:t>BOD</w:t>
                  </w:r>
                  <w:r>
                    <w:rPr>
                      <w:rFonts w:hint="eastAsia"/>
                      <w:vertAlign w:val="subscript"/>
                    </w:rPr>
                    <w:t>5</w:t>
                  </w:r>
                </w:p>
              </w:tc>
              <w:tc>
                <w:tcPr>
                  <w:tcW w:w="2265" w:type="dxa"/>
                  <w:noWrap/>
                  <w:vAlign w:val="center"/>
                </w:tcPr>
                <w:p>
                  <w:pPr>
                    <w:pStyle w:val="40"/>
                  </w:pPr>
                  <w:r>
                    <w:rPr>
                      <w:rFonts w:hint="eastAsia"/>
                    </w:rPr>
                    <w:t>≤350</w:t>
                  </w:r>
                </w:p>
              </w:tc>
              <w:tc>
                <w:tcPr>
                  <w:tcW w:w="4108" w:type="dxa"/>
                  <w:vMerge w:val="continue"/>
                  <w:noWrap/>
                  <w:vAlign w:val="center"/>
                </w:tcPr>
                <w:p>
                  <w:pPr>
                    <w:pStyle w:val="40"/>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41" w:type="dxa"/>
                  <w:noWrap/>
                  <w:vAlign w:val="center"/>
                </w:tcPr>
                <w:p>
                  <w:pPr>
                    <w:pStyle w:val="40"/>
                  </w:pPr>
                  <w:r>
                    <w:rPr>
                      <w:rFonts w:hint="eastAsia"/>
                    </w:rPr>
                    <w:t>SS</w:t>
                  </w:r>
                </w:p>
              </w:tc>
              <w:tc>
                <w:tcPr>
                  <w:tcW w:w="2265" w:type="dxa"/>
                  <w:noWrap/>
                  <w:vAlign w:val="center"/>
                </w:tcPr>
                <w:p>
                  <w:pPr>
                    <w:pStyle w:val="40"/>
                  </w:pPr>
                  <w:r>
                    <w:rPr>
                      <w:rFonts w:hint="eastAsia"/>
                    </w:rPr>
                    <w:t>≤400</w:t>
                  </w:r>
                </w:p>
              </w:tc>
              <w:tc>
                <w:tcPr>
                  <w:tcW w:w="4108" w:type="dxa"/>
                  <w:vMerge w:val="continue"/>
                  <w:noWrap/>
                  <w:vAlign w:val="center"/>
                </w:tcPr>
                <w:p>
                  <w:pPr>
                    <w:pStyle w:val="40"/>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41" w:type="dxa"/>
                  <w:noWrap/>
                  <w:vAlign w:val="center"/>
                </w:tcPr>
                <w:p>
                  <w:pPr>
                    <w:pStyle w:val="40"/>
                  </w:pPr>
                  <w:r>
                    <w:rPr>
                      <w:rFonts w:hint="eastAsia"/>
                    </w:rPr>
                    <w:t>NH</w:t>
                  </w:r>
                  <w:r>
                    <w:rPr>
                      <w:rFonts w:hint="eastAsia"/>
                      <w:vertAlign w:val="subscript"/>
                    </w:rPr>
                    <w:t>3</w:t>
                  </w:r>
                  <w:r>
                    <w:rPr>
                      <w:rFonts w:hint="eastAsia"/>
                    </w:rPr>
                    <w:t>-N</w:t>
                  </w:r>
                </w:p>
              </w:tc>
              <w:tc>
                <w:tcPr>
                  <w:tcW w:w="2265" w:type="dxa"/>
                  <w:noWrap/>
                  <w:vAlign w:val="center"/>
                </w:tcPr>
                <w:p>
                  <w:pPr>
                    <w:pStyle w:val="40"/>
                  </w:pPr>
                  <w:r>
                    <w:rPr>
                      <w:rFonts w:hint="eastAsia"/>
                    </w:rPr>
                    <w:t>≤45</w:t>
                  </w:r>
                </w:p>
              </w:tc>
              <w:tc>
                <w:tcPr>
                  <w:tcW w:w="4108" w:type="dxa"/>
                  <w:vMerge w:val="continue"/>
                  <w:noWrap/>
                  <w:vAlign w:val="center"/>
                </w:tcPr>
                <w:p>
                  <w:pPr>
                    <w:pStyle w:val="40"/>
                  </w:pPr>
                </w:p>
              </w:tc>
            </w:tr>
          </w:tbl>
          <w:p>
            <w:pPr>
              <w:pStyle w:val="5"/>
              <w:rPr>
                <w:rFonts w:hint="default" w:eastAsia="宋体"/>
                <w:lang w:val="en-US" w:eastAsia="zh-CN"/>
              </w:rPr>
            </w:pPr>
            <w:r>
              <w:rPr>
                <w:rFonts w:hint="eastAsia"/>
              </w:rPr>
              <w:t>产生的印刷清洗废水经</w:t>
            </w:r>
            <w:r>
              <w:rPr>
                <w:rFonts w:hint="eastAsia"/>
                <w:lang w:val="en-US" w:eastAsia="zh-CN"/>
              </w:rPr>
              <w:t>收集后统一交由有资质单位进行处理。</w:t>
            </w:r>
          </w:p>
          <w:p>
            <w:pPr>
              <w:pStyle w:val="4"/>
              <w:numPr>
                <w:ilvl w:val="0"/>
                <w:numId w:val="0"/>
              </w:numPr>
            </w:pPr>
            <w:r>
              <w:rPr>
                <w:rFonts w:hint="eastAsia"/>
                <w:lang w:val="en-US" w:eastAsia="zh-CN"/>
              </w:rPr>
              <w:t>一、</w:t>
            </w:r>
            <w:r>
              <w:t>噪声排放执行标准</w:t>
            </w:r>
          </w:p>
          <w:p>
            <w:pPr>
              <w:pStyle w:val="5"/>
            </w:pPr>
            <w:r>
              <w:t>营运期噪声执行《工业企业厂界环境噪声排放标准》GB12348-2008 中3类标准，详见</w:t>
            </w:r>
            <w:r>
              <w:rPr>
                <w:rFonts w:hint="eastAsia"/>
              </w:rPr>
              <w:t>下</w:t>
            </w:r>
            <w:r>
              <w:t>表</w:t>
            </w:r>
          </w:p>
          <w:p>
            <w:pPr>
              <w:pStyle w:val="29"/>
              <w:spacing w:before="65" w:after="65"/>
            </w:pPr>
            <w:r>
              <w:t>表4-</w:t>
            </w:r>
            <w:r>
              <w:rPr>
                <w:rFonts w:hint="eastAsia"/>
              </w:rPr>
              <w:t>8</w:t>
            </w:r>
            <w:r>
              <w:t>厂界环境噪声排放标准 单位：Leq[dB</w:t>
            </w:r>
            <w:r>
              <w:rPr>
                <w:highlight w:val="none"/>
              </w:rPr>
              <w:t>(</w:t>
            </w:r>
            <w:r>
              <w:t>A</w:t>
            </w:r>
            <w:r>
              <w:rPr>
                <w:highlight w:val="none"/>
              </w:rPr>
              <w:t>)</w:t>
            </w:r>
            <w:r>
              <w:t>]</w:t>
            </w:r>
          </w:p>
          <w:tbl>
            <w:tblPr>
              <w:tblStyle w:val="23"/>
              <w:tblW w:w="88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2"/>
              <w:gridCol w:w="1005"/>
              <w:gridCol w:w="1005"/>
              <w:gridCol w:w="56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1232" w:type="dxa"/>
                  <w:tcBorders>
                    <w:tl2br w:val="nil"/>
                    <w:tr2bl w:val="nil"/>
                  </w:tcBorders>
                  <w:noWrap/>
                  <w:vAlign w:val="center"/>
                </w:tcPr>
                <w:p>
                  <w:pPr>
                    <w:pStyle w:val="40"/>
                  </w:pPr>
                  <w:r>
                    <w:rPr>
                      <w:rFonts w:hint="eastAsia"/>
                    </w:rPr>
                    <w:t>类别</w:t>
                  </w:r>
                </w:p>
              </w:tc>
              <w:tc>
                <w:tcPr>
                  <w:tcW w:w="1005" w:type="dxa"/>
                  <w:tcBorders>
                    <w:tl2br w:val="nil"/>
                    <w:tr2bl w:val="nil"/>
                  </w:tcBorders>
                  <w:noWrap/>
                  <w:vAlign w:val="center"/>
                </w:tcPr>
                <w:p>
                  <w:pPr>
                    <w:pStyle w:val="40"/>
                  </w:pPr>
                  <w:r>
                    <w:rPr>
                      <w:rFonts w:hint="eastAsia"/>
                    </w:rPr>
                    <w:t>昼间</w:t>
                  </w:r>
                </w:p>
              </w:tc>
              <w:tc>
                <w:tcPr>
                  <w:tcW w:w="1005" w:type="dxa"/>
                  <w:tcBorders>
                    <w:tl2br w:val="nil"/>
                    <w:tr2bl w:val="nil"/>
                  </w:tcBorders>
                  <w:noWrap/>
                  <w:vAlign w:val="center"/>
                </w:tcPr>
                <w:p>
                  <w:pPr>
                    <w:pStyle w:val="40"/>
                  </w:pPr>
                  <w:r>
                    <w:rPr>
                      <w:rFonts w:hint="eastAsia"/>
                    </w:rPr>
                    <w:t>夜间</w:t>
                  </w:r>
                </w:p>
              </w:tc>
              <w:tc>
                <w:tcPr>
                  <w:tcW w:w="5602" w:type="dxa"/>
                  <w:tcBorders>
                    <w:tl2br w:val="nil"/>
                    <w:tr2bl w:val="nil"/>
                  </w:tcBorders>
                  <w:noWrap/>
                  <w:vAlign w:val="center"/>
                </w:tcPr>
                <w:p>
                  <w:pPr>
                    <w:pStyle w:val="40"/>
                  </w:pPr>
                  <w:r>
                    <w:rPr>
                      <w:rFonts w:hint="eastAsia"/>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1232" w:type="dxa"/>
                  <w:tcBorders>
                    <w:tl2br w:val="nil"/>
                    <w:tr2bl w:val="nil"/>
                  </w:tcBorders>
                  <w:noWrap/>
                  <w:vAlign w:val="center"/>
                </w:tcPr>
                <w:p>
                  <w:pPr>
                    <w:pStyle w:val="40"/>
                  </w:pPr>
                  <w:r>
                    <w:rPr>
                      <w:rFonts w:hint="eastAsia"/>
                    </w:rPr>
                    <w:t>运营期</w:t>
                  </w:r>
                </w:p>
              </w:tc>
              <w:tc>
                <w:tcPr>
                  <w:tcW w:w="1005" w:type="dxa"/>
                  <w:tcBorders>
                    <w:tl2br w:val="nil"/>
                    <w:tr2bl w:val="nil"/>
                  </w:tcBorders>
                  <w:noWrap/>
                  <w:vAlign w:val="center"/>
                </w:tcPr>
                <w:p>
                  <w:pPr>
                    <w:pStyle w:val="40"/>
                  </w:pPr>
                  <w:r>
                    <w:rPr>
                      <w:rFonts w:hint="eastAsia"/>
                    </w:rPr>
                    <w:t>65</w:t>
                  </w:r>
                </w:p>
              </w:tc>
              <w:tc>
                <w:tcPr>
                  <w:tcW w:w="1005" w:type="dxa"/>
                  <w:tcBorders>
                    <w:tl2br w:val="nil"/>
                    <w:tr2bl w:val="nil"/>
                  </w:tcBorders>
                  <w:noWrap/>
                  <w:vAlign w:val="center"/>
                </w:tcPr>
                <w:p>
                  <w:pPr>
                    <w:pStyle w:val="40"/>
                  </w:pPr>
                  <w:r>
                    <w:rPr>
                      <w:rFonts w:hint="eastAsia"/>
                    </w:rPr>
                    <w:t>55</w:t>
                  </w:r>
                </w:p>
              </w:tc>
              <w:tc>
                <w:tcPr>
                  <w:tcW w:w="5602" w:type="dxa"/>
                  <w:tcBorders>
                    <w:tl2br w:val="nil"/>
                    <w:tr2bl w:val="nil"/>
                  </w:tcBorders>
                  <w:noWrap/>
                  <w:vAlign w:val="center"/>
                </w:tcPr>
                <w:p>
                  <w:pPr>
                    <w:pStyle w:val="40"/>
                  </w:pPr>
                  <w:r>
                    <w:rPr>
                      <w:rFonts w:hint="eastAsia"/>
                    </w:rPr>
                    <w:t>《工业企业厂界环境噪声排放标准》（GB12348-2008）3类</w:t>
                  </w:r>
                </w:p>
              </w:tc>
            </w:tr>
          </w:tbl>
          <w:p>
            <w:pPr>
              <w:pStyle w:val="4"/>
              <w:keepNext/>
              <w:keepLines/>
              <w:numPr>
                <w:ilvl w:val="0"/>
                <w:numId w:val="0"/>
              </w:numPr>
              <w:spacing w:line="240" w:lineRule="auto"/>
            </w:pPr>
            <w:r>
              <w:rPr>
                <w:rFonts w:hint="eastAsia"/>
                <w:bCs/>
                <w:szCs w:val="20"/>
                <w:lang w:val="en-US" w:eastAsia="zh-CN"/>
              </w:rPr>
              <w:t>二、</w:t>
            </w:r>
            <w:r>
              <w:rPr>
                <w:bCs/>
                <w:szCs w:val="20"/>
              </w:rPr>
              <w:t>固体废物</w:t>
            </w:r>
          </w:p>
          <w:p>
            <w:pPr>
              <w:pStyle w:val="5"/>
            </w:pPr>
            <w:r>
              <w:rPr>
                <w:rFonts w:hint="eastAsia"/>
              </w:rPr>
              <w:t>一般工业固废执行《一般工业固体废物贮存、处置场污染控制标准》（GB18599－2001）及修改单中相关要求。危险废物执行《危险废物贮存污染控制标准》（GB18597－2001）及修改单中相关要求，并按规定与有相应资质的单位签约处置。</w:t>
            </w:r>
          </w:p>
        </w:tc>
      </w:tr>
    </w:tbl>
    <w:tbl>
      <w:tblPr>
        <w:tblStyle w:val="23"/>
        <w:tblpPr w:leftFromText="180" w:rightFromText="180" w:vertAnchor="text" w:horzAnchor="page" w:tblpX="1413" w:tblpY="160"/>
        <w:tblOverlap w:val="never"/>
        <w:tblW w:w="9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8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0" w:hRule="atLeast"/>
        </w:trPr>
        <w:tc>
          <w:tcPr>
            <w:tcW w:w="441" w:type="dxa"/>
            <w:noWrap/>
            <w:vAlign w:val="center"/>
          </w:tcPr>
          <w:p>
            <w:pPr>
              <w:spacing w:line="360" w:lineRule="auto"/>
              <w:jc w:val="center"/>
              <w:rPr>
                <w:rFonts w:ascii="仿宋" w:hAnsi="仿宋" w:eastAsia="仿宋" w:cs="仿宋"/>
                <w:sz w:val="28"/>
                <w:szCs w:val="28"/>
              </w:rPr>
            </w:pPr>
            <w:r>
              <w:rPr>
                <w:rFonts w:hint="eastAsia" w:ascii="仿宋" w:hAnsi="仿宋" w:eastAsia="仿宋" w:cs="仿宋"/>
                <w:sz w:val="28"/>
                <w:szCs w:val="28"/>
              </w:rPr>
              <w:t>总量</w:t>
            </w:r>
          </w:p>
          <w:p>
            <w:pPr>
              <w:spacing w:line="360" w:lineRule="auto"/>
              <w:jc w:val="center"/>
              <w:rPr>
                <w:b/>
                <w:bCs/>
                <w:color w:val="FF0000"/>
              </w:rPr>
            </w:pPr>
            <w:r>
              <w:rPr>
                <w:rFonts w:hint="eastAsia" w:ascii="仿宋" w:hAnsi="仿宋" w:eastAsia="仿宋" w:cs="仿宋"/>
                <w:sz w:val="28"/>
                <w:szCs w:val="28"/>
              </w:rPr>
              <w:t>控制</w:t>
            </w:r>
          </w:p>
        </w:tc>
        <w:tc>
          <w:tcPr>
            <w:tcW w:w="8998" w:type="dxa"/>
            <w:noWrap/>
          </w:tcPr>
          <w:p>
            <w:pPr>
              <w:pStyle w:val="5"/>
              <w:jc w:val="left"/>
            </w:pPr>
            <w:r>
              <w:rPr>
                <w:rFonts w:hint="eastAsia"/>
                <w:highlight w:val="none"/>
              </w:rPr>
              <w:t>(</w:t>
            </w:r>
            <w:r>
              <w:rPr>
                <w:rFonts w:hint="eastAsia"/>
              </w:rPr>
              <w:t>1</w:t>
            </w:r>
            <w:r>
              <w:rPr>
                <w:rFonts w:hint="eastAsia"/>
                <w:highlight w:val="none"/>
              </w:rPr>
              <w:t>)</w:t>
            </w:r>
            <w:r>
              <w:rPr>
                <w:rFonts w:hint="eastAsia"/>
              </w:rPr>
              <w:t>总量控制分析：“十三五”期间总量控制指标为：废气：SO</w:t>
            </w:r>
            <w:r>
              <w:rPr>
                <w:vertAlign w:val="subscript"/>
              </w:rPr>
              <w:t>2</w:t>
            </w:r>
            <w:r>
              <w:rPr>
                <w:rFonts w:hint="eastAsia"/>
              </w:rPr>
              <w:t>、</w:t>
            </w:r>
            <w:r>
              <w:t>NO</w:t>
            </w:r>
            <w:r>
              <w:rPr>
                <w:vertAlign w:val="subscript"/>
              </w:rPr>
              <w:t>X</w:t>
            </w:r>
            <w:r>
              <w:rPr>
                <w:rFonts w:hint="eastAsia"/>
              </w:rPr>
              <w:t>、颗粒物、</w:t>
            </w:r>
            <w:r>
              <w:t>VOCs</w:t>
            </w:r>
            <w:r>
              <w:rPr>
                <w:rFonts w:hint="eastAsia"/>
              </w:rPr>
              <w:t>；废水：</w:t>
            </w:r>
            <w:r>
              <w:t>COD</w:t>
            </w:r>
            <w:r>
              <w:rPr>
                <w:rFonts w:hint="eastAsia"/>
              </w:rPr>
              <w:t>、氨氮；结合建设项目，确定全厂总量控制指标如下：</w:t>
            </w:r>
          </w:p>
          <w:p>
            <w:pPr>
              <w:pStyle w:val="5"/>
              <w:jc w:val="left"/>
            </w:pPr>
            <w:r>
              <w:rPr>
                <w:rFonts w:hint="eastAsia"/>
              </w:rPr>
              <w:t>废气：颗粒物、</w:t>
            </w:r>
            <w:r>
              <w:t>VOCs</w:t>
            </w:r>
          </w:p>
          <w:p>
            <w:pPr>
              <w:pStyle w:val="5"/>
              <w:jc w:val="left"/>
            </w:pPr>
            <w:r>
              <w:rPr>
                <w:rFonts w:hint="eastAsia"/>
              </w:rPr>
              <w:t>废水：</w:t>
            </w:r>
            <w:r>
              <w:t>COD</w:t>
            </w:r>
            <w:r>
              <w:rPr>
                <w:rFonts w:hint="eastAsia"/>
              </w:rPr>
              <w:t>、氨氮</w:t>
            </w:r>
          </w:p>
          <w:p>
            <w:pPr>
              <w:pStyle w:val="5"/>
              <w:jc w:val="left"/>
            </w:pPr>
            <w:r>
              <w:rPr>
                <w:rFonts w:hint="eastAsia"/>
              </w:rPr>
              <w:t>建设项目完成后，生活污水经处理后排入淮南市</w:t>
            </w:r>
            <w:r>
              <w:rPr>
                <w:rFonts w:hint="eastAsia"/>
                <w:lang w:val="en-US" w:eastAsia="zh-CN"/>
              </w:rPr>
              <w:t>经济技术开发区</w:t>
            </w:r>
            <w:r>
              <w:t>污水处理厂</w:t>
            </w:r>
            <w:r>
              <w:rPr>
                <w:rFonts w:hint="eastAsia"/>
              </w:rPr>
              <w:t>，废水污染物不设总量指标：</w:t>
            </w:r>
          </w:p>
          <w:p>
            <w:pPr>
              <w:pStyle w:val="29"/>
              <w:spacing w:before="65" w:after="65"/>
            </w:pPr>
            <w:r>
              <w:rPr>
                <w:rFonts w:hint="eastAsia"/>
              </w:rPr>
              <w:t>表4-9 大气污染物排放汇总表</w:t>
            </w:r>
          </w:p>
          <w:tbl>
            <w:tblPr>
              <w:tblStyle w:val="24"/>
              <w:tblW w:w="8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2154"/>
              <w:gridCol w:w="2154"/>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53" w:type="dxa"/>
                  <w:noWrap/>
                  <w:vAlign w:val="center"/>
                </w:tcPr>
                <w:p>
                  <w:pPr>
                    <w:pStyle w:val="40"/>
                  </w:pPr>
                  <w:r>
                    <w:rPr>
                      <w:rFonts w:hint="eastAsia"/>
                    </w:rPr>
                    <w:t>污染物</w:t>
                  </w:r>
                </w:p>
              </w:tc>
              <w:tc>
                <w:tcPr>
                  <w:tcW w:w="2154" w:type="dxa"/>
                  <w:noWrap/>
                  <w:vAlign w:val="center"/>
                </w:tcPr>
                <w:p>
                  <w:pPr>
                    <w:pStyle w:val="40"/>
                  </w:pPr>
                  <w:r>
                    <w:rPr>
                      <w:rFonts w:hint="eastAsia"/>
                    </w:rPr>
                    <w:t>有组织废气排放量（t/a）</w:t>
                  </w:r>
                </w:p>
              </w:tc>
              <w:tc>
                <w:tcPr>
                  <w:tcW w:w="2154" w:type="dxa"/>
                  <w:noWrap/>
                  <w:vAlign w:val="center"/>
                </w:tcPr>
                <w:p>
                  <w:pPr>
                    <w:pStyle w:val="40"/>
                  </w:pPr>
                  <w:r>
                    <w:rPr>
                      <w:rFonts w:hint="eastAsia"/>
                    </w:rPr>
                    <w:t>无组织废气排放量（t/a）</w:t>
                  </w:r>
                </w:p>
              </w:tc>
              <w:tc>
                <w:tcPr>
                  <w:tcW w:w="2154" w:type="dxa"/>
                  <w:noWrap/>
                  <w:vAlign w:val="center"/>
                </w:tcPr>
                <w:p>
                  <w:pPr>
                    <w:pStyle w:val="40"/>
                  </w:pPr>
                  <w:r>
                    <w:rPr>
                      <w:rFonts w:hint="eastAsia"/>
                    </w:rPr>
                    <w:t>合计排放量（t/a）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53" w:type="dxa"/>
                  <w:noWrap/>
                  <w:vAlign w:val="center"/>
                </w:tcPr>
                <w:p>
                  <w:pPr>
                    <w:pStyle w:val="40"/>
                  </w:pPr>
                  <w:r>
                    <w:rPr>
                      <w:rFonts w:hint="eastAsia"/>
                    </w:rPr>
                    <w:t>非甲烷总烃</w:t>
                  </w:r>
                </w:p>
              </w:tc>
              <w:tc>
                <w:tcPr>
                  <w:tcW w:w="2154" w:type="dxa"/>
                  <w:noWrap/>
                  <w:vAlign w:val="center"/>
                </w:tcPr>
                <w:p>
                  <w:pPr>
                    <w:pStyle w:val="40"/>
                  </w:pPr>
                  <w:r>
                    <w:rPr>
                      <w:rFonts w:hint="eastAsia"/>
                    </w:rPr>
                    <w:t>0.0261</w:t>
                  </w:r>
                </w:p>
              </w:tc>
              <w:tc>
                <w:tcPr>
                  <w:tcW w:w="2154" w:type="dxa"/>
                  <w:noWrap/>
                  <w:vAlign w:val="center"/>
                </w:tcPr>
                <w:p>
                  <w:pPr>
                    <w:pStyle w:val="40"/>
                  </w:pPr>
                  <w:r>
                    <w:rPr>
                      <w:rFonts w:hint="eastAsia"/>
                    </w:rPr>
                    <w:t>0.029</w:t>
                  </w:r>
                </w:p>
              </w:tc>
              <w:tc>
                <w:tcPr>
                  <w:tcW w:w="2154" w:type="dxa"/>
                  <w:noWrap/>
                  <w:vAlign w:val="center"/>
                </w:tcPr>
                <w:p>
                  <w:pPr>
                    <w:pStyle w:val="40"/>
                  </w:pPr>
                  <w:r>
                    <w:rPr>
                      <w:rFonts w:hint="eastAsia"/>
                    </w:rPr>
                    <w:t>0.0551</w:t>
                  </w:r>
                </w:p>
              </w:tc>
            </w:tr>
          </w:tbl>
          <w:p/>
          <w:p>
            <w:pPr>
              <w:pStyle w:val="5"/>
            </w:pPr>
            <w:r>
              <w:rPr>
                <w:rFonts w:hint="eastAsia"/>
              </w:rPr>
              <w:t>根据上表可以看出，项目VOCs总量指标为：0.0261t/a</w:t>
            </w:r>
          </w:p>
          <w:p>
            <w:pPr>
              <w:pStyle w:val="5"/>
              <w:ind w:firstLine="0" w:firstLineChars="0"/>
            </w:pPr>
          </w:p>
          <w:p>
            <w:pPr>
              <w:pStyle w:val="17"/>
              <w:rPr>
                <w:bCs/>
                <w:sz w:val="24"/>
              </w:rPr>
            </w:pPr>
          </w:p>
          <w:p>
            <w:pPr>
              <w:pStyle w:val="17"/>
              <w:rPr>
                <w:bCs/>
                <w:sz w:val="24"/>
              </w:rPr>
            </w:pPr>
          </w:p>
          <w:p>
            <w:pPr>
              <w:pStyle w:val="17"/>
              <w:rPr>
                <w:bCs/>
                <w:sz w:val="24"/>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p>
            <w:pPr>
              <w:pStyle w:val="17"/>
              <w:rPr>
                <w:bCs/>
                <w:sz w:val="30"/>
                <w:szCs w:val="30"/>
              </w:rPr>
            </w:pPr>
          </w:p>
        </w:tc>
      </w:tr>
    </w:tbl>
    <w:p>
      <w:pPr>
        <w:outlineLvl w:val="0"/>
        <w:rPr>
          <w:rStyle w:val="51"/>
        </w:rPr>
      </w:pPr>
      <w:r>
        <w:br w:type="page"/>
      </w:r>
      <w:r>
        <w:rPr>
          <w:rStyle w:val="51"/>
          <w:rFonts w:hint="eastAsia"/>
        </w:rPr>
        <w:t>五、建设项目工程分析</w:t>
      </w:r>
    </w:p>
    <w:tbl>
      <w:tblPr>
        <w:tblStyle w:val="24"/>
        <w:tblW w:w="0" w:type="auto"/>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5" w:hRule="atLeast"/>
        </w:trPr>
        <w:tc>
          <w:tcPr>
            <w:tcW w:w="9420" w:type="dxa"/>
            <w:noWrap/>
          </w:tcPr>
          <w:p>
            <w:pPr>
              <w:pStyle w:val="4"/>
            </w:pPr>
            <w:r>
              <w:rPr>
                <w:rFonts w:hint="eastAsia"/>
              </w:rPr>
              <w:t>一、施工期项目分析</w:t>
            </w:r>
          </w:p>
          <w:p>
            <w:pPr>
              <w:pStyle w:val="5"/>
            </w:pPr>
            <w:r>
              <w:rPr>
                <w:rFonts w:hint="eastAsia"/>
              </w:rPr>
              <w:t>本项目生产车间利用已建设厂房，施工期只进行设备安装，不需进行土建施工，施工期主要为噪声影响，建设单位注意避免夜间施工，采用低噪声设备施工等措施，施工期结束后，影响随之消失，对周边环境影响较小。故本环评不再进行施工期环境影响分析。</w:t>
            </w:r>
          </w:p>
          <w:p>
            <w:pPr>
              <w:pStyle w:val="4"/>
              <w:rPr>
                <w:rFonts w:hint="eastAsia"/>
              </w:rPr>
            </w:pPr>
            <w:r>
              <w:rPr>
                <w:rFonts w:hint="eastAsia"/>
              </w:rPr>
              <w:t>二、营运期工程分析</w:t>
            </w:r>
          </w:p>
          <w:p>
            <w:pPr>
              <w:pStyle w:val="5"/>
            </w:pPr>
            <w:r>
              <w:rPr>
                <w:rFonts w:hint="eastAsia"/>
              </w:rPr>
              <w:t>（一）营运期工艺流程及产污节点简述</w:t>
            </w:r>
          </w:p>
          <w:p>
            <w:pPr>
              <w:pStyle w:val="30"/>
              <w:spacing w:before="65" w:after="65"/>
            </w:pPr>
          </w:p>
          <w:p>
            <w:pPr>
              <w:jc w:val="center"/>
            </w:pPr>
            <w:r>
              <mc:AlternateContent>
                <mc:Choice Requires="wpg">
                  <w:drawing>
                    <wp:inline distT="0" distB="0" distL="114300" distR="114300">
                      <wp:extent cx="4745355" cy="3343910"/>
                      <wp:effectExtent l="4445" t="0" r="0" b="8890"/>
                      <wp:docPr id="18" name="组合 18"/>
                      <wp:cNvGraphicFramePr/>
                      <a:graphic xmlns:a="http://schemas.openxmlformats.org/drawingml/2006/main">
                        <a:graphicData uri="http://schemas.microsoft.com/office/word/2010/wordprocessingGroup">
                          <wpg:wgp>
                            <wpg:cNvGrpSpPr/>
                            <wpg:grpSpPr>
                              <a:xfrm>
                                <a:off x="0" y="0"/>
                                <a:ext cx="4745497" cy="3343785"/>
                                <a:chOff x="6078" y="2512"/>
                                <a:chExt cx="7235" cy="5008"/>
                              </a:xfrm>
                              <a:effectLst/>
                            </wpg:grpSpPr>
                            <wps:wsp>
                              <wps:cNvPr id="19" name="文本框 1"/>
                              <wps:cNvSpPr txBox="1"/>
                              <wps:spPr>
                                <a:xfrm>
                                  <a:off x="6141" y="2700"/>
                                  <a:ext cx="2000" cy="766"/>
                                </a:xfrm>
                                <a:prstGeom prst="rect">
                                  <a:avLst/>
                                </a:prstGeom>
                                <a:noFill/>
                                <a:ln w="6350">
                                  <a:solidFill>
                                    <a:prstClr val="black"/>
                                  </a:solidFill>
                                </a:ln>
                                <a:effectLst/>
                              </wps:spPr>
                              <wps:txbx>
                                <w:txbxContent>
                                  <w:p>
                                    <w:pPr>
                                      <w:jc w:val="center"/>
                                    </w:pPr>
                                    <w:r>
                                      <w:rPr>
                                        <w:rFonts w:hint="eastAsia"/>
                                      </w:rPr>
                                      <w:t>模切印刷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文本框 2"/>
                              <wps:cNvSpPr txBox="1"/>
                              <wps:spPr>
                                <a:xfrm>
                                  <a:off x="6131" y="4090"/>
                                  <a:ext cx="2000" cy="766"/>
                                </a:xfrm>
                                <a:prstGeom prst="rect">
                                  <a:avLst/>
                                </a:prstGeom>
                                <a:noFill/>
                                <a:ln w="6350">
                                  <a:solidFill>
                                    <a:prstClr val="black"/>
                                  </a:solidFill>
                                </a:ln>
                                <a:effectLst/>
                              </wps:spPr>
                              <wps:txbx>
                                <w:txbxContent>
                                  <w:p>
                                    <w:pPr>
                                      <w:jc w:val="center"/>
                                    </w:pPr>
                                    <w:r>
                                      <w:rPr>
                                        <w:rFonts w:hint="eastAsia"/>
                                      </w:rPr>
                                      <w:t>钉箱/粘合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文本框 3"/>
                              <wps:cNvSpPr txBox="1"/>
                              <wps:spPr>
                                <a:xfrm>
                                  <a:off x="6105" y="5446"/>
                                  <a:ext cx="2000" cy="766"/>
                                </a:xfrm>
                                <a:prstGeom prst="rect">
                                  <a:avLst/>
                                </a:prstGeom>
                                <a:noFill/>
                                <a:ln w="6350">
                                  <a:solidFill>
                                    <a:prstClr val="black"/>
                                  </a:solidFill>
                                </a:ln>
                                <a:effectLst/>
                              </wps:spPr>
                              <wps:txbx>
                                <w:txbxContent>
                                  <w:p>
                                    <w:pPr>
                                      <w:jc w:val="center"/>
                                    </w:pPr>
                                    <w:r>
                                      <w:rPr>
                                        <w:rFonts w:hint="eastAsia"/>
                                      </w:rPr>
                                      <w:t>检验包装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文本框 4"/>
                              <wps:cNvSpPr txBox="1"/>
                              <wps:spPr>
                                <a:xfrm>
                                  <a:off x="6078" y="6754"/>
                                  <a:ext cx="2000" cy="766"/>
                                </a:xfrm>
                                <a:prstGeom prst="rect">
                                  <a:avLst/>
                                </a:prstGeom>
                                <a:noFill/>
                                <a:ln w="6350">
                                  <a:solidFill>
                                    <a:prstClr val="black"/>
                                  </a:solidFill>
                                </a:ln>
                                <a:effectLst/>
                              </wps:spPr>
                              <wps:txbx>
                                <w:txbxContent>
                                  <w:p>
                                    <w:pPr>
                                      <w:jc w:val="center"/>
                                    </w:pPr>
                                    <w:r>
                                      <w:rPr>
                                        <w:rFonts w:hint="eastAsia"/>
                                      </w:rPr>
                                      <w:t>成品入库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5"/>
                              <wps:cNvCnPr/>
                              <wps:spPr>
                                <a:xfrm flipH="1">
                                  <a:off x="7183" y="3532"/>
                                  <a:ext cx="8" cy="517"/>
                                </a:xfrm>
                                <a:prstGeom prst="straightConnector1">
                                  <a:avLst/>
                                </a:prstGeom>
                                <a:noFill/>
                                <a:ln w="28575" cap="flat" cmpd="sng" algn="ctr">
                                  <a:solidFill>
                                    <a:srgbClr val="000000"/>
                                  </a:solidFill>
                                  <a:prstDash val="solid"/>
                                  <a:tailEnd type="arrow"/>
                                </a:ln>
                                <a:effectLst/>
                              </wps:spPr>
                              <wps:bodyPr/>
                            </wps:wsp>
                            <wps:wsp>
                              <wps:cNvPr id="24" name="直接箭头连接符 6"/>
                              <wps:cNvCnPr/>
                              <wps:spPr>
                                <a:xfrm flipH="1">
                                  <a:off x="7122" y="4922"/>
                                  <a:ext cx="8" cy="517"/>
                                </a:xfrm>
                                <a:prstGeom prst="straightConnector1">
                                  <a:avLst/>
                                </a:prstGeom>
                                <a:noFill/>
                                <a:ln w="28575" cap="flat" cmpd="sng" algn="ctr">
                                  <a:solidFill>
                                    <a:srgbClr val="000000"/>
                                  </a:solidFill>
                                  <a:prstDash val="solid"/>
                                  <a:tailEnd type="arrow"/>
                                </a:ln>
                                <a:effectLst/>
                              </wps:spPr>
                              <wps:bodyPr/>
                            </wps:wsp>
                            <wps:wsp>
                              <wps:cNvPr id="25" name="直接箭头连接符 7"/>
                              <wps:cNvCnPr/>
                              <wps:spPr>
                                <a:xfrm flipH="1">
                                  <a:off x="7111" y="6262"/>
                                  <a:ext cx="8" cy="517"/>
                                </a:xfrm>
                                <a:prstGeom prst="straightConnector1">
                                  <a:avLst/>
                                </a:prstGeom>
                                <a:noFill/>
                                <a:ln w="28575" cap="flat" cmpd="sng" algn="ctr">
                                  <a:solidFill>
                                    <a:srgbClr val="000000"/>
                                  </a:solidFill>
                                  <a:prstDash val="solid"/>
                                  <a:tailEnd type="arrow"/>
                                </a:ln>
                                <a:effectLst/>
                              </wps:spPr>
                              <wps:bodyPr/>
                            </wps:wsp>
                            <wps:wsp>
                              <wps:cNvPr id="26" name="直接箭头连接符 8"/>
                              <wps:cNvCnPr/>
                              <wps:spPr>
                                <a:xfrm>
                                  <a:off x="8233" y="3100"/>
                                  <a:ext cx="500" cy="0"/>
                                </a:xfrm>
                                <a:prstGeom prst="straightConnector1">
                                  <a:avLst/>
                                </a:prstGeom>
                                <a:noFill/>
                                <a:ln w="28575" cap="flat" cmpd="sng" algn="ctr">
                                  <a:solidFill>
                                    <a:srgbClr val="000000"/>
                                  </a:solidFill>
                                  <a:prstDash val="solid"/>
                                  <a:tailEnd type="arrow"/>
                                </a:ln>
                                <a:effectLst/>
                              </wps:spPr>
                              <wps:bodyPr/>
                            </wps:wsp>
                            <wps:wsp>
                              <wps:cNvPr id="9" name="直接箭头连接符 9"/>
                              <wps:cNvCnPr/>
                              <wps:spPr>
                                <a:xfrm>
                                  <a:off x="8190" y="4440"/>
                                  <a:ext cx="500" cy="0"/>
                                </a:xfrm>
                                <a:prstGeom prst="straightConnector1">
                                  <a:avLst/>
                                </a:prstGeom>
                                <a:noFill/>
                                <a:ln w="28575" cap="flat" cmpd="sng" algn="ctr">
                                  <a:solidFill>
                                    <a:srgbClr val="000000"/>
                                  </a:solidFill>
                                  <a:prstDash val="solid"/>
                                  <a:tailEnd type="arrow"/>
                                </a:ln>
                                <a:effectLst/>
                              </wps:spPr>
                              <wps:bodyPr/>
                            </wps:wsp>
                            <wps:wsp>
                              <wps:cNvPr id="27" name="直接箭头连接符 10"/>
                              <wps:cNvCnPr/>
                              <wps:spPr>
                                <a:xfrm>
                                  <a:off x="8230" y="5814"/>
                                  <a:ext cx="500" cy="0"/>
                                </a:xfrm>
                                <a:prstGeom prst="straightConnector1">
                                  <a:avLst/>
                                </a:prstGeom>
                                <a:noFill/>
                                <a:ln w="28575" cap="flat" cmpd="sng" algn="ctr">
                                  <a:solidFill>
                                    <a:srgbClr val="000000"/>
                                  </a:solidFill>
                                  <a:prstDash val="solid"/>
                                  <a:tailEnd type="arrow"/>
                                </a:ln>
                                <a:effectLst/>
                              </wps:spPr>
                              <wps:bodyPr/>
                            </wps:wsp>
                            <wps:wsp>
                              <wps:cNvPr id="28" name="文本框 11"/>
                              <wps:cNvSpPr txBox="1"/>
                              <wps:spPr>
                                <a:xfrm>
                                  <a:off x="8812" y="2512"/>
                                  <a:ext cx="4317" cy="1474"/>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sz w:val="21"/>
                                        <w:szCs w:val="21"/>
                                        <w:lang w:val="en-US" w:eastAsia="zh-CN"/>
                                      </w:rPr>
                                    </w:pPr>
                                    <w:r>
                                      <w:rPr>
                                        <w:rFonts w:hint="eastAsia" w:ascii="微软雅黑" w:hAnsi="微软雅黑" w:eastAsia="微软雅黑" w:cs="微软雅黑"/>
                                        <w:sz w:val="21"/>
                                        <w:szCs w:val="21"/>
                                        <w:lang w:val="en-US" w:eastAsia="zh-CN"/>
                                      </w:rPr>
                                      <w:t>印刷清洗废水、印刷废气、废弃印刷板、废水性油墨桶、废含油墨抹布、边角料、噪声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文本框 12"/>
                              <wps:cNvSpPr txBox="1"/>
                              <wps:spPr>
                                <a:xfrm>
                                  <a:off x="8996" y="4005"/>
                                  <a:ext cx="4317" cy="733"/>
                                </a:xfrm>
                                <a:prstGeom prst="rect">
                                  <a:avLst/>
                                </a:prstGeom>
                                <a:noFill/>
                                <a:ln w="6350">
                                  <a:noFill/>
                                </a:ln>
                                <a:effectLst/>
                              </wps:spPr>
                              <wps:txbx>
                                <w:txbxContent>
                                  <w:p>
                                    <w:pPr>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废胶桶、粘合废气、噪声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文本框 13"/>
                              <wps:cNvSpPr txBox="1"/>
                              <wps:spPr>
                                <a:xfrm>
                                  <a:off x="9093" y="5400"/>
                                  <a:ext cx="2150" cy="733"/>
                                </a:xfrm>
                                <a:prstGeom prst="rect">
                                  <a:avLst/>
                                </a:prstGeom>
                                <a:noFill/>
                                <a:ln w="6350">
                                  <a:noFill/>
                                </a:ln>
                                <a:effectLst/>
                              </wps:spPr>
                              <wps:txbx>
                                <w:txbxContent>
                                  <w:p>
                                    <w:pP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噪声、边角料</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263.3pt;width:373.65pt;" coordorigin="6078,2512" coordsize="7235,5008" o:gfxdata="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">
                      <o:lock v:ext="edit" aspectratio="f"/>
                      <v:shape id="文本框 1" o:spid="_x0000_s1026" o:spt="202" type="#_x0000_t202" style="position:absolute;left:6141;top:2700;height:766;width:2000;v-text-anchor:middle;" filled="f" stroked="t" coordsize="21600,21600" o:gfxdata="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jIdGLUAAADbAAAADwAA&#10;AAAAAAABACAAAAAiAAAAZHJzL2Rvd25yZXYueG1sUEsBAhQAFAAAAAgAh07iQDMvBZ47AAAAOQAA&#10;ABAAAAAAAAAAAQAgAAAABAEAAGRycy9zaGFwZXhtbC54bWxQSwUGAAAAAAYABgBbAQAArgMAAAAA&#10;">
                        <v:fill on="f" focussize="0,0"/>
                        <v:stroke weight="0.5pt" color="#000000" joinstyle="round"/>
                        <v:imagedata o:title=""/>
                        <o:lock v:ext="edit" aspectratio="f"/>
                        <v:textbox>
                          <w:txbxContent>
                            <w:p>
                              <w:pPr>
                                <w:jc w:val="center"/>
                              </w:pPr>
                              <w:r>
                                <w:rPr>
                                  <w:rFonts w:hint="eastAsia"/>
                                </w:rPr>
                                <w:t>模切印刷</w:t>
                              </w:r>
                            </w:p>
                          </w:txbxContent>
                        </v:textbox>
                      </v:shape>
                      <v:shape id="文本框 2" o:spid="_x0000_s1026" o:spt="202" type="#_x0000_t202" style="position:absolute;left:6131;top:4090;height:766;width:2000;v-text-anchor:middle;" filled="f" stroked="t" coordsize="21600,21600" o:gfxdata="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R+OLUAAADbAAAADwAA&#10;AAAAAAABACAAAAAiAAAAZHJzL2Rvd25yZXYueG1sUEsBAhQAFAAAAAgAh07iQDMvBZ47AAAAOQAA&#10;ABAAAAAAAAAAAQAgAAAABAEAAGRycy9zaGFwZXhtbC54bWxQSwUGAAAAAAYABgBbAQAArgMAAAAA&#10;">
                        <v:fill on="f" focussize="0,0"/>
                        <v:stroke weight="0.5pt" color="#000000" joinstyle="round"/>
                        <v:imagedata o:title=""/>
                        <o:lock v:ext="edit" aspectratio="f"/>
                        <v:textbox>
                          <w:txbxContent>
                            <w:p>
                              <w:pPr>
                                <w:jc w:val="center"/>
                              </w:pPr>
                              <w:r>
                                <w:rPr>
                                  <w:rFonts w:hint="eastAsia"/>
                                </w:rPr>
                                <w:t>钉箱/粘合</w:t>
                              </w:r>
                            </w:p>
                          </w:txbxContent>
                        </v:textbox>
                      </v:shape>
                      <v:shape id="文本框 3" o:spid="_x0000_s1026" o:spt="202" type="#_x0000_t202" style="position:absolute;left:6105;top:5446;height:766;width:2000;v-text-anchor:middle;" filled="f" stroked="t" coordsize="21600,21600" o:gfxdata="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ijbo7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textbox>
                          <w:txbxContent>
                            <w:p>
                              <w:pPr>
                                <w:jc w:val="center"/>
                              </w:pPr>
                              <w:r>
                                <w:rPr>
                                  <w:rFonts w:hint="eastAsia"/>
                                </w:rPr>
                                <w:t>检验包装</w:t>
                              </w:r>
                            </w:p>
                          </w:txbxContent>
                        </v:textbox>
                      </v:shape>
                      <v:shape id="文本框 4" o:spid="_x0000_s1026" o:spt="202" type="#_x0000_t202" style="position:absolute;left:6078;top:6754;height:766;width:2000;v-text-anchor:middle;" filled="f" stroked="t" coordsize="21600,21600" o:gfxdata="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vpF1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textbox>
                          <w:txbxContent>
                            <w:p>
                              <w:pPr>
                                <w:jc w:val="center"/>
                              </w:pPr>
                              <w:r>
                                <w:rPr>
                                  <w:rFonts w:hint="eastAsia"/>
                                </w:rPr>
                                <w:t>成品入库</w:t>
                              </w:r>
                            </w:p>
                          </w:txbxContent>
                        </v:textbox>
                      </v:shape>
                      <v:shape id="直接箭头连接符 5" o:spid="_x0000_s1026" o:spt="32" type="#_x0000_t32" style="position:absolute;left:7183;top:3532;flip:x;height:517;width:8;" filled="f" stroked="t" coordsize="21600,21600" o:gfxdata="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ndnL4A&#10;AADbAAAADwAAAAAAAAABACAAAAAiAAAAZHJzL2Rvd25yZXYueG1sUEsBAhQAFAAAAAgAh07iQDMv&#10;BZ47AAAAOQAAABAAAAAAAAAAAQAgAAAADQEAAGRycy9zaGFwZXhtbC54bWxQSwUGAAAAAAYABgBb&#10;AQAAtwMAAAAA&#10;">
                        <v:fill on="f" focussize="0,0"/>
                        <v:stroke weight="2.25pt" color="#000000" joinstyle="round" endarrow="open"/>
                        <v:imagedata o:title=""/>
                        <o:lock v:ext="edit" aspectratio="f"/>
                      </v:shape>
                      <v:shape id="直接箭头连接符 6" o:spid="_x0000_s1026" o:spt="32" type="#_x0000_t32" style="position:absolute;left:7122;top:4922;flip:x;height:517;width:8;" filled="f" stroked="t" coordsize="21600,21600" o:gfxdata="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BF6L4A&#10;AADbAAAADwAAAAAAAAABACAAAAAiAAAAZHJzL2Rvd25yZXYueG1sUEsBAhQAFAAAAAgAh07iQDMv&#10;BZ47AAAAOQAAABAAAAAAAAAAAQAgAAAADQEAAGRycy9zaGFwZXhtbC54bWxQSwUGAAAAAAYABgBb&#10;AQAAtwMAAAAA&#10;">
                        <v:fill on="f" focussize="0,0"/>
                        <v:stroke weight="2.25pt" color="#000000" joinstyle="round" endarrow="open"/>
                        <v:imagedata o:title=""/>
                        <o:lock v:ext="edit" aspectratio="f"/>
                      </v:shape>
                      <v:shape id="直接箭头连接符 7" o:spid="_x0000_s1026" o:spt="32" type="#_x0000_t32" style="position:absolute;left:7111;top:6262;flip:x;height:517;width:8;" filled="f" stroked="t" coordsize="21600,21600" o:gfxdata="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zgc74A&#10;AADbAAAADwAAAAAAAAABACAAAAAiAAAAZHJzL2Rvd25yZXYueG1sUEsBAhQAFAAAAAgAh07iQDMv&#10;BZ47AAAAOQAAABAAAAAAAAAAAQAgAAAADQEAAGRycy9zaGFwZXhtbC54bWxQSwUGAAAAAAYABgBb&#10;AQAAtwMAAAAA&#10;">
                        <v:fill on="f" focussize="0,0"/>
                        <v:stroke weight="2.25pt" color="#000000" joinstyle="round" endarrow="open"/>
                        <v:imagedata o:title=""/>
                        <o:lock v:ext="edit" aspectratio="f"/>
                      </v:shape>
                      <v:shape id="直接箭头连接符 8" o:spid="_x0000_s1026" o:spt="32" type="#_x0000_t32" style="position:absolute;left:8233;top:3100;height:0;width:500;" filled="f" stroked="t" coordsize="21600,21600" o:gfxdata="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b8PGrgAAADbAAAA&#10;DwAAAAAAAAABACAAAAAiAAAAZHJzL2Rvd25yZXYueG1sUEsBAhQAFAAAAAgAh07iQDMvBZ47AAAA&#10;OQAAABAAAAAAAAAAAQAgAAAABwEAAGRycy9zaGFwZXhtbC54bWxQSwUGAAAAAAYABgBbAQAAsQMA&#10;AAAA&#10;">
                        <v:fill on="f" focussize="0,0"/>
                        <v:stroke weight="2.25pt" color="#000000" joinstyle="round" endarrow="open"/>
                        <v:imagedata o:title=""/>
                        <o:lock v:ext="edit" aspectratio="f"/>
                      </v:shape>
                      <v:shape id="_x0000_s1026" o:spid="_x0000_s1026" o:spt="32" type="#_x0000_t32" style="position:absolute;left:8190;top:4440;height:0;width:500;" filled="f" stroked="t" coordsize="21600,21600" o:gfxdata="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Agf7gAAADaAAAA&#10;DwAAAAAAAAABACAAAAAiAAAAZHJzL2Rvd25yZXYueG1sUEsBAhQAFAAAAAgAh07iQDMvBZ47AAAA&#10;OQAAABAAAAAAAAAAAQAgAAAABwEAAGRycy9zaGFwZXhtbC54bWxQSwUGAAAAAAYABgBbAQAAsQMA&#10;AAAA&#10;">
                        <v:fill on="f" focussize="0,0"/>
                        <v:stroke weight="2.25pt" color="#000000" joinstyle="round" endarrow="open"/>
                        <v:imagedata o:title=""/>
                        <o:lock v:ext="edit" aspectratio="f"/>
                      </v:shape>
                      <v:shape id="直接箭头连接符 10" o:spid="_x0000_s1026" o:spt="32" type="#_x0000_t32" style="position:absolute;left:8230;top:5814;height:0;width:500;" filled="f" stroked="t" coordsize="21600,21600" o:gfxdata="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7zqoG5AAAA2wAA&#10;AA8AAAAAAAAAAQAgAAAAIgAAAGRycy9kb3ducmV2LnhtbFBLAQIUABQAAAAIAIdO4kAzLwWeOwAA&#10;ADkAAAAQAAAAAAAAAAEAIAAAAAgBAABkcnMvc2hhcGV4bWwueG1sUEsFBgAAAAAGAAYAWwEAALID&#10;AAAAAA==&#10;">
                        <v:fill on="f" focussize="0,0"/>
                        <v:stroke weight="2.25pt" color="#000000" joinstyle="round" endarrow="open"/>
                        <v:imagedata o:title=""/>
                        <o:lock v:ext="edit" aspectratio="f"/>
                      </v:shape>
                      <v:shape id="文本框 11" o:spid="_x0000_s1026" o:spt="202" type="#_x0000_t202" style="position:absolute;left:8812;top:2512;height:1474;width:4317;v-text-anchor:middle;" filled="f" stroked="f" coordsize="21600,21600" o:gfxdata="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L0B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sz w:val="21"/>
                                  <w:szCs w:val="21"/>
                                  <w:lang w:val="en-US" w:eastAsia="zh-CN"/>
                                </w:rPr>
                              </w:pPr>
                              <w:r>
                                <w:rPr>
                                  <w:rFonts w:hint="eastAsia" w:ascii="微软雅黑" w:hAnsi="微软雅黑" w:eastAsia="微软雅黑" w:cs="微软雅黑"/>
                                  <w:sz w:val="21"/>
                                  <w:szCs w:val="21"/>
                                  <w:lang w:val="en-US" w:eastAsia="zh-CN"/>
                                </w:rPr>
                                <w:t>印刷清洗废水、印刷废气、废弃印刷板、废水性油墨桶、废含油墨抹布、边角料、噪声</w:t>
                              </w:r>
                            </w:p>
                          </w:txbxContent>
                        </v:textbox>
                      </v:shape>
                      <v:shape id="文本框 12" o:spid="_x0000_s1026" o:spt="202" type="#_x0000_t202" style="position:absolute;left:8996;top:4005;height:733;width:4317;v-text-anchor:middle;" filled="f" stroked="f" coordsize="21600,21600" o:gfxdata="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gYm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废胶桶、粘合废气、噪声</w:t>
                              </w:r>
                            </w:p>
                          </w:txbxContent>
                        </v:textbox>
                      </v:shape>
                      <v:shape id="文本框 13" o:spid="_x0000_s1026" o:spt="202" type="#_x0000_t202" style="position:absolute;left:9093;top:5400;height:733;width:2150;"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噪声、边角料</w:t>
                              </w:r>
                            </w:p>
                          </w:txbxContent>
                        </v:textbox>
                      </v:shape>
                      <w10:wrap type="none"/>
                      <w10:anchorlock/>
                    </v:group>
                  </w:pict>
                </mc:Fallback>
              </mc:AlternateContent>
            </w:r>
          </w:p>
          <w:p>
            <w:pPr>
              <w:pStyle w:val="29"/>
              <w:spacing w:before="65" w:after="65"/>
            </w:pPr>
          </w:p>
          <w:p>
            <w:pPr>
              <w:pStyle w:val="29"/>
              <w:spacing w:before="65" w:after="65"/>
              <w:rPr>
                <w:rFonts w:hint="eastAsia"/>
              </w:rPr>
            </w:pPr>
            <w:r>
              <w:rPr>
                <w:rFonts w:hint="eastAsia"/>
              </w:rPr>
              <w:t>图5-1 年加工150万平方米纸箱工艺及产污环节流程图</w:t>
            </w:r>
          </w:p>
          <w:p>
            <w:pPr>
              <w:pStyle w:val="30"/>
              <w:jc w:val="both"/>
              <w:rPr>
                <w:rFonts w:hint="eastAsia"/>
              </w:rPr>
            </w:pPr>
          </w:p>
          <w:p>
            <w:pPr>
              <w:rPr>
                <w:rFonts w:hint="eastAsia"/>
              </w:rPr>
            </w:pPr>
          </w:p>
          <w:p>
            <w:pPr>
              <w:pStyle w:val="18"/>
              <w:rPr>
                <w:rFonts w:hint="eastAsia"/>
              </w:rPr>
            </w:pPr>
          </w:p>
          <w:p>
            <w:pPr>
              <w:pStyle w:val="5"/>
              <w:rPr>
                <w:rFonts w:hint="eastAsia"/>
              </w:rPr>
            </w:pPr>
            <w:r>
              <w:rPr>
                <w:rFonts w:hint="eastAsia"/>
              </w:rPr>
              <w:t>注：印刷机器为模切印刷一体机，外购成品纸箱根据客户的要求，先进入机器进行模切工序（如不需更改纸箱大小，此工序省去））再进行印刷工序。</w:t>
            </w:r>
          </w:p>
        </w:tc>
      </w:tr>
    </w:tbl>
    <w:p>
      <w:pPr>
        <w:pStyle w:val="4"/>
        <w:spacing w:line="240" w:lineRule="auto"/>
      </w:pPr>
    </w:p>
    <w:tbl>
      <w:tblPr>
        <w:tblStyle w:val="24"/>
        <w:tblW w:w="9450" w:type="dxa"/>
        <w:tblInd w:w="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3" w:hRule="atLeast"/>
        </w:trPr>
        <w:tc>
          <w:tcPr>
            <w:tcW w:w="9450" w:type="dxa"/>
            <w:noWrap/>
          </w:tcPr>
          <w:p>
            <w:pPr>
              <w:pStyle w:val="5"/>
            </w:pPr>
            <w:r>
              <w:rPr>
                <w:rFonts w:hint="eastAsia"/>
              </w:rPr>
              <w:t>外购原料：项目外购原料为纸板、水性油墨、</w:t>
            </w:r>
            <w:r>
              <w:rPr>
                <w:rFonts w:hint="eastAsia"/>
                <w:lang w:val="en-US" w:eastAsia="zh-CN"/>
              </w:rPr>
              <w:t>胶水</w:t>
            </w:r>
            <w:r>
              <w:rPr>
                <w:rFonts w:hint="eastAsia"/>
              </w:rPr>
              <w:t>、印刷版，由汽车运至厂区内后堆放于原料堆场。</w:t>
            </w:r>
          </w:p>
          <w:p>
            <w:pPr>
              <w:pStyle w:val="5"/>
            </w:pPr>
            <w:r>
              <w:rPr>
                <w:rFonts w:hint="eastAsia"/>
              </w:rPr>
              <w:t>模切水墨印刷：建设单位根据订购商需要的图案购置相应的印刷模板安装在模切水</w:t>
            </w:r>
            <w:r>
              <w:rPr>
                <w:rFonts w:hint="eastAsia"/>
                <w:lang w:val="en-US" w:eastAsia="zh-CN"/>
              </w:rPr>
              <w:t>墨</w:t>
            </w:r>
            <w:r>
              <w:rPr>
                <w:rFonts w:hint="eastAsia"/>
              </w:rPr>
              <w:t>印刷机上，印刷机按照</w:t>
            </w:r>
            <w:r>
              <w:rPr>
                <w:rFonts w:hint="eastAsia"/>
                <w:lang w:val="en-US" w:eastAsia="zh-CN"/>
              </w:rPr>
              <w:t>印刷</w:t>
            </w:r>
            <w:r>
              <w:rPr>
                <w:rFonts w:hint="eastAsia"/>
              </w:rPr>
              <w:t>样板将水性油墨转移至纸板表面上，批量复制样板的内容。印刷方式为纸箱水性油墨印刷，印刷速度不等，平均为</w:t>
            </w:r>
            <w:r>
              <w:t>60-80</w:t>
            </w:r>
            <w:r>
              <w:rPr>
                <w:rFonts w:hint="eastAsia"/>
              </w:rPr>
              <w:t>转</w:t>
            </w:r>
            <w:r>
              <w:t>/</w:t>
            </w:r>
            <w:r>
              <w:rPr>
                <w:rFonts w:hint="eastAsia"/>
              </w:rPr>
              <w:t>分，每天运转</w:t>
            </w:r>
            <w:r>
              <w:t>8</w:t>
            </w:r>
            <w:r>
              <w:rPr>
                <w:rFonts w:hint="eastAsia"/>
              </w:rPr>
              <w:t>小时。印刷后的产品采用自然风干。在印刷过程中，会产生废气</w:t>
            </w:r>
            <w:r>
              <w:t>G</w:t>
            </w:r>
            <w:r>
              <w:rPr>
                <w:rFonts w:hint="eastAsia"/>
              </w:rPr>
              <w:t>2，以</w:t>
            </w:r>
            <w:r>
              <w:t>VOC</w:t>
            </w:r>
            <w:r>
              <w:rPr>
                <w:vertAlign w:val="subscript"/>
              </w:rPr>
              <w:t>S</w:t>
            </w:r>
            <w:r>
              <w:rPr>
                <w:rFonts w:hint="eastAsia"/>
              </w:rPr>
              <w:t>计；印刷机需用自来水对印刷版进行清洗，以确保印刷质量，清洗周期平均一般为每天一次，</w:t>
            </w:r>
            <w:r>
              <w:rPr>
                <w:rFonts w:hint="eastAsia"/>
                <w:lang w:val="en-US" w:eastAsia="zh-CN"/>
              </w:rPr>
              <w:t>年产生3t/a。</w:t>
            </w:r>
            <w:r>
              <w:rPr>
                <w:rFonts w:hint="eastAsia"/>
              </w:rPr>
              <w:t>清洗时利用气泵抽送自来水到印刷设备上进行清洗工作，产生清洗废水</w:t>
            </w:r>
            <w:r>
              <w:t>W1</w:t>
            </w:r>
            <w:r>
              <w:rPr>
                <w:rFonts w:hint="eastAsia"/>
              </w:rPr>
              <w:t>；印刷过程中会产生一定的噪声</w:t>
            </w:r>
            <w:r>
              <w:t>N</w:t>
            </w:r>
            <w:r>
              <w:rPr>
                <w:rFonts w:hint="eastAsia"/>
              </w:rPr>
              <w:t>和废印刷版</w:t>
            </w:r>
            <w:r>
              <w:t>S</w:t>
            </w:r>
            <w:r>
              <w:rPr>
                <w:rFonts w:hint="eastAsia"/>
              </w:rPr>
              <w:t>3、废油墨桶S4、边角料S5、废含油墨抹布S6。</w:t>
            </w:r>
          </w:p>
          <w:p>
            <w:pPr>
              <w:pStyle w:val="5"/>
            </w:pPr>
            <w:r>
              <w:rPr>
                <w:rFonts w:hint="eastAsia"/>
              </w:rPr>
              <w:t xml:space="preserve">钉箱：根据顾客需要，印刷后的纸箱通过打钉机进行打钉，会产生噪声 </w:t>
            </w:r>
            <w:r>
              <w:t>N</w:t>
            </w:r>
            <w:r>
              <w:rPr>
                <w:rFonts w:hint="eastAsia"/>
              </w:rPr>
              <w:t>。</w:t>
            </w:r>
          </w:p>
          <w:p>
            <w:pPr>
              <w:pStyle w:val="5"/>
            </w:pPr>
            <w:r>
              <w:rPr>
                <w:rFonts w:hint="eastAsia"/>
                <w:highlight w:val="none"/>
              </w:rPr>
              <w:t>粘合</w:t>
            </w:r>
            <w:r>
              <w:rPr>
                <w:rFonts w:hint="eastAsia"/>
              </w:rPr>
              <w:t>：根据顾客的需求，印刷后的纸箱通过自动</w:t>
            </w:r>
            <w:r>
              <w:rPr>
                <w:rFonts w:hint="eastAsia"/>
                <w:highlight w:val="none"/>
              </w:rPr>
              <w:t>粘合</w:t>
            </w:r>
            <w:r>
              <w:rPr>
                <w:rFonts w:hint="eastAsia"/>
              </w:rPr>
              <w:t>机进行</w:t>
            </w:r>
            <w:r>
              <w:rPr>
                <w:rFonts w:hint="eastAsia"/>
                <w:highlight w:val="none"/>
              </w:rPr>
              <w:t>粘合</w:t>
            </w:r>
            <w:r>
              <w:rPr>
                <w:rFonts w:hint="eastAsia"/>
              </w:rPr>
              <w:t>，</w:t>
            </w:r>
            <w:r>
              <w:rPr>
                <w:rFonts w:hint="eastAsia"/>
                <w:highlight w:val="none"/>
              </w:rPr>
              <w:t>粘合</w:t>
            </w:r>
            <w:r>
              <w:rPr>
                <w:rFonts w:hint="eastAsia"/>
              </w:rPr>
              <w:t>温度为常温，本项目使用的胶</w:t>
            </w:r>
            <w:r>
              <w:rPr>
                <w:rFonts w:hint="eastAsia"/>
                <w:lang w:val="en-US" w:eastAsia="zh-CN"/>
              </w:rPr>
              <w:t>水</w:t>
            </w:r>
            <w:r>
              <w:rPr>
                <w:rFonts w:hint="eastAsia"/>
              </w:rPr>
              <w:t>中含有少量挥发性有机废气，此过程会产生一定的</w:t>
            </w:r>
            <w:r>
              <w:rPr>
                <w:rFonts w:hint="eastAsia"/>
                <w:highlight w:val="none"/>
              </w:rPr>
              <w:t>粘合</w:t>
            </w:r>
            <w:r>
              <w:rPr>
                <w:rFonts w:hint="eastAsia"/>
              </w:rPr>
              <w:t>废气G8和一定的噪声N。</w:t>
            </w:r>
          </w:p>
          <w:p>
            <w:pPr>
              <w:pStyle w:val="5"/>
            </w:pPr>
            <w:r>
              <w:rPr>
                <w:rFonts w:hint="eastAsia"/>
              </w:rPr>
              <w:t>检验打包：将钉合或</w:t>
            </w:r>
            <w:r>
              <w:rPr>
                <w:rFonts w:hint="eastAsia"/>
                <w:highlight w:val="none"/>
              </w:rPr>
              <w:t>粘合</w:t>
            </w:r>
            <w:r>
              <w:rPr>
                <w:rFonts w:hint="eastAsia"/>
              </w:rPr>
              <w:t xml:space="preserve">好的纸箱进行检验，检验合格后通过在自动打包机上进行打包，该工序会产生噪声 </w:t>
            </w:r>
            <w:r>
              <w:t>N</w:t>
            </w:r>
            <w:r>
              <w:rPr>
                <w:rFonts w:hint="eastAsia"/>
              </w:rPr>
              <w:t>、</w:t>
            </w:r>
          </w:p>
          <w:p>
            <w:pPr>
              <w:pStyle w:val="5"/>
            </w:pPr>
            <w:r>
              <w:rPr>
                <w:rFonts w:hint="eastAsia"/>
              </w:rPr>
              <w:t>成品入库：合格后产品放入成品堆场。</w:t>
            </w:r>
          </w:p>
          <w:p>
            <w:pPr>
              <w:pStyle w:val="5"/>
            </w:pPr>
            <w:r>
              <w:rPr>
                <w:rFonts w:hint="eastAsia"/>
              </w:rPr>
              <w:t>（二）其他产污环节</w:t>
            </w:r>
          </w:p>
          <w:p>
            <w:pPr>
              <w:pStyle w:val="5"/>
            </w:pPr>
            <w:r>
              <w:rPr>
                <w:rFonts w:hint="eastAsia"/>
              </w:rPr>
              <w:t>本项目还产生员工生活垃圾S9、员工生活污水W2。</w:t>
            </w:r>
          </w:p>
          <w:p>
            <w:pPr>
              <w:pStyle w:val="5"/>
            </w:pPr>
            <w:r>
              <w:rPr>
                <w:rFonts w:hint="eastAsia"/>
              </w:rPr>
              <w:t>（三）水量平衡及物料平衡</w:t>
            </w:r>
          </w:p>
          <w:p>
            <w:pPr>
              <w:pStyle w:val="5"/>
            </w:pPr>
            <w:r>
              <w:rPr>
                <w:rFonts w:hint="eastAsia"/>
              </w:rPr>
              <w:t>1、水量平衡依据</w:t>
            </w:r>
          </w:p>
          <w:p>
            <w:pPr>
              <w:pStyle w:val="5"/>
            </w:pPr>
            <w:r>
              <w:rPr>
                <w:rFonts w:hint="eastAsia"/>
              </w:rPr>
              <w:t>生活用水：本项目员工8人，</w:t>
            </w:r>
            <w:r>
              <w:t>员工生活污水项目用水量依据《安徽省行业用水定额（DB34-2014）》相关用水定额核算，用水量按50L/（人•d）计，则生活用水量为0.4</w:t>
            </w:r>
            <w:r>
              <w:rPr>
                <w:rFonts w:hint="eastAsia"/>
              </w:rPr>
              <w:t>m³</w:t>
            </w:r>
            <w:r>
              <w:t>/d</w:t>
            </w:r>
            <w:r>
              <w:rPr>
                <w:rFonts w:hint="eastAsia"/>
              </w:rPr>
              <w:t>（</w:t>
            </w:r>
            <w:r>
              <w:t>120</w:t>
            </w:r>
            <w:r>
              <w:rPr>
                <w:rFonts w:hint="eastAsia"/>
              </w:rPr>
              <w:t>m³</w:t>
            </w:r>
            <w:r>
              <w:t>/a</w:t>
            </w:r>
            <w:r>
              <w:rPr>
                <w:rFonts w:hint="eastAsia"/>
              </w:rPr>
              <w:t>）</w:t>
            </w:r>
            <w:r>
              <w:t>。排水系数按85%计算，生活污水排放量约为0.34</w:t>
            </w:r>
            <w:r>
              <w:rPr>
                <w:rFonts w:hint="eastAsia"/>
              </w:rPr>
              <w:t>m³</w:t>
            </w:r>
            <w:r>
              <w:t>/d</w:t>
            </w:r>
            <w:r>
              <w:rPr>
                <w:rFonts w:hint="eastAsia"/>
              </w:rPr>
              <w:t>（</w:t>
            </w:r>
            <w:r>
              <w:t>102</w:t>
            </w:r>
            <w:r>
              <w:rPr>
                <w:rFonts w:hint="eastAsia"/>
              </w:rPr>
              <w:t>m³</w:t>
            </w:r>
            <w:r>
              <w:t>/a</w:t>
            </w:r>
            <w:r>
              <w:rPr>
                <w:rFonts w:hint="eastAsia"/>
              </w:rPr>
              <w:t>）</w:t>
            </w:r>
            <w:r>
              <w:t>。</w:t>
            </w:r>
            <w:r>
              <w:rPr>
                <w:rFonts w:hint="eastAsia"/>
              </w:rPr>
              <w:t>生活污水化粪池处理后经园区管网进入淮南</w:t>
            </w:r>
            <w:r>
              <w:rPr>
                <w:rFonts w:hint="eastAsia"/>
                <w:lang w:val="en-US" w:eastAsia="zh-CN"/>
              </w:rPr>
              <w:t>经济技术开发区</w:t>
            </w:r>
            <w:r>
              <w:rPr>
                <w:rFonts w:hint="eastAsia"/>
              </w:rPr>
              <w:t>污水处理站处理后尾水排入淮河。</w:t>
            </w:r>
          </w:p>
          <w:p>
            <w:pPr>
              <w:pStyle w:val="5"/>
              <w:bidi w:val="0"/>
            </w:pPr>
            <w:r>
              <w:rPr>
                <w:rFonts w:hint="eastAsia"/>
              </w:rPr>
              <w:t>印刷设备清洗用水：根据企业提供资料，印刷设备清洗每天进行一次，</w:t>
            </w:r>
            <w:r>
              <w:rPr>
                <w:rFonts w:hint="eastAsia"/>
                <w:lang w:val="en-US" w:eastAsia="zh-CN"/>
              </w:rPr>
              <w:t>本项目水性油墨设备清洗使用清水进行冲洗，年用水3t。</w:t>
            </w:r>
            <w:r>
              <w:rPr>
                <w:rFonts w:hint="eastAsia"/>
              </w:rPr>
              <w:t>清洗</w:t>
            </w:r>
            <w:r>
              <w:t>废</w:t>
            </w:r>
            <w:r>
              <w:rPr>
                <w:rFonts w:hint="eastAsia"/>
                <w:lang w:val="en-US" w:eastAsia="zh-CN"/>
              </w:rPr>
              <w:t>水经收集后交由有资质公司进行处理</w:t>
            </w:r>
          </w:p>
          <w:p>
            <w:pPr>
              <w:pStyle w:val="29"/>
              <w:spacing w:before="65" w:after="65"/>
            </w:pPr>
            <w:r>
              <w:rPr>
                <w:rFonts w:hint="eastAsia"/>
              </w:rPr>
              <w:t>表5-2 项目各类用水一览表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770"/>
              <w:gridCol w:w="1920"/>
              <w:gridCol w:w="1372"/>
              <w:gridCol w:w="953"/>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 w:type="dxa"/>
                  <w:noWrap/>
                  <w:vAlign w:val="center"/>
                </w:tcPr>
                <w:p>
                  <w:pPr>
                    <w:pStyle w:val="40"/>
                  </w:pPr>
                  <w:r>
                    <w:rPr>
                      <w:rFonts w:hint="eastAsia"/>
                    </w:rPr>
                    <w:t>序号</w:t>
                  </w:r>
                </w:p>
              </w:tc>
              <w:tc>
                <w:tcPr>
                  <w:tcW w:w="1770" w:type="dxa"/>
                  <w:noWrap/>
                  <w:vAlign w:val="center"/>
                </w:tcPr>
                <w:p>
                  <w:pPr>
                    <w:pStyle w:val="40"/>
                  </w:pPr>
                  <w:r>
                    <w:rPr>
                      <w:rFonts w:hint="eastAsia"/>
                    </w:rPr>
                    <w:t>用水项目</w:t>
                  </w:r>
                </w:p>
              </w:tc>
              <w:tc>
                <w:tcPr>
                  <w:tcW w:w="1920" w:type="dxa"/>
                  <w:noWrap/>
                  <w:vAlign w:val="center"/>
                </w:tcPr>
                <w:p>
                  <w:pPr>
                    <w:pStyle w:val="40"/>
                  </w:pPr>
                  <w:r>
                    <w:rPr>
                      <w:rFonts w:hint="eastAsia"/>
                    </w:rPr>
                    <w:t>用水量</w:t>
                  </w:r>
                </w:p>
              </w:tc>
              <w:tc>
                <w:tcPr>
                  <w:tcW w:w="1372" w:type="dxa"/>
                  <w:noWrap/>
                  <w:vAlign w:val="center"/>
                </w:tcPr>
                <w:p>
                  <w:pPr>
                    <w:pStyle w:val="40"/>
                    <w:jc w:val="both"/>
                  </w:pPr>
                  <w:r>
                    <w:rPr>
                      <w:rFonts w:hint="eastAsia"/>
                    </w:rPr>
                    <w:t>天用水量</w:t>
                  </w:r>
                </w:p>
              </w:tc>
              <w:tc>
                <w:tcPr>
                  <w:tcW w:w="953" w:type="dxa"/>
                  <w:noWrap/>
                  <w:vAlign w:val="center"/>
                </w:tcPr>
                <w:p>
                  <w:pPr>
                    <w:pStyle w:val="40"/>
                  </w:pPr>
                  <w:r>
                    <w:rPr>
                      <w:rFonts w:hint="eastAsia"/>
                    </w:rPr>
                    <w:t>用水天数</w:t>
                  </w:r>
                </w:p>
              </w:tc>
              <w:tc>
                <w:tcPr>
                  <w:tcW w:w="1566" w:type="dxa"/>
                  <w:noWrap/>
                  <w:vAlign w:val="center"/>
                </w:tcPr>
                <w:p>
                  <w:pPr>
                    <w:pStyle w:val="40"/>
                  </w:pPr>
                  <w:r>
                    <w:rPr>
                      <w:rFonts w:hint="eastAsia"/>
                    </w:rPr>
                    <w:t>污水产生量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 w:type="dxa"/>
                  <w:noWrap/>
                  <w:vAlign w:val="center"/>
                </w:tcPr>
                <w:p>
                  <w:pPr>
                    <w:pStyle w:val="40"/>
                  </w:pPr>
                  <w:r>
                    <w:rPr>
                      <w:rFonts w:hint="eastAsia"/>
                    </w:rPr>
                    <w:t>1</w:t>
                  </w:r>
                </w:p>
              </w:tc>
              <w:tc>
                <w:tcPr>
                  <w:tcW w:w="1770" w:type="dxa"/>
                  <w:noWrap/>
                  <w:vAlign w:val="center"/>
                </w:tcPr>
                <w:p>
                  <w:pPr>
                    <w:pStyle w:val="40"/>
                  </w:pPr>
                  <w:r>
                    <w:rPr>
                      <w:rFonts w:hint="eastAsia"/>
                    </w:rPr>
                    <w:t>生活用水</w:t>
                  </w:r>
                </w:p>
              </w:tc>
              <w:tc>
                <w:tcPr>
                  <w:tcW w:w="1920" w:type="dxa"/>
                  <w:noWrap/>
                  <w:vAlign w:val="center"/>
                </w:tcPr>
                <w:p>
                  <w:pPr>
                    <w:pStyle w:val="40"/>
                  </w:pPr>
                  <w:r>
                    <w:rPr>
                      <w:rFonts w:hint="eastAsia"/>
                    </w:rPr>
                    <w:t>120t/a</w:t>
                  </w:r>
                </w:p>
              </w:tc>
              <w:tc>
                <w:tcPr>
                  <w:tcW w:w="1372" w:type="dxa"/>
                  <w:noWrap/>
                  <w:vAlign w:val="center"/>
                </w:tcPr>
                <w:p>
                  <w:pPr>
                    <w:pStyle w:val="40"/>
                  </w:pPr>
                  <w:r>
                    <w:rPr>
                      <w:rFonts w:hint="eastAsia"/>
                    </w:rPr>
                    <w:t>0.4t/d</w:t>
                  </w:r>
                </w:p>
              </w:tc>
              <w:tc>
                <w:tcPr>
                  <w:tcW w:w="953" w:type="dxa"/>
                  <w:noWrap/>
                  <w:vAlign w:val="center"/>
                </w:tcPr>
                <w:p>
                  <w:pPr>
                    <w:pStyle w:val="40"/>
                  </w:pPr>
                  <w:r>
                    <w:rPr>
                      <w:rFonts w:hint="eastAsia"/>
                    </w:rPr>
                    <w:t>300d</w:t>
                  </w:r>
                </w:p>
              </w:tc>
              <w:tc>
                <w:tcPr>
                  <w:tcW w:w="1566" w:type="dxa"/>
                  <w:noWrap/>
                  <w:vAlign w:val="center"/>
                </w:tcPr>
                <w:p>
                  <w:pPr>
                    <w:pStyle w:val="40"/>
                  </w:pPr>
                  <w:r>
                    <w:rPr>
                      <w:rFonts w:hint="eastAsia"/>
                    </w:rPr>
                    <w:t>102t/a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 w:type="dxa"/>
                  <w:noWrap/>
                  <w:vAlign w:val="center"/>
                </w:tcPr>
                <w:p>
                  <w:pPr>
                    <w:pStyle w:val="40"/>
                    <w:rPr>
                      <w:rFonts w:hint="eastAsia" w:eastAsia="新宋体"/>
                      <w:lang w:val="en-US" w:eastAsia="zh-CN"/>
                    </w:rPr>
                  </w:pPr>
                  <w:r>
                    <w:rPr>
                      <w:rFonts w:hint="eastAsia"/>
                      <w:lang w:val="en-US" w:eastAsia="zh-CN"/>
                    </w:rPr>
                    <w:t>2</w:t>
                  </w:r>
                </w:p>
              </w:tc>
              <w:tc>
                <w:tcPr>
                  <w:tcW w:w="1770" w:type="dxa"/>
                  <w:noWrap/>
                  <w:vAlign w:val="center"/>
                </w:tcPr>
                <w:p>
                  <w:pPr>
                    <w:pStyle w:val="40"/>
                    <w:rPr>
                      <w:rFonts w:hint="default" w:eastAsia="新宋体"/>
                      <w:lang w:val="en-US" w:eastAsia="zh-CN"/>
                    </w:rPr>
                  </w:pPr>
                  <w:r>
                    <w:rPr>
                      <w:rFonts w:hint="eastAsia"/>
                      <w:lang w:val="en-US" w:eastAsia="zh-CN"/>
                    </w:rPr>
                    <w:t>印刷清洗废水</w:t>
                  </w:r>
                </w:p>
              </w:tc>
              <w:tc>
                <w:tcPr>
                  <w:tcW w:w="1920" w:type="dxa"/>
                  <w:noWrap/>
                  <w:vAlign w:val="center"/>
                </w:tcPr>
                <w:p>
                  <w:pPr>
                    <w:pStyle w:val="40"/>
                    <w:rPr>
                      <w:rFonts w:hint="default" w:eastAsia="新宋体"/>
                      <w:lang w:val="en-US" w:eastAsia="zh-CN"/>
                    </w:rPr>
                  </w:pPr>
                  <w:r>
                    <w:rPr>
                      <w:rFonts w:hint="eastAsia"/>
                      <w:lang w:val="en-US" w:eastAsia="zh-CN"/>
                    </w:rPr>
                    <w:t>3t/a</w:t>
                  </w:r>
                </w:p>
              </w:tc>
              <w:tc>
                <w:tcPr>
                  <w:tcW w:w="1372" w:type="dxa"/>
                  <w:noWrap/>
                  <w:vAlign w:val="center"/>
                </w:tcPr>
                <w:p>
                  <w:pPr>
                    <w:pStyle w:val="40"/>
                    <w:rPr>
                      <w:rFonts w:hint="default" w:eastAsia="新宋体"/>
                      <w:lang w:val="en-US" w:eastAsia="zh-CN"/>
                    </w:rPr>
                  </w:pPr>
                  <w:r>
                    <w:rPr>
                      <w:rFonts w:hint="eastAsia"/>
                      <w:lang w:val="en-US" w:eastAsia="zh-CN"/>
                    </w:rPr>
                    <w:t>0.01t/d</w:t>
                  </w:r>
                </w:p>
              </w:tc>
              <w:tc>
                <w:tcPr>
                  <w:tcW w:w="953" w:type="dxa"/>
                  <w:noWrap/>
                  <w:vAlign w:val="center"/>
                </w:tcPr>
                <w:p>
                  <w:pPr>
                    <w:pStyle w:val="40"/>
                    <w:rPr>
                      <w:rFonts w:hint="default" w:eastAsia="新宋体"/>
                      <w:lang w:val="en-US" w:eastAsia="zh-CN"/>
                    </w:rPr>
                  </w:pPr>
                  <w:r>
                    <w:rPr>
                      <w:rFonts w:hint="eastAsia"/>
                      <w:lang w:val="en-US" w:eastAsia="zh-CN"/>
                    </w:rPr>
                    <w:t>300d</w:t>
                  </w:r>
                </w:p>
              </w:tc>
              <w:tc>
                <w:tcPr>
                  <w:tcW w:w="1566" w:type="dxa"/>
                  <w:noWrap/>
                  <w:vAlign w:val="center"/>
                </w:tcPr>
                <w:p>
                  <w:pPr>
                    <w:pStyle w:val="40"/>
                    <w:rPr>
                      <w:rFonts w:hint="eastAsia"/>
                    </w:rPr>
                  </w:pPr>
                  <w:r>
                    <w:rPr>
                      <w:rFonts w:hint="eastAsia"/>
                      <w:lang w:val="en-US" w:eastAsia="zh-CN"/>
                    </w:rPr>
                    <w:t>3t/a</w:t>
                  </w:r>
                </w:p>
              </w:tc>
            </w:tr>
          </w:tbl>
          <w:p>
            <w:pPr>
              <w:pStyle w:val="5"/>
            </w:pPr>
            <w:r>
              <w:rPr>
                <w:rFonts w:hint="eastAsia"/>
              </w:rPr>
              <w:t>2、水量平衡图</w:t>
            </w:r>
          </w:p>
          <w:p>
            <w:pPr>
              <w:pStyle w:val="30"/>
              <w:spacing w:before="65" w:after="65"/>
              <w:rPr>
                <w:rFonts w:hint="eastAsia" w:eastAsia="仿宋"/>
                <w:lang w:eastAsia="zh-CN"/>
              </w:rPr>
            </w:pPr>
            <w:r>
              <w:rPr>
                <w:rFonts w:hint="eastAsia" w:eastAsia="仿宋"/>
                <w:lang w:eastAsia="zh-CN"/>
              </w:rPr>
              <w:drawing>
                <wp:inline distT="0" distB="0" distL="114300" distR="114300">
                  <wp:extent cx="5861050" cy="2022475"/>
                  <wp:effectExtent l="0" t="0" r="6350" b="15875"/>
                  <wp:docPr id="6" name="图片 6" descr="040951d04815f08d4499fee35d29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0951d04815f08d4499fee35d2986a"/>
                          <pic:cNvPicPr>
                            <a:picLocks noChangeAspect="1"/>
                          </pic:cNvPicPr>
                        </pic:nvPicPr>
                        <pic:blipFill>
                          <a:blip r:embed="rId10"/>
                          <a:stretch>
                            <a:fillRect/>
                          </a:stretch>
                        </pic:blipFill>
                        <pic:spPr>
                          <a:xfrm>
                            <a:off x="0" y="0"/>
                            <a:ext cx="5861050" cy="2022475"/>
                          </a:xfrm>
                          <a:prstGeom prst="rect">
                            <a:avLst/>
                          </a:prstGeom>
                        </pic:spPr>
                      </pic:pic>
                    </a:graphicData>
                  </a:graphic>
                </wp:inline>
              </w:drawing>
            </w:r>
          </w:p>
          <w:p>
            <w:pPr>
              <w:pStyle w:val="29"/>
              <w:spacing w:before="65" w:after="65"/>
              <w:rPr>
                <w:rFonts w:hint="eastAsia" w:eastAsia="仿宋"/>
                <w:lang w:eastAsia="zh-CN"/>
              </w:rPr>
            </w:pPr>
            <w:r>
              <w:rPr>
                <w:rFonts w:hint="eastAsia"/>
              </w:rPr>
              <w:t>图5-3 建设项目水平衡图 单位t/</w:t>
            </w:r>
            <w:r>
              <w:rPr>
                <w:rFonts w:hint="eastAsia"/>
                <w:lang w:val="en-US" w:eastAsia="zh-CN"/>
              </w:rPr>
              <w:t>a</w:t>
            </w:r>
          </w:p>
          <w:p>
            <w:pPr>
              <w:pStyle w:val="5"/>
              <w:numPr>
                <w:ilvl w:val="0"/>
                <w:numId w:val="7"/>
              </w:numPr>
            </w:pPr>
            <w:r>
              <w:rPr>
                <w:rFonts w:hint="eastAsia"/>
              </w:rPr>
              <w:t>油墨物料平衡表</w:t>
            </w:r>
          </w:p>
          <w:p>
            <w:pPr>
              <w:pStyle w:val="29"/>
              <w:spacing w:before="65" w:after="65"/>
            </w:pPr>
            <w:r>
              <w:rPr>
                <w:rFonts w:hint="eastAsia"/>
              </w:rPr>
              <w:t>表5-4 油墨物料平衡表</w:t>
            </w:r>
          </w:p>
          <w:tbl>
            <w:tblPr>
              <w:tblStyle w:val="24"/>
              <w:tblW w:w="9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780"/>
              <w:gridCol w:w="1095"/>
              <w:gridCol w:w="3535"/>
              <w:gridCol w:w="1020"/>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9" w:type="dxa"/>
                  <w:gridSpan w:val="2"/>
                  <w:vAlign w:val="center"/>
                </w:tcPr>
                <w:p>
                  <w:pPr>
                    <w:pStyle w:val="40"/>
                  </w:pPr>
                  <w:r>
                    <w:rPr>
                      <w:rFonts w:hint="eastAsia"/>
                    </w:rPr>
                    <w:t>入方</w:t>
                  </w:r>
                </w:p>
              </w:tc>
              <w:tc>
                <w:tcPr>
                  <w:tcW w:w="5650" w:type="dxa"/>
                  <w:gridSpan w:val="3"/>
                  <w:vAlign w:val="center"/>
                </w:tcPr>
                <w:p>
                  <w:pPr>
                    <w:pStyle w:val="40"/>
                  </w:pPr>
                  <w:r>
                    <w:rPr>
                      <w:rFonts w:hint="eastAsia"/>
                    </w:rPr>
                    <w:t>出方</w:t>
                  </w:r>
                </w:p>
              </w:tc>
              <w:tc>
                <w:tcPr>
                  <w:tcW w:w="1455" w:type="dxa"/>
                  <w:vAlign w:val="center"/>
                </w:tcPr>
                <w:p>
                  <w:pPr>
                    <w:pStyle w:val="4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9" w:type="dxa"/>
                  <w:vAlign w:val="center"/>
                </w:tcPr>
                <w:p>
                  <w:pPr>
                    <w:pStyle w:val="40"/>
                  </w:pPr>
                  <w:r>
                    <w:rPr>
                      <w:rFonts w:hint="eastAsia"/>
                    </w:rPr>
                    <w:t>原辅料名称</w:t>
                  </w:r>
                </w:p>
              </w:tc>
              <w:tc>
                <w:tcPr>
                  <w:tcW w:w="780" w:type="dxa"/>
                  <w:vAlign w:val="center"/>
                </w:tcPr>
                <w:p>
                  <w:pPr>
                    <w:pStyle w:val="40"/>
                  </w:pPr>
                  <w:r>
                    <w:rPr>
                      <w:rFonts w:hint="eastAsia"/>
                    </w:rPr>
                    <w:t>t/a</w:t>
                  </w:r>
                </w:p>
              </w:tc>
              <w:tc>
                <w:tcPr>
                  <w:tcW w:w="1095" w:type="dxa"/>
                  <w:vMerge w:val="restart"/>
                  <w:vAlign w:val="center"/>
                </w:tcPr>
                <w:p>
                  <w:pPr>
                    <w:pStyle w:val="40"/>
                  </w:pPr>
                  <w:r>
                    <w:rPr>
                      <w:rFonts w:hint="eastAsia"/>
                    </w:rPr>
                    <w:t>印刷工序</w:t>
                  </w:r>
                </w:p>
              </w:tc>
              <w:tc>
                <w:tcPr>
                  <w:tcW w:w="3535" w:type="dxa"/>
                  <w:vAlign w:val="center"/>
                </w:tcPr>
                <w:p>
                  <w:pPr>
                    <w:pStyle w:val="40"/>
                  </w:pPr>
                  <w:r>
                    <w:rPr>
                      <w:rFonts w:hint="eastAsia"/>
                    </w:rPr>
                    <w:t>无组织非甲烷总烃外排</w:t>
                  </w:r>
                </w:p>
              </w:tc>
              <w:tc>
                <w:tcPr>
                  <w:tcW w:w="1020" w:type="dxa"/>
                  <w:vAlign w:val="center"/>
                </w:tcPr>
                <w:p>
                  <w:pPr>
                    <w:pStyle w:val="40"/>
                  </w:pPr>
                  <w:r>
                    <w:rPr>
                      <w:rFonts w:hint="eastAsia"/>
                    </w:rPr>
                    <w:t>0.009t/a</w:t>
                  </w:r>
                </w:p>
              </w:tc>
              <w:tc>
                <w:tcPr>
                  <w:tcW w:w="1455" w:type="dxa"/>
                  <w:vMerge w:val="restart"/>
                  <w:vAlign w:val="center"/>
                </w:tcPr>
                <w:p>
                  <w:pPr>
                    <w:pStyle w:val="40"/>
                  </w:pPr>
                  <w:r>
                    <w:rPr>
                      <w:rFonts w:hint="eastAsia"/>
                    </w:rPr>
                    <w:t>进入大气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9" w:type="dxa"/>
                  <w:vMerge w:val="restart"/>
                  <w:vAlign w:val="center"/>
                </w:tcPr>
                <w:p>
                  <w:pPr>
                    <w:pStyle w:val="40"/>
                  </w:pPr>
                  <w:r>
                    <w:rPr>
                      <w:rFonts w:hint="eastAsia"/>
                    </w:rPr>
                    <w:t>水性油墨</w:t>
                  </w:r>
                </w:p>
              </w:tc>
              <w:tc>
                <w:tcPr>
                  <w:tcW w:w="780" w:type="dxa"/>
                  <w:vMerge w:val="restart"/>
                  <w:vAlign w:val="center"/>
                </w:tcPr>
                <w:p>
                  <w:pPr>
                    <w:pStyle w:val="40"/>
                  </w:pPr>
                  <w:r>
                    <w:rPr>
                      <w:rFonts w:hint="eastAsia"/>
                    </w:rPr>
                    <w:t>6</w:t>
                  </w:r>
                </w:p>
              </w:tc>
              <w:tc>
                <w:tcPr>
                  <w:tcW w:w="1095" w:type="dxa"/>
                  <w:vMerge w:val="continue"/>
                  <w:vAlign w:val="center"/>
                </w:tcPr>
                <w:p>
                  <w:pPr>
                    <w:pStyle w:val="40"/>
                  </w:pPr>
                </w:p>
              </w:tc>
              <w:tc>
                <w:tcPr>
                  <w:tcW w:w="3535" w:type="dxa"/>
                  <w:vAlign w:val="center"/>
                </w:tcPr>
                <w:p>
                  <w:pPr>
                    <w:pStyle w:val="40"/>
                  </w:pPr>
                  <w:r>
                    <w:rPr>
                      <w:rFonts w:hint="eastAsia"/>
                    </w:rPr>
                    <w:t>15米高排气筒外排</w:t>
                  </w:r>
                </w:p>
              </w:tc>
              <w:tc>
                <w:tcPr>
                  <w:tcW w:w="1020" w:type="dxa"/>
                  <w:vAlign w:val="center"/>
                </w:tcPr>
                <w:p>
                  <w:pPr>
                    <w:pStyle w:val="40"/>
                  </w:pPr>
                  <w:r>
                    <w:rPr>
                      <w:rFonts w:hint="eastAsia"/>
                    </w:rPr>
                    <w:t>0.0081t/a</w:t>
                  </w:r>
                </w:p>
              </w:tc>
              <w:tc>
                <w:tcPr>
                  <w:tcW w:w="1455" w:type="dxa"/>
                  <w:vMerge w:val="continue"/>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349" w:type="dxa"/>
                  <w:vMerge w:val="continue"/>
                  <w:vAlign w:val="center"/>
                </w:tcPr>
                <w:p>
                  <w:pPr>
                    <w:pStyle w:val="40"/>
                  </w:pPr>
                </w:p>
              </w:tc>
              <w:tc>
                <w:tcPr>
                  <w:tcW w:w="780" w:type="dxa"/>
                  <w:vMerge w:val="continue"/>
                  <w:vAlign w:val="center"/>
                </w:tcPr>
                <w:p>
                  <w:pPr>
                    <w:pStyle w:val="40"/>
                  </w:pPr>
                </w:p>
              </w:tc>
              <w:tc>
                <w:tcPr>
                  <w:tcW w:w="1095" w:type="dxa"/>
                  <w:vMerge w:val="continue"/>
                  <w:vAlign w:val="center"/>
                </w:tcPr>
                <w:p>
                  <w:pPr>
                    <w:pStyle w:val="40"/>
                  </w:pPr>
                </w:p>
              </w:tc>
              <w:tc>
                <w:tcPr>
                  <w:tcW w:w="3535" w:type="dxa"/>
                  <w:vAlign w:val="center"/>
                </w:tcPr>
                <w:p>
                  <w:pPr>
                    <w:pStyle w:val="40"/>
                  </w:pPr>
                  <w:r>
                    <w:rPr>
                      <w:rFonts w:hint="eastAsia"/>
                    </w:rPr>
                    <w:t>UV光氧催化</w:t>
                  </w:r>
                  <w:r>
                    <w:t>+</w:t>
                  </w:r>
                  <w:r>
                    <w:rPr>
                      <w:rFonts w:hint="eastAsia"/>
                    </w:rPr>
                    <w:t>活性炭吸附箱处理量</w:t>
                  </w:r>
                </w:p>
              </w:tc>
              <w:tc>
                <w:tcPr>
                  <w:tcW w:w="1020" w:type="dxa"/>
                  <w:vAlign w:val="center"/>
                </w:tcPr>
                <w:p>
                  <w:pPr>
                    <w:pStyle w:val="40"/>
                  </w:pPr>
                  <w:r>
                    <w:rPr>
                      <w:rFonts w:hint="eastAsia"/>
                    </w:rPr>
                    <w:t>0.0729t/a</w:t>
                  </w:r>
                </w:p>
              </w:tc>
              <w:tc>
                <w:tcPr>
                  <w:tcW w:w="1455" w:type="dxa"/>
                  <w:vMerge w:val="continue"/>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9" w:type="dxa"/>
                  <w:vMerge w:val="continue"/>
                  <w:vAlign w:val="center"/>
                </w:tcPr>
                <w:p>
                  <w:pPr>
                    <w:pStyle w:val="40"/>
                  </w:pPr>
                </w:p>
              </w:tc>
              <w:tc>
                <w:tcPr>
                  <w:tcW w:w="780" w:type="dxa"/>
                  <w:vMerge w:val="continue"/>
                  <w:vAlign w:val="center"/>
                </w:tcPr>
                <w:p>
                  <w:pPr>
                    <w:pStyle w:val="40"/>
                  </w:pPr>
                </w:p>
              </w:tc>
              <w:tc>
                <w:tcPr>
                  <w:tcW w:w="1095" w:type="dxa"/>
                  <w:vMerge w:val="continue"/>
                  <w:vAlign w:val="center"/>
                </w:tcPr>
                <w:p>
                  <w:pPr>
                    <w:pStyle w:val="40"/>
                  </w:pPr>
                </w:p>
              </w:tc>
              <w:tc>
                <w:tcPr>
                  <w:tcW w:w="3535" w:type="dxa"/>
                  <w:vAlign w:val="center"/>
                </w:tcPr>
                <w:p>
                  <w:pPr>
                    <w:pStyle w:val="40"/>
                  </w:pPr>
                  <w:r>
                    <w:rPr>
                      <w:rFonts w:hint="eastAsia"/>
                    </w:rPr>
                    <w:t>进入产品</w:t>
                  </w:r>
                </w:p>
              </w:tc>
              <w:tc>
                <w:tcPr>
                  <w:tcW w:w="1020" w:type="dxa"/>
                  <w:vAlign w:val="center"/>
                </w:tcPr>
                <w:p>
                  <w:pPr>
                    <w:pStyle w:val="40"/>
                  </w:pPr>
                  <w:r>
                    <w:rPr>
                      <w:rFonts w:hint="eastAsia"/>
                    </w:rPr>
                    <w:t>5.91t/a</w:t>
                  </w:r>
                </w:p>
              </w:tc>
              <w:tc>
                <w:tcPr>
                  <w:tcW w:w="1455" w:type="dxa"/>
                  <w:vAlign w:val="center"/>
                </w:tcPr>
                <w:p>
                  <w:pPr>
                    <w:pStyle w:val="40"/>
                  </w:pPr>
                  <w:r>
                    <w:rPr>
                      <w:rFonts w:hint="eastAsia"/>
                    </w:rPr>
                    <w:t>产品带走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9" w:type="dxa"/>
                  <w:vMerge w:val="restart"/>
                  <w:vAlign w:val="center"/>
                </w:tcPr>
                <w:p>
                  <w:pPr>
                    <w:pStyle w:val="40"/>
                    <w:rPr>
                      <w:rFonts w:hint="eastAsia" w:eastAsia="新宋体"/>
                      <w:lang w:val="en-US" w:eastAsia="zh-CN"/>
                    </w:rPr>
                  </w:pPr>
                  <w:r>
                    <w:rPr>
                      <w:rFonts w:hint="eastAsia"/>
                    </w:rPr>
                    <w:t>胶</w:t>
                  </w:r>
                  <w:r>
                    <w:rPr>
                      <w:rFonts w:hint="eastAsia"/>
                      <w:lang w:val="en-US" w:eastAsia="zh-CN"/>
                    </w:rPr>
                    <w:t>水</w:t>
                  </w:r>
                </w:p>
                <w:p/>
                <w:p/>
              </w:tc>
              <w:tc>
                <w:tcPr>
                  <w:tcW w:w="780" w:type="dxa"/>
                  <w:vMerge w:val="restart"/>
                  <w:vAlign w:val="center"/>
                </w:tcPr>
                <w:p>
                  <w:pPr>
                    <w:pStyle w:val="40"/>
                    <w:rPr>
                      <w:rFonts w:hint="default"/>
                      <w:lang w:val="en-US"/>
                    </w:rPr>
                  </w:pPr>
                  <w:r>
                    <w:rPr>
                      <w:rFonts w:hint="eastAsia"/>
                      <w:lang w:val="en-US" w:eastAsia="zh-CN"/>
                    </w:rPr>
                    <w:t>0.8</w:t>
                  </w:r>
                </w:p>
              </w:tc>
              <w:tc>
                <w:tcPr>
                  <w:tcW w:w="1095" w:type="dxa"/>
                  <w:vMerge w:val="restart"/>
                  <w:vAlign w:val="center"/>
                </w:tcPr>
                <w:p>
                  <w:pPr>
                    <w:pStyle w:val="40"/>
                  </w:pPr>
                  <w:r>
                    <w:rPr>
                      <w:rFonts w:hint="eastAsia"/>
                      <w:highlight w:val="none"/>
                    </w:rPr>
                    <w:t>粘合</w:t>
                  </w:r>
                  <w:r>
                    <w:rPr>
                      <w:rFonts w:hint="eastAsia"/>
                    </w:rPr>
                    <w:t>工序</w:t>
                  </w:r>
                </w:p>
              </w:tc>
              <w:tc>
                <w:tcPr>
                  <w:tcW w:w="3535" w:type="dxa"/>
                  <w:vAlign w:val="center"/>
                </w:tcPr>
                <w:p>
                  <w:pPr>
                    <w:pStyle w:val="40"/>
                  </w:pPr>
                  <w:r>
                    <w:rPr>
                      <w:rFonts w:hint="eastAsia"/>
                    </w:rPr>
                    <w:t>无组织非甲烷总烃外排</w:t>
                  </w:r>
                </w:p>
              </w:tc>
              <w:tc>
                <w:tcPr>
                  <w:tcW w:w="1020" w:type="dxa"/>
                  <w:vAlign w:val="center"/>
                </w:tcPr>
                <w:p>
                  <w:pPr>
                    <w:pStyle w:val="40"/>
                  </w:pPr>
                  <w:r>
                    <w:rPr>
                      <w:rFonts w:hint="eastAsia"/>
                    </w:rPr>
                    <w:t>0.02t/a</w:t>
                  </w:r>
                </w:p>
              </w:tc>
              <w:tc>
                <w:tcPr>
                  <w:tcW w:w="1455" w:type="dxa"/>
                  <w:vMerge w:val="restart"/>
                  <w:vAlign w:val="center"/>
                </w:tcPr>
                <w:p>
                  <w:pPr>
                    <w:pStyle w:val="40"/>
                  </w:pPr>
                  <w:r>
                    <w:rPr>
                      <w:rFonts w:hint="eastAsia"/>
                    </w:rPr>
                    <w:t>进入大气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349" w:type="dxa"/>
                  <w:vMerge w:val="continue"/>
                  <w:vAlign w:val="center"/>
                </w:tcPr>
                <w:p>
                  <w:pPr>
                    <w:pStyle w:val="40"/>
                  </w:pPr>
                </w:p>
              </w:tc>
              <w:tc>
                <w:tcPr>
                  <w:tcW w:w="780" w:type="dxa"/>
                  <w:vMerge w:val="continue"/>
                  <w:vAlign w:val="center"/>
                </w:tcPr>
                <w:p>
                  <w:pPr>
                    <w:pStyle w:val="40"/>
                  </w:pPr>
                </w:p>
              </w:tc>
              <w:tc>
                <w:tcPr>
                  <w:tcW w:w="1095" w:type="dxa"/>
                  <w:vMerge w:val="continue"/>
                  <w:vAlign w:val="center"/>
                </w:tcPr>
                <w:p>
                  <w:pPr>
                    <w:pStyle w:val="40"/>
                  </w:pPr>
                </w:p>
              </w:tc>
              <w:tc>
                <w:tcPr>
                  <w:tcW w:w="3535" w:type="dxa"/>
                  <w:vAlign w:val="center"/>
                </w:tcPr>
                <w:p>
                  <w:pPr>
                    <w:pStyle w:val="40"/>
                  </w:pPr>
                  <w:r>
                    <w:rPr>
                      <w:rFonts w:hint="eastAsia"/>
                    </w:rPr>
                    <w:t>15米高排气筒外排</w:t>
                  </w:r>
                </w:p>
              </w:tc>
              <w:tc>
                <w:tcPr>
                  <w:tcW w:w="1020" w:type="dxa"/>
                  <w:vAlign w:val="center"/>
                </w:tcPr>
                <w:p>
                  <w:pPr>
                    <w:pStyle w:val="40"/>
                  </w:pPr>
                  <w:r>
                    <w:rPr>
                      <w:rFonts w:hint="eastAsia"/>
                    </w:rPr>
                    <w:t>0.018t/a</w:t>
                  </w:r>
                </w:p>
              </w:tc>
              <w:tc>
                <w:tcPr>
                  <w:tcW w:w="1455" w:type="dxa"/>
                  <w:vMerge w:val="continue"/>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9" w:type="dxa"/>
                  <w:vMerge w:val="continue"/>
                  <w:vAlign w:val="center"/>
                </w:tcPr>
                <w:p>
                  <w:pPr>
                    <w:pStyle w:val="40"/>
                  </w:pPr>
                </w:p>
              </w:tc>
              <w:tc>
                <w:tcPr>
                  <w:tcW w:w="780" w:type="dxa"/>
                  <w:vMerge w:val="continue"/>
                  <w:vAlign w:val="center"/>
                </w:tcPr>
                <w:p>
                  <w:pPr>
                    <w:pStyle w:val="40"/>
                  </w:pPr>
                </w:p>
              </w:tc>
              <w:tc>
                <w:tcPr>
                  <w:tcW w:w="1095" w:type="dxa"/>
                  <w:vMerge w:val="continue"/>
                  <w:vAlign w:val="center"/>
                </w:tcPr>
                <w:p>
                  <w:pPr>
                    <w:pStyle w:val="40"/>
                  </w:pPr>
                </w:p>
              </w:tc>
              <w:tc>
                <w:tcPr>
                  <w:tcW w:w="3535" w:type="dxa"/>
                  <w:vAlign w:val="center"/>
                </w:tcPr>
                <w:p>
                  <w:pPr>
                    <w:pStyle w:val="40"/>
                  </w:pPr>
                  <w:r>
                    <w:rPr>
                      <w:rFonts w:hint="eastAsia"/>
                    </w:rPr>
                    <w:t>UV光氧催化</w:t>
                  </w:r>
                  <w:r>
                    <w:t>+</w:t>
                  </w:r>
                  <w:r>
                    <w:rPr>
                      <w:rFonts w:hint="eastAsia"/>
                    </w:rPr>
                    <w:t>活性炭吸附箱处理量</w:t>
                  </w:r>
                </w:p>
              </w:tc>
              <w:tc>
                <w:tcPr>
                  <w:tcW w:w="1020" w:type="dxa"/>
                  <w:vAlign w:val="center"/>
                </w:tcPr>
                <w:p>
                  <w:pPr>
                    <w:pStyle w:val="40"/>
                  </w:pPr>
                  <w:r>
                    <w:rPr>
                      <w:rFonts w:hint="eastAsia"/>
                    </w:rPr>
                    <w:t>0.162t/a</w:t>
                  </w:r>
                </w:p>
              </w:tc>
              <w:tc>
                <w:tcPr>
                  <w:tcW w:w="1455" w:type="dxa"/>
                  <w:vMerge w:val="continue"/>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9" w:type="dxa"/>
                  <w:vMerge w:val="continue"/>
                  <w:vAlign w:val="center"/>
                </w:tcPr>
                <w:p>
                  <w:pPr>
                    <w:pStyle w:val="40"/>
                  </w:pPr>
                </w:p>
              </w:tc>
              <w:tc>
                <w:tcPr>
                  <w:tcW w:w="780" w:type="dxa"/>
                  <w:vMerge w:val="continue"/>
                  <w:vAlign w:val="center"/>
                </w:tcPr>
                <w:p>
                  <w:pPr>
                    <w:pStyle w:val="40"/>
                  </w:pPr>
                </w:p>
              </w:tc>
              <w:tc>
                <w:tcPr>
                  <w:tcW w:w="1095" w:type="dxa"/>
                  <w:vMerge w:val="continue"/>
                  <w:vAlign w:val="center"/>
                </w:tcPr>
                <w:p>
                  <w:pPr>
                    <w:pStyle w:val="40"/>
                  </w:pPr>
                </w:p>
              </w:tc>
              <w:tc>
                <w:tcPr>
                  <w:tcW w:w="3535" w:type="dxa"/>
                  <w:vAlign w:val="center"/>
                </w:tcPr>
                <w:p>
                  <w:pPr>
                    <w:pStyle w:val="40"/>
                  </w:pPr>
                  <w:r>
                    <w:rPr>
                      <w:rFonts w:hint="eastAsia"/>
                    </w:rPr>
                    <w:t>进入产品</w:t>
                  </w:r>
                </w:p>
              </w:tc>
              <w:tc>
                <w:tcPr>
                  <w:tcW w:w="1020" w:type="dxa"/>
                  <w:vAlign w:val="center"/>
                </w:tcPr>
                <w:p>
                  <w:pPr>
                    <w:pStyle w:val="40"/>
                  </w:pPr>
                  <w:r>
                    <w:rPr>
                      <w:rFonts w:hint="eastAsia"/>
                      <w:lang w:val="en-US" w:eastAsia="zh-CN"/>
                    </w:rPr>
                    <w:t>0.6</w:t>
                  </w:r>
                  <w:r>
                    <w:rPr>
                      <w:rFonts w:hint="eastAsia"/>
                    </w:rPr>
                    <w:t>t/a</w:t>
                  </w:r>
                </w:p>
              </w:tc>
              <w:tc>
                <w:tcPr>
                  <w:tcW w:w="1455" w:type="dxa"/>
                  <w:vAlign w:val="center"/>
                </w:tcPr>
                <w:p>
                  <w:pPr>
                    <w:pStyle w:val="40"/>
                  </w:pPr>
                  <w:r>
                    <w:rPr>
                      <w:rFonts w:hint="eastAsia"/>
                    </w:rPr>
                    <w:t>产品带走</w:t>
                  </w:r>
                </w:p>
              </w:tc>
            </w:tr>
          </w:tbl>
          <w:p>
            <w:pPr>
              <w:pStyle w:val="4"/>
              <w:numPr>
                <w:ilvl w:val="0"/>
                <w:numId w:val="0"/>
              </w:numPr>
            </w:pPr>
            <w:r>
              <w:rPr>
                <w:rFonts w:hint="eastAsia"/>
                <w:lang w:val="en-US" w:eastAsia="zh-CN"/>
              </w:rPr>
              <w:t>一、</w:t>
            </w:r>
            <w:r>
              <w:rPr>
                <w:rFonts w:hint="eastAsia"/>
              </w:rPr>
              <w:t>运营期污染源强分析</w:t>
            </w:r>
          </w:p>
          <w:p>
            <w:pPr>
              <w:pStyle w:val="5"/>
              <w:rPr>
                <w:highlight w:val="red"/>
              </w:rPr>
            </w:pPr>
            <w:r>
              <w:rPr>
                <w:rFonts w:hint="eastAsia"/>
              </w:rPr>
              <w:t>1、废气（排气筒编号为DA001）</w:t>
            </w:r>
          </w:p>
          <w:p>
            <w:pPr>
              <w:pStyle w:val="5"/>
            </w:pPr>
            <w:r>
              <w:rPr>
                <w:rFonts w:hint="eastAsia"/>
              </w:rPr>
              <w:t>本项目废气主要为印刷工序和</w:t>
            </w:r>
            <w:r>
              <w:rPr>
                <w:rFonts w:hint="eastAsia"/>
                <w:highlight w:val="none"/>
              </w:rPr>
              <w:t>粘合</w:t>
            </w:r>
            <w:r>
              <w:rPr>
                <w:rFonts w:hint="eastAsia"/>
              </w:rPr>
              <w:t>工序产生的挥发性有机废气。本项目2台印刷机产生的废气和</w:t>
            </w:r>
            <w:r>
              <w:rPr>
                <w:rFonts w:hint="eastAsia"/>
                <w:highlight w:val="none"/>
              </w:rPr>
              <w:t>粘合</w:t>
            </w:r>
            <w:r>
              <w:rPr>
                <w:rFonts w:hint="eastAsia"/>
              </w:rPr>
              <w:t>机产生的废气经3个集气罩</w:t>
            </w:r>
            <w:r>
              <w:rPr>
                <w:rFonts w:hint="eastAsia"/>
                <w:lang w:eastAsia="zh-CN"/>
              </w:rPr>
              <w:t>（</w:t>
            </w:r>
            <w:r>
              <w:rPr>
                <w:rFonts w:hint="eastAsia"/>
                <w:lang w:val="en-US" w:eastAsia="zh-CN"/>
              </w:rPr>
              <w:t>风机量为5000m</w:t>
            </w:r>
            <w:r>
              <w:rPr>
                <w:rFonts w:hint="eastAsia"/>
                <w:vertAlign w:val="superscript"/>
                <w:lang w:val="en-US" w:eastAsia="zh-CN"/>
              </w:rPr>
              <w:t>3</w:t>
            </w:r>
            <w:r>
              <w:rPr>
                <w:rFonts w:hint="eastAsia"/>
                <w:lang w:val="en-US" w:eastAsia="zh-CN"/>
              </w:rPr>
              <w:t>/h</w:t>
            </w:r>
            <w:r>
              <w:rPr>
                <w:rFonts w:hint="eastAsia"/>
                <w:lang w:eastAsia="zh-CN"/>
              </w:rPr>
              <w:t>）</w:t>
            </w:r>
            <w:r>
              <w:rPr>
                <w:rFonts w:hint="eastAsia"/>
              </w:rPr>
              <w:t>收集连接到配套的</w:t>
            </w:r>
            <w:r>
              <w:t>“</w:t>
            </w:r>
            <w:r>
              <w:rPr>
                <w:rFonts w:hint="eastAsia"/>
              </w:rPr>
              <w:t>UV光氧催化</w:t>
            </w:r>
            <w:r>
              <w:t>+</w:t>
            </w:r>
            <w:r>
              <w:rPr>
                <w:rFonts w:hint="eastAsia"/>
              </w:rPr>
              <w:t>活性炭吸附箱</w:t>
            </w:r>
            <w:r>
              <w:t>”</w:t>
            </w:r>
            <w:r>
              <w:rPr>
                <w:rFonts w:hint="eastAsia"/>
              </w:rPr>
              <w:t>处理后经</w:t>
            </w:r>
            <w:r>
              <w:t>1</w:t>
            </w:r>
            <w:r>
              <w:rPr>
                <w:rFonts w:hint="eastAsia"/>
              </w:rPr>
              <w:t>根</w:t>
            </w:r>
            <w:r>
              <w:t>15</w:t>
            </w:r>
            <w:r>
              <w:rPr>
                <w:rFonts w:hint="eastAsia"/>
              </w:rPr>
              <w:t>米高的排气筒排放。印刷工序和</w:t>
            </w:r>
            <w:r>
              <w:rPr>
                <w:rFonts w:hint="eastAsia"/>
                <w:highlight w:val="none"/>
              </w:rPr>
              <w:t>粘合</w:t>
            </w:r>
            <w:r>
              <w:rPr>
                <w:rFonts w:hint="eastAsia"/>
              </w:rPr>
              <w:t>工序产生的挥发性有机废气，本次评价以非甲烷总烃计，项目水性油墨的用量为6</w:t>
            </w:r>
            <w:r>
              <w:t>t/a</w:t>
            </w:r>
            <w:r>
              <w:rPr>
                <w:rFonts w:hint="eastAsia"/>
              </w:rPr>
              <w:t>，有机废气量按挥发性有机物最大含量1.5</w:t>
            </w:r>
            <w:r>
              <w:t>%</w:t>
            </w:r>
            <w:r>
              <w:rPr>
                <w:rFonts w:hint="eastAsia"/>
              </w:rPr>
              <w:t>计算，因此印刷过程中产生的非甲烷总烃量为0.09</w:t>
            </w:r>
            <w:r>
              <w:t>t/a</w:t>
            </w:r>
            <w:r>
              <w:rPr>
                <w:rFonts w:hint="eastAsia"/>
              </w:rPr>
              <w:t>。胶</w:t>
            </w:r>
            <w:r>
              <w:rPr>
                <w:rFonts w:hint="eastAsia"/>
                <w:lang w:val="en-US" w:eastAsia="zh-CN"/>
              </w:rPr>
              <w:t>水</w:t>
            </w:r>
            <w:r>
              <w:rPr>
                <w:rFonts w:hint="eastAsia"/>
              </w:rPr>
              <w:t>的使用量为</w:t>
            </w:r>
            <w:r>
              <w:rPr>
                <w:rFonts w:hint="eastAsia"/>
                <w:lang w:val="en-US" w:eastAsia="zh-CN"/>
              </w:rPr>
              <w:t>0.8</w:t>
            </w:r>
            <w:r>
              <w:rPr>
                <w:rFonts w:hint="eastAsia"/>
              </w:rPr>
              <w:t>t/a，有机废气量按挥发性有机物最大含量</w:t>
            </w:r>
            <w:r>
              <w:rPr>
                <w:rFonts w:hint="eastAsia"/>
                <w:lang w:val="en-US" w:eastAsia="zh-CN"/>
              </w:rPr>
              <w:t>25</w:t>
            </w:r>
            <w:r>
              <w:rPr>
                <w:rFonts w:hint="eastAsia"/>
              </w:rPr>
              <w:t>%计算，</w:t>
            </w:r>
            <w:r>
              <w:rPr>
                <w:rFonts w:hint="eastAsia"/>
                <w:highlight w:val="none"/>
              </w:rPr>
              <w:t>粘合</w:t>
            </w:r>
            <w:r>
              <w:rPr>
                <w:rFonts w:hint="eastAsia"/>
              </w:rPr>
              <w:t>工序中产生的挥发性有机废气为：0.2t/a。</w:t>
            </w:r>
          </w:p>
          <w:p>
            <w:pPr>
              <w:pStyle w:val="5"/>
            </w:pPr>
            <w:r>
              <w:rPr>
                <w:rFonts w:hint="eastAsia"/>
              </w:rPr>
              <w:t>综上，本项目生产过程中产生的非甲烷总烃共计0.29</w:t>
            </w:r>
            <w:r>
              <w:t>t/a</w:t>
            </w:r>
            <w:r>
              <w:rPr>
                <w:rFonts w:hint="eastAsia"/>
              </w:rPr>
              <w:t>，集气罩收集效率为90%，收集量为0.261t/a，无组织排放量为0.029t/a。经3个集气罩收集后统一送至“UV光氧催化</w:t>
            </w:r>
            <w:r>
              <w:t>+</w:t>
            </w:r>
            <w:r>
              <w:rPr>
                <w:rFonts w:hint="eastAsia"/>
              </w:rPr>
              <w:t>活性炭吸附箱”（风量共计</w:t>
            </w:r>
            <w:r>
              <w:t>5000</w:t>
            </w:r>
            <w:r>
              <w:rPr>
                <w:highlight w:val="none"/>
              </w:rPr>
              <w:t>m</w:t>
            </w:r>
            <w:r>
              <w:rPr>
                <w:highlight w:val="none"/>
                <w:vertAlign w:val="superscript"/>
              </w:rPr>
              <w:t>3</w:t>
            </w:r>
            <w:r>
              <w:t>/h</w:t>
            </w:r>
            <w:r>
              <w:rPr>
                <w:rFonts w:hint="eastAsia"/>
              </w:rPr>
              <w:t>，处理效率为</w:t>
            </w:r>
            <w:r>
              <w:t>90%</w:t>
            </w:r>
            <w:r>
              <w:rPr>
                <w:rFonts w:hint="eastAsia"/>
              </w:rPr>
              <w:t>）中处理后通过</w:t>
            </w:r>
            <w:r>
              <w:t>1</w:t>
            </w:r>
            <w:r>
              <w:rPr>
                <w:rFonts w:hint="eastAsia"/>
              </w:rPr>
              <w:t>根</w:t>
            </w:r>
            <w:r>
              <w:t>15</w:t>
            </w:r>
            <w:r>
              <w:rPr>
                <w:rFonts w:hint="eastAsia"/>
              </w:rPr>
              <w:t>米高排气筒排放。</w:t>
            </w:r>
          </w:p>
          <w:p>
            <w:pPr>
              <w:pStyle w:val="29"/>
              <w:spacing w:before="65" w:after="65"/>
            </w:pPr>
            <w:r>
              <w:rPr>
                <w:rFonts w:hint="eastAsia"/>
              </w:rPr>
              <w:t>表5-5 有组织废气污染源源强核算结果及有关参数一览表（排气筒DA001）</w:t>
            </w:r>
          </w:p>
          <w:tbl>
            <w:tblPr>
              <w:tblStyle w:val="24"/>
              <w:tblW w:w="9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750"/>
              <w:gridCol w:w="795"/>
              <w:gridCol w:w="845"/>
              <w:gridCol w:w="720"/>
              <w:gridCol w:w="822"/>
              <w:gridCol w:w="1095"/>
              <w:gridCol w:w="645"/>
              <w:gridCol w:w="858"/>
              <w:gridCol w:w="792"/>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vMerge w:val="restart"/>
                  <w:noWrap/>
                  <w:vAlign w:val="center"/>
                </w:tcPr>
                <w:p>
                  <w:pPr>
                    <w:pStyle w:val="40"/>
                  </w:pPr>
                  <w:r>
                    <w:rPr>
                      <w:rFonts w:hint="eastAsia"/>
                    </w:rPr>
                    <w:t>污染源工序</w:t>
                  </w:r>
                </w:p>
              </w:tc>
              <w:tc>
                <w:tcPr>
                  <w:tcW w:w="750" w:type="dxa"/>
                  <w:vMerge w:val="restart"/>
                  <w:noWrap/>
                  <w:vAlign w:val="center"/>
                </w:tcPr>
                <w:p>
                  <w:pPr>
                    <w:pStyle w:val="40"/>
                  </w:pPr>
                  <w:r>
                    <w:rPr>
                      <w:rFonts w:hint="eastAsia"/>
                    </w:rPr>
                    <w:t>废气量</w:t>
                  </w:r>
                </w:p>
              </w:tc>
              <w:tc>
                <w:tcPr>
                  <w:tcW w:w="795" w:type="dxa"/>
                  <w:vMerge w:val="restart"/>
                  <w:noWrap/>
                  <w:vAlign w:val="center"/>
                </w:tcPr>
                <w:p>
                  <w:pPr>
                    <w:pStyle w:val="40"/>
                  </w:pPr>
                  <w:r>
                    <w:rPr>
                      <w:rFonts w:hint="eastAsia"/>
                    </w:rPr>
                    <w:t>污染物</w:t>
                  </w:r>
                </w:p>
              </w:tc>
              <w:tc>
                <w:tcPr>
                  <w:tcW w:w="2387" w:type="dxa"/>
                  <w:gridSpan w:val="3"/>
                  <w:noWrap/>
                  <w:vAlign w:val="center"/>
                </w:tcPr>
                <w:p>
                  <w:pPr>
                    <w:pStyle w:val="40"/>
                  </w:pPr>
                  <w:r>
                    <w:rPr>
                      <w:rFonts w:hint="eastAsia"/>
                    </w:rPr>
                    <w:t>产生情况</w:t>
                  </w:r>
                </w:p>
              </w:tc>
              <w:tc>
                <w:tcPr>
                  <w:tcW w:w="1095" w:type="dxa"/>
                  <w:vMerge w:val="restart"/>
                  <w:noWrap/>
                  <w:vAlign w:val="center"/>
                </w:tcPr>
                <w:p>
                  <w:pPr>
                    <w:pStyle w:val="40"/>
                  </w:pPr>
                  <w:r>
                    <w:rPr>
                      <w:rFonts w:hint="eastAsia"/>
                    </w:rPr>
                    <w:t>治理措施</w:t>
                  </w:r>
                </w:p>
              </w:tc>
              <w:tc>
                <w:tcPr>
                  <w:tcW w:w="645" w:type="dxa"/>
                  <w:vMerge w:val="restart"/>
                  <w:noWrap/>
                  <w:vAlign w:val="center"/>
                </w:tcPr>
                <w:p>
                  <w:pPr>
                    <w:pStyle w:val="40"/>
                  </w:pPr>
                  <w:r>
                    <w:rPr>
                      <w:rFonts w:hint="eastAsia"/>
                    </w:rPr>
                    <w:t>去除率%</w:t>
                  </w:r>
                </w:p>
              </w:tc>
              <w:tc>
                <w:tcPr>
                  <w:tcW w:w="2809" w:type="dxa"/>
                  <w:gridSpan w:val="3"/>
                  <w:noWrap/>
                  <w:vAlign w:val="center"/>
                </w:tcPr>
                <w:p>
                  <w:pPr>
                    <w:pStyle w:val="40"/>
                  </w:pPr>
                  <w:r>
                    <w:rPr>
                      <w:rFonts w:hint="eastAsia"/>
                    </w:rPr>
                    <w:t>排放状况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95" w:type="dxa"/>
                  <w:vMerge w:val="continue"/>
                  <w:noWrap/>
                  <w:vAlign w:val="center"/>
                </w:tcPr>
                <w:p>
                  <w:pPr>
                    <w:pStyle w:val="40"/>
                  </w:pPr>
                </w:p>
              </w:tc>
              <w:tc>
                <w:tcPr>
                  <w:tcW w:w="750" w:type="dxa"/>
                  <w:vMerge w:val="continue"/>
                  <w:noWrap/>
                  <w:vAlign w:val="center"/>
                </w:tcPr>
                <w:p>
                  <w:pPr>
                    <w:pStyle w:val="40"/>
                  </w:pPr>
                </w:p>
              </w:tc>
              <w:tc>
                <w:tcPr>
                  <w:tcW w:w="795" w:type="dxa"/>
                  <w:vMerge w:val="continue"/>
                  <w:noWrap/>
                  <w:vAlign w:val="center"/>
                </w:tcPr>
                <w:p>
                  <w:pPr>
                    <w:pStyle w:val="40"/>
                  </w:pPr>
                </w:p>
              </w:tc>
              <w:tc>
                <w:tcPr>
                  <w:tcW w:w="845" w:type="dxa"/>
                  <w:noWrap/>
                  <w:vAlign w:val="center"/>
                </w:tcPr>
                <w:p>
                  <w:pPr>
                    <w:pStyle w:val="40"/>
                  </w:pPr>
                  <w:r>
                    <w:rPr>
                      <w:rFonts w:hint="eastAsia"/>
                    </w:rPr>
                    <w:t>速率kg/h</w:t>
                  </w:r>
                </w:p>
              </w:tc>
              <w:tc>
                <w:tcPr>
                  <w:tcW w:w="720" w:type="dxa"/>
                  <w:noWrap/>
                  <w:vAlign w:val="center"/>
                </w:tcPr>
                <w:p>
                  <w:pPr>
                    <w:pStyle w:val="40"/>
                  </w:pPr>
                  <w:r>
                    <w:rPr>
                      <w:rFonts w:hint="eastAsia"/>
                    </w:rPr>
                    <w:t>浓度mg/m³</w:t>
                  </w:r>
                </w:p>
              </w:tc>
              <w:tc>
                <w:tcPr>
                  <w:tcW w:w="822" w:type="dxa"/>
                  <w:noWrap/>
                  <w:vAlign w:val="center"/>
                </w:tcPr>
                <w:p>
                  <w:pPr>
                    <w:pStyle w:val="40"/>
                  </w:pPr>
                  <w:r>
                    <w:rPr>
                      <w:rFonts w:hint="eastAsia"/>
                    </w:rPr>
                    <w:t>产生量t/a</w:t>
                  </w:r>
                </w:p>
              </w:tc>
              <w:tc>
                <w:tcPr>
                  <w:tcW w:w="1095" w:type="dxa"/>
                  <w:vMerge w:val="continue"/>
                  <w:noWrap/>
                  <w:vAlign w:val="center"/>
                </w:tcPr>
                <w:p>
                  <w:pPr>
                    <w:pStyle w:val="40"/>
                  </w:pPr>
                </w:p>
              </w:tc>
              <w:tc>
                <w:tcPr>
                  <w:tcW w:w="645" w:type="dxa"/>
                  <w:vMerge w:val="continue"/>
                  <w:noWrap/>
                  <w:vAlign w:val="center"/>
                </w:tcPr>
                <w:p>
                  <w:pPr>
                    <w:pStyle w:val="40"/>
                  </w:pPr>
                </w:p>
              </w:tc>
              <w:tc>
                <w:tcPr>
                  <w:tcW w:w="858" w:type="dxa"/>
                  <w:noWrap/>
                  <w:vAlign w:val="center"/>
                </w:tcPr>
                <w:p>
                  <w:pPr>
                    <w:pStyle w:val="40"/>
                  </w:pPr>
                  <w:r>
                    <w:rPr>
                      <w:rFonts w:hint="eastAsia"/>
                    </w:rPr>
                    <w:t>速率kg/h</w:t>
                  </w:r>
                </w:p>
              </w:tc>
              <w:tc>
                <w:tcPr>
                  <w:tcW w:w="792" w:type="dxa"/>
                  <w:noWrap/>
                  <w:vAlign w:val="center"/>
                </w:tcPr>
                <w:p>
                  <w:pPr>
                    <w:pStyle w:val="40"/>
                  </w:pPr>
                  <w:r>
                    <w:rPr>
                      <w:rFonts w:hint="eastAsia"/>
                    </w:rPr>
                    <w:t>浓度mg/m³</w:t>
                  </w:r>
                </w:p>
              </w:tc>
              <w:tc>
                <w:tcPr>
                  <w:tcW w:w="1159" w:type="dxa"/>
                  <w:noWrap/>
                  <w:vAlign w:val="center"/>
                </w:tcPr>
                <w:p>
                  <w:pPr>
                    <w:pStyle w:val="40"/>
                  </w:pPr>
                  <w:r>
                    <w:rPr>
                      <w:rFonts w:hint="eastAsia"/>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noWrap/>
                  <w:vAlign w:val="center"/>
                </w:tcPr>
                <w:p>
                  <w:pPr>
                    <w:pStyle w:val="40"/>
                  </w:pPr>
                  <w:r>
                    <w:rPr>
                      <w:rFonts w:hint="eastAsia"/>
                    </w:rPr>
                    <w:t>印刷</w:t>
                  </w:r>
                  <w:r>
                    <w:rPr>
                      <w:rFonts w:hint="eastAsia"/>
                      <w:highlight w:val="none"/>
                    </w:rPr>
                    <w:t>粘合</w:t>
                  </w:r>
                </w:p>
              </w:tc>
              <w:tc>
                <w:tcPr>
                  <w:tcW w:w="750" w:type="dxa"/>
                  <w:noWrap/>
                  <w:vAlign w:val="center"/>
                </w:tcPr>
                <w:p>
                  <w:pPr>
                    <w:pStyle w:val="40"/>
                  </w:pPr>
                  <w:r>
                    <w:rPr>
                      <w:rFonts w:hint="eastAsia"/>
                    </w:rPr>
                    <w:t>5000m³</w:t>
                  </w:r>
                </w:p>
              </w:tc>
              <w:tc>
                <w:tcPr>
                  <w:tcW w:w="795" w:type="dxa"/>
                  <w:noWrap/>
                  <w:vAlign w:val="center"/>
                </w:tcPr>
                <w:p>
                  <w:pPr>
                    <w:pStyle w:val="40"/>
                  </w:pPr>
                  <w:r>
                    <w:rPr>
                      <w:rFonts w:hint="eastAsia"/>
                    </w:rPr>
                    <w:t>非甲烷总烃</w:t>
                  </w:r>
                </w:p>
              </w:tc>
              <w:tc>
                <w:tcPr>
                  <w:tcW w:w="845" w:type="dxa"/>
                  <w:noWrap/>
                  <w:vAlign w:val="center"/>
                </w:tcPr>
                <w:p>
                  <w:pPr>
                    <w:pStyle w:val="40"/>
                  </w:pPr>
                  <w:r>
                    <w:rPr>
                      <w:rFonts w:hint="eastAsia"/>
                    </w:rPr>
                    <w:t>0.10875</w:t>
                  </w:r>
                </w:p>
              </w:tc>
              <w:tc>
                <w:tcPr>
                  <w:tcW w:w="720" w:type="dxa"/>
                  <w:noWrap/>
                  <w:vAlign w:val="center"/>
                </w:tcPr>
                <w:p>
                  <w:pPr>
                    <w:pStyle w:val="40"/>
                  </w:pPr>
                  <w:r>
                    <w:rPr>
                      <w:rFonts w:hint="eastAsia"/>
                    </w:rPr>
                    <w:t>21.75</w:t>
                  </w:r>
                </w:p>
              </w:tc>
              <w:tc>
                <w:tcPr>
                  <w:tcW w:w="822" w:type="dxa"/>
                  <w:noWrap/>
                  <w:vAlign w:val="center"/>
                </w:tcPr>
                <w:p>
                  <w:pPr>
                    <w:pStyle w:val="40"/>
                  </w:pPr>
                  <w:r>
                    <w:rPr>
                      <w:rFonts w:hint="eastAsia"/>
                    </w:rPr>
                    <w:t>0.261</w:t>
                  </w:r>
                </w:p>
              </w:tc>
              <w:tc>
                <w:tcPr>
                  <w:tcW w:w="1095" w:type="dxa"/>
                  <w:noWrap/>
                  <w:vAlign w:val="center"/>
                </w:tcPr>
                <w:p>
                  <w:pPr>
                    <w:pStyle w:val="40"/>
                  </w:pPr>
                  <w:r>
                    <w:rPr>
                      <w:rFonts w:hint="eastAsia"/>
                    </w:rPr>
                    <w:t>UV光氧催化</w:t>
                  </w:r>
                  <w:r>
                    <w:t>+</w:t>
                  </w:r>
                  <w:r>
                    <w:rPr>
                      <w:rFonts w:hint="eastAsia"/>
                    </w:rPr>
                    <w:t>活性炭吸附箱</w:t>
                  </w:r>
                </w:p>
              </w:tc>
              <w:tc>
                <w:tcPr>
                  <w:tcW w:w="645" w:type="dxa"/>
                  <w:noWrap/>
                  <w:vAlign w:val="center"/>
                </w:tcPr>
                <w:p>
                  <w:pPr>
                    <w:pStyle w:val="40"/>
                  </w:pPr>
                  <w:r>
                    <w:rPr>
                      <w:rFonts w:hint="eastAsia"/>
                    </w:rPr>
                    <w:t>90</w:t>
                  </w:r>
                </w:p>
              </w:tc>
              <w:tc>
                <w:tcPr>
                  <w:tcW w:w="858" w:type="dxa"/>
                  <w:noWrap/>
                  <w:vAlign w:val="center"/>
                </w:tcPr>
                <w:p>
                  <w:pPr>
                    <w:pStyle w:val="40"/>
                  </w:pPr>
                  <w:r>
                    <w:rPr>
                      <w:rFonts w:hint="eastAsia"/>
                    </w:rPr>
                    <w:t>0.010875</w:t>
                  </w:r>
                </w:p>
              </w:tc>
              <w:tc>
                <w:tcPr>
                  <w:tcW w:w="792" w:type="dxa"/>
                  <w:noWrap/>
                  <w:vAlign w:val="center"/>
                </w:tcPr>
                <w:p>
                  <w:pPr>
                    <w:pStyle w:val="40"/>
                  </w:pPr>
                  <w:r>
                    <w:rPr>
                      <w:rFonts w:hint="eastAsia"/>
                    </w:rPr>
                    <w:t>2.175</w:t>
                  </w:r>
                </w:p>
              </w:tc>
              <w:tc>
                <w:tcPr>
                  <w:tcW w:w="1159" w:type="dxa"/>
                  <w:noWrap/>
                  <w:vAlign w:val="center"/>
                </w:tcPr>
                <w:p>
                  <w:pPr>
                    <w:pStyle w:val="40"/>
                  </w:pPr>
                  <w:r>
                    <w:rPr>
                      <w:rFonts w:hint="eastAsia"/>
                    </w:rPr>
                    <w:t>0.0261</w:t>
                  </w:r>
                </w:p>
              </w:tc>
            </w:tr>
          </w:tbl>
          <w:p>
            <w:pPr>
              <w:pStyle w:val="5"/>
              <w:ind w:firstLine="0" w:firstLineChars="0"/>
            </w:pPr>
            <w:r>
              <w:rPr>
                <w:rFonts w:hint="eastAsia"/>
              </w:rPr>
              <w:t>注：印刷工序和</w:t>
            </w:r>
            <w:r>
              <w:rPr>
                <w:rFonts w:hint="eastAsia"/>
                <w:highlight w:val="none"/>
              </w:rPr>
              <w:t>粘合</w:t>
            </w:r>
            <w:r>
              <w:rPr>
                <w:rFonts w:hint="eastAsia"/>
              </w:rPr>
              <w:t>工序产生的废气由3个集气罩收集后统一由排气筒DA001排放。</w:t>
            </w:r>
          </w:p>
          <w:p>
            <w:pPr>
              <w:pStyle w:val="29"/>
              <w:spacing w:before="65" w:after="65"/>
            </w:pPr>
            <w:r>
              <w:rPr>
                <w:rFonts w:hint="eastAsia"/>
              </w:rPr>
              <w:t>表5-6 无组织废气排放情况</w:t>
            </w:r>
          </w:p>
          <w:tbl>
            <w:tblPr>
              <w:tblStyle w:val="24"/>
              <w:tblW w:w="9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1742"/>
              <w:gridCol w:w="1742"/>
              <w:gridCol w:w="1743"/>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6" w:type="dxa"/>
                  <w:noWrap/>
                  <w:vAlign w:val="center"/>
                </w:tcPr>
                <w:p>
                  <w:pPr>
                    <w:pStyle w:val="40"/>
                  </w:pPr>
                  <w:r>
                    <w:rPr>
                      <w:rFonts w:hint="eastAsia"/>
                    </w:rPr>
                    <w:t>污染源位置</w:t>
                  </w:r>
                </w:p>
              </w:tc>
              <w:tc>
                <w:tcPr>
                  <w:tcW w:w="1742" w:type="dxa"/>
                  <w:noWrap/>
                  <w:vAlign w:val="center"/>
                </w:tcPr>
                <w:p>
                  <w:pPr>
                    <w:pStyle w:val="40"/>
                  </w:pPr>
                  <w:r>
                    <w:rPr>
                      <w:rFonts w:hint="eastAsia"/>
                    </w:rPr>
                    <w:t>污染物名称</w:t>
                  </w:r>
                </w:p>
              </w:tc>
              <w:tc>
                <w:tcPr>
                  <w:tcW w:w="1742" w:type="dxa"/>
                  <w:noWrap/>
                  <w:vAlign w:val="center"/>
                </w:tcPr>
                <w:p>
                  <w:pPr>
                    <w:pStyle w:val="40"/>
                  </w:pPr>
                  <w:r>
                    <w:rPr>
                      <w:rFonts w:hint="eastAsia"/>
                    </w:rPr>
                    <w:t>污染物排放量（t/a）</w:t>
                  </w:r>
                </w:p>
              </w:tc>
              <w:tc>
                <w:tcPr>
                  <w:tcW w:w="1743" w:type="dxa"/>
                  <w:noWrap/>
                  <w:vAlign w:val="center"/>
                </w:tcPr>
                <w:p>
                  <w:pPr>
                    <w:pStyle w:val="40"/>
                  </w:pPr>
                  <w:r>
                    <w:rPr>
                      <w:rFonts w:hint="eastAsia"/>
                    </w:rPr>
                    <w:t>面源面积（㎡）</w:t>
                  </w:r>
                </w:p>
              </w:tc>
              <w:tc>
                <w:tcPr>
                  <w:tcW w:w="1986" w:type="dxa"/>
                  <w:noWrap/>
                  <w:vAlign w:val="center"/>
                </w:tcPr>
                <w:p>
                  <w:pPr>
                    <w:pStyle w:val="40"/>
                  </w:pPr>
                  <w:r>
                    <w:rPr>
                      <w:rFonts w:hint="eastAsia"/>
                    </w:rPr>
                    <w:t>面源高度（m）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6" w:type="dxa"/>
                  <w:noWrap/>
                  <w:vAlign w:val="center"/>
                </w:tcPr>
                <w:p>
                  <w:pPr>
                    <w:pStyle w:val="40"/>
                  </w:pPr>
                  <w:r>
                    <w:rPr>
                      <w:rFonts w:hint="eastAsia"/>
                    </w:rPr>
                    <w:t>生产车间</w:t>
                  </w:r>
                </w:p>
              </w:tc>
              <w:tc>
                <w:tcPr>
                  <w:tcW w:w="1742" w:type="dxa"/>
                  <w:noWrap/>
                  <w:vAlign w:val="center"/>
                </w:tcPr>
                <w:p>
                  <w:pPr>
                    <w:pStyle w:val="40"/>
                  </w:pPr>
                  <w:r>
                    <w:rPr>
                      <w:rFonts w:hint="eastAsia"/>
                    </w:rPr>
                    <w:t>非甲烷总烃</w:t>
                  </w:r>
                </w:p>
              </w:tc>
              <w:tc>
                <w:tcPr>
                  <w:tcW w:w="1742" w:type="dxa"/>
                  <w:noWrap/>
                  <w:vAlign w:val="center"/>
                </w:tcPr>
                <w:p>
                  <w:pPr>
                    <w:pStyle w:val="40"/>
                  </w:pPr>
                  <w:r>
                    <w:rPr>
                      <w:rFonts w:hint="eastAsia"/>
                    </w:rPr>
                    <w:t>0.029</w:t>
                  </w:r>
                </w:p>
              </w:tc>
              <w:tc>
                <w:tcPr>
                  <w:tcW w:w="1743" w:type="dxa"/>
                  <w:noWrap/>
                  <w:vAlign w:val="center"/>
                </w:tcPr>
                <w:p>
                  <w:pPr>
                    <w:pStyle w:val="40"/>
                  </w:pPr>
                  <w:r>
                    <w:rPr>
                      <w:rFonts w:hint="eastAsia"/>
                    </w:rPr>
                    <w:t>1200</w:t>
                  </w:r>
                </w:p>
              </w:tc>
              <w:tc>
                <w:tcPr>
                  <w:tcW w:w="1986" w:type="dxa"/>
                  <w:noWrap/>
                  <w:vAlign w:val="center"/>
                </w:tcPr>
                <w:p>
                  <w:pPr>
                    <w:pStyle w:val="40"/>
                  </w:pPr>
                  <w:r>
                    <w:rPr>
                      <w:rFonts w:hint="eastAsia"/>
                    </w:rPr>
                    <w:t>6.5</w:t>
                  </w:r>
                </w:p>
              </w:tc>
            </w:tr>
          </w:tbl>
          <w:p>
            <w:pPr>
              <w:pStyle w:val="29"/>
              <w:spacing w:before="65" w:after="65"/>
            </w:pPr>
            <w:r>
              <w:rPr>
                <w:rFonts w:hint="eastAsia"/>
              </w:rPr>
              <w:t>表5-7本项目废气产生情况汇总表</w:t>
            </w:r>
          </w:p>
          <w:tbl>
            <w:tblPr>
              <w:tblStyle w:val="24"/>
              <w:tblW w:w="9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350"/>
              <w:gridCol w:w="1125"/>
              <w:gridCol w:w="1324"/>
              <w:gridCol w:w="776"/>
              <w:gridCol w:w="917"/>
              <w:gridCol w:w="926"/>
              <w:gridCol w:w="926"/>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 w:type="dxa"/>
                  <w:noWrap/>
                  <w:vAlign w:val="center"/>
                </w:tcPr>
                <w:p>
                  <w:pPr>
                    <w:pStyle w:val="40"/>
                  </w:pPr>
                  <w:r>
                    <w:rPr>
                      <w:rFonts w:hint="eastAsia"/>
                    </w:rPr>
                    <w:t>名称</w:t>
                  </w:r>
                </w:p>
              </w:tc>
              <w:tc>
                <w:tcPr>
                  <w:tcW w:w="1350" w:type="dxa"/>
                  <w:noWrap/>
                  <w:vAlign w:val="center"/>
                </w:tcPr>
                <w:p>
                  <w:pPr>
                    <w:pStyle w:val="40"/>
                  </w:pPr>
                  <w:r>
                    <w:rPr>
                      <w:rFonts w:hint="eastAsia"/>
                    </w:rPr>
                    <w:t>污染物</w:t>
                  </w:r>
                </w:p>
              </w:tc>
              <w:tc>
                <w:tcPr>
                  <w:tcW w:w="1125" w:type="dxa"/>
                  <w:noWrap/>
                  <w:vAlign w:val="center"/>
                </w:tcPr>
                <w:p>
                  <w:pPr>
                    <w:pStyle w:val="40"/>
                  </w:pPr>
                  <w:r>
                    <w:rPr>
                      <w:rFonts w:hint="eastAsia"/>
                    </w:rPr>
                    <w:t>产污环节</w:t>
                  </w:r>
                </w:p>
              </w:tc>
              <w:tc>
                <w:tcPr>
                  <w:tcW w:w="1324" w:type="dxa"/>
                  <w:noWrap/>
                  <w:vAlign w:val="center"/>
                </w:tcPr>
                <w:p>
                  <w:pPr>
                    <w:pStyle w:val="40"/>
                  </w:pPr>
                  <w:r>
                    <w:rPr>
                      <w:rFonts w:hint="eastAsia"/>
                    </w:rPr>
                    <w:t>原料使用量</w:t>
                  </w:r>
                </w:p>
              </w:tc>
              <w:tc>
                <w:tcPr>
                  <w:tcW w:w="776" w:type="dxa"/>
                  <w:noWrap/>
                  <w:vAlign w:val="center"/>
                </w:tcPr>
                <w:p>
                  <w:pPr>
                    <w:pStyle w:val="40"/>
                  </w:pPr>
                  <w:r>
                    <w:rPr>
                      <w:rFonts w:hint="eastAsia"/>
                    </w:rPr>
                    <w:t>产污系数</w:t>
                  </w:r>
                </w:p>
              </w:tc>
              <w:tc>
                <w:tcPr>
                  <w:tcW w:w="917" w:type="dxa"/>
                  <w:noWrap/>
                  <w:vAlign w:val="center"/>
                </w:tcPr>
                <w:p>
                  <w:pPr>
                    <w:pStyle w:val="40"/>
                  </w:pPr>
                  <w:r>
                    <w:rPr>
                      <w:rFonts w:hint="eastAsia"/>
                    </w:rPr>
                    <w:t>产生量</w:t>
                  </w:r>
                </w:p>
              </w:tc>
              <w:tc>
                <w:tcPr>
                  <w:tcW w:w="926" w:type="dxa"/>
                  <w:noWrap/>
                  <w:vAlign w:val="center"/>
                </w:tcPr>
                <w:p>
                  <w:pPr>
                    <w:pStyle w:val="40"/>
                  </w:pPr>
                  <w:r>
                    <w:rPr>
                      <w:rFonts w:hint="eastAsia"/>
                    </w:rPr>
                    <w:t>收集效率</w:t>
                  </w:r>
                </w:p>
              </w:tc>
              <w:tc>
                <w:tcPr>
                  <w:tcW w:w="926" w:type="dxa"/>
                  <w:noWrap/>
                  <w:vAlign w:val="center"/>
                </w:tcPr>
                <w:p>
                  <w:pPr>
                    <w:pStyle w:val="40"/>
                  </w:pPr>
                  <w:r>
                    <w:rPr>
                      <w:rFonts w:hint="eastAsia"/>
                    </w:rPr>
                    <w:t>有组织排放量</w:t>
                  </w:r>
                </w:p>
              </w:tc>
              <w:tc>
                <w:tcPr>
                  <w:tcW w:w="926" w:type="dxa"/>
                  <w:noWrap/>
                  <w:vAlign w:val="center"/>
                </w:tcPr>
                <w:p>
                  <w:pPr>
                    <w:pStyle w:val="40"/>
                  </w:pPr>
                  <w:r>
                    <w:rPr>
                      <w:rFonts w:hint="eastAsia"/>
                    </w:rPr>
                    <w:t>无组织排放量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 w:type="dxa"/>
                  <w:noWrap/>
                  <w:vAlign w:val="center"/>
                </w:tcPr>
                <w:p>
                  <w:pPr>
                    <w:pStyle w:val="40"/>
                  </w:pPr>
                  <w:r>
                    <w:rPr>
                      <w:rFonts w:hint="eastAsia"/>
                    </w:rPr>
                    <w:t>废气</w:t>
                  </w:r>
                </w:p>
              </w:tc>
              <w:tc>
                <w:tcPr>
                  <w:tcW w:w="1350" w:type="dxa"/>
                  <w:noWrap/>
                  <w:vAlign w:val="center"/>
                </w:tcPr>
                <w:p>
                  <w:pPr>
                    <w:pStyle w:val="40"/>
                  </w:pPr>
                  <w:r>
                    <w:rPr>
                      <w:rFonts w:hint="eastAsia"/>
                    </w:rPr>
                    <w:t>非甲烷总烃</w:t>
                  </w:r>
                </w:p>
              </w:tc>
              <w:tc>
                <w:tcPr>
                  <w:tcW w:w="1125" w:type="dxa"/>
                  <w:noWrap/>
                  <w:vAlign w:val="center"/>
                </w:tcPr>
                <w:p>
                  <w:pPr>
                    <w:pStyle w:val="40"/>
                  </w:pPr>
                  <w:r>
                    <w:rPr>
                      <w:rFonts w:hint="eastAsia"/>
                    </w:rPr>
                    <w:t>印刷</w:t>
                  </w:r>
                </w:p>
              </w:tc>
              <w:tc>
                <w:tcPr>
                  <w:tcW w:w="1324" w:type="dxa"/>
                  <w:noWrap/>
                  <w:vAlign w:val="center"/>
                </w:tcPr>
                <w:p>
                  <w:pPr>
                    <w:pStyle w:val="40"/>
                  </w:pPr>
                  <w:r>
                    <w:rPr>
                      <w:rFonts w:hint="eastAsia"/>
                    </w:rPr>
                    <w:t>6t水性油墨</w:t>
                  </w:r>
                </w:p>
              </w:tc>
              <w:tc>
                <w:tcPr>
                  <w:tcW w:w="776" w:type="dxa"/>
                  <w:noWrap/>
                  <w:vAlign w:val="center"/>
                </w:tcPr>
                <w:p>
                  <w:pPr>
                    <w:pStyle w:val="40"/>
                  </w:pPr>
                  <w:r>
                    <w:rPr>
                      <w:rFonts w:hint="eastAsia"/>
                    </w:rPr>
                    <w:t>0.015</w:t>
                  </w:r>
                </w:p>
              </w:tc>
              <w:tc>
                <w:tcPr>
                  <w:tcW w:w="917" w:type="dxa"/>
                  <w:noWrap/>
                  <w:vAlign w:val="center"/>
                </w:tcPr>
                <w:p>
                  <w:pPr>
                    <w:pStyle w:val="40"/>
                  </w:pPr>
                  <w:r>
                    <w:rPr>
                      <w:rFonts w:hint="eastAsia"/>
                    </w:rPr>
                    <w:t>0.09t</w:t>
                  </w:r>
                </w:p>
              </w:tc>
              <w:tc>
                <w:tcPr>
                  <w:tcW w:w="926" w:type="dxa"/>
                  <w:noWrap/>
                  <w:vAlign w:val="center"/>
                </w:tcPr>
                <w:p>
                  <w:pPr>
                    <w:pStyle w:val="40"/>
                  </w:pPr>
                  <w:r>
                    <w:rPr>
                      <w:rFonts w:hint="eastAsia"/>
                    </w:rPr>
                    <w:t>90%</w:t>
                  </w:r>
                </w:p>
              </w:tc>
              <w:tc>
                <w:tcPr>
                  <w:tcW w:w="926" w:type="dxa"/>
                  <w:noWrap/>
                  <w:vAlign w:val="center"/>
                </w:tcPr>
                <w:p>
                  <w:pPr>
                    <w:pStyle w:val="40"/>
                  </w:pPr>
                  <w:r>
                    <w:rPr>
                      <w:rFonts w:hint="eastAsia"/>
                    </w:rPr>
                    <w:t>0.0081t</w:t>
                  </w:r>
                </w:p>
              </w:tc>
              <w:tc>
                <w:tcPr>
                  <w:tcW w:w="926" w:type="dxa"/>
                  <w:noWrap/>
                  <w:vAlign w:val="center"/>
                </w:tcPr>
                <w:p>
                  <w:pPr>
                    <w:pStyle w:val="40"/>
                  </w:pPr>
                  <w:r>
                    <w:rPr>
                      <w:rFonts w:hint="eastAsia"/>
                    </w:rPr>
                    <w:t>0.009t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 w:type="dxa"/>
                  <w:noWrap/>
                  <w:vAlign w:val="center"/>
                </w:tcPr>
                <w:p>
                  <w:pPr>
                    <w:pStyle w:val="40"/>
                  </w:pPr>
                  <w:r>
                    <w:rPr>
                      <w:rFonts w:hint="eastAsia"/>
                    </w:rPr>
                    <w:t>废气</w:t>
                  </w:r>
                </w:p>
              </w:tc>
              <w:tc>
                <w:tcPr>
                  <w:tcW w:w="1350" w:type="dxa"/>
                  <w:noWrap/>
                  <w:vAlign w:val="center"/>
                </w:tcPr>
                <w:p>
                  <w:pPr>
                    <w:pStyle w:val="40"/>
                  </w:pPr>
                  <w:r>
                    <w:rPr>
                      <w:rFonts w:hint="eastAsia"/>
                    </w:rPr>
                    <w:t>非甲烷总烃</w:t>
                  </w:r>
                </w:p>
              </w:tc>
              <w:tc>
                <w:tcPr>
                  <w:tcW w:w="1125" w:type="dxa"/>
                  <w:noWrap/>
                  <w:vAlign w:val="center"/>
                </w:tcPr>
                <w:p>
                  <w:pPr>
                    <w:pStyle w:val="40"/>
                  </w:pPr>
                  <w:r>
                    <w:rPr>
                      <w:rFonts w:hint="eastAsia"/>
                      <w:highlight w:val="none"/>
                    </w:rPr>
                    <w:t>粘合</w:t>
                  </w:r>
                </w:p>
              </w:tc>
              <w:tc>
                <w:tcPr>
                  <w:tcW w:w="1324" w:type="dxa"/>
                  <w:noWrap/>
                  <w:vAlign w:val="center"/>
                </w:tcPr>
                <w:p>
                  <w:pPr>
                    <w:pStyle w:val="40"/>
                    <w:rPr>
                      <w:rFonts w:hint="eastAsia" w:eastAsia="新宋体"/>
                      <w:lang w:eastAsia="zh-CN"/>
                    </w:rPr>
                  </w:pPr>
                  <w:r>
                    <w:rPr>
                      <w:rFonts w:hint="eastAsia"/>
                      <w:lang w:val="en-US" w:eastAsia="zh-CN"/>
                    </w:rPr>
                    <w:t>0.8</w:t>
                  </w:r>
                  <w:r>
                    <w:rPr>
                      <w:rFonts w:hint="eastAsia"/>
                    </w:rPr>
                    <w:t>t</w:t>
                  </w:r>
                  <w:r>
                    <w:rPr>
                      <w:rFonts w:hint="eastAsia"/>
                      <w:lang w:val="en-US" w:eastAsia="zh-CN"/>
                    </w:rPr>
                    <w:t>胶水</w:t>
                  </w:r>
                </w:p>
              </w:tc>
              <w:tc>
                <w:tcPr>
                  <w:tcW w:w="776" w:type="dxa"/>
                  <w:noWrap/>
                  <w:vAlign w:val="center"/>
                </w:tcPr>
                <w:p>
                  <w:pPr>
                    <w:pStyle w:val="40"/>
                    <w:rPr>
                      <w:rFonts w:hint="default" w:eastAsia="新宋体"/>
                      <w:lang w:val="en-US" w:eastAsia="zh-CN"/>
                    </w:rPr>
                  </w:pPr>
                  <w:r>
                    <w:rPr>
                      <w:rFonts w:hint="eastAsia"/>
                    </w:rPr>
                    <w:t>0.</w:t>
                  </w:r>
                  <w:r>
                    <w:rPr>
                      <w:rFonts w:hint="eastAsia"/>
                      <w:lang w:val="en-US" w:eastAsia="zh-CN"/>
                    </w:rPr>
                    <w:t>25</w:t>
                  </w:r>
                </w:p>
              </w:tc>
              <w:tc>
                <w:tcPr>
                  <w:tcW w:w="917" w:type="dxa"/>
                  <w:noWrap/>
                  <w:vAlign w:val="center"/>
                </w:tcPr>
                <w:p>
                  <w:pPr>
                    <w:pStyle w:val="40"/>
                  </w:pPr>
                  <w:r>
                    <w:rPr>
                      <w:rFonts w:hint="eastAsia"/>
                    </w:rPr>
                    <w:t>0.2t</w:t>
                  </w:r>
                </w:p>
              </w:tc>
              <w:tc>
                <w:tcPr>
                  <w:tcW w:w="926" w:type="dxa"/>
                  <w:noWrap/>
                  <w:vAlign w:val="center"/>
                </w:tcPr>
                <w:p>
                  <w:pPr>
                    <w:pStyle w:val="40"/>
                  </w:pPr>
                  <w:r>
                    <w:rPr>
                      <w:rFonts w:hint="eastAsia"/>
                    </w:rPr>
                    <w:t>90%</w:t>
                  </w:r>
                </w:p>
              </w:tc>
              <w:tc>
                <w:tcPr>
                  <w:tcW w:w="926" w:type="dxa"/>
                  <w:noWrap/>
                  <w:vAlign w:val="center"/>
                </w:tcPr>
                <w:p>
                  <w:pPr>
                    <w:pStyle w:val="40"/>
                  </w:pPr>
                  <w:r>
                    <w:rPr>
                      <w:rFonts w:hint="eastAsia"/>
                    </w:rPr>
                    <w:t>0.018t</w:t>
                  </w:r>
                </w:p>
              </w:tc>
              <w:tc>
                <w:tcPr>
                  <w:tcW w:w="926" w:type="dxa"/>
                  <w:noWrap/>
                  <w:vAlign w:val="center"/>
                </w:tcPr>
                <w:p>
                  <w:pPr>
                    <w:pStyle w:val="40"/>
                  </w:pPr>
                  <w:r>
                    <w:rPr>
                      <w:rFonts w:hint="eastAsia"/>
                    </w:rPr>
                    <w:t>0.02t</w:t>
                  </w:r>
                </w:p>
              </w:tc>
            </w:tr>
          </w:tbl>
          <w:p>
            <w:pPr>
              <w:spacing w:line="360" w:lineRule="auto"/>
              <w:ind w:firstLine="480" w:firstLineChars="200"/>
            </w:pPr>
            <w:r>
              <w:rPr>
                <w:rFonts w:hint="eastAsia"/>
              </w:rPr>
              <w:t>根据《</w:t>
            </w:r>
            <w:r>
              <w:rPr>
                <w:rFonts w:hint="eastAsia"/>
                <w:highlight w:val="none"/>
              </w:rPr>
              <w:t>十三五</w:t>
            </w:r>
            <w:r>
              <w:rPr>
                <w:rFonts w:hint="eastAsia"/>
              </w:rPr>
              <w:t>挥发性有机物污染防治工作方案》要求建设单位设置封闭式车间，在2台印刷机和</w:t>
            </w:r>
            <w:r>
              <w:rPr>
                <w:rFonts w:hint="eastAsia"/>
                <w:highlight w:val="none"/>
              </w:rPr>
              <w:t>粘合</w:t>
            </w:r>
            <w:r>
              <w:rPr>
                <w:rFonts w:hint="eastAsia"/>
              </w:rPr>
              <w:t>机上端分别安装集气罩收集有机废气，经计算，项目印刷废气经集气罩收集后采用</w:t>
            </w:r>
            <w:r>
              <w:t>UV</w:t>
            </w:r>
            <w:r>
              <w:rPr>
                <w:rFonts w:hint="eastAsia"/>
              </w:rPr>
              <w:t>光氧催化</w:t>
            </w:r>
            <w:r>
              <w:t>+</w:t>
            </w:r>
            <w:r>
              <w:rPr>
                <w:rFonts w:hint="eastAsia"/>
              </w:rPr>
              <w:t>活性炭进行处理，项目有组织废气排放量为0.0261t/a，无组织废气排放量为0.029t/a。非甲烷总烃排放浓度能够满足《</w:t>
            </w:r>
            <w:r>
              <w:rPr>
                <w:rFonts w:hint="eastAsia"/>
                <w:lang w:val="en-US" w:eastAsia="zh-CN"/>
              </w:rPr>
              <w:t>上海市地方标准大气污染物综合排放标准</w:t>
            </w:r>
            <w:r>
              <w:rPr>
                <w:rFonts w:hint="eastAsia"/>
              </w:rPr>
              <w:t>》</w:t>
            </w:r>
            <w:r>
              <w:rPr>
                <w:rFonts w:hint="eastAsia"/>
                <w:lang w:eastAsia="zh-CN"/>
              </w:rPr>
              <w:t>（</w:t>
            </w:r>
            <w:r>
              <w:rPr>
                <w:rFonts w:hint="eastAsia"/>
                <w:lang w:val="en-US" w:eastAsia="zh-CN"/>
              </w:rPr>
              <w:t>DB31/933-2015）</w:t>
            </w:r>
            <w:r>
              <w:rPr>
                <w:rFonts w:hint="eastAsia"/>
              </w:rPr>
              <w:t>中的相关排放标准限值</w:t>
            </w:r>
            <w:r>
              <w:rPr>
                <w:rFonts w:hint="eastAsia"/>
                <w:lang w:val="en-US" w:eastAsia="zh-CN"/>
              </w:rPr>
              <w:t>和</w:t>
            </w:r>
            <w:r>
              <w:rPr>
                <w:rStyle w:val="52"/>
              </w:rPr>
              <w:t>《挥发性有机物无组织排放控制标准》（GB 37822-2019）中表A.1规定的限值。</w:t>
            </w:r>
            <w:r>
              <w:rPr>
                <w:rFonts w:hint="eastAsia"/>
              </w:rPr>
              <w:t>根据结算结果得出，</w:t>
            </w:r>
            <w:r>
              <w:rPr>
                <w:rFonts w:hint="eastAsia"/>
                <w:lang w:val="en-US" w:eastAsia="zh-CN"/>
              </w:rPr>
              <w:t>非甲烷总烃</w:t>
            </w:r>
            <w:r>
              <w:rPr>
                <w:rFonts w:hint="eastAsia"/>
              </w:rPr>
              <w:t>排放浓度能够达标。</w:t>
            </w:r>
          </w:p>
          <w:p>
            <w:pPr>
              <w:pStyle w:val="5"/>
            </w:pPr>
            <w:r>
              <w:rPr>
                <w:rFonts w:hint="eastAsia"/>
              </w:rPr>
              <w:t xml:space="preserve">2、非正常工况废气排放情况 </w:t>
            </w:r>
          </w:p>
          <w:p>
            <w:pPr>
              <w:pStyle w:val="5"/>
            </w:pPr>
            <w:r>
              <w:rPr>
                <w:rFonts w:hint="eastAsia"/>
              </w:rPr>
              <w:t>项目在车间开工时，首先运行所有的废气处理装置，然后再开启车间的工艺流程，使在生产中所产生的废气都能得到处理。车间停工时，所有的废气处理装置继续运转，待工艺中的废气没有排出之后才逐台关闭。车间在开、停车时排出污染物均得到有效处理，经排气筒排出的污染物浓度和正常生产时基本一致。当废气处理设施出现故障时，应立即进行维修，必要时停止生产原料</w:t>
            </w:r>
            <w:r>
              <w:rPr>
                <w:rFonts w:hint="eastAsia"/>
                <w:highlight w:val="none"/>
              </w:rPr>
              <w:t>的供给</w:t>
            </w:r>
            <w:r>
              <w:rPr>
                <w:rFonts w:hint="eastAsia"/>
              </w:rPr>
              <w:t>。</w:t>
            </w:r>
          </w:p>
          <w:p>
            <w:pPr>
              <w:pStyle w:val="5"/>
            </w:pPr>
            <w:r>
              <w:rPr>
                <w:rFonts w:hint="eastAsia"/>
              </w:rPr>
              <w:t>当废气处理设施出现故障时，应立即进行维修，必要时停止生产原料</w:t>
            </w:r>
            <w:r>
              <w:rPr>
                <w:rFonts w:hint="eastAsia"/>
                <w:highlight w:val="none"/>
              </w:rPr>
              <w:t>的供给</w:t>
            </w:r>
            <w:r>
              <w:rPr>
                <w:rFonts w:hint="eastAsia"/>
              </w:rPr>
              <w:t>。</w:t>
            </w:r>
          </w:p>
          <w:p>
            <w:pPr>
              <w:pStyle w:val="5"/>
            </w:pPr>
            <w:r>
              <w:rPr>
                <w:rFonts w:hint="eastAsia"/>
              </w:rPr>
              <w:t>3、废水</w:t>
            </w:r>
          </w:p>
          <w:p>
            <w:pPr>
              <w:pStyle w:val="5"/>
            </w:pPr>
            <w:r>
              <w:rPr>
                <w:rFonts w:hint="eastAsia"/>
              </w:rPr>
              <w:t>生产废水：本项目印</w:t>
            </w:r>
            <w:r>
              <w:rPr>
                <w:rFonts w:hint="eastAsia"/>
                <w:lang w:val="en-US" w:eastAsia="zh-CN"/>
              </w:rPr>
              <w:t>刷</w:t>
            </w:r>
            <w:r>
              <w:rPr>
                <w:rFonts w:hint="eastAsia"/>
              </w:rPr>
              <w:t>清洗</w:t>
            </w:r>
            <w:r>
              <w:t>废</w:t>
            </w:r>
            <w:r>
              <w:rPr>
                <w:rFonts w:hint="eastAsia"/>
                <w:lang w:val="en-US" w:eastAsia="zh-CN"/>
              </w:rPr>
              <w:t>水经收集后交由有资质公司进行处理。</w:t>
            </w:r>
          </w:p>
          <w:p>
            <w:pPr>
              <w:pStyle w:val="5"/>
            </w:pPr>
            <w:r>
              <w:rPr>
                <w:rFonts w:hint="eastAsia"/>
              </w:rPr>
              <w:t>生活污水：本项目员工8人，</w:t>
            </w:r>
            <w:r>
              <w:t>员工生活污水项目用水量依据《安徽省行业用水定额（DB34-2014）》相关用水定额核算，用水量按50L/（人•d）计，则生活用水量为0.4</w:t>
            </w:r>
            <w:r>
              <w:rPr>
                <w:rFonts w:hint="eastAsia"/>
              </w:rPr>
              <w:t>m³</w:t>
            </w:r>
            <w:r>
              <w:t>/d</w:t>
            </w:r>
            <w:r>
              <w:rPr>
                <w:rFonts w:hint="eastAsia"/>
              </w:rPr>
              <w:t>（</w:t>
            </w:r>
            <w:r>
              <w:t>120</w:t>
            </w:r>
            <w:r>
              <w:rPr>
                <w:rFonts w:hint="eastAsia"/>
              </w:rPr>
              <w:t>m³</w:t>
            </w:r>
            <w:r>
              <w:t>/a</w:t>
            </w:r>
            <w:r>
              <w:rPr>
                <w:rFonts w:hint="eastAsia"/>
              </w:rPr>
              <w:t>）</w:t>
            </w:r>
            <w:r>
              <w:t>。排水系数按85%计算，生活污水排放量约为0.34</w:t>
            </w:r>
            <w:r>
              <w:rPr>
                <w:rFonts w:hint="eastAsia"/>
              </w:rPr>
              <w:t>m³</w:t>
            </w:r>
            <w:r>
              <w:t>/d</w:t>
            </w:r>
            <w:r>
              <w:rPr>
                <w:rFonts w:hint="eastAsia"/>
              </w:rPr>
              <w:t>（</w:t>
            </w:r>
            <w:r>
              <w:t>102</w:t>
            </w:r>
            <w:r>
              <w:rPr>
                <w:rFonts w:hint="eastAsia"/>
              </w:rPr>
              <w:t>m³</w:t>
            </w:r>
            <w:r>
              <w:t>/a</w:t>
            </w:r>
            <w:r>
              <w:rPr>
                <w:rFonts w:hint="eastAsia"/>
              </w:rPr>
              <w:t>）</w:t>
            </w:r>
            <w:r>
              <w:t>。</w:t>
            </w:r>
            <w:r>
              <w:rPr>
                <w:rFonts w:hint="eastAsia"/>
              </w:rPr>
              <w:t>生活污水化粪池处理后经园区管网进入淮南</w:t>
            </w:r>
            <w:r>
              <w:rPr>
                <w:rFonts w:hint="eastAsia"/>
                <w:lang w:val="en-US" w:eastAsia="zh-CN"/>
              </w:rPr>
              <w:t>市经济技术开发区</w:t>
            </w:r>
            <w:r>
              <w:rPr>
                <w:rFonts w:hint="eastAsia"/>
              </w:rPr>
              <w:t>污水处理厂处理后尾水排入淮河。</w:t>
            </w:r>
          </w:p>
          <w:p>
            <w:pPr>
              <w:pStyle w:val="29"/>
              <w:spacing w:before="65" w:after="65"/>
            </w:pPr>
            <w:r>
              <w:rPr>
                <w:rFonts w:hint="eastAsia"/>
              </w:rPr>
              <w:t>表5-</w:t>
            </w:r>
            <w:r>
              <w:rPr>
                <w:rFonts w:hint="eastAsia"/>
                <w:lang w:val="en-US" w:eastAsia="zh-CN"/>
              </w:rPr>
              <w:t>8</w:t>
            </w:r>
            <w:r>
              <w:rPr>
                <w:rFonts w:hint="eastAsia"/>
              </w:rPr>
              <w:t xml:space="preserve"> 污水产生排放情况表</w:t>
            </w:r>
          </w:p>
          <w:tbl>
            <w:tblPr>
              <w:tblStyle w:val="24"/>
              <w:tblW w:w="9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975"/>
              <w:gridCol w:w="1470"/>
              <w:gridCol w:w="1037"/>
              <w:gridCol w:w="1185"/>
              <w:gridCol w:w="1215"/>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5" w:type="dxa"/>
                  <w:vMerge w:val="restart"/>
                  <w:noWrap/>
                  <w:vAlign w:val="center"/>
                </w:tcPr>
                <w:p>
                  <w:pPr>
                    <w:pStyle w:val="40"/>
                  </w:pPr>
                  <w:r>
                    <w:rPr>
                      <w:rFonts w:hint="eastAsia"/>
                    </w:rPr>
                    <w:t>污染源</w:t>
                  </w:r>
                </w:p>
              </w:tc>
              <w:tc>
                <w:tcPr>
                  <w:tcW w:w="975" w:type="dxa"/>
                  <w:vMerge w:val="restart"/>
                  <w:noWrap/>
                  <w:vAlign w:val="center"/>
                </w:tcPr>
                <w:p>
                  <w:pPr>
                    <w:pStyle w:val="40"/>
                  </w:pPr>
                  <w:r>
                    <w:rPr>
                      <w:rFonts w:hint="eastAsia"/>
                    </w:rPr>
                    <w:t>废水量t/a</w:t>
                  </w:r>
                </w:p>
              </w:tc>
              <w:tc>
                <w:tcPr>
                  <w:tcW w:w="1470" w:type="dxa"/>
                  <w:vMerge w:val="restart"/>
                  <w:noWrap/>
                  <w:vAlign w:val="center"/>
                </w:tcPr>
                <w:p>
                  <w:pPr>
                    <w:pStyle w:val="40"/>
                  </w:pPr>
                  <w:r>
                    <w:rPr>
                      <w:rFonts w:hint="eastAsia"/>
                    </w:rPr>
                    <w:t>污染物名称</w:t>
                  </w:r>
                </w:p>
              </w:tc>
              <w:tc>
                <w:tcPr>
                  <w:tcW w:w="2222" w:type="dxa"/>
                  <w:gridSpan w:val="2"/>
                  <w:noWrap/>
                  <w:vAlign w:val="center"/>
                </w:tcPr>
                <w:p>
                  <w:pPr>
                    <w:pStyle w:val="40"/>
                  </w:pPr>
                  <w:r>
                    <w:rPr>
                      <w:rFonts w:hint="eastAsia"/>
                    </w:rPr>
                    <w:t>产生情况</w:t>
                  </w:r>
                </w:p>
              </w:tc>
              <w:tc>
                <w:tcPr>
                  <w:tcW w:w="2955" w:type="dxa"/>
                  <w:gridSpan w:val="2"/>
                  <w:noWrap/>
                  <w:vAlign w:val="center"/>
                </w:tcPr>
                <w:p>
                  <w:pPr>
                    <w:pStyle w:val="40"/>
                  </w:pPr>
                  <w:r>
                    <w:rPr>
                      <w:rFonts w:hint="eastAsia"/>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5" w:type="dxa"/>
                  <w:vMerge w:val="continue"/>
                  <w:noWrap/>
                  <w:vAlign w:val="center"/>
                </w:tcPr>
                <w:p>
                  <w:pPr>
                    <w:pStyle w:val="40"/>
                  </w:pPr>
                </w:p>
              </w:tc>
              <w:tc>
                <w:tcPr>
                  <w:tcW w:w="975" w:type="dxa"/>
                  <w:vMerge w:val="continue"/>
                  <w:noWrap/>
                  <w:vAlign w:val="center"/>
                </w:tcPr>
                <w:p>
                  <w:pPr>
                    <w:pStyle w:val="40"/>
                  </w:pPr>
                </w:p>
              </w:tc>
              <w:tc>
                <w:tcPr>
                  <w:tcW w:w="1470" w:type="dxa"/>
                  <w:vMerge w:val="continue"/>
                  <w:noWrap/>
                  <w:vAlign w:val="center"/>
                </w:tcPr>
                <w:p>
                  <w:pPr>
                    <w:pStyle w:val="40"/>
                  </w:pPr>
                </w:p>
              </w:tc>
              <w:tc>
                <w:tcPr>
                  <w:tcW w:w="1037" w:type="dxa"/>
                  <w:noWrap/>
                  <w:vAlign w:val="center"/>
                </w:tcPr>
                <w:p>
                  <w:pPr>
                    <w:pStyle w:val="40"/>
                  </w:pPr>
                  <w:r>
                    <w:rPr>
                      <w:rFonts w:hint="eastAsia"/>
                    </w:rPr>
                    <w:t>浓度mg/L</w:t>
                  </w:r>
                </w:p>
              </w:tc>
              <w:tc>
                <w:tcPr>
                  <w:tcW w:w="1185" w:type="dxa"/>
                  <w:noWrap/>
                  <w:vAlign w:val="center"/>
                </w:tcPr>
                <w:p>
                  <w:pPr>
                    <w:pStyle w:val="40"/>
                  </w:pPr>
                  <w:r>
                    <w:rPr>
                      <w:rFonts w:hint="eastAsia"/>
                    </w:rPr>
                    <w:t>产生量t/a</w:t>
                  </w:r>
                </w:p>
              </w:tc>
              <w:tc>
                <w:tcPr>
                  <w:tcW w:w="1215" w:type="dxa"/>
                  <w:noWrap/>
                  <w:vAlign w:val="center"/>
                </w:tcPr>
                <w:p>
                  <w:pPr>
                    <w:pStyle w:val="40"/>
                  </w:pPr>
                  <w:r>
                    <w:rPr>
                      <w:rFonts w:hint="eastAsia"/>
                    </w:rPr>
                    <w:t>浓度mg/L</w:t>
                  </w:r>
                </w:p>
              </w:tc>
              <w:tc>
                <w:tcPr>
                  <w:tcW w:w="1740" w:type="dxa"/>
                  <w:noWrap/>
                  <w:vAlign w:val="center"/>
                </w:tcPr>
                <w:p>
                  <w:pPr>
                    <w:pStyle w:val="40"/>
                  </w:pPr>
                  <w:r>
                    <w:rPr>
                      <w:rFonts w:hint="eastAsia"/>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5" w:type="dxa"/>
                  <w:vMerge w:val="restart"/>
                  <w:noWrap/>
                  <w:vAlign w:val="center"/>
                </w:tcPr>
                <w:p>
                  <w:pPr>
                    <w:pStyle w:val="40"/>
                  </w:pPr>
                  <w:r>
                    <w:rPr>
                      <w:rFonts w:hint="eastAsia"/>
                    </w:rPr>
                    <w:t>生活污水</w:t>
                  </w:r>
                </w:p>
              </w:tc>
              <w:tc>
                <w:tcPr>
                  <w:tcW w:w="975" w:type="dxa"/>
                  <w:vMerge w:val="restart"/>
                  <w:noWrap/>
                  <w:vAlign w:val="center"/>
                </w:tcPr>
                <w:p>
                  <w:pPr>
                    <w:pStyle w:val="40"/>
                  </w:pPr>
                  <w:r>
                    <w:rPr>
                      <w:rFonts w:hint="eastAsia"/>
                    </w:rPr>
                    <w:t>102</w:t>
                  </w:r>
                </w:p>
              </w:tc>
              <w:tc>
                <w:tcPr>
                  <w:tcW w:w="1470" w:type="dxa"/>
                  <w:noWrap/>
                  <w:vAlign w:val="center"/>
                </w:tcPr>
                <w:p>
                  <w:pPr>
                    <w:pStyle w:val="40"/>
                  </w:pPr>
                  <w:r>
                    <w:rPr>
                      <w:rFonts w:hint="eastAsia"/>
                    </w:rPr>
                    <w:t>COD</w:t>
                  </w:r>
                </w:p>
              </w:tc>
              <w:tc>
                <w:tcPr>
                  <w:tcW w:w="1037" w:type="dxa"/>
                  <w:noWrap/>
                  <w:vAlign w:val="center"/>
                </w:tcPr>
                <w:p>
                  <w:pPr>
                    <w:pStyle w:val="40"/>
                  </w:pPr>
                  <w:r>
                    <w:rPr>
                      <w:rFonts w:hint="eastAsia"/>
                    </w:rPr>
                    <w:t>300</w:t>
                  </w:r>
                </w:p>
              </w:tc>
              <w:tc>
                <w:tcPr>
                  <w:tcW w:w="1185" w:type="dxa"/>
                  <w:noWrap/>
                  <w:vAlign w:val="center"/>
                </w:tcPr>
                <w:p>
                  <w:pPr>
                    <w:pStyle w:val="40"/>
                  </w:pPr>
                  <w:r>
                    <w:rPr>
                      <w:rFonts w:hint="eastAsia"/>
                    </w:rPr>
                    <w:t>0.0306</w:t>
                  </w:r>
                </w:p>
              </w:tc>
              <w:tc>
                <w:tcPr>
                  <w:tcW w:w="1215" w:type="dxa"/>
                  <w:noWrap/>
                  <w:vAlign w:val="center"/>
                </w:tcPr>
                <w:p>
                  <w:pPr>
                    <w:pStyle w:val="40"/>
                  </w:pPr>
                  <w:r>
                    <w:rPr>
                      <w:rFonts w:hint="eastAsia"/>
                    </w:rPr>
                    <w:t>280</w:t>
                  </w:r>
                </w:p>
              </w:tc>
              <w:tc>
                <w:tcPr>
                  <w:tcW w:w="1740" w:type="dxa"/>
                  <w:noWrap/>
                  <w:vAlign w:val="center"/>
                </w:tcPr>
                <w:p>
                  <w:pPr>
                    <w:pStyle w:val="40"/>
                  </w:pPr>
                  <w:r>
                    <w:rPr>
                      <w:rFonts w:hint="eastAsia"/>
                    </w:rPr>
                    <w:t>0.0286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5" w:type="dxa"/>
                  <w:vMerge w:val="continue"/>
                  <w:noWrap/>
                  <w:vAlign w:val="center"/>
                </w:tcPr>
                <w:p>
                  <w:pPr>
                    <w:pStyle w:val="40"/>
                  </w:pPr>
                </w:p>
              </w:tc>
              <w:tc>
                <w:tcPr>
                  <w:tcW w:w="975" w:type="dxa"/>
                  <w:vMerge w:val="continue"/>
                  <w:noWrap/>
                  <w:vAlign w:val="center"/>
                </w:tcPr>
                <w:p>
                  <w:pPr>
                    <w:pStyle w:val="40"/>
                  </w:pPr>
                </w:p>
              </w:tc>
              <w:tc>
                <w:tcPr>
                  <w:tcW w:w="1470" w:type="dxa"/>
                  <w:noWrap/>
                  <w:vAlign w:val="center"/>
                </w:tcPr>
                <w:p>
                  <w:pPr>
                    <w:pStyle w:val="40"/>
                  </w:pPr>
                  <w:r>
                    <w:t>NH</w:t>
                  </w:r>
                  <w:r>
                    <w:rPr>
                      <w:vertAlign w:val="subscript"/>
                    </w:rPr>
                    <w:t>3</w:t>
                  </w:r>
                  <w:r>
                    <w:t>-N</w:t>
                  </w:r>
                </w:p>
              </w:tc>
              <w:tc>
                <w:tcPr>
                  <w:tcW w:w="1037" w:type="dxa"/>
                  <w:noWrap/>
                  <w:vAlign w:val="center"/>
                </w:tcPr>
                <w:p>
                  <w:pPr>
                    <w:pStyle w:val="40"/>
                  </w:pPr>
                  <w:r>
                    <w:rPr>
                      <w:rFonts w:hint="eastAsia"/>
                    </w:rPr>
                    <w:t>30</w:t>
                  </w:r>
                </w:p>
              </w:tc>
              <w:tc>
                <w:tcPr>
                  <w:tcW w:w="1185" w:type="dxa"/>
                  <w:noWrap/>
                  <w:vAlign w:val="center"/>
                </w:tcPr>
                <w:p>
                  <w:pPr>
                    <w:pStyle w:val="40"/>
                  </w:pPr>
                  <w:r>
                    <w:rPr>
                      <w:rFonts w:hint="eastAsia"/>
                    </w:rPr>
                    <w:t>0.00306</w:t>
                  </w:r>
                </w:p>
              </w:tc>
              <w:tc>
                <w:tcPr>
                  <w:tcW w:w="1215" w:type="dxa"/>
                  <w:noWrap/>
                  <w:vAlign w:val="center"/>
                </w:tcPr>
                <w:p>
                  <w:pPr>
                    <w:pStyle w:val="40"/>
                  </w:pPr>
                  <w:r>
                    <w:rPr>
                      <w:rFonts w:hint="eastAsia"/>
                    </w:rPr>
                    <w:t>24</w:t>
                  </w:r>
                </w:p>
              </w:tc>
              <w:tc>
                <w:tcPr>
                  <w:tcW w:w="1740" w:type="dxa"/>
                  <w:noWrap/>
                  <w:vAlign w:val="center"/>
                </w:tcPr>
                <w:p>
                  <w:pPr>
                    <w:pStyle w:val="40"/>
                  </w:pPr>
                  <w:r>
                    <w:rPr>
                      <w:rFonts w:hint="eastAsia"/>
                    </w:rPr>
                    <w:t>0.00245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5" w:type="dxa"/>
                  <w:vMerge w:val="continue"/>
                  <w:noWrap/>
                  <w:vAlign w:val="center"/>
                </w:tcPr>
                <w:p>
                  <w:pPr>
                    <w:pStyle w:val="40"/>
                  </w:pPr>
                </w:p>
              </w:tc>
              <w:tc>
                <w:tcPr>
                  <w:tcW w:w="975" w:type="dxa"/>
                  <w:vMerge w:val="continue"/>
                  <w:noWrap/>
                  <w:vAlign w:val="center"/>
                </w:tcPr>
                <w:p>
                  <w:pPr>
                    <w:pStyle w:val="40"/>
                  </w:pPr>
                </w:p>
              </w:tc>
              <w:tc>
                <w:tcPr>
                  <w:tcW w:w="1470" w:type="dxa"/>
                  <w:noWrap/>
                  <w:vAlign w:val="center"/>
                </w:tcPr>
                <w:p>
                  <w:pPr>
                    <w:pStyle w:val="40"/>
                  </w:pPr>
                  <w:r>
                    <w:rPr>
                      <w:rFonts w:hint="eastAsia"/>
                    </w:rPr>
                    <w:t>BOD</w:t>
                  </w:r>
                  <w:r>
                    <w:rPr>
                      <w:rFonts w:hint="eastAsia"/>
                      <w:vertAlign w:val="subscript"/>
                    </w:rPr>
                    <w:t>5</w:t>
                  </w:r>
                </w:p>
              </w:tc>
              <w:tc>
                <w:tcPr>
                  <w:tcW w:w="1037" w:type="dxa"/>
                  <w:noWrap/>
                  <w:vAlign w:val="center"/>
                </w:tcPr>
                <w:p>
                  <w:pPr>
                    <w:pStyle w:val="40"/>
                  </w:pPr>
                  <w:r>
                    <w:rPr>
                      <w:rFonts w:hint="eastAsia"/>
                    </w:rPr>
                    <w:t>150</w:t>
                  </w:r>
                </w:p>
              </w:tc>
              <w:tc>
                <w:tcPr>
                  <w:tcW w:w="1185" w:type="dxa"/>
                  <w:noWrap/>
                  <w:vAlign w:val="center"/>
                </w:tcPr>
                <w:p>
                  <w:pPr>
                    <w:pStyle w:val="40"/>
                  </w:pPr>
                  <w:r>
                    <w:rPr>
                      <w:rFonts w:hint="eastAsia"/>
                    </w:rPr>
                    <w:t>0.0153</w:t>
                  </w:r>
                </w:p>
              </w:tc>
              <w:tc>
                <w:tcPr>
                  <w:tcW w:w="1215" w:type="dxa"/>
                  <w:noWrap/>
                  <w:vAlign w:val="center"/>
                </w:tcPr>
                <w:p>
                  <w:pPr>
                    <w:pStyle w:val="40"/>
                  </w:pPr>
                  <w:r>
                    <w:rPr>
                      <w:rFonts w:hint="eastAsia"/>
                    </w:rPr>
                    <w:t>140</w:t>
                  </w:r>
                </w:p>
              </w:tc>
              <w:tc>
                <w:tcPr>
                  <w:tcW w:w="1740" w:type="dxa"/>
                  <w:noWrap/>
                  <w:vAlign w:val="center"/>
                </w:tcPr>
                <w:p>
                  <w:pPr>
                    <w:pStyle w:val="40"/>
                  </w:pPr>
                  <w:r>
                    <w:rPr>
                      <w:rFonts w:hint="eastAsia"/>
                    </w:rPr>
                    <w:t>0.0143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5" w:type="dxa"/>
                  <w:vMerge w:val="continue"/>
                  <w:noWrap/>
                  <w:vAlign w:val="center"/>
                </w:tcPr>
                <w:p>
                  <w:pPr>
                    <w:pStyle w:val="40"/>
                  </w:pPr>
                </w:p>
              </w:tc>
              <w:tc>
                <w:tcPr>
                  <w:tcW w:w="975" w:type="dxa"/>
                  <w:vMerge w:val="continue"/>
                  <w:noWrap/>
                  <w:vAlign w:val="center"/>
                </w:tcPr>
                <w:p>
                  <w:pPr>
                    <w:pStyle w:val="40"/>
                  </w:pPr>
                </w:p>
              </w:tc>
              <w:tc>
                <w:tcPr>
                  <w:tcW w:w="1470" w:type="dxa"/>
                  <w:noWrap/>
                  <w:vAlign w:val="center"/>
                </w:tcPr>
                <w:p>
                  <w:pPr>
                    <w:pStyle w:val="40"/>
                  </w:pPr>
                  <w:r>
                    <w:t>SS</w:t>
                  </w:r>
                </w:p>
              </w:tc>
              <w:tc>
                <w:tcPr>
                  <w:tcW w:w="1037" w:type="dxa"/>
                  <w:noWrap/>
                  <w:vAlign w:val="center"/>
                </w:tcPr>
                <w:p>
                  <w:pPr>
                    <w:pStyle w:val="40"/>
                  </w:pPr>
                  <w:r>
                    <w:rPr>
                      <w:rFonts w:hint="eastAsia"/>
                    </w:rPr>
                    <w:t>150</w:t>
                  </w:r>
                </w:p>
              </w:tc>
              <w:tc>
                <w:tcPr>
                  <w:tcW w:w="1185" w:type="dxa"/>
                  <w:noWrap/>
                  <w:vAlign w:val="center"/>
                </w:tcPr>
                <w:p>
                  <w:pPr>
                    <w:pStyle w:val="40"/>
                  </w:pPr>
                  <w:r>
                    <w:rPr>
                      <w:rFonts w:hint="eastAsia"/>
                    </w:rPr>
                    <w:t>0.0153</w:t>
                  </w:r>
                </w:p>
              </w:tc>
              <w:tc>
                <w:tcPr>
                  <w:tcW w:w="1215" w:type="dxa"/>
                  <w:noWrap/>
                  <w:vAlign w:val="center"/>
                </w:tcPr>
                <w:p>
                  <w:pPr>
                    <w:pStyle w:val="40"/>
                  </w:pPr>
                  <w:r>
                    <w:rPr>
                      <w:rFonts w:hint="eastAsia"/>
                    </w:rPr>
                    <w:t>150</w:t>
                  </w:r>
                </w:p>
              </w:tc>
              <w:tc>
                <w:tcPr>
                  <w:tcW w:w="1740" w:type="dxa"/>
                  <w:noWrap/>
                  <w:vAlign w:val="center"/>
                </w:tcPr>
                <w:p>
                  <w:pPr>
                    <w:pStyle w:val="40"/>
                  </w:pPr>
                  <w:r>
                    <w:rPr>
                      <w:rFonts w:hint="eastAsia"/>
                    </w:rPr>
                    <w:t>0.0143</w:t>
                  </w:r>
                </w:p>
              </w:tc>
            </w:tr>
          </w:tbl>
          <w:p>
            <w:pPr>
              <w:pStyle w:val="5"/>
            </w:pPr>
            <w:r>
              <w:rPr>
                <w:rFonts w:hint="eastAsia"/>
              </w:rPr>
              <w:t>4、噪声污染源</w:t>
            </w:r>
          </w:p>
          <w:p>
            <w:pPr>
              <w:pStyle w:val="5"/>
            </w:pPr>
            <w:r>
              <w:rPr>
                <w:rFonts w:hint="eastAsia"/>
              </w:rPr>
              <w:t xml:space="preserve">本项目主要噪声源为生产过程中各种机械设备运行时产生的噪声，噪声源强在 </w:t>
            </w:r>
            <w:r>
              <w:t>70</w:t>
            </w:r>
            <w:r>
              <w:rPr>
                <w:rFonts w:hint="eastAsia"/>
              </w:rPr>
              <w:t>～</w:t>
            </w:r>
            <w:r>
              <w:t>80dB</w:t>
            </w:r>
            <w:r>
              <w:rPr>
                <w:rFonts w:hint="eastAsia"/>
              </w:rPr>
              <w:t>（</w:t>
            </w:r>
            <w:r>
              <w:t>A</w:t>
            </w:r>
            <w:r>
              <w:rPr>
                <w:rFonts w:hint="eastAsia"/>
              </w:rPr>
              <w:t>）之间。设备噪声可分为机械噪声及空气动力性噪声，根据其产生的机理不同分别采取隔声和减震措施。项目生产设备均在车间内，在安装时采用基础减震，同时加强车间门窗管理，可降低</w:t>
            </w:r>
            <w:r>
              <w:t>15dB</w:t>
            </w:r>
            <w:r>
              <w:rPr>
                <w:highlight w:val="none"/>
              </w:rPr>
              <w:t>(</w:t>
            </w:r>
            <w:r>
              <w:t>A</w:t>
            </w:r>
            <w:r>
              <w:rPr>
                <w:highlight w:val="none"/>
              </w:rPr>
              <w:t>)</w:t>
            </w:r>
            <w:r>
              <w:rPr>
                <w:rFonts w:hint="eastAsia"/>
              </w:rPr>
              <w:t>。主要设备噪声源强见下表</w:t>
            </w:r>
          </w:p>
          <w:p>
            <w:pPr>
              <w:pStyle w:val="29"/>
              <w:spacing w:before="65" w:after="65"/>
            </w:pPr>
            <w:r>
              <w:rPr>
                <w:rFonts w:hint="eastAsia"/>
              </w:rPr>
              <w:t xml:space="preserve">表 </w:t>
            </w:r>
            <w:r>
              <w:t>5-</w:t>
            </w:r>
            <w:r>
              <w:rPr>
                <w:rFonts w:hint="eastAsia"/>
                <w:lang w:val="en-US" w:eastAsia="zh-CN"/>
              </w:rPr>
              <w:t>9</w:t>
            </w:r>
            <w:r>
              <w:rPr>
                <w:rFonts w:hint="eastAsia"/>
              </w:rPr>
              <w:t>项目主要生产设备噪声源强一览表</w:t>
            </w:r>
          </w:p>
          <w:tbl>
            <w:tblPr>
              <w:tblStyle w:val="24"/>
              <w:tblW w:w="9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2396"/>
              <w:gridCol w:w="750"/>
              <w:gridCol w:w="1815"/>
              <w:gridCol w:w="2009"/>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59" w:type="dxa"/>
                  <w:noWrap/>
                </w:tcPr>
                <w:p>
                  <w:pPr>
                    <w:pStyle w:val="40"/>
                    <w:bidi w:val="0"/>
                  </w:pPr>
                  <w:r>
                    <w:rPr>
                      <w:rFonts w:hint="eastAsia"/>
                    </w:rPr>
                    <w:t>序号</w:t>
                  </w:r>
                </w:p>
              </w:tc>
              <w:tc>
                <w:tcPr>
                  <w:tcW w:w="2396" w:type="dxa"/>
                  <w:noWrap/>
                </w:tcPr>
                <w:p>
                  <w:pPr>
                    <w:pStyle w:val="40"/>
                    <w:bidi w:val="0"/>
                  </w:pPr>
                  <w:r>
                    <w:rPr>
                      <w:rFonts w:hint="eastAsia"/>
                    </w:rPr>
                    <w:t>噪声源</w:t>
                  </w:r>
                </w:p>
              </w:tc>
              <w:tc>
                <w:tcPr>
                  <w:tcW w:w="750" w:type="dxa"/>
                  <w:noWrap/>
                </w:tcPr>
                <w:p>
                  <w:pPr>
                    <w:pStyle w:val="40"/>
                    <w:bidi w:val="0"/>
                  </w:pPr>
                  <w:r>
                    <w:rPr>
                      <w:rFonts w:hint="eastAsia"/>
                    </w:rPr>
                    <w:t>数量</w:t>
                  </w:r>
                </w:p>
              </w:tc>
              <w:tc>
                <w:tcPr>
                  <w:tcW w:w="1815" w:type="dxa"/>
                  <w:noWrap/>
                </w:tcPr>
                <w:p>
                  <w:pPr>
                    <w:pStyle w:val="40"/>
                    <w:bidi w:val="0"/>
                  </w:pPr>
                  <w:r>
                    <w:rPr>
                      <w:rFonts w:hint="eastAsia"/>
                    </w:rPr>
                    <w:t>噪声源强dB（A）</w:t>
                  </w:r>
                </w:p>
              </w:tc>
              <w:tc>
                <w:tcPr>
                  <w:tcW w:w="2009" w:type="dxa"/>
                  <w:noWrap/>
                </w:tcPr>
                <w:p>
                  <w:pPr>
                    <w:pStyle w:val="40"/>
                    <w:bidi w:val="0"/>
                  </w:pPr>
                  <w:r>
                    <w:rPr>
                      <w:rFonts w:hint="eastAsia"/>
                    </w:rPr>
                    <w:t>降噪措施</w:t>
                  </w:r>
                </w:p>
              </w:tc>
              <w:tc>
                <w:tcPr>
                  <w:tcW w:w="1547" w:type="dxa"/>
                  <w:noWrap/>
                </w:tcPr>
                <w:p>
                  <w:pPr>
                    <w:pStyle w:val="40"/>
                    <w:bidi w:val="0"/>
                  </w:pPr>
                  <w:r>
                    <w:rPr>
                      <w:rFonts w:hint="eastAsia"/>
                    </w:rPr>
                    <w:t>降噪效果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9" w:type="dxa"/>
                  <w:noWrap/>
                </w:tcPr>
                <w:p>
                  <w:pPr>
                    <w:pStyle w:val="40"/>
                    <w:bidi w:val="0"/>
                  </w:pPr>
                  <w:r>
                    <w:rPr>
                      <w:rFonts w:hint="eastAsia"/>
                    </w:rPr>
                    <w:t>1</w:t>
                  </w:r>
                </w:p>
              </w:tc>
              <w:tc>
                <w:tcPr>
                  <w:tcW w:w="2396" w:type="dxa"/>
                  <w:noWrap/>
                </w:tcPr>
                <w:p>
                  <w:pPr>
                    <w:pStyle w:val="40"/>
                    <w:bidi w:val="0"/>
                    <w:rPr>
                      <w:rFonts w:hint="default"/>
                      <w:lang w:val="en-US" w:eastAsia="zh-CN"/>
                    </w:rPr>
                  </w:pPr>
                  <w:r>
                    <w:rPr>
                      <w:rFonts w:hint="eastAsia"/>
                      <w:lang w:val="en-US" w:eastAsia="zh-CN"/>
                    </w:rPr>
                    <w:t>模切印刷一体机</w:t>
                  </w:r>
                </w:p>
              </w:tc>
              <w:tc>
                <w:tcPr>
                  <w:tcW w:w="750" w:type="dxa"/>
                  <w:noWrap/>
                </w:tcPr>
                <w:p>
                  <w:pPr>
                    <w:pStyle w:val="40"/>
                    <w:bidi w:val="0"/>
                    <w:rPr>
                      <w:rFonts w:hint="eastAsia"/>
                      <w:lang w:eastAsia="zh-CN"/>
                    </w:rPr>
                  </w:pPr>
                  <w:r>
                    <w:rPr>
                      <w:rFonts w:hint="eastAsia"/>
                      <w:lang w:val="en-US" w:eastAsia="zh-CN"/>
                    </w:rPr>
                    <w:t>2</w:t>
                  </w:r>
                </w:p>
              </w:tc>
              <w:tc>
                <w:tcPr>
                  <w:tcW w:w="1815" w:type="dxa"/>
                  <w:noWrap/>
                </w:tcPr>
                <w:p>
                  <w:pPr>
                    <w:pStyle w:val="40"/>
                    <w:bidi w:val="0"/>
                  </w:pPr>
                  <w:r>
                    <w:rPr>
                      <w:rFonts w:hint="eastAsia"/>
                    </w:rPr>
                    <w:t>75~80</w:t>
                  </w:r>
                </w:p>
              </w:tc>
              <w:tc>
                <w:tcPr>
                  <w:tcW w:w="2009" w:type="dxa"/>
                  <w:vMerge w:val="restart"/>
                  <w:noWrap/>
                  <w:vAlign w:val="center"/>
                </w:tcPr>
                <w:p>
                  <w:pPr>
                    <w:pStyle w:val="40"/>
                    <w:bidi w:val="0"/>
                  </w:pPr>
                  <w:r>
                    <w:rPr>
                      <w:rFonts w:hint="eastAsia"/>
                    </w:rPr>
                    <w:t>设备基础安装减震垫，</w:t>
                  </w:r>
                  <w:r>
                    <w:rPr>
                      <w:rFonts w:hint="eastAsia"/>
                      <w:lang w:val="en-US" w:eastAsia="zh-CN"/>
                    </w:rPr>
                    <w:t>消声器、</w:t>
                  </w:r>
                  <w:r>
                    <w:rPr>
                      <w:rFonts w:hint="eastAsia"/>
                    </w:rPr>
                    <w:t>厂房隔声等</w:t>
                  </w:r>
                </w:p>
              </w:tc>
              <w:tc>
                <w:tcPr>
                  <w:tcW w:w="1547" w:type="dxa"/>
                  <w:noWrap/>
                </w:tcPr>
                <w:p>
                  <w:pPr>
                    <w:pStyle w:val="40"/>
                    <w:bidi w:val="0"/>
                  </w:pPr>
                  <w:r>
                    <w:rPr>
                      <w:rFonts w:hint="eastAsia"/>
                    </w:rPr>
                    <w:t>≥25dB（A）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9" w:type="dxa"/>
                  <w:noWrap/>
                </w:tcPr>
                <w:p>
                  <w:pPr>
                    <w:pStyle w:val="40"/>
                    <w:bidi w:val="0"/>
                  </w:pPr>
                  <w:r>
                    <w:rPr>
                      <w:rFonts w:hint="eastAsia"/>
                    </w:rPr>
                    <w:t>2</w:t>
                  </w:r>
                </w:p>
              </w:tc>
              <w:tc>
                <w:tcPr>
                  <w:tcW w:w="2396" w:type="dxa"/>
                  <w:noWrap/>
                </w:tcPr>
                <w:p>
                  <w:pPr>
                    <w:pStyle w:val="40"/>
                    <w:bidi w:val="0"/>
                  </w:pPr>
                  <w:r>
                    <w:rPr>
                      <w:rFonts w:hint="eastAsia"/>
                    </w:rPr>
                    <w:t>全自动</w:t>
                  </w:r>
                  <w:r>
                    <w:rPr>
                      <w:rFonts w:hint="eastAsia"/>
                      <w:highlight w:val="none"/>
                    </w:rPr>
                    <w:t>粘合</w:t>
                  </w:r>
                  <w:r>
                    <w:rPr>
                      <w:rFonts w:hint="eastAsia"/>
                    </w:rPr>
                    <w:t>机</w:t>
                  </w:r>
                </w:p>
              </w:tc>
              <w:tc>
                <w:tcPr>
                  <w:tcW w:w="750" w:type="dxa"/>
                  <w:noWrap/>
                </w:tcPr>
                <w:p>
                  <w:pPr>
                    <w:pStyle w:val="40"/>
                    <w:bidi w:val="0"/>
                  </w:pPr>
                  <w:r>
                    <w:rPr>
                      <w:rFonts w:hint="eastAsia"/>
                    </w:rPr>
                    <w:t>1</w:t>
                  </w:r>
                </w:p>
              </w:tc>
              <w:tc>
                <w:tcPr>
                  <w:tcW w:w="1815" w:type="dxa"/>
                  <w:noWrap/>
                </w:tcPr>
                <w:p>
                  <w:pPr>
                    <w:pStyle w:val="40"/>
                    <w:bidi w:val="0"/>
                  </w:pPr>
                  <w:r>
                    <w:rPr>
                      <w:rFonts w:hint="eastAsia"/>
                    </w:rPr>
                    <w:t>70~75</w:t>
                  </w:r>
                </w:p>
              </w:tc>
              <w:tc>
                <w:tcPr>
                  <w:tcW w:w="2009" w:type="dxa"/>
                  <w:vMerge w:val="continue"/>
                  <w:noWrap/>
                </w:tcPr>
                <w:p>
                  <w:pPr>
                    <w:pStyle w:val="40"/>
                    <w:bidi w:val="0"/>
                  </w:pPr>
                </w:p>
              </w:tc>
              <w:tc>
                <w:tcPr>
                  <w:tcW w:w="1547" w:type="dxa"/>
                  <w:noWrap/>
                </w:tcPr>
                <w:p>
                  <w:pPr>
                    <w:pStyle w:val="40"/>
                    <w:bidi w:val="0"/>
                  </w:pPr>
                  <w:r>
                    <w:rPr>
                      <w:rFonts w:hint="eastAsia"/>
                    </w:rPr>
                    <w:t>≥25dB（A）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59" w:type="dxa"/>
                  <w:noWrap/>
                </w:tcPr>
                <w:p>
                  <w:pPr>
                    <w:pStyle w:val="40"/>
                    <w:bidi w:val="0"/>
                    <w:rPr>
                      <w:rFonts w:hint="eastAsia"/>
                      <w:lang w:eastAsia="zh-CN"/>
                    </w:rPr>
                  </w:pPr>
                  <w:r>
                    <w:rPr>
                      <w:rFonts w:hint="eastAsia"/>
                      <w:lang w:val="en-US" w:eastAsia="zh-CN"/>
                    </w:rPr>
                    <w:t>3</w:t>
                  </w:r>
                </w:p>
              </w:tc>
              <w:tc>
                <w:tcPr>
                  <w:tcW w:w="2396" w:type="dxa"/>
                  <w:noWrap/>
                </w:tcPr>
                <w:p>
                  <w:pPr>
                    <w:pStyle w:val="40"/>
                    <w:bidi w:val="0"/>
                  </w:pPr>
                  <w:r>
                    <w:rPr>
                      <w:rFonts w:hint="eastAsia"/>
                    </w:rPr>
                    <w:t>钉针机</w:t>
                  </w:r>
                </w:p>
              </w:tc>
              <w:tc>
                <w:tcPr>
                  <w:tcW w:w="750" w:type="dxa"/>
                  <w:noWrap/>
                </w:tcPr>
                <w:p>
                  <w:pPr>
                    <w:pStyle w:val="40"/>
                    <w:bidi w:val="0"/>
                    <w:rPr>
                      <w:rFonts w:hint="eastAsia"/>
                      <w:lang w:eastAsia="zh-CN"/>
                    </w:rPr>
                  </w:pPr>
                  <w:r>
                    <w:rPr>
                      <w:rFonts w:hint="eastAsia"/>
                      <w:lang w:val="en-US" w:eastAsia="zh-CN"/>
                    </w:rPr>
                    <w:t>1</w:t>
                  </w:r>
                </w:p>
              </w:tc>
              <w:tc>
                <w:tcPr>
                  <w:tcW w:w="1815" w:type="dxa"/>
                  <w:noWrap/>
                </w:tcPr>
                <w:p>
                  <w:pPr>
                    <w:pStyle w:val="40"/>
                    <w:bidi w:val="0"/>
                  </w:pPr>
                  <w:r>
                    <w:rPr>
                      <w:rFonts w:hint="eastAsia"/>
                    </w:rPr>
                    <w:t>70~75</w:t>
                  </w:r>
                </w:p>
              </w:tc>
              <w:tc>
                <w:tcPr>
                  <w:tcW w:w="2009" w:type="dxa"/>
                  <w:vMerge w:val="continue"/>
                  <w:noWrap/>
                </w:tcPr>
                <w:p>
                  <w:pPr>
                    <w:pStyle w:val="40"/>
                    <w:bidi w:val="0"/>
                  </w:pPr>
                </w:p>
              </w:tc>
              <w:tc>
                <w:tcPr>
                  <w:tcW w:w="1547" w:type="dxa"/>
                  <w:noWrap/>
                </w:tcPr>
                <w:p>
                  <w:pPr>
                    <w:pStyle w:val="40"/>
                    <w:bidi w:val="0"/>
                  </w:pPr>
                  <w:r>
                    <w:rPr>
                      <w:rFonts w:hint="eastAsia"/>
                    </w:rPr>
                    <w:t>≥25dB（A）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59" w:type="dxa"/>
                  <w:noWrap/>
                </w:tcPr>
                <w:p>
                  <w:pPr>
                    <w:pStyle w:val="40"/>
                    <w:bidi w:val="0"/>
                    <w:rPr>
                      <w:rFonts w:hint="eastAsia"/>
                      <w:lang w:eastAsia="zh-CN"/>
                    </w:rPr>
                  </w:pPr>
                  <w:r>
                    <w:rPr>
                      <w:rFonts w:hint="eastAsia"/>
                      <w:lang w:val="en-US" w:eastAsia="zh-CN"/>
                    </w:rPr>
                    <w:t>4</w:t>
                  </w:r>
                </w:p>
              </w:tc>
              <w:tc>
                <w:tcPr>
                  <w:tcW w:w="2396" w:type="dxa"/>
                  <w:noWrap/>
                </w:tcPr>
                <w:p>
                  <w:pPr>
                    <w:pStyle w:val="40"/>
                    <w:bidi w:val="0"/>
                  </w:pPr>
                  <w:r>
                    <w:rPr>
                      <w:rFonts w:hint="eastAsia"/>
                    </w:rPr>
                    <w:t>打包机</w:t>
                  </w:r>
                </w:p>
              </w:tc>
              <w:tc>
                <w:tcPr>
                  <w:tcW w:w="750" w:type="dxa"/>
                  <w:noWrap/>
                </w:tcPr>
                <w:p>
                  <w:pPr>
                    <w:pStyle w:val="40"/>
                    <w:bidi w:val="0"/>
                  </w:pPr>
                  <w:r>
                    <w:rPr>
                      <w:rFonts w:hint="eastAsia"/>
                    </w:rPr>
                    <w:t>1</w:t>
                  </w:r>
                </w:p>
              </w:tc>
              <w:tc>
                <w:tcPr>
                  <w:tcW w:w="1815" w:type="dxa"/>
                  <w:noWrap/>
                </w:tcPr>
                <w:p>
                  <w:pPr>
                    <w:pStyle w:val="40"/>
                    <w:bidi w:val="0"/>
                  </w:pPr>
                  <w:r>
                    <w:rPr>
                      <w:rFonts w:hint="eastAsia"/>
                    </w:rPr>
                    <w:t>70~75</w:t>
                  </w:r>
                </w:p>
              </w:tc>
              <w:tc>
                <w:tcPr>
                  <w:tcW w:w="2009" w:type="dxa"/>
                  <w:vMerge w:val="continue"/>
                  <w:noWrap/>
                </w:tcPr>
                <w:p>
                  <w:pPr>
                    <w:pStyle w:val="40"/>
                    <w:bidi w:val="0"/>
                  </w:pPr>
                </w:p>
              </w:tc>
              <w:tc>
                <w:tcPr>
                  <w:tcW w:w="1547" w:type="dxa"/>
                  <w:noWrap/>
                </w:tcPr>
                <w:p>
                  <w:pPr>
                    <w:pStyle w:val="40"/>
                    <w:bidi w:val="0"/>
                  </w:pPr>
                  <w:r>
                    <w:rPr>
                      <w:rFonts w:hint="eastAsia"/>
                    </w:rPr>
                    <w:t>≥25dB（A）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9" w:type="dxa"/>
                  <w:noWrap/>
                </w:tcPr>
                <w:p>
                  <w:pPr>
                    <w:pStyle w:val="40"/>
                    <w:bidi w:val="0"/>
                    <w:rPr>
                      <w:rFonts w:hint="eastAsia"/>
                      <w:lang w:eastAsia="zh-CN"/>
                    </w:rPr>
                  </w:pPr>
                  <w:r>
                    <w:rPr>
                      <w:rFonts w:hint="eastAsia"/>
                      <w:lang w:val="en-US" w:eastAsia="zh-CN"/>
                    </w:rPr>
                    <w:t>5</w:t>
                  </w:r>
                </w:p>
              </w:tc>
              <w:tc>
                <w:tcPr>
                  <w:tcW w:w="2396" w:type="dxa"/>
                  <w:noWrap/>
                </w:tcPr>
                <w:p>
                  <w:pPr>
                    <w:pStyle w:val="40"/>
                    <w:bidi w:val="0"/>
                  </w:pPr>
                  <w:r>
                    <w:rPr>
                      <w:rFonts w:hint="eastAsia"/>
                      <w:highlight w:val="none"/>
                    </w:rPr>
                    <w:t>分纸</w:t>
                  </w:r>
                  <w:r>
                    <w:rPr>
                      <w:rFonts w:hint="eastAsia"/>
                    </w:rPr>
                    <w:t>机</w:t>
                  </w:r>
                </w:p>
              </w:tc>
              <w:tc>
                <w:tcPr>
                  <w:tcW w:w="750" w:type="dxa"/>
                  <w:noWrap/>
                </w:tcPr>
                <w:p>
                  <w:pPr>
                    <w:pStyle w:val="40"/>
                    <w:bidi w:val="0"/>
                  </w:pPr>
                  <w:r>
                    <w:rPr>
                      <w:rFonts w:hint="eastAsia"/>
                    </w:rPr>
                    <w:t>1</w:t>
                  </w:r>
                </w:p>
              </w:tc>
              <w:tc>
                <w:tcPr>
                  <w:tcW w:w="1815" w:type="dxa"/>
                  <w:noWrap/>
                </w:tcPr>
                <w:p>
                  <w:pPr>
                    <w:pStyle w:val="40"/>
                    <w:bidi w:val="0"/>
                  </w:pPr>
                  <w:r>
                    <w:rPr>
                      <w:rFonts w:hint="eastAsia"/>
                    </w:rPr>
                    <w:t>70~75</w:t>
                  </w:r>
                </w:p>
              </w:tc>
              <w:tc>
                <w:tcPr>
                  <w:tcW w:w="2009" w:type="dxa"/>
                  <w:vMerge w:val="continue"/>
                  <w:noWrap/>
                  <w:vAlign w:val="center"/>
                </w:tcPr>
                <w:p>
                  <w:pPr>
                    <w:pStyle w:val="40"/>
                    <w:bidi w:val="0"/>
                  </w:pPr>
                </w:p>
              </w:tc>
              <w:tc>
                <w:tcPr>
                  <w:tcW w:w="1547" w:type="dxa"/>
                  <w:noWrap/>
                </w:tcPr>
                <w:p>
                  <w:pPr>
                    <w:pStyle w:val="40"/>
                    <w:bidi w:val="0"/>
                  </w:pPr>
                  <w:r>
                    <w:rPr>
                      <w:rFonts w:hint="eastAsia"/>
                    </w:rPr>
                    <w:t>≥25dB（A）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59" w:type="dxa"/>
                  <w:noWrap/>
                </w:tcPr>
                <w:p>
                  <w:pPr>
                    <w:pStyle w:val="40"/>
                    <w:bidi w:val="0"/>
                    <w:rPr>
                      <w:rFonts w:hint="eastAsia"/>
                      <w:lang w:eastAsia="zh-CN"/>
                    </w:rPr>
                  </w:pPr>
                  <w:r>
                    <w:rPr>
                      <w:rFonts w:hint="eastAsia"/>
                      <w:lang w:val="en-US" w:eastAsia="zh-CN"/>
                    </w:rPr>
                    <w:t>6</w:t>
                  </w:r>
                </w:p>
              </w:tc>
              <w:tc>
                <w:tcPr>
                  <w:tcW w:w="2396" w:type="dxa"/>
                  <w:noWrap/>
                </w:tcPr>
                <w:p>
                  <w:pPr>
                    <w:pStyle w:val="40"/>
                    <w:bidi w:val="0"/>
                  </w:pPr>
                  <w:r>
                    <w:rPr>
                      <w:rFonts w:hint="eastAsia"/>
                    </w:rPr>
                    <w:t>风机</w:t>
                  </w:r>
                </w:p>
              </w:tc>
              <w:tc>
                <w:tcPr>
                  <w:tcW w:w="750" w:type="dxa"/>
                  <w:noWrap/>
                </w:tcPr>
                <w:p>
                  <w:pPr>
                    <w:pStyle w:val="40"/>
                    <w:bidi w:val="0"/>
                  </w:pPr>
                  <w:r>
                    <w:rPr>
                      <w:rFonts w:hint="eastAsia"/>
                    </w:rPr>
                    <w:t>1</w:t>
                  </w:r>
                </w:p>
              </w:tc>
              <w:tc>
                <w:tcPr>
                  <w:tcW w:w="1815" w:type="dxa"/>
                  <w:noWrap/>
                </w:tcPr>
                <w:p>
                  <w:pPr>
                    <w:pStyle w:val="40"/>
                    <w:bidi w:val="0"/>
                  </w:pPr>
                  <w:r>
                    <w:rPr>
                      <w:rFonts w:hint="eastAsia"/>
                    </w:rPr>
                    <w:t>85~90</w:t>
                  </w:r>
                </w:p>
              </w:tc>
              <w:tc>
                <w:tcPr>
                  <w:tcW w:w="2009" w:type="dxa"/>
                  <w:vMerge w:val="continue"/>
                  <w:noWrap/>
                </w:tcPr>
                <w:p>
                  <w:pPr>
                    <w:pStyle w:val="40"/>
                    <w:bidi w:val="0"/>
                  </w:pPr>
                </w:p>
              </w:tc>
              <w:tc>
                <w:tcPr>
                  <w:tcW w:w="1547" w:type="dxa"/>
                  <w:noWrap/>
                </w:tcPr>
                <w:p>
                  <w:pPr>
                    <w:pStyle w:val="40"/>
                    <w:bidi w:val="0"/>
                  </w:pPr>
                  <w:r>
                    <w:rPr>
                      <w:rFonts w:hint="eastAsia"/>
                    </w:rPr>
                    <w:t>≥25dB（A）</w:t>
                  </w:r>
                </w:p>
              </w:tc>
            </w:tr>
          </w:tbl>
          <w:p>
            <w:pPr>
              <w:pStyle w:val="5"/>
            </w:pPr>
            <w:r>
              <w:rPr>
                <w:rFonts w:hint="eastAsia"/>
              </w:rPr>
              <w:t>（1）噪声治理措施</w:t>
            </w:r>
          </w:p>
          <w:p>
            <w:pPr>
              <w:pStyle w:val="5"/>
            </w:pPr>
            <w:r>
              <w:rPr>
                <w:rFonts w:hint="eastAsia"/>
              </w:rPr>
              <w:t xml:space="preserve">建设单位针对各噪声源噪声产生特点采取相应的防噪、降噪措施，使项目投产后厂界噪声达标，对周围环境的影响减至最低限度，具体防治措施如下： </w:t>
            </w:r>
          </w:p>
          <w:p>
            <w:pPr>
              <w:pStyle w:val="5"/>
            </w:pPr>
            <w:r>
              <w:rPr>
                <w:rFonts w:hint="eastAsia"/>
              </w:rPr>
              <w:t>（2）车间各类生产设备：</w:t>
            </w:r>
          </w:p>
          <w:p>
            <w:pPr>
              <w:pStyle w:val="5"/>
            </w:pPr>
            <w:r>
              <w:rPr>
                <w:rFonts w:hint="eastAsia"/>
              </w:rPr>
              <w:t xml:space="preserve">① 设备购置时尽可能选用小功率、低噪声的设备； </w:t>
            </w:r>
          </w:p>
          <w:p>
            <w:pPr>
              <w:pStyle w:val="5"/>
            </w:pPr>
            <w:r>
              <w:rPr>
                <w:rFonts w:hint="eastAsia"/>
              </w:rPr>
              <w:t xml:space="preserve">② 在总平面部署中考虑噪声源布置，噪声设备尽可能布置在车间内并且尽量远离厂界； </w:t>
            </w:r>
          </w:p>
          <w:p>
            <w:pPr>
              <w:pStyle w:val="5"/>
            </w:pPr>
            <w:r>
              <w:rPr>
                <w:rFonts w:hint="eastAsia"/>
              </w:rPr>
              <w:t xml:space="preserve">③ 有噪声的房间构造上采取措施，尽量减少外门窗洞口； </w:t>
            </w:r>
          </w:p>
          <w:p>
            <w:pPr>
              <w:pStyle w:val="5"/>
            </w:pPr>
            <w:r>
              <w:rPr>
                <w:rFonts w:hint="eastAsia"/>
              </w:rPr>
              <w:t xml:space="preserve">④ 加强日常管理，保持各类机械设备处于正常运行，减少设备的非正常运行噪声；生产时尽量紧闭门窗；减少货车运输等偶发性噪声的产生。 </w:t>
            </w:r>
          </w:p>
          <w:p>
            <w:pPr>
              <w:pStyle w:val="5"/>
            </w:pPr>
            <w:r>
              <w:rPr>
                <w:rFonts w:hint="eastAsia"/>
              </w:rPr>
              <w:t>因此，采取上述措施后，室内声源降噪量可达</w:t>
            </w:r>
            <w:r>
              <w:t>25dB</w:t>
            </w:r>
            <w:r>
              <w:rPr>
                <w:highlight w:val="none"/>
              </w:rPr>
              <w:t>(</w:t>
            </w:r>
            <w:r>
              <w:t>A</w:t>
            </w:r>
            <w:r>
              <w:rPr>
                <w:highlight w:val="none"/>
              </w:rPr>
              <w:t>)</w:t>
            </w:r>
            <w:r>
              <w:rPr>
                <w:rFonts w:hint="eastAsia"/>
              </w:rPr>
              <w:t>以上，本项目对周围声环境影响很小，噪声防治措施是可行的。</w:t>
            </w:r>
          </w:p>
          <w:p>
            <w:pPr>
              <w:pStyle w:val="5"/>
            </w:pPr>
            <w:r>
              <w:rPr>
                <w:rFonts w:hint="eastAsia"/>
              </w:rPr>
              <w:t>5、固废</w:t>
            </w:r>
          </w:p>
          <w:p>
            <w:pPr>
              <w:pStyle w:val="5"/>
            </w:pPr>
            <w:r>
              <w:rPr>
                <w:rFonts w:hint="eastAsia"/>
              </w:rPr>
              <w:t>（1）一般固废：</w:t>
            </w:r>
          </w:p>
          <w:p>
            <w:pPr>
              <w:pStyle w:val="5"/>
            </w:pPr>
            <w:r>
              <w:rPr>
                <w:rFonts w:hint="eastAsia"/>
              </w:rPr>
              <w:t>废纸边角料：根据企业提供资料，产生量约</w:t>
            </w:r>
            <w:r>
              <w:t>5t/a</w:t>
            </w:r>
            <w:r>
              <w:rPr>
                <w:rFonts w:hint="eastAsia"/>
              </w:rPr>
              <w:t>，收集后外售；</w:t>
            </w:r>
          </w:p>
          <w:p>
            <w:pPr>
              <w:pStyle w:val="5"/>
            </w:pPr>
            <w:r>
              <w:rPr>
                <w:rFonts w:hint="eastAsia"/>
              </w:rPr>
              <w:t>生活垃圾：生活垃圾按人均</w:t>
            </w:r>
            <w:r>
              <w:t>1kg/</w:t>
            </w:r>
            <w:r>
              <w:rPr>
                <w:highlight w:val="none"/>
              </w:rPr>
              <w:t>(</w:t>
            </w:r>
            <w:r>
              <w:rPr>
                <w:rFonts w:hint="eastAsia"/>
              </w:rPr>
              <w:t>人•天</w:t>
            </w:r>
            <w:r>
              <w:rPr>
                <w:highlight w:val="none"/>
              </w:rPr>
              <w:t>)</w:t>
            </w:r>
            <w:r>
              <w:rPr>
                <w:rFonts w:hint="eastAsia"/>
              </w:rPr>
              <w:t>计算，本项目员工</w:t>
            </w:r>
            <w:r>
              <w:t>8</w:t>
            </w:r>
            <w:r>
              <w:rPr>
                <w:rFonts w:hint="eastAsia"/>
              </w:rPr>
              <w:t>人，产生量约2</w:t>
            </w:r>
            <w:r>
              <w:t>.4t/a</w:t>
            </w:r>
            <w:r>
              <w:rPr>
                <w:rFonts w:hint="eastAsia"/>
              </w:rPr>
              <w:t>，环卫部门清运处置；</w:t>
            </w:r>
          </w:p>
          <w:p>
            <w:pPr>
              <w:pStyle w:val="5"/>
            </w:pPr>
            <w:r>
              <w:rPr>
                <w:rFonts w:hint="eastAsia"/>
              </w:rPr>
              <w:t>本项目固废控制率达到</w:t>
            </w:r>
            <w:r>
              <w:t>100%</w:t>
            </w:r>
            <w:r>
              <w:rPr>
                <w:rFonts w:hint="eastAsia"/>
              </w:rPr>
              <w:t>，不产生二次污染。</w:t>
            </w:r>
          </w:p>
          <w:p>
            <w:pPr>
              <w:pStyle w:val="5"/>
              <w:numPr>
                <w:ilvl w:val="0"/>
                <w:numId w:val="8"/>
              </w:numPr>
            </w:pPr>
            <w:r>
              <w:rPr>
                <w:rFonts w:hint="eastAsia"/>
              </w:rPr>
              <w:t>危险废物：</w:t>
            </w:r>
          </w:p>
          <w:p>
            <w:pPr>
              <w:pStyle w:val="5"/>
            </w:pPr>
            <w:r>
              <w:rPr>
                <w:rFonts w:hint="eastAsia"/>
                <w:highlight w:val="none"/>
                <w:lang w:val="en-US" w:eastAsia="zh-CN"/>
              </w:rPr>
              <w:t>1、</w:t>
            </w:r>
            <w:r>
              <w:rPr>
                <w:rFonts w:hint="eastAsia"/>
              </w:rPr>
              <w:t>废活性炭</w:t>
            </w:r>
          </w:p>
          <w:p>
            <w:pPr>
              <w:pStyle w:val="5"/>
            </w:pPr>
            <w:r>
              <w:rPr>
                <w:rFonts w:hint="eastAsia"/>
              </w:rPr>
              <w:t>本项目设有</w:t>
            </w:r>
            <w:r>
              <w:t>1</w:t>
            </w:r>
            <w:r>
              <w:rPr>
                <w:rFonts w:hint="eastAsia"/>
              </w:rPr>
              <w:t>套有机废气净化系统</w:t>
            </w:r>
            <w:r>
              <w:t>“</w:t>
            </w:r>
            <w:r>
              <w:rPr>
                <w:rFonts w:hint="eastAsia"/>
              </w:rPr>
              <w:t>UV光氧催化装置</w:t>
            </w:r>
            <w:r>
              <w:t>+</w:t>
            </w:r>
            <w:r>
              <w:rPr>
                <w:rFonts w:hint="eastAsia"/>
              </w:rPr>
              <w:t>活性炭吸附装置</w:t>
            </w:r>
            <w:r>
              <w:t>”</w:t>
            </w:r>
            <w:r>
              <w:rPr>
                <w:rFonts w:hint="eastAsia"/>
              </w:rPr>
              <w:t>处理有机废气，该套系统对有机废气的去除效率取</w:t>
            </w:r>
            <w:r>
              <w:t>90%</w:t>
            </w:r>
            <w:r>
              <w:rPr>
                <w:rFonts w:hint="eastAsia"/>
              </w:rPr>
              <w:t>；项目UV光氧催化装置在前，一般情况下，UV光氧催化装置有机废气去除量大于活性炭吸附装置的有机废气去除量。经查阅相关资料UV光氧催化装置去除有机废气效率大于</w:t>
            </w:r>
            <w:r>
              <w:t>70%</w:t>
            </w:r>
            <w:r>
              <w:rPr>
                <w:rFonts w:hint="eastAsia"/>
              </w:rPr>
              <w:t>，考虑不利因素，评价认为，UV光氧催化装置去除有机废气效率按最低</w:t>
            </w:r>
            <w:r>
              <w:t>70%</w:t>
            </w:r>
            <w:r>
              <w:rPr>
                <w:rFonts w:hint="eastAsia"/>
              </w:rPr>
              <w:t>。活性炭吸附装置因吸附有机废气会产生废活性炭，项目采用的是颗粒状活性炭，根据《简明通风设计手册》，活性炭：有机废气</w:t>
            </w:r>
            <w:r>
              <w:t>=1</w:t>
            </w:r>
            <w:r>
              <w:rPr>
                <w:rFonts w:hint="eastAsia"/>
              </w:rPr>
              <w:t>：</w:t>
            </w:r>
            <w:r>
              <w:t>0.3</w:t>
            </w:r>
            <w:r>
              <w:rPr>
                <w:rFonts w:hint="eastAsia"/>
              </w:rPr>
              <w:t>，即</w:t>
            </w:r>
            <w:r>
              <w:t>1kg</w:t>
            </w:r>
            <w:r>
              <w:rPr>
                <w:rFonts w:hint="eastAsia"/>
              </w:rPr>
              <w:t>的活性炭可以吸附</w:t>
            </w:r>
            <w:r>
              <w:t>0.3kg</w:t>
            </w:r>
            <w:r>
              <w:rPr>
                <w:rFonts w:hint="eastAsia"/>
              </w:rPr>
              <w:t>的有机废气。</w:t>
            </w:r>
          </w:p>
          <w:p>
            <w:pPr>
              <w:pStyle w:val="5"/>
            </w:pPr>
            <w:r>
              <w:rPr>
                <w:rFonts w:hint="eastAsia"/>
              </w:rPr>
              <w:t>根据前文计算，进入有机废气处理系统废气量为0.261</w:t>
            </w:r>
            <w:r>
              <w:t>t/a</w:t>
            </w:r>
            <w:r>
              <w:rPr>
                <w:rFonts w:hint="eastAsia"/>
              </w:rPr>
              <w:t>，有机废气净化系统有机废气去除量为0.2349</w:t>
            </w:r>
            <w:r>
              <w:t>t/a</w:t>
            </w:r>
            <w:r>
              <w:rPr>
                <w:rFonts w:hint="eastAsia"/>
              </w:rPr>
              <w:t>，其中</w:t>
            </w:r>
            <w:r>
              <w:t>UV</w:t>
            </w:r>
            <w:r>
              <w:rPr>
                <w:rFonts w:hint="eastAsia"/>
              </w:rPr>
              <w:t>光氧催化装置去除效率按</w:t>
            </w:r>
            <w:r>
              <w:t>70%</w:t>
            </w:r>
            <w:r>
              <w:rPr>
                <w:rFonts w:hint="eastAsia"/>
              </w:rPr>
              <w:t>计，</w:t>
            </w:r>
            <w:r>
              <w:t xml:space="preserve">UV </w:t>
            </w:r>
            <w:r>
              <w:rPr>
                <w:rFonts w:hint="eastAsia"/>
              </w:rPr>
              <w:t>光氧催化装置去除有机废气量为0.16443</w:t>
            </w:r>
            <w:r>
              <w:t>t/a</w:t>
            </w:r>
            <w:r>
              <w:rPr>
                <w:rFonts w:hint="eastAsia"/>
              </w:rPr>
              <w:t>，其余0.07047</w:t>
            </w:r>
            <w:r>
              <w:t>t/a</w:t>
            </w:r>
            <w:r>
              <w:rPr>
                <w:rFonts w:hint="eastAsia"/>
              </w:rPr>
              <w:t xml:space="preserve">有机废气为活性炭吸附去除，活性炭吸附饱和率按 </w:t>
            </w:r>
            <w:r>
              <w:t>90%</w:t>
            </w:r>
            <w:r>
              <w:rPr>
                <w:rFonts w:hint="eastAsia"/>
              </w:rPr>
              <w:t>，则需要活性炭0.261t/a，废活性炭产生量为0.33147t/a。</w:t>
            </w:r>
          </w:p>
          <w:p>
            <w:pPr>
              <w:pStyle w:val="5"/>
            </w:pPr>
            <w:r>
              <w:rPr>
                <w:rFonts w:hint="eastAsia"/>
              </w:rPr>
              <w:t>计算公式为：需要活性炭总量×90%×1÷0.3=活性炭去除废气量</w:t>
            </w:r>
          </w:p>
          <w:p>
            <w:pPr>
              <w:pStyle w:val="5"/>
            </w:pPr>
            <w:r>
              <w:rPr>
                <w:rFonts w:hint="eastAsia"/>
              </w:rPr>
              <w:t>根据企业提供的资料，活性炭吸附箱单次装填活性炭量为0.13t，建议企业每年更换两次。产生的废活性炭量为0.33147t/a。</w:t>
            </w:r>
          </w:p>
          <w:p>
            <w:pPr>
              <w:pStyle w:val="5"/>
            </w:pPr>
            <w:r>
              <w:rPr>
                <w:rFonts w:hint="eastAsia"/>
              </w:rPr>
              <w:t>经查《国家危险废物名录》（</w:t>
            </w:r>
            <w:r>
              <w:t>2016</w:t>
            </w:r>
            <w:r>
              <w:rPr>
                <w:rFonts w:hint="eastAsia"/>
              </w:rPr>
              <w:t>年版），废活性炭属于危险固废（编号：</w:t>
            </w:r>
            <w:r>
              <w:t>HW49</w:t>
            </w:r>
            <w:r>
              <w:rPr>
                <w:rFonts w:hint="eastAsia"/>
              </w:rPr>
              <w:t>（</w:t>
            </w:r>
            <w:r>
              <w:t>900-041-49</w:t>
            </w:r>
            <w:r>
              <w:rPr>
                <w:rFonts w:hint="eastAsia"/>
              </w:rPr>
              <w:t>）含有或沾染毒性、感染性危险废物的废弃包装物、容器、过滤吸附介质）。收集后委托有危险废物处置资质的单位进行处理。</w:t>
            </w:r>
          </w:p>
          <w:p>
            <w:pPr>
              <w:pStyle w:val="5"/>
            </w:pPr>
            <w:r>
              <w:rPr>
                <w:rFonts w:hint="eastAsia"/>
                <w:highlight w:val="none"/>
                <w:lang w:val="en-US" w:eastAsia="zh-CN"/>
              </w:rPr>
              <w:t>2、</w:t>
            </w:r>
            <w:r>
              <w:rPr>
                <w:rFonts w:hint="eastAsia"/>
              </w:rPr>
              <w:t xml:space="preserve">废UV光管 </w:t>
            </w:r>
          </w:p>
          <w:p>
            <w:pPr>
              <w:pStyle w:val="5"/>
            </w:pPr>
            <w:r>
              <w:rPr>
                <w:rFonts w:hint="eastAsia"/>
              </w:rPr>
              <w:t>本项目废气处理采用</w:t>
            </w:r>
            <w:r>
              <w:t>UV</w:t>
            </w:r>
            <w:r>
              <w:rPr>
                <w:rFonts w:hint="eastAsia"/>
              </w:rPr>
              <w:t>光解＋活性炭吸附处理，</w:t>
            </w:r>
            <w:r>
              <w:t>UV</w:t>
            </w:r>
            <w:r>
              <w:rPr>
                <w:rFonts w:hint="eastAsia"/>
              </w:rPr>
              <w:t>光管使用寿命一般在</w:t>
            </w:r>
            <w:r>
              <w:t>600</w:t>
            </w:r>
            <w:r>
              <w:rPr>
                <w:rFonts w:hint="eastAsia"/>
              </w:rPr>
              <w:t xml:space="preserve">到 </w:t>
            </w:r>
            <w:r>
              <w:t>800</w:t>
            </w:r>
            <w:r>
              <w:rPr>
                <w:rFonts w:hint="eastAsia"/>
              </w:rPr>
              <w:t>小时，本次评价按最低使用</w:t>
            </w:r>
            <w:r>
              <w:t>600</w:t>
            </w:r>
            <w:r>
              <w:rPr>
                <w:rFonts w:hint="eastAsia"/>
              </w:rPr>
              <w:t>小时计算，项目年运行时间为</w:t>
            </w:r>
            <w:r>
              <w:t>2400</w:t>
            </w:r>
            <w:r>
              <w:rPr>
                <w:rFonts w:hint="eastAsia"/>
              </w:rPr>
              <w:t>小时，则</w:t>
            </w:r>
            <w:r>
              <w:t>UV</w:t>
            </w:r>
            <w:r>
              <w:rPr>
                <w:rFonts w:hint="eastAsia"/>
              </w:rPr>
              <w:t>灯管每年更换</w:t>
            </w:r>
            <w:r>
              <w:t>4</w:t>
            </w:r>
            <w:r>
              <w:rPr>
                <w:rFonts w:hint="eastAsia"/>
              </w:rPr>
              <w:t>次（即每季度更换一次），项目</w:t>
            </w:r>
            <w:r>
              <w:t>UV</w:t>
            </w:r>
            <w:r>
              <w:rPr>
                <w:rFonts w:hint="eastAsia"/>
              </w:rPr>
              <w:t>光氧催化装置拟安装</w:t>
            </w:r>
            <w:r>
              <w:t>160</w:t>
            </w:r>
            <w:r>
              <w:rPr>
                <w:rFonts w:hint="eastAsia"/>
              </w:rPr>
              <w:t>根灯管，每根灯管重量约</w:t>
            </w:r>
            <w:r>
              <w:t>0.2kg</w:t>
            </w:r>
            <w:r>
              <w:rPr>
                <w:rFonts w:hint="eastAsia"/>
              </w:rPr>
              <w:t>，则每次全部更换量为</w:t>
            </w:r>
            <w:r>
              <w:t>32kg</w:t>
            </w:r>
            <w:r>
              <w:rPr>
                <w:rFonts w:hint="eastAsia"/>
              </w:rPr>
              <w:t>，废</w:t>
            </w:r>
            <w:r>
              <w:t>UV</w:t>
            </w:r>
            <w:r>
              <w:rPr>
                <w:rFonts w:hint="eastAsia"/>
              </w:rPr>
              <w:t>光管年产生量约为</w:t>
            </w:r>
            <w:r>
              <w:t>0.064t</w:t>
            </w:r>
            <w:r>
              <w:rPr>
                <w:rFonts w:hint="eastAsia"/>
              </w:rPr>
              <w:t>。废UV光管中含汞，属于《国家危险废物名录》（</w:t>
            </w:r>
            <w:r>
              <w:t>2016</w:t>
            </w:r>
            <w:r>
              <w:rPr>
                <w:rFonts w:hint="eastAsia"/>
              </w:rPr>
              <w:t xml:space="preserve">年版）中 </w:t>
            </w:r>
            <w:r>
              <w:t>HW29</w:t>
            </w:r>
            <w:r>
              <w:rPr>
                <w:rFonts w:hint="eastAsia"/>
              </w:rPr>
              <w:t xml:space="preserve">（含汞废物），废物代码 </w:t>
            </w:r>
            <w:r>
              <w:t>900-023-29</w:t>
            </w:r>
            <w:r>
              <w:rPr>
                <w:rFonts w:hint="eastAsia"/>
              </w:rPr>
              <w:t>（生产、销售及使用过程中产生的废含汞荧光灯管及其他废含汞电光源），集中收集后交由有资质单位回收处理。</w:t>
            </w:r>
          </w:p>
          <w:p>
            <w:pPr>
              <w:pStyle w:val="5"/>
            </w:pPr>
            <w:r>
              <w:rPr>
                <w:rFonts w:hint="eastAsia"/>
                <w:highlight w:val="none"/>
                <w:lang w:val="en-US" w:eastAsia="zh-CN"/>
              </w:rPr>
              <w:t>3、</w:t>
            </w:r>
            <w:r>
              <w:rPr>
                <w:rFonts w:hint="eastAsia"/>
              </w:rPr>
              <w:t>废含油墨抹布</w:t>
            </w:r>
          </w:p>
          <w:p>
            <w:pPr>
              <w:pStyle w:val="5"/>
            </w:pPr>
            <w:r>
              <w:rPr>
                <w:rFonts w:hint="eastAsia"/>
              </w:rPr>
              <w:t>项目营运过程会产生少量含油墨抹布，属于危险废物（HW49其他废物），根据《国家危险废物名录》（2016年版）中的《危险废物豁免管理清单》，项目产生的含油墨抹布0.002（废物类别代码900-041-49）属于危险废物豁免管理的废物，全过程不按危险废物管理，混入生活垃圾，交由环卫部门处理，产生量为0.002t/a。</w:t>
            </w:r>
          </w:p>
          <w:p>
            <w:pPr>
              <w:pStyle w:val="5"/>
            </w:pPr>
            <w:r>
              <w:rPr>
                <w:rFonts w:hint="eastAsia" w:ascii="宋体" w:hAnsi="宋体" w:cs="宋体"/>
                <w:lang w:val="en-US" w:eastAsia="zh-CN"/>
              </w:rPr>
              <w:t>4、</w:t>
            </w:r>
            <w:r>
              <w:rPr>
                <w:rFonts w:hint="eastAsia"/>
                <w:lang w:eastAsia="zh-CN"/>
              </w:rPr>
              <w:t>废油墨桶、废胶桶</w:t>
            </w:r>
          </w:p>
          <w:p>
            <w:pPr>
              <w:pStyle w:val="5"/>
            </w:pPr>
            <w:r>
              <w:rPr>
                <w:rFonts w:hint="eastAsia"/>
              </w:rPr>
              <w:t>据企业提供资料，产生量约</w:t>
            </w:r>
            <w:r>
              <w:t>0.1t/a</w:t>
            </w:r>
            <w:r>
              <w:rPr>
                <w:rFonts w:hint="eastAsia"/>
              </w:rPr>
              <w:t>，暂存于危废库，定期交于有资质单位进行处理。</w:t>
            </w:r>
          </w:p>
          <w:p>
            <w:pPr>
              <w:pStyle w:val="5"/>
            </w:pPr>
            <w:r>
              <w:rPr>
                <w:rFonts w:hint="eastAsia" w:ascii="宋体" w:hAnsi="宋体" w:cs="宋体"/>
                <w:lang w:val="en-US" w:eastAsia="zh-CN"/>
              </w:rPr>
              <w:t>5、</w:t>
            </w:r>
            <w:r>
              <w:rPr>
                <w:rFonts w:hint="eastAsia"/>
              </w:rPr>
              <w:t>废弃印刷版</w:t>
            </w:r>
          </w:p>
          <w:p>
            <w:pPr>
              <w:pStyle w:val="5"/>
              <w:rPr>
                <w:rFonts w:hint="eastAsia"/>
              </w:rPr>
            </w:pPr>
            <w:r>
              <w:rPr>
                <w:rFonts w:hint="eastAsia"/>
              </w:rPr>
              <w:t>根据企业提供资料，产生量为0.06t/a，供货为固定客户，印刷板基本不更换，长年放置在印刷机器中。特殊情况下印刷板如有损坏，则暂存于危废库，定期交于有资质公司进行处理。</w:t>
            </w:r>
          </w:p>
          <w:p>
            <w:pPr>
              <w:pStyle w:val="5"/>
            </w:pPr>
            <w:r>
              <w:rPr>
                <w:rFonts w:hint="eastAsia"/>
                <w:lang w:val="en-US" w:eastAsia="zh-CN"/>
              </w:rPr>
              <w:t>6、印刷清洗废水：</w:t>
            </w:r>
            <w:r>
              <w:rPr>
                <w:rFonts w:hint="eastAsia"/>
              </w:rPr>
              <w:t>据企业提供资料，产生量约</w:t>
            </w:r>
            <w:r>
              <w:rPr>
                <w:rFonts w:hint="eastAsia"/>
                <w:lang w:val="en-US" w:eastAsia="zh-CN"/>
              </w:rPr>
              <w:t>3</w:t>
            </w:r>
            <w:r>
              <w:t>t/a</w:t>
            </w:r>
            <w:r>
              <w:rPr>
                <w:rFonts w:hint="eastAsia"/>
              </w:rPr>
              <w:t>，暂存于危废库，定期交于有资质单位进行处理。</w:t>
            </w:r>
          </w:p>
          <w:p>
            <w:pPr>
              <w:ind w:firstLine="480" w:firstLineChars="200"/>
              <w:rPr>
                <w:rFonts w:hint="default" w:eastAsia="宋体"/>
                <w:lang w:val="en-US" w:eastAsia="zh-CN"/>
              </w:rPr>
            </w:pPr>
          </w:p>
          <w:p>
            <w:pPr>
              <w:pStyle w:val="5"/>
            </w:pPr>
            <w:r>
              <w:rPr>
                <w:rFonts w:hint="eastAsia"/>
              </w:rPr>
              <w:t>根据《国家危险废物名录》（</w:t>
            </w:r>
            <w:r>
              <w:t xml:space="preserve">2016 </w:t>
            </w:r>
            <w:r>
              <w:rPr>
                <w:rFonts w:hint="eastAsia"/>
              </w:rPr>
              <w:t>年版）可知，以上废物均属于危险废物。为防止项目产生的危废流失对环境造成影响，建设单位设置</w:t>
            </w:r>
            <w:r>
              <w:t>1</w:t>
            </w:r>
            <w:r>
              <w:rPr>
                <w:rFonts w:hint="eastAsia"/>
              </w:rPr>
              <w:t>座</w:t>
            </w:r>
            <w:r>
              <w:t>1</w:t>
            </w:r>
            <w:r>
              <w:rPr>
                <w:rFonts w:hint="eastAsia"/>
              </w:rPr>
              <w:t>5平方米的危废暂存间用于危险废物的暂存，位于厂房内</w:t>
            </w:r>
            <w:r>
              <w:rPr>
                <w:rFonts w:hint="eastAsia"/>
                <w:lang w:val="en-US" w:eastAsia="zh-CN"/>
              </w:rPr>
              <w:t>东北</w:t>
            </w:r>
            <w:r>
              <w:rPr>
                <w:rFonts w:hint="eastAsia"/>
              </w:rPr>
              <w:t>角。根据 《危险废物贮存污染控制标准》 （</w:t>
            </w:r>
            <w:r>
              <w:t>GB18597-2001</w:t>
            </w:r>
            <w:r>
              <w:rPr>
                <w:rFonts w:hint="eastAsia"/>
              </w:rPr>
              <w:t>），评价要求建设单位将项目运行产生的危废分别采用专用的危废收集桶收集，危废收集桶桶体需加盖、密封，桶壁上需粘贴危险废物标签，保证不散失、不泄露。以上危废在危废暂存间内分类存放，定期交由有危险废物处理资质的单位处置。</w:t>
            </w:r>
          </w:p>
          <w:p>
            <w:pPr>
              <w:pStyle w:val="5"/>
            </w:pPr>
            <w:r>
              <w:rPr>
                <w:rFonts w:hint="eastAsia"/>
              </w:rPr>
              <w:t>项目固体废物产生、处置情况见下表</w:t>
            </w:r>
          </w:p>
          <w:p>
            <w:pPr>
              <w:pStyle w:val="29"/>
              <w:spacing w:before="65" w:after="65"/>
            </w:pPr>
            <w:r>
              <w:rPr>
                <w:rFonts w:hint="eastAsia"/>
              </w:rPr>
              <w:t xml:space="preserve">表 </w:t>
            </w:r>
            <w:r>
              <w:t>5-</w:t>
            </w:r>
            <w:r>
              <w:rPr>
                <w:rFonts w:hint="eastAsia"/>
              </w:rPr>
              <w:t>1</w:t>
            </w:r>
            <w:r>
              <w:rPr>
                <w:rFonts w:hint="eastAsia"/>
                <w:lang w:val="en-US" w:eastAsia="zh-CN"/>
              </w:rPr>
              <w:t>0</w:t>
            </w:r>
            <w:r>
              <w:rPr>
                <w:rFonts w:hint="eastAsia"/>
              </w:rPr>
              <w:t>项目废物产生、处置情况表单位：</w:t>
            </w:r>
            <w:r>
              <w:t xml:space="preserve">t/a </w:t>
            </w:r>
          </w:p>
          <w:tbl>
            <w:tblPr>
              <w:tblStyle w:val="24"/>
              <w:tblW w:w="9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524"/>
              <w:gridCol w:w="1341"/>
              <w:gridCol w:w="894"/>
              <w:gridCol w:w="2196"/>
              <w:gridCol w:w="780"/>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9" w:type="dxa"/>
                  <w:noWrap/>
                  <w:vAlign w:val="center"/>
                </w:tcPr>
                <w:p>
                  <w:pPr>
                    <w:pStyle w:val="40"/>
                  </w:pPr>
                  <w:r>
                    <w:rPr>
                      <w:rFonts w:hint="eastAsia"/>
                    </w:rPr>
                    <w:t>污染物名称</w:t>
                  </w:r>
                </w:p>
              </w:tc>
              <w:tc>
                <w:tcPr>
                  <w:tcW w:w="1524" w:type="dxa"/>
                  <w:noWrap/>
                  <w:vAlign w:val="center"/>
                </w:tcPr>
                <w:p>
                  <w:pPr>
                    <w:pStyle w:val="40"/>
                  </w:pPr>
                  <w:r>
                    <w:rPr>
                      <w:rFonts w:hint="eastAsia"/>
                    </w:rPr>
                    <w:t>类别</w:t>
                  </w:r>
                </w:p>
              </w:tc>
              <w:tc>
                <w:tcPr>
                  <w:tcW w:w="1341" w:type="dxa"/>
                  <w:noWrap/>
                  <w:vAlign w:val="center"/>
                </w:tcPr>
                <w:p>
                  <w:pPr>
                    <w:pStyle w:val="40"/>
                  </w:pPr>
                  <w:r>
                    <w:rPr>
                      <w:rFonts w:hint="eastAsia"/>
                    </w:rPr>
                    <w:t>来源</w:t>
                  </w:r>
                </w:p>
              </w:tc>
              <w:tc>
                <w:tcPr>
                  <w:tcW w:w="894" w:type="dxa"/>
                  <w:noWrap/>
                  <w:vAlign w:val="center"/>
                </w:tcPr>
                <w:p>
                  <w:pPr>
                    <w:pStyle w:val="40"/>
                  </w:pPr>
                  <w:r>
                    <w:rPr>
                      <w:rFonts w:hint="eastAsia"/>
                    </w:rPr>
                    <w:t>产生量t/a</w:t>
                  </w:r>
                </w:p>
              </w:tc>
              <w:tc>
                <w:tcPr>
                  <w:tcW w:w="2196" w:type="dxa"/>
                  <w:noWrap/>
                  <w:vAlign w:val="center"/>
                </w:tcPr>
                <w:p>
                  <w:pPr>
                    <w:pStyle w:val="40"/>
                  </w:pPr>
                  <w:r>
                    <w:rPr>
                      <w:rFonts w:hint="eastAsia"/>
                    </w:rPr>
                    <w:t>处置方式</w:t>
                  </w:r>
                </w:p>
              </w:tc>
              <w:tc>
                <w:tcPr>
                  <w:tcW w:w="780" w:type="dxa"/>
                  <w:noWrap/>
                  <w:vAlign w:val="center"/>
                </w:tcPr>
                <w:p>
                  <w:pPr>
                    <w:pStyle w:val="40"/>
                  </w:pPr>
                  <w:r>
                    <w:rPr>
                      <w:rFonts w:hint="eastAsia"/>
                    </w:rPr>
                    <w:t>状态</w:t>
                  </w:r>
                </w:p>
              </w:tc>
              <w:tc>
                <w:tcPr>
                  <w:tcW w:w="1340" w:type="dxa"/>
                  <w:noWrap/>
                  <w:vAlign w:val="center"/>
                </w:tcPr>
                <w:p>
                  <w:pPr>
                    <w:pStyle w:val="40"/>
                  </w:pPr>
                  <w:r>
                    <w:rPr>
                      <w:rFonts w:hint="eastAsia"/>
                    </w:rPr>
                    <w:t>主要成分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9" w:type="dxa"/>
                  <w:noWrap/>
                  <w:vAlign w:val="center"/>
                </w:tcPr>
                <w:p>
                  <w:pPr>
                    <w:pStyle w:val="40"/>
                  </w:pPr>
                  <w:r>
                    <w:rPr>
                      <w:rFonts w:hint="eastAsia"/>
                    </w:rPr>
                    <w:t>边角料</w:t>
                  </w:r>
                </w:p>
              </w:tc>
              <w:tc>
                <w:tcPr>
                  <w:tcW w:w="1524" w:type="dxa"/>
                  <w:vMerge w:val="restart"/>
                  <w:noWrap/>
                  <w:vAlign w:val="center"/>
                </w:tcPr>
                <w:p>
                  <w:pPr>
                    <w:pStyle w:val="40"/>
                  </w:pPr>
                  <w:r>
                    <w:rPr>
                      <w:rFonts w:hint="eastAsia"/>
                    </w:rPr>
                    <w:t>一般固废</w:t>
                  </w:r>
                </w:p>
              </w:tc>
              <w:tc>
                <w:tcPr>
                  <w:tcW w:w="1341" w:type="dxa"/>
                  <w:noWrap/>
                  <w:vAlign w:val="center"/>
                </w:tcPr>
                <w:p>
                  <w:pPr>
                    <w:pStyle w:val="40"/>
                  </w:pPr>
                  <w:r>
                    <w:rPr>
                      <w:rFonts w:hint="eastAsia"/>
                    </w:rPr>
                    <w:t>分切</w:t>
                  </w:r>
                </w:p>
              </w:tc>
              <w:tc>
                <w:tcPr>
                  <w:tcW w:w="894" w:type="dxa"/>
                  <w:noWrap/>
                  <w:vAlign w:val="center"/>
                </w:tcPr>
                <w:p>
                  <w:pPr>
                    <w:pStyle w:val="40"/>
                  </w:pPr>
                  <w:r>
                    <w:rPr>
                      <w:rFonts w:hint="eastAsia"/>
                    </w:rPr>
                    <w:t>5</w:t>
                  </w:r>
                </w:p>
              </w:tc>
              <w:tc>
                <w:tcPr>
                  <w:tcW w:w="2196" w:type="dxa"/>
                  <w:noWrap/>
                  <w:vAlign w:val="center"/>
                </w:tcPr>
                <w:p>
                  <w:pPr>
                    <w:pStyle w:val="40"/>
                  </w:pPr>
                  <w:r>
                    <w:rPr>
                      <w:rFonts w:hint="eastAsia"/>
                    </w:rPr>
                    <w:t>收集后外售</w:t>
                  </w:r>
                </w:p>
              </w:tc>
              <w:tc>
                <w:tcPr>
                  <w:tcW w:w="780" w:type="dxa"/>
                  <w:vMerge w:val="restart"/>
                  <w:noWrap/>
                  <w:vAlign w:val="center"/>
                </w:tcPr>
                <w:p>
                  <w:pPr>
                    <w:pStyle w:val="40"/>
                  </w:pPr>
                  <w:r>
                    <w:rPr>
                      <w:rFonts w:hint="eastAsia"/>
                    </w:rPr>
                    <w:t>固态</w:t>
                  </w:r>
                </w:p>
              </w:tc>
              <w:tc>
                <w:tcPr>
                  <w:tcW w:w="1340" w:type="dxa"/>
                  <w:vMerge w:val="restart"/>
                  <w:noWrap/>
                  <w:vAlign w:val="center"/>
                </w:tcPr>
                <w:p>
                  <w:pPr>
                    <w:pStyle w:val="40"/>
                  </w:pPr>
                  <w:r>
                    <w:rPr>
                      <w:rFonts w:hint="eastAsia"/>
                    </w:rPr>
                    <w:t>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79" w:type="dxa"/>
                  <w:vMerge w:val="restart"/>
                  <w:noWrap/>
                  <w:vAlign w:val="center"/>
                </w:tcPr>
                <w:p>
                  <w:pPr>
                    <w:pStyle w:val="40"/>
                  </w:pPr>
                  <w:r>
                    <w:rPr>
                      <w:rFonts w:hint="eastAsia"/>
                    </w:rPr>
                    <w:t>生活垃圾</w:t>
                  </w:r>
                </w:p>
              </w:tc>
              <w:tc>
                <w:tcPr>
                  <w:tcW w:w="1524" w:type="dxa"/>
                  <w:vMerge w:val="continue"/>
                  <w:noWrap/>
                  <w:vAlign w:val="center"/>
                </w:tcPr>
                <w:p>
                  <w:pPr>
                    <w:pStyle w:val="40"/>
                  </w:pPr>
                </w:p>
              </w:tc>
              <w:tc>
                <w:tcPr>
                  <w:tcW w:w="1341" w:type="dxa"/>
                  <w:vMerge w:val="restart"/>
                  <w:noWrap/>
                  <w:vAlign w:val="center"/>
                </w:tcPr>
                <w:p>
                  <w:pPr>
                    <w:pStyle w:val="40"/>
                  </w:pPr>
                  <w:r>
                    <w:rPr>
                      <w:rFonts w:hint="eastAsia"/>
                    </w:rPr>
                    <w:t>办公生活</w:t>
                  </w:r>
                </w:p>
              </w:tc>
              <w:tc>
                <w:tcPr>
                  <w:tcW w:w="894" w:type="dxa"/>
                  <w:vMerge w:val="restart"/>
                  <w:noWrap/>
                  <w:vAlign w:val="center"/>
                </w:tcPr>
                <w:p>
                  <w:pPr>
                    <w:pStyle w:val="40"/>
                  </w:pPr>
                  <w:r>
                    <w:rPr>
                      <w:rFonts w:hint="eastAsia"/>
                    </w:rPr>
                    <w:t>2.4</w:t>
                  </w:r>
                </w:p>
              </w:tc>
              <w:tc>
                <w:tcPr>
                  <w:tcW w:w="2196" w:type="dxa"/>
                  <w:vMerge w:val="restart"/>
                  <w:noWrap/>
                  <w:vAlign w:val="center"/>
                </w:tcPr>
                <w:p>
                  <w:pPr>
                    <w:pStyle w:val="40"/>
                  </w:pPr>
                  <w:r>
                    <w:rPr>
                      <w:rFonts w:hint="eastAsia"/>
                    </w:rPr>
                    <w:t>委托环卫部门清运</w:t>
                  </w:r>
                </w:p>
              </w:tc>
              <w:tc>
                <w:tcPr>
                  <w:tcW w:w="780" w:type="dxa"/>
                  <w:vMerge w:val="continue"/>
                  <w:noWrap/>
                  <w:vAlign w:val="center"/>
                </w:tcPr>
                <w:p>
                  <w:pPr>
                    <w:pStyle w:val="40"/>
                  </w:pPr>
                </w:p>
              </w:tc>
              <w:tc>
                <w:tcPr>
                  <w:tcW w:w="1340" w:type="dxa"/>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9" w:type="dxa"/>
                  <w:vMerge w:val="continue"/>
                  <w:noWrap/>
                  <w:vAlign w:val="center"/>
                </w:tcPr>
                <w:p>
                  <w:pPr>
                    <w:pStyle w:val="40"/>
                  </w:pPr>
                </w:p>
              </w:tc>
              <w:tc>
                <w:tcPr>
                  <w:tcW w:w="1524" w:type="dxa"/>
                  <w:vMerge w:val="continue"/>
                  <w:noWrap/>
                  <w:vAlign w:val="center"/>
                </w:tcPr>
                <w:p>
                  <w:pPr>
                    <w:pStyle w:val="40"/>
                  </w:pPr>
                </w:p>
              </w:tc>
              <w:tc>
                <w:tcPr>
                  <w:tcW w:w="1341" w:type="dxa"/>
                  <w:vMerge w:val="continue"/>
                  <w:noWrap/>
                  <w:vAlign w:val="center"/>
                </w:tcPr>
                <w:p>
                  <w:pPr>
                    <w:pStyle w:val="40"/>
                  </w:pPr>
                </w:p>
              </w:tc>
              <w:tc>
                <w:tcPr>
                  <w:tcW w:w="894" w:type="dxa"/>
                  <w:vMerge w:val="continue"/>
                  <w:noWrap/>
                  <w:vAlign w:val="center"/>
                </w:tcPr>
                <w:p>
                  <w:pPr>
                    <w:pStyle w:val="40"/>
                  </w:pPr>
                </w:p>
              </w:tc>
              <w:tc>
                <w:tcPr>
                  <w:tcW w:w="2196" w:type="dxa"/>
                  <w:vMerge w:val="continue"/>
                  <w:noWrap/>
                  <w:vAlign w:val="center"/>
                </w:tcPr>
                <w:p>
                  <w:pPr>
                    <w:pStyle w:val="40"/>
                  </w:pPr>
                </w:p>
              </w:tc>
              <w:tc>
                <w:tcPr>
                  <w:tcW w:w="780" w:type="dxa"/>
                  <w:vMerge w:val="continue"/>
                  <w:noWrap/>
                  <w:vAlign w:val="center"/>
                </w:tcPr>
                <w:p>
                  <w:pPr>
                    <w:pStyle w:val="40"/>
                  </w:pPr>
                </w:p>
              </w:tc>
              <w:tc>
                <w:tcPr>
                  <w:tcW w:w="1340" w:type="dxa"/>
                  <w:noWrap/>
                  <w:vAlign w:val="center"/>
                </w:tcPr>
                <w:p>
                  <w:pPr>
                    <w:pStyle w:val="4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79" w:type="dxa"/>
                  <w:noWrap/>
                  <w:vAlign w:val="center"/>
                </w:tcPr>
                <w:p>
                  <w:pPr>
                    <w:pStyle w:val="40"/>
                  </w:pPr>
                  <w:r>
                    <w:rPr>
                      <w:rFonts w:hint="eastAsia"/>
                    </w:rPr>
                    <w:t>废UV光管</w:t>
                  </w:r>
                </w:p>
              </w:tc>
              <w:tc>
                <w:tcPr>
                  <w:tcW w:w="1524" w:type="dxa"/>
                  <w:noWrap/>
                  <w:vAlign w:val="center"/>
                </w:tcPr>
                <w:p>
                  <w:pPr>
                    <w:pStyle w:val="40"/>
                  </w:pPr>
                  <w:r>
                    <w:rPr>
                      <w:rFonts w:hint="eastAsia"/>
                    </w:rPr>
                    <w:t>危废HW29</w:t>
                  </w:r>
                </w:p>
                <w:p>
                  <w:pPr>
                    <w:pStyle w:val="40"/>
                  </w:pPr>
                  <w:r>
                    <w:rPr>
                      <w:rFonts w:hint="eastAsia"/>
                    </w:rPr>
                    <w:t>900-023-29</w:t>
                  </w:r>
                </w:p>
              </w:tc>
              <w:tc>
                <w:tcPr>
                  <w:tcW w:w="1341" w:type="dxa"/>
                  <w:noWrap/>
                  <w:vAlign w:val="center"/>
                </w:tcPr>
                <w:p>
                  <w:pPr>
                    <w:pStyle w:val="40"/>
                  </w:pPr>
                  <w:r>
                    <w:rPr>
                      <w:rFonts w:hint="eastAsia"/>
                    </w:rPr>
                    <w:t>UV光氧催化装置</w:t>
                  </w:r>
                </w:p>
              </w:tc>
              <w:tc>
                <w:tcPr>
                  <w:tcW w:w="894" w:type="dxa"/>
                  <w:noWrap/>
                  <w:vAlign w:val="center"/>
                </w:tcPr>
                <w:p>
                  <w:pPr>
                    <w:pStyle w:val="40"/>
                  </w:pPr>
                  <w:r>
                    <w:rPr>
                      <w:rFonts w:hint="eastAsia"/>
                    </w:rPr>
                    <w:t>0.064</w:t>
                  </w:r>
                </w:p>
              </w:tc>
              <w:tc>
                <w:tcPr>
                  <w:tcW w:w="2196" w:type="dxa"/>
                  <w:noWrap/>
                  <w:vAlign w:val="center"/>
                </w:tcPr>
                <w:p>
                  <w:pPr>
                    <w:pStyle w:val="40"/>
                  </w:pPr>
                  <w:r>
                    <w:rPr>
                      <w:rFonts w:hint="eastAsia"/>
                    </w:rPr>
                    <w:t>专用桶存放于危险暂存库</w:t>
                  </w:r>
                </w:p>
              </w:tc>
              <w:tc>
                <w:tcPr>
                  <w:tcW w:w="780" w:type="dxa"/>
                  <w:noWrap/>
                  <w:vAlign w:val="center"/>
                </w:tcPr>
                <w:p>
                  <w:pPr>
                    <w:pStyle w:val="40"/>
                  </w:pPr>
                  <w:r>
                    <w:rPr>
                      <w:rFonts w:hint="eastAsia"/>
                    </w:rPr>
                    <w:t>固态</w:t>
                  </w:r>
                </w:p>
              </w:tc>
              <w:tc>
                <w:tcPr>
                  <w:tcW w:w="1340" w:type="dxa"/>
                  <w:noWrap/>
                  <w:vAlign w:val="center"/>
                </w:tcPr>
                <w:p>
                  <w:pPr>
                    <w:pStyle w:val="40"/>
                  </w:pPr>
                  <w:r>
                    <w:rPr>
                      <w:rFonts w:hint="eastAsia"/>
                    </w:rPr>
                    <w:t>废灯管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9" w:type="dxa"/>
                  <w:noWrap/>
                  <w:vAlign w:val="center"/>
                </w:tcPr>
                <w:p>
                  <w:pPr>
                    <w:pStyle w:val="40"/>
                  </w:pPr>
                  <w:r>
                    <w:rPr>
                      <w:rFonts w:hint="eastAsia"/>
                    </w:rPr>
                    <w:t>废活性炭</w:t>
                  </w:r>
                </w:p>
              </w:tc>
              <w:tc>
                <w:tcPr>
                  <w:tcW w:w="1524" w:type="dxa"/>
                  <w:noWrap/>
                  <w:vAlign w:val="center"/>
                </w:tcPr>
                <w:p>
                  <w:pPr>
                    <w:pStyle w:val="40"/>
                  </w:pPr>
                  <w:r>
                    <w:rPr>
                      <w:rFonts w:hint="eastAsia"/>
                    </w:rPr>
                    <w:t>危废HW49</w:t>
                  </w:r>
                </w:p>
                <w:p>
                  <w:pPr>
                    <w:pStyle w:val="40"/>
                  </w:pPr>
                  <w:r>
                    <w:rPr>
                      <w:rFonts w:hint="eastAsia"/>
                    </w:rPr>
                    <w:t>900-041-49</w:t>
                  </w:r>
                </w:p>
              </w:tc>
              <w:tc>
                <w:tcPr>
                  <w:tcW w:w="1341" w:type="dxa"/>
                  <w:noWrap/>
                  <w:vAlign w:val="center"/>
                </w:tcPr>
                <w:p>
                  <w:pPr>
                    <w:pStyle w:val="40"/>
                  </w:pPr>
                  <w:r>
                    <w:rPr>
                      <w:rFonts w:hint="eastAsia"/>
                    </w:rPr>
                    <w:t>活性炭吸附装置</w:t>
                  </w:r>
                </w:p>
              </w:tc>
              <w:tc>
                <w:tcPr>
                  <w:tcW w:w="894" w:type="dxa"/>
                  <w:noWrap/>
                  <w:vAlign w:val="center"/>
                </w:tcPr>
                <w:p>
                  <w:pPr>
                    <w:pStyle w:val="40"/>
                  </w:pPr>
                  <w:r>
                    <w:rPr>
                      <w:rFonts w:hint="eastAsia"/>
                    </w:rPr>
                    <w:t>0.33147</w:t>
                  </w:r>
                </w:p>
              </w:tc>
              <w:tc>
                <w:tcPr>
                  <w:tcW w:w="2196" w:type="dxa"/>
                  <w:vMerge w:val="restart"/>
                  <w:noWrap/>
                  <w:vAlign w:val="center"/>
                </w:tcPr>
                <w:p>
                  <w:pPr>
                    <w:pStyle w:val="40"/>
                  </w:pPr>
                  <w:r>
                    <w:rPr>
                      <w:rFonts w:hint="eastAsia"/>
                    </w:rPr>
                    <w:t>委托环卫部门清运</w:t>
                  </w:r>
                </w:p>
              </w:tc>
              <w:tc>
                <w:tcPr>
                  <w:tcW w:w="780" w:type="dxa"/>
                  <w:noWrap/>
                  <w:vAlign w:val="center"/>
                </w:tcPr>
                <w:p>
                  <w:pPr>
                    <w:pStyle w:val="40"/>
                  </w:pPr>
                  <w:r>
                    <w:rPr>
                      <w:rFonts w:hint="eastAsia"/>
                    </w:rPr>
                    <w:t>固态</w:t>
                  </w:r>
                </w:p>
              </w:tc>
              <w:tc>
                <w:tcPr>
                  <w:tcW w:w="1340" w:type="dxa"/>
                  <w:noWrap/>
                  <w:vAlign w:val="center"/>
                </w:tcPr>
                <w:p>
                  <w:pPr>
                    <w:pStyle w:val="40"/>
                  </w:pPr>
                  <w:r>
                    <w:rPr>
                      <w:rFonts w:hint="eastAsia"/>
                    </w:rPr>
                    <w:t>活性炭墨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9" w:type="dxa"/>
                  <w:noWrap/>
                  <w:vAlign w:val="center"/>
                </w:tcPr>
                <w:p>
                  <w:pPr>
                    <w:pStyle w:val="40"/>
                  </w:pPr>
                  <w:r>
                    <w:rPr>
                      <w:rFonts w:hint="eastAsia"/>
                    </w:rPr>
                    <w:t>废含油墨抹布</w:t>
                  </w:r>
                </w:p>
              </w:tc>
              <w:tc>
                <w:tcPr>
                  <w:tcW w:w="1524" w:type="dxa"/>
                  <w:noWrap/>
                  <w:vAlign w:val="center"/>
                </w:tcPr>
                <w:p>
                  <w:pPr>
                    <w:pStyle w:val="40"/>
                  </w:pPr>
                  <w:r>
                    <w:rPr>
                      <w:rFonts w:hint="eastAsia"/>
                    </w:rPr>
                    <w:t>危废豁免管理</w:t>
                  </w:r>
                </w:p>
              </w:tc>
              <w:tc>
                <w:tcPr>
                  <w:tcW w:w="1341" w:type="dxa"/>
                  <w:noWrap/>
                  <w:vAlign w:val="center"/>
                </w:tcPr>
                <w:p>
                  <w:pPr>
                    <w:pStyle w:val="40"/>
                  </w:pPr>
                  <w:r>
                    <w:rPr>
                      <w:rFonts w:hint="eastAsia"/>
                    </w:rPr>
                    <w:t>擦拭</w:t>
                  </w:r>
                </w:p>
              </w:tc>
              <w:tc>
                <w:tcPr>
                  <w:tcW w:w="894" w:type="dxa"/>
                  <w:noWrap/>
                  <w:vAlign w:val="center"/>
                </w:tcPr>
                <w:p>
                  <w:pPr>
                    <w:pStyle w:val="40"/>
                  </w:pPr>
                  <w:r>
                    <w:rPr>
                      <w:rFonts w:hint="eastAsia"/>
                    </w:rPr>
                    <w:t>0.002</w:t>
                  </w:r>
                </w:p>
              </w:tc>
              <w:tc>
                <w:tcPr>
                  <w:tcW w:w="2196" w:type="dxa"/>
                  <w:vMerge w:val="continue"/>
                  <w:noWrap/>
                  <w:vAlign w:val="center"/>
                </w:tcPr>
                <w:p>
                  <w:pPr>
                    <w:pStyle w:val="40"/>
                  </w:pPr>
                </w:p>
              </w:tc>
              <w:tc>
                <w:tcPr>
                  <w:tcW w:w="780" w:type="dxa"/>
                  <w:noWrap/>
                  <w:vAlign w:val="center"/>
                </w:tcPr>
                <w:p>
                  <w:pPr>
                    <w:pStyle w:val="40"/>
                  </w:pPr>
                  <w:r>
                    <w:rPr>
                      <w:rFonts w:hint="eastAsia"/>
                    </w:rPr>
                    <w:t>固态</w:t>
                  </w:r>
                </w:p>
              </w:tc>
              <w:tc>
                <w:tcPr>
                  <w:tcW w:w="1340" w:type="dxa"/>
                  <w:noWrap/>
                  <w:vAlign w:val="center"/>
                </w:tcPr>
                <w:p>
                  <w:pPr>
                    <w:pStyle w:val="40"/>
                  </w:pPr>
                  <w:r>
                    <w:rPr>
                      <w:rFonts w:hint="eastAsia"/>
                    </w:rPr>
                    <w:t>油墨、纤维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79" w:type="dxa"/>
                  <w:noWrap/>
                  <w:vAlign w:val="center"/>
                </w:tcPr>
                <w:p>
                  <w:pPr>
                    <w:pStyle w:val="40"/>
                  </w:pPr>
                  <w:r>
                    <w:rPr>
                      <w:rFonts w:hint="eastAsia"/>
                      <w:lang w:eastAsia="zh-CN"/>
                    </w:rPr>
                    <w:t>废油墨桶、废胶桶</w:t>
                  </w:r>
                </w:p>
              </w:tc>
              <w:tc>
                <w:tcPr>
                  <w:tcW w:w="1524" w:type="dxa"/>
                  <w:noWrap/>
                  <w:vAlign w:val="center"/>
                </w:tcPr>
                <w:p>
                  <w:pPr>
                    <w:pStyle w:val="40"/>
                  </w:pPr>
                  <w:r>
                    <w:rPr>
                      <w:rFonts w:hint="eastAsia"/>
                    </w:rPr>
                    <w:t>危废HW49</w:t>
                  </w:r>
                </w:p>
                <w:p>
                  <w:pPr>
                    <w:pStyle w:val="40"/>
                  </w:pPr>
                  <w:r>
                    <w:rPr>
                      <w:rFonts w:hint="eastAsia"/>
                    </w:rPr>
                    <w:t>900-041-49</w:t>
                  </w:r>
                </w:p>
              </w:tc>
              <w:tc>
                <w:tcPr>
                  <w:tcW w:w="1341" w:type="dxa"/>
                  <w:noWrap/>
                  <w:vAlign w:val="center"/>
                </w:tcPr>
                <w:p>
                  <w:pPr>
                    <w:pStyle w:val="40"/>
                  </w:pPr>
                  <w:r>
                    <w:rPr>
                      <w:rFonts w:hint="eastAsia"/>
                    </w:rPr>
                    <w:t>印刷</w:t>
                  </w:r>
                  <w:r>
                    <w:rPr>
                      <w:rFonts w:hint="eastAsia"/>
                      <w:highlight w:val="none"/>
                    </w:rPr>
                    <w:t>粘合</w:t>
                  </w:r>
                </w:p>
              </w:tc>
              <w:tc>
                <w:tcPr>
                  <w:tcW w:w="894" w:type="dxa"/>
                  <w:noWrap/>
                  <w:vAlign w:val="center"/>
                </w:tcPr>
                <w:p>
                  <w:pPr>
                    <w:pStyle w:val="40"/>
                  </w:pPr>
                  <w:r>
                    <w:rPr>
                      <w:rFonts w:hint="eastAsia"/>
                    </w:rPr>
                    <w:t>0.1</w:t>
                  </w:r>
                </w:p>
              </w:tc>
              <w:tc>
                <w:tcPr>
                  <w:tcW w:w="2196" w:type="dxa"/>
                  <w:noWrap/>
                  <w:vAlign w:val="center"/>
                </w:tcPr>
                <w:p>
                  <w:pPr>
                    <w:pStyle w:val="40"/>
                  </w:pPr>
                  <w:r>
                    <w:rPr>
                      <w:rFonts w:hint="eastAsia"/>
                    </w:rPr>
                    <w:t>专用桶存放于危险暂存库</w:t>
                  </w:r>
                </w:p>
              </w:tc>
              <w:tc>
                <w:tcPr>
                  <w:tcW w:w="780" w:type="dxa"/>
                  <w:noWrap/>
                  <w:vAlign w:val="center"/>
                </w:tcPr>
                <w:p>
                  <w:pPr>
                    <w:pStyle w:val="40"/>
                  </w:pPr>
                  <w:r>
                    <w:rPr>
                      <w:rFonts w:hint="eastAsia"/>
                    </w:rPr>
                    <w:t>固态</w:t>
                  </w:r>
                </w:p>
              </w:tc>
              <w:tc>
                <w:tcPr>
                  <w:tcW w:w="1340" w:type="dxa"/>
                  <w:noWrap/>
                  <w:vAlign w:val="center"/>
                </w:tcPr>
                <w:p>
                  <w:pPr>
                    <w:pStyle w:val="40"/>
                  </w:pPr>
                  <w:r>
                    <w:rPr>
                      <w:rFonts w:hint="eastAsia"/>
                    </w:rPr>
                    <w:t>挥发性溶剂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9" w:type="dxa"/>
                  <w:noWrap/>
                  <w:vAlign w:val="center"/>
                </w:tcPr>
                <w:p>
                  <w:pPr>
                    <w:pStyle w:val="40"/>
                  </w:pPr>
                  <w:r>
                    <w:rPr>
                      <w:rFonts w:hint="eastAsia"/>
                    </w:rPr>
                    <w:t>废印刷板</w:t>
                  </w:r>
                </w:p>
              </w:tc>
              <w:tc>
                <w:tcPr>
                  <w:tcW w:w="1524" w:type="dxa"/>
                  <w:noWrap/>
                  <w:vAlign w:val="center"/>
                </w:tcPr>
                <w:p>
                  <w:pPr>
                    <w:pStyle w:val="40"/>
                  </w:pPr>
                  <w:r>
                    <w:rPr>
                      <w:rFonts w:hint="eastAsia"/>
                    </w:rPr>
                    <w:t>危废HW12</w:t>
                  </w:r>
                </w:p>
                <w:p>
                  <w:pPr>
                    <w:pStyle w:val="40"/>
                  </w:pPr>
                  <w:r>
                    <w:rPr>
                      <w:rFonts w:hint="eastAsia"/>
                    </w:rPr>
                    <w:t>900-253-12</w:t>
                  </w:r>
                </w:p>
              </w:tc>
              <w:tc>
                <w:tcPr>
                  <w:tcW w:w="1341" w:type="dxa"/>
                  <w:noWrap/>
                  <w:vAlign w:val="center"/>
                </w:tcPr>
                <w:p>
                  <w:pPr>
                    <w:pStyle w:val="40"/>
                  </w:pPr>
                  <w:r>
                    <w:rPr>
                      <w:rFonts w:hint="eastAsia"/>
                    </w:rPr>
                    <w:t>印刷</w:t>
                  </w:r>
                </w:p>
              </w:tc>
              <w:tc>
                <w:tcPr>
                  <w:tcW w:w="894" w:type="dxa"/>
                  <w:noWrap/>
                  <w:vAlign w:val="center"/>
                </w:tcPr>
                <w:p>
                  <w:pPr>
                    <w:pStyle w:val="40"/>
                  </w:pPr>
                  <w:r>
                    <w:rPr>
                      <w:rFonts w:hint="eastAsia"/>
                    </w:rPr>
                    <w:t>0.06t/a</w:t>
                  </w:r>
                </w:p>
              </w:tc>
              <w:tc>
                <w:tcPr>
                  <w:tcW w:w="2196" w:type="dxa"/>
                  <w:noWrap/>
                  <w:vAlign w:val="center"/>
                </w:tcPr>
                <w:p>
                  <w:pPr>
                    <w:pStyle w:val="40"/>
                  </w:pPr>
                  <w:r>
                    <w:rPr>
                      <w:rFonts w:hint="eastAsia"/>
                    </w:rPr>
                    <w:t>专用桶存放于危险暂存库，定期交由供货厂商回收</w:t>
                  </w:r>
                </w:p>
              </w:tc>
              <w:tc>
                <w:tcPr>
                  <w:tcW w:w="780" w:type="dxa"/>
                  <w:noWrap/>
                  <w:vAlign w:val="center"/>
                </w:tcPr>
                <w:p>
                  <w:pPr>
                    <w:pStyle w:val="40"/>
                  </w:pPr>
                  <w:r>
                    <w:rPr>
                      <w:rFonts w:hint="eastAsia"/>
                    </w:rPr>
                    <w:t>固态</w:t>
                  </w:r>
                </w:p>
              </w:tc>
              <w:tc>
                <w:tcPr>
                  <w:tcW w:w="1340" w:type="dxa"/>
                  <w:noWrap/>
                  <w:vAlign w:val="center"/>
                </w:tcPr>
                <w:p>
                  <w:pPr>
                    <w:pStyle w:val="40"/>
                  </w:pPr>
                  <w:r>
                    <w:rPr>
                      <w:rFonts w:hint="eastAsia"/>
                    </w:rPr>
                    <w:t>油墨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9" w:type="dxa"/>
                  <w:noWrap/>
                  <w:vAlign w:val="center"/>
                </w:tcPr>
                <w:p>
                  <w:pPr>
                    <w:pStyle w:val="40"/>
                    <w:rPr>
                      <w:rFonts w:hint="default" w:eastAsia="新宋体"/>
                      <w:lang w:val="en-US" w:eastAsia="zh-CN"/>
                    </w:rPr>
                  </w:pPr>
                  <w:r>
                    <w:rPr>
                      <w:rFonts w:hint="eastAsia"/>
                      <w:lang w:val="en-US" w:eastAsia="zh-CN"/>
                    </w:rPr>
                    <w:t>印刷清洗废水</w:t>
                  </w:r>
                </w:p>
              </w:tc>
              <w:tc>
                <w:tcPr>
                  <w:tcW w:w="1524" w:type="dxa"/>
                  <w:noWrap/>
                  <w:vAlign w:val="center"/>
                </w:tcPr>
                <w:p>
                  <w:pPr>
                    <w:pStyle w:val="40"/>
                  </w:pPr>
                  <w:r>
                    <w:rPr>
                      <w:rFonts w:hint="eastAsia"/>
                    </w:rPr>
                    <w:t>危废HW49</w:t>
                  </w:r>
                </w:p>
                <w:p>
                  <w:pPr>
                    <w:pStyle w:val="40"/>
                    <w:rPr>
                      <w:rFonts w:hint="eastAsia" w:eastAsia="新宋体"/>
                      <w:lang w:val="en-US" w:eastAsia="zh-CN"/>
                    </w:rPr>
                  </w:pPr>
                  <w:r>
                    <w:rPr>
                      <w:rFonts w:hint="eastAsia"/>
                    </w:rPr>
                    <w:t>900-041-49</w:t>
                  </w:r>
                </w:p>
              </w:tc>
              <w:tc>
                <w:tcPr>
                  <w:tcW w:w="1341" w:type="dxa"/>
                  <w:noWrap/>
                  <w:vAlign w:val="center"/>
                </w:tcPr>
                <w:p>
                  <w:pPr>
                    <w:pStyle w:val="40"/>
                    <w:rPr>
                      <w:rFonts w:hint="eastAsia"/>
                    </w:rPr>
                  </w:pPr>
                  <w:r>
                    <w:rPr>
                      <w:rFonts w:hint="eastAsia"/>
                    </w:rPr>
                    <w:t>印刷</w:t>
                  </w:r>
                </w:p>
              </w:tc>
              <w:tc>
                <w:tcPr>
                  <w:tcW w:w="894" w:type="dxa"/>
                  <w:noWrap/>
                  <w:vAlign w:val="center"/>
                </w:tcPr>
                <w:p>
                  <w:pPr>
                    <w:pStyle w:val="40"/>
                    <w:rPr>
                      <w:rFonts w:hint="default" w:eastAsia="新宋体"/>
                      <w:lang w:val="en-US" w:eastAsia="zh-CN"/>
                    </w:rPr>
                  </w:pPr>
                  <w:r>
                    <w:rPr>
                      <w:rFonts w:hint="eastAsia"/>
                      <w:lang w:val="en-US" w:eastAsia="zh-CN"/>
                    </w:rPr>
                    <w:t>3t/a</w:t>
                  </w:r>
                </w:p>
              </w:tc>
              <w:tc>
                <w:tcPr>
                  <w:tcW w:w="2196" w:type="dxa"/>
                  <w:noWrap/>
                  <w:vAlign w:val="center"/>
                </w:tcPr>
                <w:p>
                  <w:pPr>
                    <w:pStyle w:val="40"/>
                    <w:rPr>
                      <w:rFonts w:hint="eastAsia"/>
                    </w:rPr>
                  </w:pPr>
                  <w:r>
                    <w:rPr>
                      <w:rFonts w:hint="eastAsia"/>
                    </w:rPr>
                    <w:t>专用桶存放于危险暂存库，定期交由</w:t>
                  </w:r>
                  <w:r>
                    <w:rPr>
                      <w:rFonts w:hint="eastAsia"/>
                      <w:lang w:val="en-US" w:eastAsia="zh-CN"/>
                    </w:rPr>
                    <w:t>有资质公司</w:t>
                  </w:r>
                  <w:r>
                    <w:rPr>
                      <w:rFonts w:hint="eastAsia"/>
                    </w:rPr>
                    <w:t>回收</w:t>
                  </w:r>
                </w:p>
              </w:tc>
              <w:tc>
                <w:tcPr>
                  <w:tcW w:w="780" w:type="dxa"/>
                  <w:noWrap/>
                  <w:vAlign w:val="center"/>
                </w:tcPr>
                <w:p>
                  <w:pPr>
                    <w:pStyle w:val="40"/>
                    <w:rPr>
                      <w:rFonts w:hint="default" w:eastAsia="新宋体"/>
                      <w:lang w:val="en-US" w:eastAsia="zh-CN"/>
                    </w:rPr>
                  </w:pPr>
                  <w:r>
                    <w:rPr>
                      <w:rFonts w:hint="eastAsia"/>
                      <w:lang w:val="en-US" w:eastAsia="zh-CN"/>
                    </w:rPr>
                    <w:t>液态</w:t>
                  </w:r>
                </w:p>
              </w:tc>
              <w:tc>
                <w:tcPr>
                  <w:tcW w:w="1340" w:type="dxa"/>
                  <w:noWrap/>
                  <w:vAlign w:val="center"/>
                </w:tcPr>
                <w:p>
                  <w:pPr>
                    <w:pStyle w:val="40"/>
                    <w:rPr>
                      <w:rFonts w:hint="eastAsia"/>
                    </w:rPr>
                  </w:pPr>
                  <w:r>
                    <w:rPr>
                      <w:rFonts w:hint="eastAsia"/>
                    </w:rPr>
                    <w:t>油墨</w:t>
                  </w:r>
                </w:p>
              </w:tc>
            </w:tr>
          </w:tbl>
          <w:p>
            <w:pPr>
              <w:pStyle w:val="5"/>
              <w:ind w:left="0" w:leftChars="0" w:firstLine="0" w:firstLineChars="0"/>
              <w:jc w:val="center"/>
              <w:rPr>
                <w:rStyle w:val="50"/>
              </w:rPr>
            </w:pPr>
            <w:r>
              <w:rPr>
                <w:rStyle w:val="50"/>
                <w:rFonts w:hint="eastAsia"/>
              </w:rPr>
              <w:t>表5-1</w:t>
            </w:r>
            <w:r>
              <w:rPr>
                <w:rStyle w:val="50"/>
                <w:rFonts w:hint="eastAsia" w:eastAsia="仿宋"/>
                <w:lang w:val="en-US" w:eastAsia="zh-CN"/>
              </w:rPr>
              <w:t>1</w:t>
            </w:r>
            <w:r>
              <w:rPr>
                <w:rStyle w:val="50"/>
                <w:rFonts w:hint="eastAsia"/>
              </w:rPr>
              <w:t>项目危废产生、处置情况表：t/a</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975"/>
              <w:gridCol w:w="1133"/>
              <w:gridCol w:w="796"/>
              <w:gridCol w:w="1042"/>
              <w:gridCol w:w="641"/>
              <w:gridCol w:w="681"/>
              <w:gridCol w:w="680"/>
              <w:gridCol w:w="677"/>
              <w:gridCol w:w="9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365" w:type="dxa"/>
                  <w:vAlign w:val="center"/>
                </w:tcPr>
                <w:p>
                  <w:pPr>
                    <w:pStyle w:val="40"/>
                  </w:pPr>
                  <w:r>
                    <w:t>危险废物名称</w:t>
                  </w:r>
                </w:p>
              </w:tc>
              <w:tc>
                <w:tcPr>
                  <w:tcW w:w="975" w:type="dxa"/>
                  <w:vAlign w:val="center"/>
                </w:tcPr>
                <w:p>
                  <w:pPr>
                    <w:pStyle w:val="40"/>
                  </w:pPr>
                  <w:r>
                    <w:t>危险废物类别</w:t>
                  </w:r>
                </w:p>
              </w:tc>
              <w:tc>
                <w:tcPr>
                  <w:tcW w:w="1133" w:type="dxa"/>
                  <w:vAlign w:val="center"/>
                </w:tcPr>
                <w:p>
                  <w:pPr>
                    <w:pStyle w:val="40"/>
                  </w:pPr>
                  <w:r>
                    <w:t>危险废物代码</w:t>
                  </w:r>
                </w:p>
              </w:tc>
              <w:tc>
                <w:tcPr>
                  <w:tcW w:w="796" w:type="dxa"/>
                  <w:vAlign w:val="center"/>
                </w:tcPr>
                <w:p>
                  <w:pPr>
                    <w:pStyle w:val="40"/>
                  </w:pPr>
                  <w:r>
                    <w:t>产生量（吨/年）</w:t>
                  </w:r>
                </w:p>
              </w:tc>
              <w:tc>
                <w:tcPr>
                  <w:tcW w:w="1042" w:type="dxa"/>
                  <w:vAlign w:val="center"/>
                </w:tcPr>
                <w:p>
                  <w:pPr>
                    <w:pStyle w:val="40"/>
                  </w:pPr>
                  <w:r>
                    <w:t>产生工序及装置</w:t>
                  </w:r>
                </w:p>
              </w:tc>
              <w:tc>
                <w:tcPr>
                  <w:tcW w:w="641" w:type="dxa"/>
                  <w:vAlign w:val="center"/>
                </w:tcPr>
                <w:p>
                  <w:pPr>
                    <w:pStyle w:val="40"/>
                  </w:pPr>
                  <w:r>
                    <w:t>形态</w:t>
                  </w:r>
                </w:p>
              </w:tc>
              <w:tc>
                <w:tcPr>
                  <w:tcW w:w="681" w:type="dxa"/>
                  <w:vAlign w:val="center"/>
                </w:tcPr>
                <w:p>
                  <w:pPr>
                    <w:pStyle w:val="40"/>
                  </w:pPr>
                  <w:r>
                    <w:t>有害成分</w:t>
                  </w:r>
                </w:p>
              </w:tc>
              <w:tc>
                <w:tcPr>
                  <w:tcW w:w="680" w:type="dxa"/>
                  <w:vAlign w:val="center"/>
                </w:tcPr>
                <w:p>
                  <w:pPr>
                    <w:pStyle w:val="40"/>
                  </w:pPr>
                  <w:r>
                    <w:t>产废周期</w:t>
                  </w:r>
                </w:p>
              </w:tc>
              <w:tc>
                <w:tcPr>
                  <w:tcW w:w="677" w:type="dxa"/>
                  <w:vAlign w:val="center"/>
                </w:tcPr>
                <w:p>
                  <w:pPr>
                    <w:pStyle w:val="40"/>
                  </w:pPr>
                  <w:r>
                    <w:t>危险</w:t>
                  </w:r>
                </w:p>
                <w:p>
                  <w:pPr>
                    <w:pStyle w:val="40"/>
                  </w:pPr>
                  <w:r>
                    <w:t>特性</w:t>
                  </w:r>
                </w:p>
              </w:tc>
              <w:tc>
                <w:tcPr>
                  <w:tcW w:w="989" w:type="dxa"/>
                  <w:vAlign w:val="center"/>
                </w:tcPr>
                <w:p>
                  <w:pPr>
                    <w:pStyle w:val="40"/>
                  </w:pPr>
                  <w: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365" w:type="dxa"/>
                  <w:vAlign w:val="center"/>
                </w:tcPr>
                <w:p>
                  <w:pPr>
                    <w:pStyle w:val="40"/>
                    <w:rPr>
                      <w:rFonts w:hint="eastAsia" w:eastAsia="新宋体"/>
                      <w:lang w:eastAsia="zh-CN"/>
                    </w:rPr>
                  </w:pPr>
                  <w:r>
                    <w:rPr>
                      <w:rFonts w:hint="eastAsia"/>
                      <w:lang w:eastAsia="zh-CN"/>
                    </w:rPr>
                    <w:t>废油墨桶、废胶桶</w:t>
                  </w:r>
                </w:p>
              </w:tc>
              <w:tc>
                <w:tcPr>
                  <w:tcW w:w="975" w:type="dxa"/>
                  <w:vAlign w:val="center"/>
                </w:tcPr>
                <w:p>
                  <w:pPr>
                    <w:pStyle w:val="40"/>
                  </w:pPr>
                  <w:r>
                    <w:rPr>
                      <w:rFonts w:hint="eastAsia"/>
                    </w:rPr>
                    <w:t>HW49</w:t>
                  </w:r>
                </w:p>
              </w:tc>
              <w:tc>
                <w:tcPr>
                  <w:tcW w:w="1133" w:type="dxa"/>
                  <w:vAlign w:val="center"/>
                </w:tcPr>
                <w:p>
                  <w:pPr>
                    <w:pStyle w:val="40"/>
                  </w:pPr>
                  <w:r>
                    <w:t>900-041-49</w:t>
                  </w:r>
                </w:p>
              </w:tc>
              <w:tc>
                <w:tcPr>
                  <w:tcW w:w="796" w:type="dxa"/>
                  <w:vAlign w:val="center"/>
                </w:tcPr>
                <w:p>
                  <w:pPr>
                    <w:pStyle w:val="40"/>
                  </w:pPr>
                  <w:r>
                    <w:rPr>
                      <w:rFonts w:hint="eastAsia"/>
                    </w:rPr>
                    <w:t>0.1</w:t>
                  </w:r>
                </w:p>
              </w:tc>
              <w:tc>
                <w:tcPr>
                  <w:tcW w:w="1042" w:type="dxa"/>
                  <w:vAlign w:val="center"/>
                </w:tcPr>
                <w:p>
                  <w:pPr>
                    <w:pStyle w:val="40"/>
                  </w:pPr>
                  <w:r>
                    <w:rPr>
                      <w:rFonts w:hint="eastAsia"/>
                    </w:rPr>
                    <w:t>印刷</w:t>
                  </w:r>
                  <w:r>
                    <w:rPr>
                      <w:rFonts w:hint="eastAsia"/>
                      <w:highlight w:val="none"/>
                    </w:rPr>
                    <w:t>粘合</w:t>
                  </w:r>
                </w:p>
              </w:tc>
              <w:tc>
                <w:tcPr>
                  <w:tcW w:w="641" w:type="dxa"/>
                  <w:vAlign w:val="center"/>
                </w:tcPr>
                <w:p>
                  <w:pPr>
                    <w:pStyle w:val="40"/>
                  </w:pPr>
                  <w:r>
                    <w:rPr>
                      <w:rFonts w:hint="eastAsia"/>
                    </w:rPr>
                    <w:t>固</w:t>
                  </w:r>
                </w:p>
              </w:tc>
              <w:tc>
                <w:tcPr>
                  <w:tcW w:w="681" w:type="dxa"/>
                  <w:vAlign w:val="center"/>
                </w:tcPr>
                <w:p>
                  <w:pPr>
                    <w:pStyle w:val="40"/>
                  </w:pPr>
                  <w:r>
                    <w:rPr>
                      <w:rFonts w:hint="eastAsia"/>
                    </w:rPr>
                    <w:t>化学溶剂</w:t>
                  </w:r>
                </w:p>
              </w:tc>
              <w:tc>
                <w:tcPr>
                  <w:tcW w:w="680" w:type="dxa"/>
                  <w:vAlign w:val="center"/>
                </w:tcPr>
                <w:p>
                  <w:pPr>
                    <w:pStyle w:val="40"/>
                  </w:pPr>
                  <w:r>
                    <w:rPr>
                      <w:rFonts w:hint="eastAsia"/>
                    </w:rPr>
                    <w:t>1</w:t>
                  </w:r>
                </w:p>
              </w:tc>
              <w:tc>
                <w:tcPr>
                  <w:tcW w:w="677" w:type="dxa"/>
                  <w:vAlign w:val="center"/>
                </w:tcPr>
                <w:p>
                  <w:pPr>
                    <w:pStyle w:val="40"/>
                  </w:pPr>
                  <w:r>
                    <w:t>T/In</w:t>
                  </w:r>
                </w:p>
              </w:tc>
              <w:tc>
                <w:tcPr>
                  <w:tcW w:w="989" w:type="dxa"/>
                  <w:vMerge w:val="restart"/>
                  <w:vAlign w:val="center"/>
                </w:tcPr>
                <w:p>
                  <w:pPr>
                    <w:pStyle w:val="40"/>
                  </w:pPr>
                  <w:r>
                    <w:rPr>
                      <w:rFonts w:hint="eastAsia"/>
                    </w:rPr>
                    <w:t>危废暂存间暂存，分类存放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365" w:type="dxa"/>
                  <w:vAlign w:val="center"/>
                </w:tcPr>
                <w:p>
                  <w:pPr>
                    <w:pStyle w:val="40"/>
                  </w:pPr>
                  <w:r>
                    <w:t>废活性炭</w:t>
                  </w:r>
                </w:p>
              </w:tc>
              <w:tc>
                <w:tcPr>
                  <w:tcW w:w="975" w:type="dxa"/>
                  <w:vAlign w:val="center"/>
                </w:tcPr>
                <w:p>
                  <w:pPr>
                    <w:pStyle w:val="40"/>
                  </w:pPr>
                  <w:r>
                    <w:rPr>
                      <w:rFonts w:hint="eastAsia"/>
                    </w:rPr>
                    <w:t>HW49</w:t>
                  </w:r>
                </w:p>
              </w:tc>
              <w:tc>
                <w:tcPr>
                  <w:tcW w:w="1133" w:type="dxa"/>
                  <w:vAlign w:val="center"/>
                </w:tcPr>
                <w:p>
                  <w:pPr>
                    <w:pStyle w:val="40"/>
                  </w:pPr>
                  <w:r>
                    <w:t>900-041-49</w:t>
                  </w:r>
                </w:p>
              </w:tc>
              <w:tc>
                <w:tcPr>
                  <w:tcW w:w="796" w:type="dxa"/>
                  <w:vAlign w:val="center"/>
                </w:tcPr>
                <w:p>
                  <w:pPr>
                    <w:pStyle w:val="40"/>
                  </w:pPr>
                  <w:r>
                    <w:rPr>
                      <w:rFonts w:hint="eastAsia"/>
                    </w:rPr>
                    <w:t>0.33147</w:t>
                  </w:r>
                </w:p>
              </w:tc>
              <w:tc>
                <w:tcPr>
                  <w:tcW w:w="1042" w:type="dxa"/>
                  <w:vAlign w:val="center"/>
                </w:tcPr>
                <w:p>
                  <w:pPr>
                    <w:pStyle w:val="40"/>
                  </w:pPr>
                  <w:r>
                    <w:t>废气处理</w:t>
                  </w:r>
                </w:p>
              </w:tc>
              <w:tc>
                <w:tcPr>
                  <w:tcW w:w="641" w:type="dxa"/>
                  <w:vAlign w:val="center"/>
                </w:tcPr>
                <w:p>
                  <w:pPr>
                    <w:pStyle w:val="40"/>
                  </w:pPr>
                  <w:r>
                    <w:rPr>
                      <w:rFonts w:hint="eastAsia"/>
                    </w:rPr>
                    <w:t>固</w:t>
                  </w:r>
                </w:p>
              </w:tc>
              <w:tc>
                <w:tcPr>
                  <w:tcW w:w="681" w:type="dxa"/>
                  <w:vAlign w:val="center"/>
                </w:tcPr>
                <w:p>
                  <w:pPr>
                    <w:pStyle w:val="40"/>
                  </w:pPr>
                  <w:r>
                    <w:rPr>
                      <w:rFonts w:hint="eastAsia"/>
                    </w:rPr>
                    <w:t>化学溶剂</w:t>
                  </w:r>
                </w:p>
              </w:tc>
              <w:tc>
                <w:tcPr>
                  <w:tcW w:w="680" w:type="dxa"/>
                  <w:vAlign w:val="center"/>
                </w:tcPr>
                <w:p>
                  <w:pPr>
                    <w:pStyle w:val="40"/>
                  </w:pPr>
                  <w:r>
                    <w:rPr>
                      <w:rFonts w:hint="eastAsia"/>
                    </w:rPr>
                    <w:t>1</w:t>
                  </w:r>
                </w:p>
              </w:tc>
              <w:tc>
                <w:tcPr>
                  <w:tcW w:w="677" w:type="dxa"/>
                  <w:vAlign w:val="center"/>
                </w:tcPr>
                <w:p>
                  <w:pPr>
                    <w:pStyle w:val="40"/>
                  </w:pPr>
                  <w:r>
                    <w:t>T/In</w:t>
                  </w:r>
                </w:p>
              </w:tc>
              <w:tc>
                <w:tcPr>
                  <w:tcW w:w="989" w:type="dxa"/>
                  <w:vMerge w:val="continue"/>
                  <w:vAlign w:val="center"/>
                </w:tcPr>
                <w:p>
                  <w:pPr>
                    <w:pStyle w:val="4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365" w:type="dxa"/>
                  <w:vAlign w:val="center"/>
                </w:tcPr>
                <w:p>
                  <w:pPr>
                    <w:pStyle w:val="40"/>
                  </w:pPr>
                  <w:r>
                    <w:rPr>
                      <w:rFonts w:hint="eastAsia"/>
                    </w:rPr>
                    <w:t>废印刷板</w:t>
                  </w:r>
                </w:p>
              </w:tc>
              <w:tc>
                <w:tcPr>
                  <w:tcW w:w="975" w:type="dxa"/>
                  <w:vAlign w:val="center"/>
                </w:tcPr>
                <w:p>
                  <w:pPr>
                    <w:pStyle w:val="40"/>
                  </w:pPr>
                  <w:r>
                    <w:rPr>
                      <w:rFonts w:hint="eastAsia"/>
                    </w:rPr>
                    <w:t>HW12</w:t>
                  </w:r>
                </w:p>
              </w:tc>
              <w:tc>
                <w:tcPr>
                  <w:tcW w:w="1133" w:type="dxa"/>
                  <w:vAlign w:val="center"/>
                </w:tcPr>
                <w:p>
                  <w:pPr>
                    <w:pStyle w:val="40"/>
                  </w:pPr>
                  <w:r>
                    <w:rPr>
                      <w:rFonts w:hint="eastAsia"/>
                    </w:rPr>
                    <w:t>900-253-12</w:t>
                  </w:r>
                </w:p>
              </w:tc>
              <w:tc>
                <w:tcPr>
                  <w:tcW w:w="796" w:type="dxa"/>
                  <w:vAlign w:val="center"/>
                </w:tcPr>
                <w:p>
                  <w:pPr>
                    <w:pStyle w:val="40"/>
                  </w:pPr>
                  <w:r>
                    <w:rPr>
                      <w:rFonts w:hint="eastAsia"/>
                    </w:rPr>
                    <w:t>0.06t/a</w:t>
                  </w:r>
                </w:p>
              </w:tc>
              <w:tc>
                <w:tcPr>
                  <w:tcW w:w="1042" w:type="dxa"/>
                  <w:vAlign w:val="center"/>
                </w:tcPr>
                <w:p>
                  <w:pPr>
                    <w:pStyle w:val="40"/>
                  </w:pPr>
                  <w:r>
                    <w:rPr>
                      <w:rFonts w:hint="eastAsia"/>
                    </w:rPr>
                    <w:t>印刷</w:t>
                  </w:r>
                </w:p>
              </w:tc>
              <w:tc>
                <w:tcPr>
                  <w:tcW w:w="641" w:type="dxa"/>
                  <w:vAlign w:val="center"/>
                </w:tcPr>
                <w:p>
                  <w:pPr>
                    <w:pStyle w:val="40"/>
                  </w:pPr>
                  <w:r>
                    <w:rPr>
                      <w:rFonts w:hint="eastAsia"/>
                    </w:rPr>
                    <w:t>固</w:t>
                  </w:r>
                </w:p>
              </w:tc>
              <w:tc>
                <w:tcPr>
                  <w:tcW w:w="681" w:type="dxa"/>
                  <w:vAlign w:val="center"/>
                </w:tcPr>
                <w:p>
                  <w:pPr>
                    <w:pStyle w:val="40"/>
                  </w:pPr>
                  <w:r>
                    <w:rPr>
                      <w:rFonts w:hint="eastAsia"/>
                    </w:rPr>
                    <w:t>化学废物</w:t>
                  </w:r>
                </w:p>
              </w:tc>
              <w:tc>
                <w:tcPr>
                  <w:tcW w:w="680" w:type="dxa"/>
                  <w:vAlign w:val="center"/>
                </w:tcPr>
                <w:p>
                  <w:pPr>
                    <w:pStyle w:val="40"/>
                  </w:pPr>
                  <w:r>
                    <w:rPr>
                      <w:rFonts w:hint="eastAsia"/>
                    </w:rPr>
                    <w:t>1</w:t>
                  </w:r>
                </w:p>
              </w:tc>
              <w:tc>
                <w:tcPr>
                  <w:tcW w:w="677" w:type="dxa"/>
                  <w:vAlign w:val="center"/>
                </w:tcPr>
                <w:p>
                  <w:pPr>
                    <w:pStyle w:val="40"/>
                  </w:pPr>
                  <w:r>
                    <w:t>T/In</w:t>
                  </w:r>
                </w:p>
              </w:tc>
              <w:tc>
                <w:tcPr>
                  <w:tcW w:w="989" w:type="dxa"/>
                  <w:vMerge w:val="continue"/>
                  <w:vAlign w:val="center"/>
                </w:tcPr>
                <w:p>
                  <w:pPr>
                    <w:pStyle w:val="4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365" w:type="dxa"/>
                  <w:vAlign w:val="center"/>
                </w:tcPr>
                <w:p>
                  <w:pPr>
                    <w:pStyle w:val="40"/>
                  </w:pPr>
                  <w:r>
                    <w:rPr>
                      <w:rFonts w:hint="eastAsia"/>
                    </w:rPr>
                    <w:t>废UV光管</w:t>
                  </w:r>
                </w:p>
              </w:tc>
              <w:tc>
                <w:tcPr>
                  <w:tcW w:w="975" w:type="dxa"/>
                  <w:vAlign w:val="center"/>
                </w:tcPr>
                <w:p>
                  <w:pPr>
                    <w:pStyle w:val="40"/>
                  </w:pPr>
                  <w:r>
                    <w:rPr>
                      <w:rFonts w:hint="eastAsia"/>
                    </w:rPr>
                    <w:t>HW29</w:t>
                  </w:r>
                </w:p>
              </w:tc>
              <w:tc>
                <w:tcPr>
                  <w:tcW w:w="1133" w:type="dxa"/>
                  <w:vAlign w:val="center"/>
                </w:tcPr>
                <w:p>
                  <w:pPr>
                    <w:pStyle w:val="40"/>
                  </w:pPr>
                  <w:r>
                    <w:rPr>
                      <w:rFonts w:hint="eastAsia"/>
                    </w:rPr>
                    <w:t>900-023-29</w:t>
                  </w:r>
                </w:p>
              </w:tc>
              <w:tc>
                <w:tcPr>
                  <w:tcW w:w="796" w:type="dxa"/>
                  <w:vAlign w:val="center"/>
                </w:tcPr>
                <w:p>
                  <w:pPr>
                    <w:pStyle w:val="40"/>
                  </w:pPr>
                  <w:r>
                    <w:rPr>
                      <w:rFonts w:hint="eastAsia"/>
                    </w:rPr>
                    <w:t>0.064</w:t>
                  </w:r>
                </w:p>
              </w:tc>
              <w:tc>
                <w:tcPr>
                  <w:tcW w:w="1042" w:type="dxa"/>
                  <w:vAlign w:val="center"/>
                </w:tcPr>
                <w:p>
                  <w:pPr>
                    <w:pStyle w:val="40"/>
                  </w:pPr>
                  <w:r>
                    <w:t>废气处理</w:t>
                  </w:r>
                </w:p>
              </w:tc>
              <w:tc>
                <w:tcPr>
                  <w:tcW w:w="641" w:type="dxa"/>
                  <w:vAlign w:val="center"/>
                </w:tcPr>
                <w:p>
                  <w:pPr>
                    <w:pStyle w:val="40"/>
                  </w:pPr>
                  <w:r>
                    <w:rPr>
                      <w:rFonts w:hint="eastAsia"/>
                    </w:rPr>
                    <w:t>固</w:t>
                  </w:r>
                </w:p>
              </w:tc>
              <w:tc>
                <w:tcPr>
                  <w:tcW w:w="681" w:type="dxa"/>
                  <w:vAlign w:val="center"/>
                </w:tcPr>
                <w:p>
                  <w:pPr>
                    <w:pStyle w:val="40"/>
                  </w:pPr>
                  <w:r>
                    <w:rPr>
                      <w:rFonts w:hint="eastAsia"/>
                    </w:rPr>
                    <w:t>化学废物</w:t>
                  </w:r>
                </w:p>
              </w:tc>
              <w:tc>
                <w:tcPr>
                  <w:tcW w:w="680" w:type="dxa"/>
                  <w:vAlign w:val="center"/>
                </w:tcPr>
                <w:p>
                  <w:pPr>
                    <w:pStyle w:val="40"/>
                  </w:pPr>
                  <w:r>
                    <w:rPr>
                      <w:rFonts w:hint="eastAsia"/>
                    </w:rPr>
                    <w:t>1</w:t>
                  </w:r>
                </w:p>
              </w:tc>
              <w:tc>
                <w:tcPr>
                  <w:tcW w:w="677" w:type="dxa"/>
                  <w:vAlign w:val="center"/>
                </w:tcPr>
                <w:p>
                  <w:pPr>
                    <w:pStyle w:val="40"/>
                  </w:pPr>
                  <w:r>
                    <w:t>T/In</w:t>
                  </w:r>
                </w:p>
              </w:tc>
              <w:tc>
                <w:tcPr>
                  <w:tcW w:w="989" w:type="dxa"/>
                  <w:vMerge w:val="continue"/>
                  <w:vAlign w:val="center"/>
                </w:tcPr>
                <w:p>
                  <w:pPr>
                    <w:pStyle w:val="4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365" w:type="dxa"/>
                  <w:vAlign w:val="center"/>
                </w:tcPr>
                <w:p>
                  <w:pPr>
                    <w:pStyle w:val="40"/>
                    <w:rPr>
                      <w:rFonts w:hint="eastAsia"/>
                      <w:lang w:val="en-US" w:eastAsia="zh-CN"/>
                    </w:rPr>
                  </w:pPr>
                  <w:r>
                    <w:rPr>
                      <w:rFonts w:hint="eastAsia"/>
                      <w:lang w:val="en-US" w:eastAsia="zh-CN"/>
                    </w:rPr>
                    <w:t>印刷清洗</w:t>
                  </w:r>
                </w:p>
                <w:p>
                  <w:pPr>
                    <w:pStyle w:val="40"/>
                    <w:rPr>
                      <w:rFonts w:hint="default" w:eastAsia="新宋体"/>
                      <w:lang w:val="en-US" w:eastAsia="zh-CN"/>
                    </w:rPr>
                  </w:pPr>
                  <w:r>
                    <w:rPr>
                      <w:rFonts w:hint="eastAsia"/>
                      <w:lang w:val="en-US" w:eastAsia="zh-CN"/>
                    </w:rPr>
                    <w:t>废水</w:t>
                  </w:r>
                </w:p>
              </w:tc>
              <w:tc>
                <w:tcPr>
                  <w:tcW w:w="975" w:type="dxa"/>
                  <w:vAlign w:val="center"/>
                </w:tcPr>
                <w:p>
                  <w:pPr>
                    <w:pStyle w:val="40"/>
                    <w:rPr>
                      <w:rFonts w:hint="eastAsia"/>
                    </w:rPr>
                  </w:pPr>
                  <w:r>
                    <w:rPr>
                      <w:rFonts w:hint="eastAsia"/>
                    </w:rPr>
                    <w:t>HW49</w:t>
                  </w:r>
                </w:p>
              </w:tc>
              <w:tc>
                <w:tcPr>
                  <w:tcW w:w="1133" w:type="dxa"/>
                  <w:vAlign w:val="center"/>
                </w:tcPr>
                <w:p>
                  <w:pPr>
                    <w:pStyle w:val="40"/>
                    <w:rPr>
                      <w:rFonts w:hint="eastAsia"/>
                    </w:rPr>
                  </w:pPr>
                  <w:r>
                    <w:rPr>
                      <w:rFonts w:hint="eastAsia"/>
                    </w:rPr>
                    <w:t>900-041-49</w:t>
                  </w:r>
                </w:p>
              </w:tc>
              <w:tc>
                <w:tcPr>
                  <w:tcW w:w="796" w:type="dxa"/>
                  <w:vAlign w:val="center"/>
                </w:tcPr>
                <w:p>
                  <w:pPr>
                    <w:pStyle w:val="40"/>
                    <w:rPr>
                      <w:rFonts w:hint="eastAsia"/>
                    </w:rPr>
                  </w:pPr>
                  <w:r>
                    <w:rPr>
                      <w:rFonts w:hint="eastAsia"/>
                      <w:lang w:val="en-US" w:eastAsia="zh-CN"/>
                    </w:rPr>
                    <w:t>3t/a</w:t>
                  </w:r>
                </w:p>
              </w:tc>
              <w:tc>
                <w:tcPr>
                  <w:tcW w:w="1042" w:type="dxa"/>
                  <w:vAlign w:val="center"/>
                </w:tcPr>
                <w:p>
                  <w:pPr>
                    <w:pStyle w:val="40"/>
                    <w:rPr>
                      <w:rFonts w:hint="eastAsia" w:eastAsia="新宋体"/>
                      <w:lang w:val="en-US" w:eastAsia="zh-CN"/>
                    </w:rPr>
                  </w:pPr>
                  <w:r>
                    <w:rPr>
                      <w:rFonts w:hint="eastAsia"/>
                      <w:lang w:val="en-US" w:eastAsia="zh-CN"/>
                    </w:rPr>
                    <w:t>印刷</w:t>
                  </w:r>
                </w:p>
              </w:tc>
              <w:tc>
                <w:tcPr>
                  <w:tcW w:w="641" w:type="dxa"/>
                  <w:vAlign w:val="center"/>
                </w:tcPr>
                <w:p>
                  <w:pPr>
                    <w:pStyle w:val="40"/>
                    <w:rPr>
                      <w:rFonts w:hint="eastAsia" w:eastAsia="新宋体"/>
                      <w:lang w:val="en-US" w:eastAsia="zh-CN"/>
                    </w:rPr>
                  </w:pPr>
                  <w:r>
                    <w:rPr>
                      <w:rFonts w:hint="eastAsia"/>
                      <w:lang w:val="en-US" w:eastAsia="zh-CN"/>
                    </w:rPr>
                    <w:t>液</w:t>
                  </w:r>
                </w:p>
              </w:tc>
              <w:tc>
                <w:tcPr>
                  <w:tcW w:w="681" w:type="dxa"/>
                  <w:vAlign w:val="center"/>
                </w:tcPr>
                <w:p>
                  <w:pPr>
                    <w:pStyle w:val="40"/>
                    <w:rPr>
                      <w:rFonts w:hint="eastAsia"/>
                    </w:rPr>
                  </w:pPr>
                  <w:r>
                    <w:rPr>
                      <w:rFonts w:hint="eastAsia"/>
                    </w:rPr>
                    <w:t>化学溶剂</w:t>
                  </w:r>
                </w:p>
              </w:tc>
              <w:tc>
                <w:tcPr>
                  <w:tcW w:w="680" w:type="dxa"/>
                  <w:vAlign w:val="center"/>
                </w:tcPr>
                <w:p>
                  <w:pPr>
                    <w:pStyle w:val="40"/>
                    <w:rPr>
                      <w:rFonts w:hint="eastAsia" w:eastAsia="新宋体"/>
                      <w:lang w:val="en-US" w:eastAsia="zh-CN"/>
                    </w:rPr>
                  </w:pPr>
                  <w:r>
                    <w:rPr>
                      <w:rFonts w:hint="eastAsia"/>
                      <w:lang w:val="en-US" w:eastAsia="zh-CN"/>
                    </w:rPr>
                    <w:t>1</w:t>
                  </w:r>
                </w:p>
              </w:tc>
              <w:tc>
                <w:tcPr>
                  <w:tcW w:w="677" w:type="dxa"/>
                  <w:vAlign w:val="center"/>
                </w:tcPr>
                <w:p>
                  <w:pPr>
                    <w:pStyle w:val="40"/>
                  </w:pPr>
                  <w:r>
                    <w:t>T/In</w:t>
                  </w:r>
                </w:p>
              </w:tc>
              <w:tc>
                <w:tcPr>
                  <w:tcW w:w="989" w:type="dxa"/>
                  <w:vMerge w:val="continue"/>
                  <w:vAlign w:val="center"/>
                </w:tcPr>
                <w:p>
                  <w:pPr>
                    <w:pStyle w:val="40"/>
                  </w:pPr>
                </w:p>
              </w:tc>
            </w:tr>
          </w:tbl>
          <w:p>
            <w:pPr>
              <w:pStyle w:val="5"/>
              <w:ind w:left="480" w:leftChars="200" w:firstLine="0" w:firstLineChars="0"/>
            </w:pPr>
            <w:r>
              <w:rPr>
                <w:rFonts w:hint="eastAsia"/>
              </w:rPr>
              <w:t>7、污染物排放量汇总</w:t>
            </w:r>
          </w:p>
          <w:p>
            <w:pPr>
              <w:pStyle w:val="29"/>
              <w:spacing w:before="65" w:after="65"/>
            </w:pPr>
            <w:r>
              <w:rPr>
                <w:rFonts w:hint="eastAsia"/>
              </w:rPr>
              <w:t>表5-1</w:t>
            </w:r>
            <w:r>
              <w:rPr>
                <w:rFonts w:hint="eastAsia"/>
                <w:lang w:val="en-US" w:eastAsia="zh-CN"/>
              </w:rPr>
              <w:t>2</w:t>
            </w:r>
            <w:r>
              <w:rPr>
                <w:rFonts w:hint="eastAsia"/>
              </w:rPr>
              <w:t xml:space="preserve"> 项目污染物排放量汇总一览表 单位 t/a</w:t>
            </w:r>
          </w:p>
          <w:tbl>
            <w:tblPr>
              <w:tblStyle w:val="24"/>
              <w:tblW w:w="9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2912"/>
              <w:gridCol w:w="1935"/>
              <w:gridCol w:w="2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noWrap/>
                  <w:vAlign w:val="center"/>
                </w:tcPr>
                <w:p>
                  <w:pPr>
                    <w:pStyle w:val="40"/>
                  </w:pPr>
                  <w:r>
                    <w:rPr>
                      <w:rFonts w:hint="eastAsia"/>
                    </w:rPr>
                    <w:t>类别</w:t>
                  </w:r>
                </w:p>
              </w:tc>
              <w:tc>
                <w:tcPr>
                  <w:tcW w:w="2912" w:type="dxa"/>
                  <w:noWrap/>
                  <w:vAlign w:val="center"/>
                </w:tcPr>
                <w:p>
                  <w:pPr>
                    <w:pStyle w:val="40"/>
                  </w:pPr>
                  <w:r>
                    <w:rPr>
                      <w:rFonts w:hint="eastAsia"/>
                    </w:rPr>
                    <w:t>污染物名称</w:t>
                  </w:r>
                </w:p>
              </w:tc>
              <w:tc>
                <w:tcPr>
                  <w:tcW w:w="1935" w:type="dxa"/>
                  <w:noWrap/>
                  <w:vAlign w:val="center"/>
                </w:tcPr>
                <w:p>
                  <w:pPr>
                    <w:pStyle w:val="40"/>
                    <w:rPr>
                      <w:rFonts w:hint="default" w:eastAsia="新宋体"/>
                      <w:lang w:val="en-US" w:eastAsia="zh-CN"/>
                    </w:rPr>
                  </w:pPr>
                  <w:r>
                    <w:rPr>
                      <w:rFonts w:hint="eastAsia"/>
                    </w:rPr>
                    <w:t>产生量</w:t>
                  </w:r>
                  <w:r>
                    <w:rPr>
                      <w:rFonts w:hint="eastAsia"/>
                      <w:lang w:val="en-US" w:eastAsia="zh-CN"/>
                    </w:rPr>
                    <w:t xml:space="preserve"> t/a</w:t>
                  </w:r>
                </w:p>
              </w:tc>
              <w:tc>
                <w:tcPr>
                  <w:tcW w:w="2974" w:type="dxa"/>
                  <w:noWrap/>
                  <w:vAlign w:val="center"/>
                </w:tcPr>
                <w:p>
                  <w:pPr>
                    <w:pStyle w:val="40"/>
                  </w:pPr>
                  <w:r>
                    <w:rPr>
                      <w:rFonts w:hint="eastAsia"/>
                    </w:rPr>
                    <w:t>排放量</w:t>
                  </w:r>
                  <w:r>
                    <w:rPr>
                      <w:rFonts w:hint="eastAsia"/>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restart"/>
                  <w:noWrap/>
                  <w:vAlign w:val="center"/>
                </w:tcPr>
                <w:p>
                  <w:pPr>
                    <w:pStyle w:val="40"/>
                  </w:pPr>
                  <w:r>
                    <w:rPr>
                      <w:rFonts w:hint="eastAsia"/>
                    </w:rPr>
                    <w:t>废气</w:t>
                  </w:r>
                </w:p>
              </w:tc>
              <w:tc>
                <w:tcPr>
                  <w:tcW w:w="2912" w:type="dxa"/>
                  <w:noWrap/>
                  <w:vAlign w:val="center"/>
                </w:tcPr>
                <w:p>
                  <w:pPr>
                    <w:pStyle w:val="40"/>
                  </w:pPr>
                  <w:r>
                    <w:rPr>
                      <w:rFonts w:hint="eastAsia"/>
                    </w:rPr>
                    <w:t>非甲烷总烃（有组织）</w:t>
                  </w:r>
                </w:p>
              </w:tc>
              <w:tc>
                <w:tcPr>
                  <w:tcW w:w="1935" w:type="dxa"/>
                  <w:noWrap/>
                  <w:vAlign w:val="center"/>
                </w:tcPr>
                <w:p>
                  <w:pPr>
                    <w:pStyle w:val="40"/>
                  </w:pPr>
                  <w:r>
                    <w:rPr>
                      <w:rFonts w:hint="eastAsia"/>
                    </w:rPr>
                    <w:t>0.261</w:t>
                  </w:r>
                </w:p>
              </w:tc>
              <w:tc>
                <w:tcPr>
                  <w:tcW w:w="2974" w:type="dxa"/>
                  <w:noWrap/>
                  <w:vAlign w:val="center"/>
                </w:tcPr>
                <w:p>
                  <w:pPr>
                    <w:pStyle w:val="40"/>
                  </w:pPr>
                  <w:r>
                    <w:rPr>
                      <w:rFonts w:hint="eastAsia"/>
                    </w:rPr>
                    <w:t>0.0261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非甲烷总烃（无组织）</w:t>
                  </w:r>
                </w:p>
              </w:tc>
              <w:tc>
                <w:tcPr>
                  <w:tcW w:w="1935" w:type="dxa"/>
                  <w:noWrap/>
                  <w:vAlign w:val="center"/>
                </w:tcPr>
                <w:p>
                  <w:pPr>
                    <w:pStyle w:val="40"/>
                  </w:pPr>
                  <w:r>
                    <w:rPr>
                      <w:rFonts w:hint="eastAsia"/>
                    </w:rPr>
                    <w:t>0.029</w:t>
                  </w:r>
                </w:p>
              </w:tc>
              <w:tc>
                <w:tcPr>
                  <w:tcW w:w="2974" w:type="dxa"/>
                  <w:noWrap/>
                  <w:vAlign w:val="center"/>
                </w:tcPr>
                <w:p>
                  <w:pPr>
                    <w:pStyle w:val="40"/>
                  </w:pPr>
                  <w:r>
                    <w:rPr>
                      <w:rFonts w:hint="eastAsia"/>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restart"/>
                  <w:noWrap/>
                  <w:vAlign w:val="center"/>
                </w:tcPr>
                <w:p>
                  <w:pPr>
                    <w:pStyle w:val="40"/>
                  </w:pPr>
                  <w:r>
                    <w:rPr>
                      <w:rFonts w:hint="eastAsia"/>
                    </w:rPr>
                    <w:t>废水</w:t>
                  </w:r>
                </w:p>
              </w:tc>
              <w:tc>
                <w:tcPr>
                  <w:tcW w:w="2912" w:type="dxa"/>
                  <w:noWrap/>
                  <w:vAlign w:val="center"/>
                </w:tcPr>
                <w:p>
                  <w:pPr>
                    <w:pStyle w:val="40"/>
                    <w:rPr>
                      <w:rFonts w:hint="eastAsia" w:eastAsia="新宋体"/>
                      <w:lang w:eastAsia="zh-CN"/>
                    </w:rPr>
                  </w:pPr>
                  <w:r>
                    <w:rPr>
                      <w:rFonts w:hint="eastAsia"/>
                    </w:rPr>
                    <w:t>废水量</w:t>
                  </w:r>
                  <w:r>
                    <w:rPr>
                      <w:rFonts w:hint="eastAsia"/>
                      <w:lang w:eastAsia="zh-CN"/>
                    </w:rPr>
                    <w:t>（</w:t>
                  </w:r>
                  <w:r>
                    <w:rPr>
                      <w:rFonts w:hint="eastAsia"/>
                      <w:lang w:val="en-US" w:eastAsia="zh-CN"/>
                    </w:rPr>
                    <w:t>生活污水</w:t>
                  </w:r>
                  <w:r>
                    <w:rPr>
                      <w:rFonts w:hint="eastAsia"/>
                      <w:lang w:eastAsia="zh-CN"/>
                    </w:rPr>
                    <w:t>）</w:t>
                  </w:r>
                </w:p>
              </w:tc>
              <w:tc>
                <w:tcPr>
                  <w:tcW w:w="1935" w:type="dxa"/>
                  <w:noWrap/>
                  <w:vAlign w:val="center"/>
                </w:tcPr>
                <w:p>
                  <w:pPr>
                    <w:pStyle w:val="40"/>
                  </w:pPr>
                  <w:r>
                    <w:rPr>
                      <w:rFonts w:hint="eastAsia"/>
                    </w:rPr>
                    <w:t>102</w:t>
                  </w:r>
                </w:p>
              </w:tc>
              <w:tc>
                <w:tcPr>
                  <w:tcW w:w="2974" w:type="dxa"/>
                  <w:noWrap/>
                  <w:vAlign w:val="center"/>
                </w:tcPr>
                <w:p>
                  <w:pPr>
                    <w:pStyle w:val="40"/>
                  </w:pPr>
                  <w:r>
                    <w:rPr>
                      <w:rFonts w:hint="eastAsia"/>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COD</w:t>
                  </w:r>
                </w:p>
              </w:tc>
              <w:tc>
                <w:tcPr>
                  <w:tcW w:w="1935" w:type="dxa"/>
                  <w:noWrap/>
                  <w:vAlign w:val="center"/>
                </w:tcPr>
                <w:p>
                  <w:pPr>
                    <w:pStyle w:val="40"/>
                  </w:pPr>
                  <w:r>
                    <w:rPr>
                      <w:rFonts w:hint="eastAsia"/>
                    </w:rPr>
                    <w:t>0.0306</w:t>
                  </w:r>
                </w:p>
              </w:tc>
              <w:tc>
                <w:tcPr>
                  <w:tcW w:w="2974" w:type="dxa"/>
                  <w:noWrap/>
                  <w:vAlign w:val="center"/>
                </w:tcPr>
                <w:p>
                  <w:pPr>
                    <w:pStyle w:val="40"/>
                  </w:pPr>
                  <w:r>
                    <w:rPr>
                      <w:rFonts w:hint="eastAsia"/>
                    </w:rPr>
                    <w:t>0.0286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BOD</w:t>
                  </w:r>
                  <w:r>
                    <w:rPr>
                      <w:rFonts w:hint="eastAsia"/>
                      <w:sz w:val="13"/>
                      <w:szCs w:val="13"/>
                    </w:rPr>
                    <w:t>5</w:t>
                  </w:r>
                </w:p>
              </w:tc>
              <w:tc>
                <w:tcPr>
                  <w:tcW w:w="1935" w:type="dxa"/>
                  <w:noWrap/>
                  <w:vAlign w:val="center"/>
                </w:tcPr>
                <w:p>
                  <w:pPr>
                    <w:pStyle w:val="40"/>
                  </w:pPr>
                  <w:r>
                    <w:rPr>
                      <w:rFonts w:hint="eastAsia"/>
                    </w:rPr>
                    <w:t>0.0153</w:t>
                  </w:r>
                </w:p>
              </w:tc>
              <w:tc>
                <w:tcPr>
                  <w:tcW w:w="2974" w:type="dxa"/>
                  <w:noWrap/>
                  <w:vAlign w:val="center"/>
                </w:tcPr>
                <w:p>
                  <w:pPr>
                    <w:pStyle w:val="40"/>
                  </w:pPr>
                  <w:r>
                    <w:rPr>
                      <w:rFonts w:hint="eastAsia"/>
                    </w:rPr>
                    <w:t>0.0143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SS</w:t>
                  </w:r>
                </w:p>
              </w:tc>
              <w:tc>
                <w:tcPr>
                  <w:tcW w:w="1935" w:type="dxa"/>
                  <w:noWrap/>
                  <w:vAlign w:val="center"/>
                </w:tcPr>
                <w:p>
                  <w:pPr>
                    <w:pStyle w:val="40"/>
                  </w:pPr>
                  <w:r>
                    <w:rPr>
                      <w:rFonts w:hint="eastAsia"/>
                    </w:rPr>
                    <w:t>0.0153</w:t>
                  </w:r>
                </w:p>
              </w:tc>
              <w:tc>
                <w:tcPr>
                  <w:tcW w:w="2974" w:type="dxa"/>
                  <w:noWrap/>
                  <w:vAlign w:val="center"/>
                </w:tcPr>
                <w:p>
                  <w:pPr>
                    <w:pStyle w:val="40"/>
                  </w:pPr>
                  <w:r>
                    <w:rPr>
                      <w:rFonts w:hint="eastAsia"/>
                    </w:rPr>
                    <w:t>0.0153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氨氮</w:t>
                  </w:r>
                </w:p>
              </w:tc>
              <w:tc>
                <w:tcPr>
                  <w:tcW w:w="1935" w:type="dxa"/>
                  <w:noWrap/>
                  <w:vAlign w:val="center"/>
                </w:tcPr>
                <w:p>
                  <w:pPr>
                    <w:pStyle w:val="40"/>
                  </w:pPr>
                  <w:r>
                    <w:rPr>
                      <w:rFonts w:hint="eastAsia"/>
                    </w:rPr>
                    <w:t>0.00306</w:t>
                  </w:r>
                </w:p>
              </w:tc>
              <w:tc>
                <w:tcPr>
                  <w:tcW w:w="2974" w:type="dxa"/>
                  <w:noWrap/>
                  <w:vAlign w:val="center"/>
                </w:tcPr>
                <w:p>
                  <w:pPr>
                    <w:pStyle w:val="40"/>
                  </w:pPr>
                  <w:r>
                    <w:rPr>
                      <w:rFonts w:hint="eastAsia"/>
                    </w:rPr>
                    <w:t>0.00245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restart"/>
                  <w:noWrap/>
                  <w:vAlign w:val="center"/>
                </w:tcPr>
                <w:p>
                  <w:pPr>
                    <w:pStyle w:val="40"/>
                  </w:pPr>
                  <w:r>
                    <w:rPr>
                      <w:rFonts w:hint="eastAsia"/>
                    </w:rPr>
                    <w:t>固体废物</w:t>
                  </w:r>
                </w:p>
              </w:tc>
              <w:tc>
                <w:tcPr>
                  <w:tcW w:w="2912" w:type="dxa"/>
                  <w:noWrap/>
                  <w:vAlign w:val="center"/>
                </w:tcPr>
                <w:p>
                  <w:pPr>
                    <w:pStyle w:val="40"/>
                    <w:rPr>
                      <w:rFonts w:hint="eastAsia" w:ascii="Times New Roman" w:hAnsi="Times New Roman" w:eastAsia="新宋体" w:cs="Times New Roman"/>
                      <w:kern w:val="2"/>
                      <w:sz w:val="21"/>
                      <w:szCs w:val="20"/>
                      <w:lang w:val="en-US" w:eastAsia="zh-CN" w:bidi="ar-SA"/>
                    </w:rPr>
                  </w:pPr>
                  <w:r>
                    <w:rPr>
                      <w:rFonts w:hint="eastAsia"/>
                      <w:lang w:val="en-US" w:eastAsia="zh-CN"/>
                    </w:rPr>
                    <w:t>印刷清洗废水</w:t>
                  </w:r>
                </w:p>
              </w:tc>
              <w:tc>
                <w:tcPr>
                  <w:tcW w:w="1935" w:type="dxa"/>
                  <w:noWrap/>
                  <w:vAlign w:val="center"/>
                </w:tcPr>
                <w:p>
                  <w:pPr>
                    <w:pStyle w:val="40"/>
                    <w:rPr>
                      <w:rFonts w:hint="eastAsia" w:ascii="Times New Roman" w:hAnsi="Times New Roman" w:eastAsia="新宋体" w:cs="Times New Roman"/>
                      <w:kern w:val="2"/>
                      <w:sz w:val="21"/>
                      <w:szCs w:val="20"/>
                      <w:lang w:val="en-US" w:eastAsia="zh-CN" w:bidi="ar-SA"/>
                    </w:rPr>
                  </w:pPr>
                  <w:r>
                    <w:rPr>
                      <w:rFonts w:hint="eastAsia"/>
                      <w:lang w:val="en-US" w:eastAsia="zh-CN"/>
                    </w:rPr>
                    <w:t>3</w:t>
                  </w:r>
                </w:p>
              </w:tc>
              <w:tc>
                <w:tcPr>
                  <w:tcW w:w="2974" w:type="dxa"/>
                  <w:noWrap/>
                  <w:vAlign w:val="center"/>
                </w:tcPr>
                <w:p>
                  <w:pPr>
                    <w:pStyle w:val="40"/>
                    <w:rPr>
                      <w:rFonts w:hint="eastAsia" w:ascii="Times New Roman" w:hAnsi="Times New Roman" w:eastAsia="新宋体" w:cs="Times New Roman"/>
                      <w:kern w:val="2"/>
                      <w:sz w:val="21"/>
                      <w:szCs w:val="20"/>
                      <w:lang w:val="en-US" w:eastAsia="zh-CN" w:bidi="ar-SA"/>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边角料</w:t>
                  </w:r>
                </w:p>
              </w:tc>
              <w:tc>
                <w:tcPr>
                  <w:tcW w:w="1935" w:type="dxa"/>
                  <w:noWrap/>
                  <w:vAlign w:val="center"/>
                </w:tcPr>
                <w:p>
                  <w:pPr>
                    <w:pStyle w:val="40"/>
                  </w:pPr>
                  <w:r>
                    <w:rPr>
                      <w:rFonts w:hint="eastAsia"/>
                    </w:rPr>
                    <w:t>5</w:t>
                  </w:r>
                </w:p>
              </w:tc>
              <w:tc>
                <w:tcPr>
                  <w:tcW w:w="2974" w:type="dxa"/>
                  <w:noWrap/>
                  <w:vAlign w:val="center"/>
                </w:tcPr>
                <w:p>
                  <w:pPr>
                    <w:pStyle w:val="40"/>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rPr>
                      <w:rFonts w:hint="eastAsia" w:eastAsia="新宋体"/>
                      <w:lang w:eastAsia="zh-CN"/>
                    </w:rPr>
                  </w:pPr>
                  <w:r>
                    <w:rPr>
                      <w:rFonts w:hint="eastAsia"/>
                      <w:lang w:eastAsia="zh-CN"/>
                    </w:rPr>
                    <w:t>废油墨桶、废胶桶</w:t>
                  </w:r>
                </w:p>
              </w:tc>
              <w:tc>
                <w:tcPr>
                  <w:tcW w:w="1935" w:type="dxa"/>
                  <w:noWrap/>
                  <w:vAlign w:val="center"/>
                </w:tcPr>
                <w:p>
                  <w:pPr>
                    <w:pStyle w:val="40"/>
                  </w:pPr>
                  <w:r>
                    <w:rPr>
                      <w:rFonts w:hint="eastAsia"/>
                    </w:rPr>
                    <w:t>0.1</w:t>
                  </w:r>
                </w:p>
              </w:tc>
              <w:tc>
                <w:tcPr>
                  <w:tcW w:w="2974" w:type="dxa"/>
                  <w:noWrap/>
                  <w:vAlign w:val="center"/>
                </w:tcPr>
                <w:p>
                  <w:pPr>
                    <w:pStyle w:val="40"/>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废活性炭</w:t>
                  </w:r>
                </w:p>
              </w:tc>
              <w:tc>
                <w:tcPr>
                  <w:tcW w:w="1935" w:type="dxa"/>
                  <w:noWrap/>
                  <w:vAlign w:val="center"/>
                </w:tcPr>
                <w:p>
                  <w:pPr>
                    <w:pStyle w:val="40"/>
                  </w:pPr>
                  <w:r>
                    <w:rPr>
                      <w:rFonts w:hint="eastAsia"/>
                    </w:rPr>
                    <w:t>0.33147</w:t>
                  </w:r>
                </w:p>
              </w:tc>
              <w:tc>
                <w:tcPr>
                  <w:tcW w:w="2974" w:type="dxa"/>
                  <w:noWrap/>
                  <w:vAlign w:val="center"/>
                </w:tcPr>
                <w:p>
                  <w:pPr>
                    <w:pStyle w:val="40"/>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废UV光管</w:t>
                  </w:r>
                </w:p>
              </w:tc>
              <w:tc>
                <w:tcPr>
                  <w:tcW w:w="1935" w:type="dxa"/>
                  <w:noWrap/>
                  <w:vAlign w:val="center"/>
                </w:tcPr>
                <w:p>
                  <w:pPr>
                    <w:pStyle w:val="40"/>
                  </w:pPr>
                  <w:r>
                    <w:rPr>
                      <w:rFonts w:hint="eastAsia"/>
                    </w:rPr>
                    <w:t>0.064</w:t>
                  </w:r>
                </w:p>
              </w:tc>
              <w:tc>
                <w:tcPr>
                  <w:tcW w:w="2974" w:type="dxa"/>
                  <w:noWrap/>
                  <w:vAlign w:val="center"/>
                </w:tcPr>
                <w:p>
                  <w:pPr>
                    <w:pStyle w:val="40"/>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生活垃圾</w:t>
                  </w:r>
                </w:p>
              </w:tc>
              <w:tc>
                <w:tcPr>
                  <w:tcW w:w="1935" w:type="dxa"/>
                  <w:noWrap/>
                  <w:vAlign w:val="center"/>
                </w:tcPr>
                <w:p>
                  <w:pPr>
                    <w:pStyle w:val="40"/>
                  </w:pPr>
                  <w:r>
                    <w:rPr>
                      <w:rFonts w:hint="eastAsia"/>
                    </w:rPr>
                    <w:t>2.4</w:t>
                  </w:r>
                </w:p>
              </w:tc>
              <w:tc>
                <w:tcPr>
                  <w:tcW w:w="2974" w:type="dxa"/>
                  <w:noWrap/>
                  <w:vAlign w:val="center"/>
                </w:tcPr>
                <w:p>
                  <w:pPr>
                    <w:pStyle w:val="40"/>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废含油墨抹布</w:t>
                  </w:r>
                </w:p>
              </w:tc>
              <w:tc>
                <w:tcPr>
                  <w:tcW w:w="1935" w:type="dxa"/>
                  <w:noWrap/>
                  <w:vAlign w:val="center"/>
                </w:tcPr>
                <w:p>
                  <w:pPr>
                    <w:pStyle w:val="40"/>
                  </w:pPr>
                  <w:r>
                    <w:rPr>
                      <w:rFonts w:hint="eastAsia"/>
                    </w:rPr>
                    <w:t>0.002</w:t>
                  </w:r>
                </w:p>
              </w:tc>
              <w:tc>
                <w:tcPr>
                  <w:tcW w:w="2974" w:type="dxa"/>
                  <w:noWrap/>
                  <w:vAlign w:val="center"/>
                </w:tcPr>
                <w:p>
                  <w:pPr>
                    <w:pStyle w:val="40"/>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废印刷板</w:t>
                  </w:r>
                </w:p>
              </w:tc>
              <w:tc>
                <w:tcPr>
                  <w:tcW w:w="1935" w:type="dxa"/>
                  <w:noWrap/>
                  <w:vAlign w:val="center"/>
                </w:tcPr>
                <w:p>
                  <w:pPr>
                    <w:pStyle w:val="40"/>
                  </w:pPr>
                  <w:r>
                    <w:rPr>
                      <w:rFonts w:hint="eastAsia"/>
                    </w:rPr>
                    <w:t>0.06t/a</w:t>
                  </w:r>
                </w:p>
              </w:tc>
              <w:tc>
                <w:tcPr>
                  <w:tcW w:w="2974" w:type="dxa"/>
                  <w:noWrap/>
                  <w:vAlign w:val="center"/>
                </w:tcPr>
                <w:p>
                  <w:pPr>
                    <w:pStyle w:val="40"/>
                  </w:pPr>
                  <w:r>
                    <w:rPr>
                      <w:rFonts w:hint="eastAsia"/>
                    </w:rPr>
                    <w:t>0</w:t>
                  </w:r>
                </w:p>
              </w:tc>
            </w:tr>
          </w:tbl>
          <w:p>
            <w:pPr>
              <w:pStyle w:val="10"/>
            </w:pPr>
          </w:p>
        </w:tc>
      </w:tr>
    </w:tbl>
    <w:p>
      <w:pPr>
        <w:pStyle w:val="3"/>
      </w:pPr>
      <w:r>
        <w:rPr>
          <w:rFonts w:hint="eastAsia"/>
        </w:rPr>
        <w:t>六、项目主要污染物产生和预计排放情况</w:t>
      </w:r>
    </w:p>
    <w:tbl>
      <w:tblPr>
        <w:tblStyle w:val="23"/>
        <w:tblW w:w="945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538"/>
        <w:gridCol w:w="917"/>
        <w:gridCol w:w="838"/>
        <w:gridCol w:w="1567"/>
        <w:gridCol w:w="1916"/>
        <w:gridCol w:w="26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1538" w:type="dxa"/>
            <w:tcBorders>
              <w:tl2br w:val="nil"/>
              <w:tr2bl w:val="nil"/>
            </w:tcBorders>
            <w:vAlign w:val="center"/>
          </w:tcPr>
          <w:p>
            <w:pPr>
              <w:pStyle w:val="40"/>
            </w:pPr>
            <w:r>
              <mc:AlternateContent>
                <mc:Choice Requires="wps">
                  <w:drawing>
                    <wp:anchor distT="0" distB="0" distL="114300" distR="114300" simplePos="0" relativeHeight="251670528" behindDoc="0" locked="0" layoutInCell="1" allowOverlap="1">
                      <wp:simplePos x="0" y="0"/>
                      <wp:positionH relativeFrom="column">
                        <wp:posOffset>-14605</wp:posOffset>
                      </wp:positionH>
                      <wp:positionV relativeFrom="paragraph">
                        <wp:posOffset>5080</wp:posOffset>
                      </wp:positionV>
                      <wp:extent cx="973455" cy="407035"/>
                      <wp:effectExtent l="1905" t="4445" r="15240" b="7620"/>
                      <wp:wrapNone/>
                      <wp:docPr id="58" name="直接连接符 58"/>
                      <wp:cNvGraphicFramePr/>
                      <a:graphic xmlns:a="http://schemas.openxmlformats.org/drawingml/2006/main">
                        <a:graphicData uri="http://schemas.microsoft.com/office/word/2010/wordprocessingShape">
                          <wps:wsp>
                            <wps:cNvCnPr/>
                            <wps:spPr>
                              <a:xfrm>
                                <a:off x="0" y="0"/>
                                <a:ext cx="649605" cy="4070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15pt;margin-top:0.4pt;height:32.05pt;width:76.65pt;z-index:251670528;mso-width-relative:page;mso-height-relative:page;" filled="f" stroked="t" coordsize="21600,21600" o:gfxdata="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w84KdUAAAAGAQAADwAAAAAAAAABACAAAAAiAAAAZHJzL2Rvd25yZXYueG1sUEsBAhQA&#10;FAAAAAgAh07iQMNpH3z1AQAA7AMAAA4AAAAAAAAAAQAgAAAAJAEAAGRycy9lMm9Eb2MueG1sUEsF&#10;BgAAAAAGAAYAWQEAAIsFAAAAAA==&#10;">
                      <v:fill on="f" focussize="0,0"/>
                      <v:stroke color="#000000" joinstyle="round"/>
                      <v:imagedata o:title=""/>
                      <o:lock v:ext="edit" aspectratio="f"/>
                    </v:line>
                  </w:pict>
                </mc:Fallback>
              </mc:AlternateContent>
            </w:r>
            <w:r>
              <w:rPr>
                <w:rFonts w:hint="eastAsia"/>
              </w:rPr>
              <w:t xml:space="preserve">        </w:t>
            </w:r>
            <w:r>
              <w:t>内容</w:t>
            </w:r>
          </w:p>
          <w:p>
            <w:pPr>
              <w:pStyle w:val="40"/>
            </w:pPr>
            <w:r>
              <w:t>类型</w:t>
            </w:r>
          </w:p>
        </w:tc>
        <w:tc>
          <w:tcPr>
            <w:tcW w:w="1755" w:type="dxa"/>
            <w:gridSpan w:val="2"/>
            <w:tcBorders>
              <w:tl2br w:val="nil"/>
              <w:tr2bl w:val="nil"/>
            </w:tcBorders>
            <w:vAlign w:val="center"/>
          </w:tcPr>
          <w:p>
            <w:pPr>
              <w:pStyle w:val="40"/>
              <w:rPr>
                <w:highlight w:val="none"/>
              </w:rPr>
            </w:pPr>
            <w:r>
              <w:t>排放源</w:t>
            </w:r>
          </w:p>
          <w:p>
            <w:pPr>
              <w:pStyle w:val="40"/>
            </w:pPr>
            <w:r>
              <w:t>(编</w:t>
            </w:r>
            <w:r>
              <w:rPr>
                <w:highlight w:val="none"/>
              </w:rPr>
              <w:t>号</w:t>
            </w:r>
            <w:r>
              <w:t>)</w:t>
            </w:r>
          </w:p>
        </w:tc>
        <w:tc>
          <w:tcPr>
            <w:tcW w:w="1567" w:type="dxa"/>
            <w:tcBorders>
              <w:tl2br w:val="nil"/>
              <w:tr2bl w:val="nil"/>
            </w:tcBorders>
            <w:vAlign w:val="center"/>
          </w:tcPr>
          <w:p>
            <w:pPr>
              <w:pStyle w:val="40"/>
            </w:pPr>
            <w:r>
              <w:t>污染物</w:t>
            </w:r>
          </w:p>
          <w:p>
            <w:pPr>
              <w:pStyle w:val="40"/>
            </w:pPr>
            <w:r>
              <w:t>名称</w:t>
            </w:r>
          </w:p>
        </w:tc>
        <w:tc>
          <w:tcPr>
            <w:tcW w:w="1916" w:type="dxa"/>
            <w:tcBorders>
              <w:tl2br w:val="nil"/>
              <w:tr2bl w:val="nil"/>
            </w:tcBorders>
            <w:vAlign w:val="center"/>
          </w:tcPr>
          <w:p>
            <w:pPr>
              <w:pStyle w:val="40"/>
            </w:pPr>
            <w:r>
              <w:t>处理前产生浓度及产生</w:t>
            </w:r>
            <w:r>
              <w:rPr>
                <w:highlight w:val="none"/>
              </w:rPr>
              <w:t>量</w:t>
            </w:r>
            <w:r>
              <w:t>(单</w:t>
            </w:r>
            <w:r>
              <w:rPr>
                <w:highlight w:val="none"/>
              </w:rPr>
              <w:t>位</w:t>
            </w:r>
            <w:r>
              <w:t>)</w:t>
            </w:r>
          </w:p>
        </w:tc>
        <w:tc>
          <w:tcPr>
            <w:tcW w:w="2675" w:type="dxa"/>
            <w:tcBorders>
              <w:tl2br w:val="nil"/>
              <w:tr2bl w:val="nil"/>
            </w:tcBorders>
            <w:vAlign w:val="center"/>
          </w:tcPr>
          <w:p>
            <w:pPr>
              <w:pStyle w:val="40"/>
              <w:rPr>
                <w:highlight w:val="none"/>
              </w:rPr>
            </w:pPr>
            <w:r>
              <w:t>排放浓度及排放量</w:t>
            </w:r>
          </w:p>
          <w:p>
            <w:pPr>
              <w:pStyle w:val="40"/>
            </w:pPr>
            <w:r>
              <w:t>(单</w:t>
            </w:r>
            <w:r>
              <w:rPr>
                <w:highlight w:val="none"/>
              </w:rPr>
              <w:t>位</w:t>
            </w:r>
            <w: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28" w:hRule="atLeast"/>
          <w:jc w:val="center"/>
        </w:trPr>
        <w:tc>
          <w:tcPr>
            <w:tcW w:w="1538" w:type="dxa"/>
            <w:vMerge w:val="restart"/>
            <w:tcBorders>
              <w:tl2br w:val="nil"/>
              <w:tr2bl w:val="nil"/>
            </w:tcBorders>
            <w:vAlign w:val="center"/>
          </w:tcPr>
          <w:p>
            <w:pPr>
              <w:pStyle w:val="40"/>
            </w:pPr>
            <w:r>
              <w:t>大气</w:t>
            </w:r>
          </w:p>
          <w:p>
            <w:pPr>
              <w:pStyle w:val="40"/>
            </w:pPr>
            <w:r>
              <w:t>污染物</w:t>
            </w:r>
          </w:p>
        </w:tc>
        <w:tc>
          <w:tcPr>
            <w:tcW w:w="917" w:type="dxa"/>
            <w:vMerge w:val="restart"/>
            <w:tcBorders>
              <w:right w:val="single" w:color="auto" w:sz="4" w:space="0"/>
              <w:tl2br w:val="nil"/>
              <w:tr2bl w:val="nil"/>
            </w:tcBorders>
            <w:vAlign w:val="center"/>
          </w:tcPr>
          <w:p>
            <w:pPr>
              <w:pStyle w:val="40"/>
            </w:pPr>
            <w:r>
              <w:rPr>
                <w:rFonts w:hint="eastAsia"/>
              </w:rPr>
              <w:t>印刷工序</w:t>
            </w:r>
          </w:p>
        </w:tc>
        <w:tc>
          <w:tcPr>
            <w:tcW w:w="838" w:type="dxa"/>
            <w:tcBorders>
              <w:left w:val="single" w:color="auto" w:sz="4" w:space="0"/>
              <w:tl2br w:val="nil"/>
              <w:tr2bl w:val="nil"/>
            </w:tcBorders>
            <w:vAlign w:val="center"/>
          </w:tcPr>
          <w:p>
            <w:pPr>
              <w:pStyle w:val="40"/>
            </w:pPr>
            <w:r>
              <w:rPr>
                <w:rFonts w:hint="eastAsia"/>
              </w:rPr>
              <w:t>有组织</w:t>
            </w:r>
          </w:p>
        </w:tc>
        <w:tc>
          <w:tcPr>
            <w:tcW w:w="1567" w:type="dxa"/>
            <w:tcBorders>
              <w:tl2br w:val="nil"/>
              <w:tr2bl w:val="nil"/>
            </w:tcBorders>
            <w:vAlign w:val="center"/>
          </w:tcPr>
          <w:p>
            <w:pPr>
              <w:pStyle w:val="40"/>
            </w:pPr>
            <w:r>
              <w:rPr>
                <w:rFonts w:hint="eastAsia"/>
              </w:rPr>
              <w:t>有组织非甲烷总烃</w:t>
            </w:r>
          </w:p>
        </w:tc>
        <w:tc>
          <w:tcPr>
            <w:tcW w:w="1916" w:type="dxa"/>
            <w:tcBorders>
              <w:tl2br w:val="nil"/>
              <w:tr2bl w:val="nil"/>
            </w:tcBorders>
            <w:vAlign w:val="center"/>
          </w:tcPr>
          <w:p>
            <w:pPr>
              <w:pStyle w:val="40"/>
            </w:pPr>
            <w:r>
              <w:rPr>
                <w:rFonts w:hint="eastAsia"/>
              </w:rPr>
              <w:t>21.75mg/</w:t>
            </w:r>
            <w:r>
              <w:rPr>
                <w:rFonts w:hint="eastAsia"/>
                <w:highlight w:val="none"/>
              </w:rPr>
              <w:t>m</w:t>
            </w:r>
            <w:r>
              <w:rPr>
                <w:rFonts w:hint="eastAsia"/>
                <w:highlight w:val="none"/>
                <w:vertAlign w:val="superscript"/>
              </w:rPr>
              <w:t>3</w:t>
            </w:r>
            <w:r>
              <w:rPr>
                <w:rFonts w:hint="eastAsia"/>
              </w:rPr>
              <w:t>；0.261t/a</w:t>
            </w:r>
          </w:p>
        </w:tc>
        <w:tc>
          <w:tcPr>
            <w:tcW w:w="2675" w:type="dxa"/>
            <w:tcBorders>
              <w:tl2br w:val="nil"/>
              <w:tr2bl w:val="nil"/>
            </w:tcBorders>
            <w:vAlign w:val="center"/>
          </w:tcPr>
          <w:p>
            <w:pPr>
              <w:pStyle w:val="40"/>
            </w:pPr>
            <w:r>
              <w:rPr>
                <w:rFonts w:hint="eastAsia"/>
              </w:rPr>
              <w:t>2.175mg/</w:t>
            </w:r>
            <w:r>
              <w:rPr>
                <w:rFonts w:hint="eastAsia"/>
                <w:highlight w:val="none"/>
              </w:rPr>
              <w:t>m</w:t>
            </w:r>
            <w:r>
              <w:rPr>
                <w:rFonts w:hint="eastAsia"/>
                <w:highlight w:val="none"/>
                <w:vertAlign w:val="superscript"/>
              </w:rPr>
              <w:t>3</w:t>
            </w:r>
            <w:r>
              <w:rPr>
                <w:rFonts w:hint="eastAsia"/>
              </w:rPr>
              <w:t>；0.0261t/a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32" w:hRule="atLeast"/>
          <w:jc w:val="center"/>
        </w:trPr>
        <w:tc>
          <w:tcPr>
            <w:tcW w:w="1538" w:type="dxa"/>
            <w:vMerge w:val="continue"/>
            <w:tcBorders>
              <w:tl2br w:val="nil"/>
              <w:tr2bl w:val="nil"/>
            </w:tcBorders>
            <w:vAlign w:val="center"/>
          </w:tcPr>
          <w:p>
            <w:pPr>
              <w:pStyle w:val="40"/>
            </w:pPr>
          </w:p>
        </w:tc>
        <w:tc>
          <w:tcPr>
            <w:tcW w:w="917" w:type="dxa"/>
            <w:vMerge w:val="continue"/>
            <w:tcBorders>
              <w:right w:val="single" w:color="auto" w:sz="4" w:space="0"/>
              <w:tl2br w:val="nil"/>
              <w:tr2bl w:val="nil"/>
            </w:tcBorders>
            <w:vAlign w:val="center"/>
          </w:tcPr>
          <w:p>
            <w:pPr>
              <w:pStyle w:val="40"/>
            </w:pPr>
          </w:p>
        </w:tc>
        <w:tc>
          <w:tcPr>
            <w:tcW w:w="838" w:type="dxa"/>
            <w:tcBorders>
              <w:top w:val="single" w:color="auto" w:sz="4" w:space="0"/>
              <w:left w:val="single" w:color="auto" w:sz="4" w:space="0"/>
              <w:tl2br w:val="nil"/>
              <w:tr2bl w:val="nil"/>
            </w:tcBorders>
            <w:vAlign w:val="center"/>
          </w:tcPr>
          <w:p>
            <w:pPr>
              <w:pStyle w:val="40"/>
            </w:pPr>
            <w:r>
              <w:rPr>
                <w:rFonts w:hint="eastAsia"/>
              </w:rPr>
              <w:t>无组织</w:t>
            </w:r>
          </w:p>
        </w:tc>
        <w:tc>
          <w:tcPr>
            <w:tcW w:w="1567" w:type="dxa"/>
            <w:tcBorders>
              <w:tl2br w:val="nil"/>
              <w:tr2bl w:val="nil"/>
            </w:tcBorders>
            <w:vAlign w:val="center"/>
          </w:tcPr>
          <w:p>
            <w:pPr>
              <w:pStyle w:val="40"/>
            </w:pPr>
            <w:r>
              <w:rPr>
                <w:rFonts w:hint="eastAsia"/>
              </w:rPr>
              <w:t>无组织非甲烷总烃</w:t>
            </w:r>
          </w:p>
        </w:tc>
        <w:tc>
          <w:tcPr>
            <w:tcW w:w="1916" w:type="dxa"/>
            <w:tcBorders>
              <w:tl2br w:val="nil"/>
              <w:tr2bl w:val="nil"/>
            </w:tcBorders>
            <w:vAlign w:val="center"/>
          </w:tcPr>
          <w:p>
            <w:pPr>
              <w:pStyle w:val="40"/>
            </w:pPr>
            <w:r>
              <w:rPr>
                <w:rFonts w:hint="eastAsia"/>
              </w:rPr>
              <w:t>0.029t/a</w:t>
            </w:r>
          </w:p>
        </w:tc>
        <w:tc>
          <w:tcPr>
            <w:tcW w:w="2675" w:type="dxa"/>
            <w:tcBorders>
              <w:tl2br w:val="nil"/>
              <w:tr2bl w:val="nil"/>
            </w:tcBorders>
            <w:vAlign w:val="center"/>
          </w:tcPr>
          <w:p>
            <w:pPr>
              <w:pStyle w:val="40"/>
            </w:pPr>
            <w:r>
              <w:rPr>
                <w:rFonts w:hint="eastAsia"/>
              </w:rPr>
              <w:t>0.029t/a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1538" w:type="dxa"/>
            <w:tcBorders>
              <w:tl2br w:val="nil"/>
              <w:tr2bl w:val="nil"/>
            </w:tcBorders>
            <w:vAlign w:val="center"/>
          </w:tcPr>
          <w:p>
            <w:pPr>
              <w:pStyle w:val="40"/>
            </w:pPr>
            <w:r>
              <w:t>水</w:t>
            </w:r>
          </w:p>
          <w:p>
            <w:pPr>
              <w:pStyle w:val="40"/>
            </w:pPr>
            <w:r>
              <w:t>污染物</w:t>
            </w:r>
          </w:p>
        </w:tc>
        <w:tc>
          <w:tcPr>
            <w:tcW w:w="1755" w:type="dxa"/>
            <w:gridSpan w:val="2"/>
            <w:tcBorders>
              <w:tl2br w:val="nil"/>
              <w:tr2bl w:val="nil"/>
            </w:tcBorders>
            <w:vAlign w:val="center"/>
          </w:tcPr>
          <w:p>
            <w:pPr>
              <w:pStyle w:val="40"/>
            </w:pPr>
            <w:r>
              <w:t>生活污水</w:t>
            </w:r>
          </w:p>
          <w:p>
            <w:pPr>
              <w:pStyle w:val="40"/>
            </w:pPr>
            <w:r>
              <w:rPr>
                <w:rFonts w:hint="eastAsia"/>
              </w:rPr>
              <w:t>102t</w:t>
            </w:r>
            <w:r>
              <w:t>/a</w:t>
            </w:r>
          </w:p>
        </w:tc>
        <w:tc>
          <w:tcPr>
            <w:tcW w:w="1567" w:type="dxa"/>
            <w:tcBorders>
              <w:tl2br w:val="nil"/>
              <w:tr2bl w:val="nil"/>
            </w:tcBorders>
            <w:vAlign w:val="center"/>
          </w:tcPr>
          <w:p>
            <w:pPr>
              <w:pStyle w:val="40"/>
            </w:pPr>
            <w:r>
              <w:t>COD</w:t>
            </w:r>
          </w:p>
          <w:p>
            <w:pPr>
              <w:pStyle w:val="40"/>
            </w:pPr>
            <w:r>
              <w:t>BOD5</w:t>
            </w:r>
          </w:p>
          <w:p>
            <w:pPr>
              <w:pStyle w:val="40"/>
            </w:pPr>
            <w:r>
              <w:t>SS</w:t>
            </w:r>
          </w:p>
          <w:p>
            <w:pPr>
              <w:pStyle w:val="40"/>
            </w:pPr>
            <w:r>
              <w:t>氨氮</w:t>
            </w:r>
          </w:p>
        </w:tc>
        <w:tc>
          <w:tcPr>
            <w:tcW w:w="1916" w:type="dxa"/>
            <w:tcBorders>
              <w:tl2br w:val="nil"/>
              <w:tr2bl w:val="nil"/>
            </w:tcBorders>
            <w:vAlign w:val="center"/>
          </w:tcPr>
          <w:p>
            <w:pPr>
              <w:pStyle w:val="40"/>
            </w:pPr>
            <w:r>
              <w:t>300mg/l；</w:t>
            </w:r>
            <w:r>
              <w:rPr>
                <w:rFonts w:hint="eastAsia"/>
              </w:rPr>
              <w:t>0.0306</w:t>
            </w:r>
            <w:r>
              <w:t>t/a</w:t>
            </w:r>
          </w:p>
          <w:p>
            <w:pPr>
              <w:pStyle w:val="40"/>
            </w:pPr>
            <w:r>
              <w:rPr>
                <w:rFonts w:hint="eastAsia"/>
              </w:rPr>
              <w:t>150</w:t>
            </w:r>
            <w:r>
              <w:t>mg/l；</w:t>
            </w:r>
            <w:r>
              <w:rPr>
                <w:rFonts w:hint="eastAsia"/>
              </w:rPr>
              <w:t>0.0153</w:t>
            </w:r>
            <w:r>
              <w:t>t/a</w:t>
            </w:r>
          </w:p>
          <w:p>
            <w:pPr>
              <w:pStyle w:val="40"/>
            </w:pPr>
            <w:r>
              <w:rPr>
                <w:rFonts w:hint="eastAsia"/>
              </w:rPr>
              <w:t>150</w:t>
            </w:r>
            <w:r>
              <w:t>mg/l；0.</w:t>
            </w:r>
            <w:r>
              <w:rPr>
                <w:rFonts w:hint="eastAsia"/>
              </w:rPr>
              <w:t>0153</w:t>
            </w:r>
            <w:r>
              <w:t>t/a</w:t>
            </w:r>
          </w:p>
          <w:p>
            <w:pPr>
              <w:pStyle w:val="40"/>
            </w:pPr>
            <w:r>
              <w:rPr>
                <w:rFonts w:hint="eastAsia"/>
              </w:rPr>
              <w:t>30</w:t>
            </w:r>
            <w:r>
              <w:t>mg/l；0.0</w:t>
            </w:r>
            <w:r>
              <w:rPr>
                <w:rFonts w:hint="eastAsia"/>
              </w:rPr>
              <w:t>0306</w:t>
            </w:r>
            <w:r>
              <w:t>t/a</w:t>
            </w:r>
          </w:p>
        </w:tc>
        <w:tc>
          <w:tcPr>
            <w:tcW w:w="2675" w:type="dxa"/>
            <w:tcBorders>
              <w:tl2br w:val="nil"/>
              <w:tr2bl w:val="nil"/>
            </w:tcBorders>
            <w:vAlign w:val="center"/>
          </w:tcPr>
          <w:p>
            <w:pPr>
              <w:pStyle w:val="40"/>
            </w:pPr>
            <w:r>
              <w:rPr>
                <w:rFonts w:hint="eastAsia"/>
              </w:rPr>
              <w:t>280</w:t>
            </w:r>
            <w:r>
              <w:t>mg/l；</w:t>
            </w:r>
            <w:r>
              <w:rPr>
                <w:rFonts w:hint="eastAsia"/>
              </w:rPr>
              <w:t>0.0286</w:t>
            </w:r>
            <w:r>
              <w:t>t/a</w:t>
            </w:r>
          </w:p>
          <w:p>
            <w:pPr>
              <w:pStyle w:val="40"/>
            </w:pPr>
            <w:r>
              <w:rPr>
                <w:rFonts w:hint="eastAsia"/>
              </w:rPr>
              <w:t>140</w:t>
            </w:r>
            <w:r>
              <w:t>mg/l；0.</w:t>
            </w:r>
            <w:r>
              <w:rPr>
                <w:rFonts w:hint="eastAsia"/>
              </w:rPr>
              <w:t>0143</w:t>
            </w:r>
            <w:r>
              <w:t>t/a</w:t>
            </w:r>
          </w:p>
          <w:p>
            <w:pPr>
              <w:pStyle w:val="40"/>
            </w:pPr>
            <w:r>
              <w:t>1</w:t>
            </w:r>
            <w:r>
              <w:rPr>
                <w:rFonts w:hint="eastAsia"/>
              </w:rPr>
              <w:t>5</w:t>
            </w:r>
            <w:r>
              <w:t>0mg/l；0.</w:t>
            </w:r>
            <w:r>
              <w:rPr>
                <w:rFonts w:hint="eastAsia"/>
              </w:rPr>
              <w:t>0153</w:t>
            </w:r>
            <w:r>
              <w:t>t/a</w:t>
            </w:r>
          </w:p>
          <w:p>
            <w:pPr>
              <w:pStyle w:val="40"/>
            </w:pPr>
            <w:r>
              <w:rPr>
                <w:rFonts w:hint="eastAsia"/>
              </w:rPr>
              <w:t>24</w:t>
            </w:r>
            <w:r>
              <w:t>mg/l；0.0</w:t>
            </w:r>
            <w:r>
              <w:rPr>
                <w:rFonts w:hint="eastAsia"/>
              </w:rPr>
              <w:t>0245</w:t>
            </w:r>
            <w: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1538" w:type="dxa"/>
            <w:vMerge w:val="restart"/>
            <w:tcBorders>
              <w:tl2br w:val="nil"/>
              <w:tr2bl w:val="nil"/>
            </w:tcBorders>
            <w:vAlign w:val="center"/>
          </w:tcPr>
          <w:p>
            <w:pPr>
              <w:pStyle w:val="40"/>
            </w:pPr>
            <w:r>
              <w:t>固体</w:t>
            </w:r>
          </w:p>
          <w:p>
            <w:pPr>
              <w:pStyle w:val="40"/>
            </w:pPr>
            <w:r>
              <w:t>废物</w:t>
            </w:r>
          </w:p>
        </w:tc>
        <w:tc>
          <w:tcPr>
            <w:tcW w:w="1755" w:type="dxa"/>
            <w:gridSpan w:val="2"/>
            <w:vMerge w:val="restart"/>
            <w:tcBorders>
              <w:tl2br w:val="nil"/>
              <w:tr2bl w:val="nil"/>
            </w:tcBorders>
            <w:vAlign w:val="center"/>
          </w:tcPr>
          <w:p>
            <w:pPr>
              <w:pStyle w:val="40"/>
            </w:pPr>
            <w:r>
              <w:t>一般固废</w:t>
            </w:r>
          </w:p>
        </w:tc>
        <w:tc>
          <w:tcPr>
            <w:tcW w:w="1567" w:type="dxa"/>
            <w:tcBorders>
              <w:tl2br w:val="nil"/>
              <w:tr2bl w:val="nil"/>
            </w:tcBorders>
            <w:vAlign w:val="center"/>
          </w:tcPr>
          <w:p>
            <w:pPr>
              <w:pStyle w:val="40"/>
            </w:pPr>
            <w:r>
              <w:rPr>
                <w:rFonts w:hint="eastAsia"/>
              </w:rPr>
              <w:t>废纸边角料</w:t>
            </w:r>
          </w:p>
        </w:tc>
        <w:tc>
          <w:tcPr>
            <w:tcW w:w="1916" w:type="dxa"/>
            <w:tcBorders>
              <w:tl2br w:val="nil"/>
              <w:tr2bl w:val="nil"/>
            </w:tcBorders>
            <w:vAlign w:val="center"/>
          </w:tcPr>
          <w:p>
            <w:pPr>
              <w:pStyle w:val="40"/>
            </w:pPr>
            <w:r>
              <w:rPr>
                <w:rFonts w:hint="eastAsia"/>
              </w:rPr>
              <w:t>0.09</w:t>
            </w:r>
            <w:r>
              <w:t>t/a</w:t>
            </w:r>
          </w:p>
        </w:tc>
        <w:tc>
          <w:tcPr>
            <w:tcW w:w="2675" w:type="dxa"/>
            <w:tcBorders>
              <w:tl2br w:val="nil"/>
              <w:tr2bl w:val="nil"/>
            </w:tcBorders>
            <w:vAlign w:val="center"/>
          </w:tcPr>
          <w:p>
            <w:pPr>
              <w:pStyle w:val="40"/>
            </w:pPr>
            <w:r>
              <w:rPr>
                <w:rFonts w:hint="eastAsia"/>
              </w:rPr>
              <w:t>外售给物资回收部门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1538" w:type="dxa"/>
            <w:vMerge w:val="continue"/>
            <w:tcBorders>
              <w:tl2br w:val="nil"/>
              <w:tr2bl w:val="nil"/>
            </w:tcBorders>
            <w:vAlign w:val="center"/>
          </w:tcPr>
          <w:p>
            <w:pPr>
              <w:pStyle w:val="40"/>
            </w:pPr>
          </w:p>
        </w:tc>
        <w:tc>
          <w:tcPr>
            <w:tcW w:w="1755" w:type="dxa"/>
            <w:gridSpan w:val="2"/>
            <w:vMerge w:val="continue"/>
            <w:tcBorders>
              <w:tl2br w:val="nil"/>
              <w:tr2bl w:val="nil"/>
            </w:tcBorders>
            <w:vAlign w:val="center"/>
          </w:tcPr>
          <w:p>
            <w:pPr>
              <w:pStyle w:val="40"/>
            </w:pPr>
          </w:p>
        </w:tc>
        <w:tc>
          <w:tcPr>
            <w:tcW w:w="1567" w:type="dxa"/>
            <w:tcBorders>
              <w:tl2br w:val="nil"/>
              <w:tr2bl w:val="nil"/>
            </w:tcBorders>
            <w:vAlign w:val="center"/>
          </w:tcPr>
          <w:p>
            <w:pPr>
              <w:pStyle w:val="40"/>
              <w:rPr>
                <w:rFonts w:hint="eastAsia"/>
              </w:rPr>
            </w:pPr>
            <w:r>
              <w:t>废</w:t>
            </w:r>
            <w:r>
              <w:rPr>
                <w:rFonts w:hint="eastAsia"/>
              </w:rPr>
              <w:t>含油墨抹布</w:t>
            </w:r>
          </w:p>
        </w:tc>
        <w:tc>
          <w:tcPr>
            <w:tcW w:w="1916" w:type="dxa"/>
            <w:tcBorders>
              <w:tl2br w:val="nil"/>
              <w:tr2bl w:val="nil"/>
            </w:tcBorders>
            <w:vAlign w:val="center"/>
          </w:tcPr>
          <w:p>
            <w:pPr>
              <w:pStyle w:val="40"/>
              <w:rPr>
                <w:rFonts w:hint="eastAsia"/>
              </w:rPr>
            </w:pPr>
            <w:r>
              <w:t>0.</w:t>
            </w:r>
            <w:r>
              <w:rPr>
                <w:rFonts w:hint="eastAsia"/>
              </w:rPr>
              <w:t>002</w:t>
            </w:r>
            <w:r>
              <w:t>t/a</w:t>
            </w:r>
          </w:p>
        </w:tc>
        <w:tc>
          <w:tcPr>
            <w:tcW w:w="2675" w:type="dxa"/>
            <w:tcBorders>
              <w:tl2br w:val="nil"/>
              <w:tr2bl w:val="nil"/>
            </w:tcBorders>
            <w:vAlign w:val="center"/>
          </w:tcPr>
          <w:p>
            <w:pPr>
              <w:pStyle w:val="40"/>
              <w:rPr>
                <w:rFonts w:hint="eastAsia"/>
              </w:rPr>
            </w:pPr>
            <w:r>
              <w:rPr>
                <w:rFonts w:hint="eastAsia"/>
              </w:rPr>
              <w:t>危废豁免，收集后暂存于危废库，定期交由环卫部门处理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18" w:hRule="atLeast"/>
          <w:jc w:val="center"/>
        </w:trPr>
        <w:tc>
          <w:tcPr>
            <w:tcW w:w="1538" w:type="dxa"/>
            <w:vMerge w:val="continue"/>
            <w:tcBorders>
              <w:tl2br w:val="nil"/>
              <w:tr2bl w:val="nil"/>
            </w:tcBorders>
            <w:vAlign w:val="center"/>
          </w:tcPr>
          <w:p>
            <w:pPr>
              <w:pStyle w:val="40"/>
            </w:pPr>
          </w:p>
        </w:tc>
        <w:tc>
          <w:tcPr>
            <w:tcW w:w="1755" w:type="dxa"/>
            <w:gridSpan w:val="2"/>
            <w:vMerge w:val="restart"/>
            <w:tcBorders>
              <w:tl2br w:val="nil"/>
              <w:tr2bl w:val="nil"/>
            </w:tcBorders>
            <w:vAlign w:val="center"/>
          </w:tcPr>
          <w:p>
            <w:pPr>
              <w:pStyle w:val="40"/>
            </w:pPr>
            <w:r>
              <w:t>危险固废</w:t>
            </w:r>
          </w:p>
        </w:tc>
        <w:tc>
          <w:tcPr>
            <w:tcW w:w="1567" w:type="dxa"/>
            <w:tcBorders>
              <w:tl2br w:val="nil"/>
              <w:tr2bl w:val="nil"/>
            </w:tcBorders>
            <w:vAlign w:val="center"/>
          </w:tcPr>
          <w:p>
            <w:pPr>
              <w:pStyle w:val="40"/>
              <w:rPr>
                <w:rFonts w:hint="eastAsia" w:eastAsia="新宋体"/>
                <w:lang w:eastAsia="zh-CN"/>
              </w:rPr>
            </w:pPr>
            <w:r>
              <w:rPr>
                <w:rFonts w:hint="eastAsia"/>
                <w:lang w:eastAsia="zh-CN"/>
              </w:rPr>
              <w:t>废油墨桶、废胶桶</w:t>
            </w:r>
          </w:p>
        </w:tc>
        <w:tc>
          <w:tcPr>
            <w:tcW w:w="1916" w:type="dxa"/>
            <w:tcBorders>
              <w:tl2br w:val="nil"/>
              <w:tr2bl w:val="nil"/>
            </w:tcBorders>
            <w:vAlign w:val="center"/>
          </w:tcPr>
          <w:p>
            <w:pPr>
              <w:pStyle w:val="40"/>
            </w:pPr>
            <w:r>
              <w:t>0.</w:t>
            </w:r>
            <w:r>
              <w:rPr>
                <w:rFonts w:hint="eastAsia"/>
              </w:rPr>
              <w:t>1</w:t>
            </w:r>
            <w:r>
              <w:t>t/a</w:t>
            </w:r>
          </w:p>
        </w:tc>
        <w:tc>
          <w:tcPr>
            <w:tcW w:w="2675" w:type="dxa"/>
            <w:tcBorders>
              <w:tl2br w:val="nil"/>
              <w:tr2bl w:val="nil"/>
            </w:tcBorders>
            <w:vAlign w:val="center"/>
          </w:tcPr>
          <w:p>
            <w:pPr>
              <w:pStyle w:val="40"/>
            </w:pPr>
            <w:r>
              <w:rPr>
                <w:rFonts w:hint="eastAsia"/>
              </w:rPr>
              <w:t>委托有资质单位处理处置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1538" w:type="dxa"/>
            <w:vMerge w:val="continue"/>
            <w:tcBorders>
              <w:tl2br w:val="nil"/>
              <w:tr2bl w:val="nil"/>
            </w:tcBorders>
            <w:vAlign w:val="center"/>
          </w:tcPr>
          <w:p>
            <w:pPr>
              <w:pStyle w:val="40"/>
            </w:pPr>
          </w:p>
        </w:tc>
        <w:tc>
          <w:tcPr>
            <w:tcW w:w="1755" w:type="dxa"/>
            <w:gridSpan w:val="2"/>
            <w:vMerge w:val="continue"/>
            <w:tcBorders>
              <w:tl2br w:val="nil"/>
              <w:tr2bl w:val="nil"/>
            </w:tcBorders>
            <w:vAlign w:val="center"/>
          </w:tcPr>
          <w:p>
            <w:pPr>
              <w:pStyle w:val="40"/>
            </w:pPr>
          </w:p>
        </w:tc>
        <w:tc>
          <w:tcPr>
            <w:tcW w:w="1567" w:type="dxa"/>
            <w:tcBorders>
              <w:tl2br w:val="nil"/>
              <w:tr2bl w:val="nil"/>
            </w:tcBorders>
            <w:vAlign w:val="center"/>
          </w:tcPr>
          <w:p>
            <w:pPr>
              <w:pStyle w:val="40"/>
            </w:pPr>
            <w:r>
              <w:rPr>
                <w:rFonts w:hint="eastAsia"/>
              </w:rPr>
              <w:t>废活性炭</w:t>
            </w:r>
          </w:p>
        </w:tc>
        <w:tc>
          <w:tcPr>
            <w:tcW w:w="1916" w:type="dxa"/>
            <w:tcBorders>
              <w:tl2br w:val="nil"/>
              <w:tr2bl w:val="nil"/>
            </w:tcBorders>
            <w:vAlign w:val="center"/>
          </w:tcPr>
          <w:p>
            <w:pPr>
              <w:pStyle w:val="40"/>
            </w:pPr>
            <w:r>
              <w:rPr>
                <w:rFonts w:hint="eastAsia"/>
              </w:rPr>
              <w:t>0.33147</w:t>
            </w:r>
            <w:r>
              <w:t>t/a</w:t>
            </w:r>
          </w:p>
        </w:tc>
        <w:tc>
          <w:tcPr>
            <w:tcW w:w="2675" w:type="dxa"/>
            <w:tcBorders>
              <w:tl2br w:val="nil"/>
              <w:tr2bl w:val="nil"/>
            </w:tcBorders>
            <w:vAlign w:val="center"/>
          </w:tcPr>
          <w:p>
            <w:pPr>
              <w:pStyle w:val="40"/>
            </w:pPr>
            <w:r>
              <w:rPr>
                <w:rFonts w:hint="eastAsia"/>
              </w:rPr>
              <w:t>委托有资质单位处理处置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1538" w:type="dxa"/>
            <w:vMerge w:val="continue"/>
            <w:tcBorders>
              <w:tl2br w:val="nil"/>
              <w:tr2bl w:val="nil"/>
            </w:tcBorders>
            <w:vAlign w:val="center"/>
          </w:tcPr>
          <w:p>
            <w:pPr>
              <w:pStyle w:val="40"/>
            </w:pPr>
          </w:p>
        </w:tc>
        <w:tc>
          <w:tcPr>
            <w:tcW w:w="1755" w:type="dxa"/>
            <w:gridSpan w:val="2"/>
            <w:vMerge w:val="continue"/>
            <w:tcBorders>
              <w:tl2br w:val="nil"/>
              <w:tr2bl w:val="nil"/>
            </w:tcBorders>
            <w:vAlign w:val="center"/>
          </w:tcPr>
          <w:p>
            <w:pPr>
              <w:pStyle w:val="40"/>
            </w:pPr>
          </w:p>
        </w:tc>
        <w:tc>
          <w:tcPr>
            <w:tcW w:w="1567" w:type="dxa"/>
            <w:tcBorders>
              <w:tl2br w:val="nil"/>
              <w:tr2bl w:val="nil"/>
            </w:tcBorders>
            <w:vAlign w:val="center"/>
          </w:tcPr>
          <w:p>
            <w:pPr>
              <w:pStyle w:val="40"/>
            </w:pPr>
            <w:r>
              <w:rPr>
                <w:rFonts w:hint="eastAsia"/>
              </w:rPr>
              <w:t>废UV灯管</w:t>
            </w:r>
          </w:p>
        </w:tc>
        <w:tc>
          <w:tcPr>
            <w:tcW w:w="1916" w:type="dxa"/>
            <w:tcBorders>
              <w:tl2br w:val="nil"/>
              <w:tr2bl w:val="nil"/>
            </w:tcBorders>
            <w:vAlign w:val="center"/>
          </w:tcPr>
          <w:p>
            <w:pPr>
              <w:pStyle w:val="40"/>
            </w:pPr>
            <w:r>
              <w:rPr>
                <w:rFonts w:hint="eastAsia"/>
              </w:rPr>
              <w:t>0.064t/a</w:t>
            </w:r>
          </w:p>
        </w:tc>
        <w:tc>
          <w:tcPr>
            <w:tcW w:w="2675" w:type="dxa"/>
            <w:tcBorders>
              <w:tl2br w:val="nil"/>
              <w:tr2bl w:val="nil"/>
            </w:tcBorders>
            <w:vAlign w:val="center"/>
          </w:tcPr>
          <w:p>
            <w:pPr>
              <w:pStyle w:val="40"/>
            </w:pPr>
            <w:r>
              <w:rPr>
                <w:rFonts w:hint="eastAsia"/>
              </w:rPr>
              <w:t>委托有资质单位处理处置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1538" w:type="dxa"/>
            <w:vMerge w:val="continue"/>
            <w:tcBorders>
              <w:tl2br w:val="nil"/>
              <w:tr2bl w:val="nil"/>
            </w:tcBorders>
            <w:vAlign w:val="center"/>
          </w:tcPr>
          <w:p>
            <w:pPr>
              <w:pStyle w:val="40"/>
            </w:pPr>
          </w:p>
        </w:tc>
        <w:tc>
          <w:tcPr>
            <w:tcW w:w="1755" w:type="dxa"/>
            <w:gridSpan w:val="2"/>
            <w:vMerge w:val="continue"/>
            <w:tcBorders>
              <w:tl2br w:val="nil"/>
              <w:tr2bl w:val="nil"/>
            </w:tcBorders>
            <w:vAlign w:val="center"/>
          </w:tcPr>
          <w:p>
            <w:pPr>
              <w:pStyle w:val="40"/>
            </w:pPr>
          </w:p>
        </w:tc>
        <w:tc>
          <w:tcPr>
            <w:tcW w:w="1567" w:type="dxa"/>
            <w:tcBorders>
              <w:tl2br w:val="nil"/>
              <w:tr2bl w:val="nil"/>
            </w:tcBorders>
            <w:vAlign w:val="center"/>
          </w:tcPr>
          <w:p>
            <w:pPr>
              <w:pStyle w:val="40"/>
            </w:pPr>
            <w:r>
              <w:rPr>
                <w:rFonts w:hint="eastAsia"/>
              </w:rPr>
              <w:t>废印刷板</w:t>
            </w:r>
          </w:p>
        </w:tc>
        <w:tc>
          <w:tcPr>
            <w:tcW w:w="1916" w:type="dxa"/>
            <w:tcBorders>
              <w:tl2br w:val="nil"/>
              <w:tr2bl w:val="nil"/>
            </w:tcBorders>
            <w:vAlign w:val="center"/>
          </w:tcPr>
          <w:p>
            <w:pPr>
              <w:pStyle w:val="40"/>
            </w:pPr>
            <w:r>
              <w:rPr>
                <w:rFonts w:hint="eastAsia"/>
              </w:rPr>
              <w:t>0.06t/a</w:t>
            </w:r>
          </w:p>
        </w:tc>
        <w:tc>
          <w:tcPr>
            <w:tcW w:w="2675" w:type="dxa"/>
            <w:tcBorders>
              <w:tl2br w:val="nil"/>
              <w:tr2bl w:val="nil"/>
            </w:tcBorders>
            <w:vAlign w:val="center"/>
          </w:tcPr>
          <w:p>
            <w:pPr>
              <w:pStyle w:val="40"/>
            </w:pPr>
            <w:r>
              <w:rPr>
                <w:rFonts w:hint="eastAsia"/>
              </w:rPr>
              <w:t>委托有资质单位处理处置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1538" w:type="dxa"/>
            <w:vMerge w:val="continue"/>
            <w:tcBorders>
              <w:tl2br w:val="nil"/>
              <w:tr2bl w:val="nil"/>
            </w:tcBorders>
            <w:vAlign w:val="center"/>
          </w:tcPr>
          <w:p>
            <w:pPr>
              <w:pStyle w:val="40"/>
            </w:pPr>
          </w:p>
        </w:tc>
        <w:tc>
          <w:tcPr>
            <w:tcW w:w="1755" w:type="dxa"/>
            <w:gridSpan w:val="2"/>
            <w:vMerge w:val="continue"/>
            <w:tcBorders>
              <w:tl2br w:val="nil"/>
              <w:tr2bl w:val="nil"/>
            </w:tcBorders>
            <w:vAlign w:val="center"/>
          </w:tcPr>
          <w:p>
            <w:pPr>
              <w:pStyle w:val="40"/>
            </w:pPr>
          </w:p>
        </w:tc>
        <w:tc>
          <w:tcPr>
            <w:tcW w:w="1567" w:type="dxa"/>
            <w:tcBorders>
              <w:tl2br w:val="nil"/>
              <w:tr2bl w:val="nil"/>
            </w:tcBorders>
            <w:vAlign w:val="center"/>
          </w:tcPr>
          <w:p>
            <w:pPr>
              <w:pStyle w:val="40"/>
              <w:rPr>
                <w:rFonts w:hint="default" w:eastAsia="新宋体"/>
                <w:lang w:val="en-US" w:eastAsia="zh-CN"/>
              </w:rPr>
            </w:pPr>
            <w:r>
              <w:rPr>
                <w:rFonts w:hint="eastAsia"/>
                <w:lang w:val="en-US" w:eastAsia="zh-CN"/>
              </w:rPr>
              <w:t>印刷清洗废水</w:t>
            </w:r>
          </w:p>
        </w:tc>
        <w:tc>
          <w:tcPr>
            <w:tcW w:w="1916" w:type="dxa"/>
            <w:tcBorders>
              <w:tl2br w:val="nil"/>
              <w:tr2bl w:val="nil"/>
            </w:tcBorders>
            <w:vAlign w:val="center"/>
          </w:tcPr>
          <w:p>
            <w:pPr>
              <w:pStyle w:val="40"/>
              <w:rPr>
                <w:rFonts w:hint="default" w:eastAsia="新宋体"/>
                <w:lang w:val="en-US" w:eastAsia="zh-CN"/>
              </w:rPr>
            </w:pPr>
            <w:r>
              <w:rPr>
                <w:rFonts w:hint="eastAsia"/>
                <w:lang w:val="en-US" w:eastAsia="zh-CN"/>
              </w:rPr>
              <w:t>3t/a</w:t>
            </w:r>
          </w:p>
        </w:tc>
        <w:tc>
          <w:tcPr>
            <w:tcW w:w="2675" w:type="dxa"/>
            <w:tcBorders>
              <w:tl2br w:val="nil"/>
              <w:tr2bl w:val="nil"/>
            </w:tcBorders>
            <w:vAlign w:val="center"/>
          </w:tcPr>
          <w:p>
            <w:pPr>
              <w:pStyle w:val="40"/>
              <w:rPr>
                <w:rFonts w:hint="eastAsia"/>
              </w:rPr>
            </w:pPr>
            <w:r>
              <w:rPr>
                <w:rFonts w:hint="eastAsia"/>
              </w:rPr>
              <w:t>委托有资质单位处理处置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1538" w:type="dxa"/>
            <w:vMerge w:val="continue"/>
            <w:tcBorders>
              <w:tl2br w:val="nil"/>
              <w:tr2bl w:val="nil"/>
            </w:tcBorders>
            <w:vAlign w:val="center"/>
          </w:tcPr>
          <w:p>
            <w:pPr>
              <w:pStyle w:val="40"/>
            </w:pPr>
          </w:p>
        </w:tc>
        <w:tc>
          <w:tcPr>
            <w:tcW w:w="1755" w:type="dxa"/>
            <w:gridSpan w:val="2"/>
            <w:tcBorders>
              <w:tl2br w:val="nil"/>
              <w:tr2bl w:val="nil"/>
            </w:tcBorders>
            <w:vAlign w:val="center"/>
          </w:tcPr>
          <w:p>
            <w:pPr>
              <w:pStyle w:val="40"/>
            </w:pPr>
            <w:r>
              <w:t>人员生活</w:t>
            </w:r>
          </w:p>
        </w:tc>
        <w:tc>
          <w:tcPr>
            <w:tcW w:w="1567" w:type="dxa"/>
            <w:tcBorders>
              <w:tl2br w:val="nil"/>
              <w:tr2bl w:val="nil"/>
            </w:tcBorders>
            <w:vAlign w:val="center"/>
          </w:tcPr>
          <w:p>
            <w:pPr>
              <w:pStyle w:val="40"/>
            </w:pPr>
            <w:r>
              <w:t>生活垃圾</w:t>
            </w:r>
          </w:p>
        </w:tc>
        <w:tc>
          <w:tcPr>
            <w:tcW w:w="1916" w:type="dxa"/>
            <w:tcBorders>
              <w:tl2br w:val="nil"/>
              <w:tr2bl w:val="nil"/>
            </w:tcBorders>
            <w:vAlign w:val="center"/>
          </w:tcPr>
          <w:p>
            <w:pPr>
              <w:pStyle w:val="40"/>
            </w:pPr>
            <w:r>
              <w:rPr>
                <w:rFonts w:hint="eastAsia"/>
              </w:rPr>
              <w:t>2.4</w:t>
            </w:r>
            <w:r>
              <w:t>t/a</w:t>
            </w:r>
          </w:p>
        </w:tc>
        <w:tc>
          <w:tcPr>
            <w:tcW w:w="2675" w:type="dxa"/>
            <w:tcBorders>
              <w:tl2br w:val="nil"/>
              <w:tr2bl w:val="nil"/>
            </w:tcBorders>
            <w:vAlign w:val="center"/>
          </w:tcPr>
          <w:p>
            <w:pPr>
              <w:pStyle w:val="40"/>
            </w:pPr>
            <w:r>
              <w:t>委托环卫清运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1538" w:type="dxa"/>
            <w:tcBorders>
              <w:tl2br w:val="nil"/>
              <w:tr2bl w:val="nil"/>
            </w:tcBorders>
            <w:vAlign w:val="center"/>
          </w:tcPr>
          <w:p>
            <w:pPr>
              <w:pStyle w:val="40"/>
            </w:pPr>
            <w:r>
              <w:t>噪声</w:t>
            </w:r>
          </w:p>
        </w:tc>
        <w:tc>
          <w:tcPr>
            <w:tcW w:w="7913" w:type="dxa"/>
            <w:gridSpan w:val="5"/>
            <w:tcBorders>
              <w:tl2br w:val="nil"/>
              <w:tr2bl w:val="nil"/>
            </w:tcBorders>
            <w:vAlign w:val="center"/>
          </w:tcPr>
          <w:p>
            <w:pPr>
              <w:pStyle w:val="40"/>
            </w:pPr>
            <w:r>
              <w:t>建设项目完成后，高噪声设备主要为</w:t>
            </w:r>
            <w:r>
              <w:rPr>
                <w:rFonts w:hint="eastAsia"/>
                <w:lang w:val="en-US" w:eastAsia="zh-CN"/>
              </w:rPr>
              <w:t>模切</w:t>
            </w:r>
            <w:r>
              <w:rPr>
                <w:rFonts w:hint="eastAsia"/>
              </w:rPr>
              <w:t>印刷</w:t>
            </w:r>
            <w:r>
              <w:rPr>
                <w:rFonts w:hint="eastAsia"/>
                <w:lang w:val="en-US" w:eastAsia="zh-CN"/>
              </w:rPr>
              <w:t>一体</w:t>
            </w:r>
            <w:r>
              <w:rPr>
                <w:rFonts w:hint="eastAsia"/>
              </w:rPr>
              <w:t>机、</w:t>
            </w:r>
            <w:r>
              <w:rPr>
                <w:rFonts w:hint="eastAsia"/>
                <w:highlight w:val="none"/>
              </w:rPr>
              <w:t>粘合</w:t>
            </w:r>
            <w:r>
              <w:rPr>
                <w:rFonts w:hint="eastAsia"/>
              </w:rPr>
              <w:t>机、钉箱机</w:t>
            </w:r>
            <w:r>
              <w:t>等，单台设备源强约</w:t>
            </w:r>
            <w:r>
              <w:rPr>
                <w:rFonts w:hint="eastAsia"/>
              </w:rPr>
              <w:t>70</w:t>
            </w:r>
            <w:r>
              <w:t>-</w:t>
            </w:r>
            <w:r>
              <w:rPr>
                <w:rFonts w:hint="eastAsia"/>
              </w:rPr>
              <w:t>75</w:t>
            </w:r>
            <w:r>
              <w:t>dB</w:t>
            </w:r>
            <w:r>
              <w:rPr>
                <w:highlight w:val="none"/>
              </w:rPr>
              <w:t>(</w:t>
            </w:r>
            <w:r>
              <w:t>A</w:t>
            </w:r>
            <w:r>
              <w:rPr>
                <w:highlight w:val="none"/>
              </w:rPr>
              <w:t>)</w:t>
            </w:r>
            <w:r>
              <w:t>，经采取减振、隔声等降噪措施</w:t>
            </w:r>
            <w:r>
              <w:rPr>
                <w:rFonts w:hint="eastAsia"/>
              </w:rPr>
              <w:t>，</w:t>
            </w:r>
            <w:r>
              <w:t>噪声源再经过距离衰减后，可使西厂界，东、南及北厂界周围昼夜间噪声排放满足《工业企业厂界环境噪声排放标准》（GB12348-2008）中</w:t>
            </w:r>
            <w:r>
              <w:rPr>
                <w:rFonts w:hint="eastAsia"/>
              </w:rPr>
              <w:t>3</w:t>
            </w:r>
            <w:r>
              <w:t>类标准要求。即：</w:t>
            </w:r>
            <w:r>
              <w:rPr>
                <w:rFonts w:hint="eastAsia"/>
              </w:rPr>
              <w:t>3</w:t>
            </w:r>
            <w:r>
              <w:t>类昼间噪声值≤6</w:t>
            </w:r>
            <w:r>
              <w:rPr>
                <w:rFonts w:hint="eastAsia"/>
              </w:rPr>
              <w:t>5</w:t>
            </w:r>
            <w:r>
              <w:t>dB</w:t>
            </w:r>
            <w:r>
              <w:rPr>
                <w:highlight w:val="none"/>
              </w:rPr>
              <w:t>(</w:t>
            </w:r>
            <w:r>
              <w:t>A</w:t>
            </w:r>
            <w:r>
              <w:rPr>
                <w:highlight w:val="none"/>
              </w:rPr>
              <w:t>)</w:t>
            </w:r>
            <w:r>
              <w:t>、</w:t>
            </w:r>
            <w:r>
              <w:rPr>
                <w:rFonts w:hint="eastAsia"/>
              </w:rPr>
              <w:t>3</w:t>
            </w:r>
            <w:r>
              <w:t>类夜间≤5</w:t>
            </w:r>
            <w:r>
              <w:rPr>
                <w:rFonts w:hint="eastAsia"/>
              </w:rPr>
              <w:t>5</w:t>
            </w:r>
            <w:r>
              <w:t>dB</w:t>
            </w:r>
            <w:r>
              <w:rPr>
                <w:highlight w:val="none"/>
              </w:rPr>
              <w:t>(</w:t>
            </w:r>
            <w:r>
              <w:t>A</w:t>
            </w:r>
            <w:r>
              <w:rPr>
                <w:highlight w:val="none"/>
              </w:rPr>
              <w:t>)</w:t>
            </w:r>
            <w: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9451" w:type="dxa"/>
            <w:gridSpan w:val="6"/>
            <w:tcBorders>
              <w:tl2br w:val="nil"/>
              <w:tr2bl w:val="nil"/>
            </w:tcBorders>
            <w:vAlign w:val="center"/>
          </w:tcPr>
          <w:p>
            <w:pPr>
              <w:pStyle w:val="40"/>
              <w:jc w:val="both"/>
            </w:pPr>
            <w:r>
              <w:t>主要生态影响（不够时可另附页）</w:t>
            </w:r>
          </w:p>
          <w:p>
            <w:pPr>
              <w:pStyle w:val="40"/>
              <w:ind w:firstLine="420" w:firstLineChars="200"/>
              <w:jc w:val="both"/>
            </w:pPr>
            <w:r>
              <w:t>无。</w:t>
            </w:r>
          </w:p>
          <w:p>
            <w:pPr>
              <w:pStyle w:val="40"/>
            </w:pPr>
          </w:p>
          <w:p>
            <w:pPr>
              <w:pStyle w:val="40"/>
            </w:pPr>
          </w:p>
          <w:p>
            <w:pPr>
              <w:pStyle w:val="40"/>
            </w:pPr>
          </w:p>
          <w:p>
            <w:pPr>
              <w:pStyle w:val="40"/>
            </w:pPr>
          </w:p>
          <w:p>
            <w:pPr>
              <w:pStyle w:val="40"/>
            </w:pPr>
          </w:p>
          <w:p>
            <w:pPr>
              <w:pStyle w:val="40"/>
            </w:pPr>
          </w:p>
        </w:tc>
      </w:tr>
    </w:tbl>
    <w:p>
      <w:r>
        <w:br w:type="page"/>
      </w:r>
    </w:p>
    <w:p>
      <w:pPr>
        <w:pStyle w:val="3"/>
      </w:pPr>
      <w:r>
        <w:rPr>
          <w:rFonts w:hint="eastAsia"/>
        </w:rPr>
        <w:t>七、环境影响分析</w:t>
      </w:r>
    </w:p>
    <w:tbl>
      <w:tblPr>
        <w:tblStyle w:val="24"/>
        <w:tblW w:w="0" w:type="auto"/>
        <w:tblInd w:w="1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2" w:hRule="atLeast"/>
        </w:trPr>
        <w:tc>
          <w:tcPr>
            <w:tcW w:w="9420" w:type="dxa"/>
            <w:noWrap/>
          </w:tcPr>
          <w:p>
            <w:pPr>
              <w:pStyle w:val="5"/>
            </w:pPr>
            <w:r>
              <w:rPr>
                <w:rFonts w:hint="eastAsia"/>
              </w:rPr>
              <w:t>本项目租用金安包装有限公司，为完建厂房，施工期仅需进行设备的安装调试。</w:t>
            </w:r>
          </w:p>
          <w:p>
            <w:pPr>
              <w:pStyle w:val="5"/>
            </w:pPr>
            <w:r>
              <w:rPr>
                <w:rFonts w:hint="eastAsia"/>
              </w:rPr>
              <w:t>由于本项目施工期较短且工程量较小，建设单位采取相应的措施后，工程建设期将不会对环境产生明显不利影响，并且这些影响会随着施工期的结束而消失</w:t>
            </w:r>
          </w:p>
          <w:p>
            <w:pPr>
              <w:pStyle w:val="5"/>
            </w:pPr>
            <w:r>
              <w:rPr>
                <w:rFonts w:hint="eastAsia"/>
              </w:rPr>
              <w:t>运营期环境影响分析：</w:t>
            </w:r>
          </w:p>
          <w:p>
            <w:pPr>
              <w:pStyle w:val="5"/>
            </w:pPr>
            <w:r>
              <w:rPr>
                <w:rFonts w:hint="eastAsia"/>
              </w:rPr>
              <w:t>建设项目完成后，营运期对环境的影响主要表现为废气、废水、噪声、固废等。</w:t>
            </w:r>
          </w:p>
          <w:p>
            <w:pPr>
              <w:pStyle w:val="4"/>
            </w:pPr>
            <w:r>
              <w:rPr>
                <w:rFonts w:hint="eastAsia"/>
              </w:rPr>
              <w:t>一、大气环境影响分析</w:t>
            </w:r>
          </w:p>
          <w:p>
            <w:pPr>
              <w:pStyle w:val="5"/>
            </w:pPr>
            <w:r>
              <w:rPr>
                <w:rFonts w:hint="eastAsia"/>
              </w:rPr>
              <w:t>1、废气治理措施</w:t>
            </w:r>
          </w:p>
          <w:p>
            <w:pPr>
              <w:pStyle w:val="5"/>
            </w:pPr>
            <w:r>
              <w:rPr>
                <w:rFonts w:hint="eastAsia"/>
              </w:rPr>
              <w:t>本项目废气主要为水墨印刷过程产生的有机废气。根据《安徽省大气污染防治条 例》、《挥发性有机物（</w:t>
            </w:r>
            <w:r>
              <w:t>VOCs</w:t>
            </w:r>
            <w:r>
              <w:rPr>
                <w:rFonts w:hint="eastAsia"/>
              </w:rPr>
              <w:t>）污染防治技术政策》以及《印刷工业污染防治可行技术指南》（</w:t>
            </w:r>
            <w:r>
              <w:t>HJ1089-2020</w:t>
            </w:r>
            <w:r>
              <w:rPr>
                <w:rFonts w:hint="eastAsia"/>
              </w:rPr>
              <w:t>）等要求：产生含挥发性有机物废气的生产活动，应当按照国家规定在密闭空间或者设备中进行，并安装、使用污染防治设施；项目设置封闭式车间，印刷过程中产生的有机废气通过在2台</w:t>
            </w:r>
            <w:r>
              <w:rPr>
                <w:rFonts w:hint="eastAsia"/>
                <w:lang w:val="en-US" w:eastAsia="zh-CN"/>
              </w:rPr>
              <w:t>模切</w:t>
            </w:r>
            <w:r>
              <w:rPr>
                <w:rFonts w:hint="eastAsia"/>
              </w:rPr>
              <w:t>印刷</w:t>
            </w:r>
            <w:r>
              <w:rPr>
                <w:rFonts w:hint="eastAsia"/>
                <w:lang w:val="en-US" w:eastAsia="zh-CN"/>
              </w:rPr>
              <w:t>一体</w:t>
            </w:r>
            <w:r>
              <w:rPr>
                <w:rFonts w:hint="eastAsia"/>
              </w:rPr>
              <w:t>机和一台</w:t>
            </w:r>
            <w:r>
              <w:rPr>
                <w:rFonts w:hint="eastAsia"/>
                <w:lang w:val="en-US" w:eastAsia="zh-CN"/>
              </w:rPr>
              <w:t>全自动</w:t>
            </w:r>
            <w:r>
              <w:rPr>
                <w:rFonts w:hint="eastAsia"/>
              </w:rPr>
              <w:t>粘合机废气点上方安装集风装置，废气经集风收集后使用</w:t>
            </w:r>
            <w:r>
              <w:t>UV</w:t>
            </w:r>
            <w:r>
              <w:rPr>
                <w:rFonts w:hint="eastAsia"/>
              </w:rPr>
              <w:t>光催化分解</w:t>
            </w:r>
            <w:r>
              <w:t>+</w:t>
            </w:r>
            <w:r>
              <w:rPr>
                <w:rFonts w:hint="eastAsia"/>
              </w:rPr>
              <w:t>活性炭吸附处理，最终经</w:t>
            </w:r>
            <w:r>
              <w:t>15m</w:t>
            </w:r>
            <w:r>
              <w:rPr>
                <w:rFonts w:hint="eastAsia"/>
              </w:rPr>
              <w:t>高排气筒有组织排放，未收集的有机废气再无组织排放。</w:t>
            </w:r>
          </w:p>
          <w:p>
            <w:pPr>
              <w:pStyle w:val="5"/>
              <w:numPr>
                <w:ilvl w:val="0"/>
                <w:numId w:val="9"/>
              </w:numPr>
            </w:pPr>
            <w:r>
              <w:rPr>
                <w:rFonts w:hint="eastAsia"/>
              </w:rPr>
              <w:t>废气收集方式、收集效率</w:t>
            </w:r>
          </w:p>
          <w:p>
            <w:pPr>
              <w:pStyle w:val="29"/>
              <w:spacing w:before="65" w:after="65"/>
            </w:pPr>
            <w:r>
              <w:rPr>
                <w:rFonts w:hint="eastAsia"/>
              </w:rPr>
              <w:t>表7-1 废气收集方式、收集效率一览表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70"/>
              <w:gridCol w:w="3390"/>
              <w:gridCol w:w="1125"/>
              <w:gridCol w:w="2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9" w:hRule="atLeast"/>
                <w:jc w:val="center"/>
              </w:trPr>
              <w:tc>
                <w:tcPr>
                  <w:tcW w:w="897" w:type="dxa"/>
                  <w:noWrap/>
                  <w:vAlign w:val="center"/>
                </w:tcPr>
                <w:p>
                  <w:pPr>
                    <w:pStyle w:val="40"/>
                  </w:pPr>
                  <w:r>
                    <w:rPr>
                      <w:rFonts w:hint="eastAsia"/>
                    </w:rPr>
                    <w:t>污染源</w:t>
                  </w:r>
                </w:p>
              </w:tc>
              <w:tc>
                <w:tcPr>
                  <w:tcW w:w="870" w:type="dxa"/>
                  <w:noWrap/>
                  <w:vAlign w:val="center"/>
                </w:tcPr>
                <w:p>
                  <w:pPr>
                    <w:pStyle w:val="40"/>
                  </w:pPr>
                  <w:r>
                    <w:rPr>
                      <w:rFonts w:hint="eastAsia"/>
                    </w:rPr>
                    <w:t>污染物</w:t>
                  </w:r>
                </w:p>
              </w:tc>
              <w:tc>
                <w:tcPr>
                  <w:tcW w:w="3390" w:type="dxa"/>
                  <w:noWrap/>
                  <w:vAlign w:val="center"/>
                </w:tcPr>
                <w:p>
                  <w:pPr>
                    <w:pStyle w:val="40"/>
                  </w:pPr>
                  <w:r>
                    <w:rPr>
                      <w:rFonts w:hint="eastAsia"/>
                    </w:rPr>
                    <w:t>收集方式</w:t>
                  </w:r>
                </w:p>
              </w:tc>
              <w:tc>
                <w:tcPr>
                  <w:tcW w:w="1125" w:type="dxa"/>
                  <w:noWrap/>
                  <w:vAlign w:val="center"/>
                </w:tcPr>
                <w:p>
                  <w:pPr>
                    <w:pStyle w:val="40"/>
                  </w:pPr>
                  <w:r>
                    <w:rPr>
                      <w:rFonts w:hint="eastAsia"/>
                    </w:rPr>
                    <w:t>收集效率</w:t>
                  </w:r>
                </w:p>
              </w:tc>
              <w:tc>
                <w:tcPr>
                  <w:tcW w:w="2912" w:type="dxa"/>
                  <w:noWrap/>
                  <w:vAlign w:val="center"/>
                </w:tcPr>
                <w:p>
                  <w:pPr>
                    <w:pStyle w:val="40"/>
                  </w:pPr>
                  <w:r>
                    <w:rPr>
                      <w:rFonts w:hint="eastAsia"/>
                    </w:rPr>
                    <w:t>废气净化措施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897" w:type="dxa"/>
                  <w:noWrap/>
                  <w:vAlign w:val="center"/>
                </w:tcPr>
                <w:p>
                  <w:pPr>
                    <w:pStyle w:val="40"/>
                  </w:pPr>
                  <w:r>
                    <w:rPr>
                      <w:rFonts w:hint="eastAsia"/>
                    </w:rPr>
                    <w:t>印刷机</w:t>
                  </w:r>
                </w:p>
              </w:tc>
              <w:tc>
                <w:tcPr>
                  <w:tcW w:w="870" w:type="dxa"/>
                  <w:noWrap/>
                  <w:vAlign w:val="center"/>
                </w:tcPr>
                <w:p>
                  <w:pPr>
                    <w:pStyle w:val="40"/>
                  </w:pPr>
                  <w:r>
                    <w:rPr>
                      <w:rFonts w:hint="eastAsia"/>
                    </w:rPr>
                    <w:t>VOCs</w:t>
                  </w:r>
                </w:p>
              </w:tc>
              <w:tc>
                <w:tcPr>
                  <w:tcW w:w="3390" w:type="dxa"/>
                  <w:noWrap/>
                  <w:vAlign w:val="center"/>
                </w:tcPr>
                <w:p>
                  <w:pPr>
                    <w:pStyle w:val="40"/>
                  </w:pPr>
                  <w:r>
                    <w:rPr>
                      <w:rFonts w:hint="eastAsia"/>
                    </w:rPr>
                    <w:t>设置封闭式车间，印刷机废气产生点上方或侧方安装集气罩</w:t>
                  </w:r>
                </w:p>
              </w:tc>
              <w:tc>
                <w:tcPr>
                  <w:tcW w:w="1125" w:type="dxa"/>
                  <w:noWrap/>
                  <w:vAlign w:val="center"/>
                </w:tcPr>
                <w:p>
                  <w:pPr>
                    <w:pStyle w:val="40"/>
                  </w:pPr>
                  <w:r>
                    <w:rPr>
                      <w:rFonts w:hint="eastAsia"/>
                    </w:rPr>
                    <w:t>90%</w:t>
                  </w:r>
                </w:p>
              </w:tc>
              <w:tc>
                <w:tcPr>
                  <w:tcW w:w="2912" w:type="dxa"/>
                  <w:noWrap/>
                  <w:vAlign w:val="center"/>
                </w:tcPr>
                <w:p>
                  <w:pPr>
                    <w:pStyle w:val="40"/>
                  </w:pPr>
                  <w:r>
                    <w:rPr>
                      <w:rFonts w:hint="eastAsia"/>
                    </w:rPr>
                    <w:t>采用</w:t>
                  </w:r>
                  <w:r>
                    <w:t>UV</w:t>
                  </w:r>
                  <w:r>
                    <w:rPr>
                      <w:rFonts w:hint="eastAsia"/>
                    </w:rPr>
                    <w:t>光解净化</w:t>
                  </w:r>
                  <w:r>
                    <w:t>+</w:t>
                  </w:r>
                  <w:r>
                    <w:rPr>
                      <w:rFonts w:hint="eastAsia"/>
                    </w:rPr>
                    <w:t>活性炭吸附装置</w:t>
                  </w:r>
                  <w:r>
                    <w:t xml:space="preserve">+15m </w:t>
                  </w:r>
                  <w:r>
                    <w:rPr>
                      <w:rFonts w:hint="eastAsia"/>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897" w:type="dxa"/>
                  <w:noWrap/>
                  <w:vAlign w:val="center"/>
                </w:tcPr>
                <w:p>
                  <w:pPr>
                    <w:pStyle w:val="40"/>
                  </w:pPr>
                  <w:r>
                    <w:rPr>
                      <w:rFonts w:hint="eastAsia"/>
                    </w:rPr>
                    <w:t>粘合机</w:t>
                  </w:r>
                </w:p>
              </w:tc>
              <w:tc>
                <w:tcPr>
                  <w:tcW w:w="870" w:type="dxa"/>
                  <w:noWrap/>
                  <w:vAlign w:val="center"/>
                </w:tcPr>
                <w:p>
                  <w:pPr>
                    <w:pStyle w:val="40"/>
                  </w:pPr>
                  <w:r>
                    <w:rPr>
                      <w:rFonts w:hint="eastAsia"/>
                    </w:rPr>
                    <w:t>VOCs</w:t>
                  </w:r>
                </w:p>
              </w:tc>
              <w:tc>
                <w:tcPr>
                  <w:tcW w:w="3390" w:type="dxa"/>
                  <w:noWrap/>
                  <w:vAlign w:val="center"/>
                </w:tcPr>
                <w:p>
                  <w:pPr>
                    <w:pStyle w:val="40"/>
                  </w:pPr>
                  <w:r>
                    <w:rPr>
                      <w:rFonts w:hint="eastAsia"/>
                    </w:rPr>
                    <w:t>设置封闭式车间，生产车间粘合机废气产生点上方或侧方安装集气罩</w:t>
                  </w:r>
                </w:p>
              </w:tc>
              <w:tc>
                <w:tcPr>
                  <w:tcW w:w="1125" w:type="dxa"/>
                  <w:noWrap/>
                  <w:vAlign w:val="center"/>
                </w:tcPr>
                <w:p>
                  <w:pPr>
                    <w:pStyle w:val="40"/>
                  </w:pPr>
                  <w:r>
                    <w:rPr>
                      <w:rFonts w:hint="eastAsia"/>
                    </w:rPr>
                    <w:t>90%</w:t>
                  </w:r>
                </w:p>
              </w:tc>
              <w:tc>
                <w:tcPr>
                  <w:tcW w:w="2912" w:type="dxa"/>
                  <w:noWrap/>
                  <w:vAlign w:val="center"/>
                </w:tcPr>
                <w:p>
                  <w:pPr>
                    <w:pStyle w:val="40"/>
                  </w:pPr>
                  <w:r>
                    <w:rPr>
                      <w:rFonts w:hint="eastAsia"/>
                    </w:rPr>
                    <w:t>采用</w:t>
                  </w:r>
                  <w:r>
                    <w:t>UV</w:t>
                  </w:r>
                  <w:r>
                    <w:rPr>
                      <w:rFonts w:hint="eastAsia"/>
                    </w:rPr>
                    <w:t>光解净化</w:t>
                  </w:r>
                  <w:r>
                    <w:t>+</w:t>
                  </w:r>
                  <w:r>
                    <w:rPr>
                      <w:rFonts w:hint="eastAsia"/>
                    </w:rPr>
                    <w:t>活性炭吸附装置</w:t>
                  </w:r>
                  <w:r>
                    <w:t xml:space="preserve">+15m </w:t>
                  </w:r>
                  <w:r>
                    <w:rPr>
                      <w:rFonts w:hint="eastAsia"/>
                    </w:rPr>
                    <w:t>排气筒</w:t>
                  </w:r>
                </w:p>
              </w:tc>
            </w:tr>
          </w:tbl>
          <w:p>
            <w:pPr>
              <w:pStyle w:val="5"/>
            </w:pPr>
            <w:r>
              <w:rPr>
                <w:rFonts w:hint="eastAsia"/>
              </w:rPr>
              <w:t>（二）项目废气治理措施技术参数、排气筒设置情况</w:t>
            </w:r>
          </w:p>
          <w:p>
            <w:pPr>
              <w:pStyle w:val="29"/>
              <w:spacing w:before="65" w:after="65"/>
            </w:pPr>
            <w:r>
              <w:rPr>
                <w:rFonts w:hint="eastAsia"/>
              </w:rPr>
              <w:t>表7-2 项目废气治理设施技术参数、排气筒设置情况一览表</w:t>
            </w:r>
          </w:p>
          <w:tbl>
            <w:tblPr>
              <w:tblStyle w:val="23"/>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870"/>
              <w:gridCol w:w="1798"/>
              <w:gridCol w:w="1620"/>
              <w:gridCol w:w="674"/>
              <w:gridCol w:w="881"/>
              <w:gridCol w:w="739"/>
              <w:gridCol w:w="793"/>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8" w:type="dxa"/>
                  <w:vMerge w:val="restart"/>
                  <w:noWrap/>
                  <w:vAlign w:val="center"/>
                </w:tcPr>
                <w:p>
                  <w:pPr>
                    <w:pStyle w:val="40"/>
                  </w:pPr>
                  <w:r>
                    <w:rPr>
                      <w:rFonts w:hint="eastAsia"/>
                    </w:rPr>
                    <w:t>污染源</w:t>
                  </w:r>
                </w:p>
              </w:tc>
              <w:tc>
                <w:tcPr>
                  <w:tcW w:w="870" w:type="dxa"/>
                  <w:vMerge w:val="restart"/>
                  <w:noWrap/>
                  <w:vAlign w:val="center"/>
                </w:tcPr>
                <w:p>
                  <w:pPr>
                    <w:pStyle w:val="40"/>
                  </w:pPr>
                  <w:r>
                    <w:rPr>
                      <w:rFonts w:hint="eastAsia"/>
                    </w:rPr>
                    <w:t>污染物</w:t>
                  </w:r>
                </w:p>
              </w:tc>
              <w:tc>
                <w:tcPr>
                  <w:tcW w:w="4973" w:type="dxa"/>
                  <w:gridSpan w:val="4"/>
                  <w:noWrap/>
                  <w:vAlign w:val="center"/>
                </w:tcPr>
                <w:p>
                  <w:pPr>
                    <w:pStyle w:val="40"/>
                  </w:pPr>
                  <w:r>
                    <w:rPr>
                      <w:rFonts w:hint="eastAsia"/>
                    </w:rPr>
                    <w:t>废气治理设施</w:t>
                  </w:r>
                </w:p>
              </w:tc>
              <w:tc>
                <w:tcPr>
                  <w:tcW w:w="2414" w:type="dxa"/>
                  <w:gridSpan w:val="3"/>
                  <w:noWrap/>
                  <w:vAlign w:val="center"/>
                </w:tcPr>
                <w:p>
                  <w:pPr>
                    <w:pStyle w:val="40"/>
                  </w:pPr>
                  <w:r>
                    <w:rPr>
                      <w:rFonts w:hint="eastAsia"/>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8" w:type="dxa"/>
                  <w:vMerge w:val="continue"/>
                  <w:noWrap/>
                  <w:vAlign w:val="center"/>
                </w:tcPr>
                <w:p>
                  <w:pPr>
                    <w:pStyle w:val="40"/>
                  </w:pPr>
                </w:p>
              </w:tc>
              <w:tc>
                <w:tcPr>
                  <w:tcW w:w="870" w:type="dxa"/>
                  <w:vMerge w:val="continue"/>
                  <w:noWrap/>
                  <w:vAlign w:val="center"/>
                </w:tcPr>
                <w:p>
                  <w:pPr>
                    <w:pStyle w:val="40"/>
                  </w:pPr>
                </w:p>
              </w:tc>
              <w:tc>
                <w:tcPr>
                  <w:tcW w:w="1798" w:type="dxa"/>
                  <w:noWrap/>
                  <w:vAlign w:val="center"/>
                </w:tcPr>
                <w:p>
                  <w:pPr>
                    <w:pStyle w:val="40"/>
                  </w:pPr>
                  <w:r>
                    <w:rPr>
                      <w:rFonts w:hint="eastAsia"/>
                    </w:rPr>
                    <w:t>治理设施</w:t>
                  </w:r>
                </w:p>
              </w:tc>
              <w:tc>
                <w:tcPr>
                  <w:tcW w:w="1620" w:type="dxa"/>
                  <w:noWrap/>
                  <w:vAlign w:val="center"/>
                </w:tcPr>
                <w:p>
                  <w:pPr>
                    <w:pStyle w:val="40"/>
                  </w:pPr>
                  <w:r>
                    <w:rPr>
                      <w:rFonts w:hint="eastAsia"/>
                    </w:rPr>
                    <w:t>工艺</w:t>
                  </w:r>
                </w:p>
              </w:tc>
              <w:tc>
                <w:tcPr>
                  <w:tcW w:w="674" w:type="dxa"/>
                  <w:noWrap/>
                  <w:vAlign w:val="center"/>
                </w:tcPr>
                <w:p>
                  <w:pPr>
                    <w:pStyle w:val="40"/>
                  </w:pPr>
                  <w:r>
                    <w:rPr>
                      <w:rFonts w:hint="eastAsia"/>
                    </w:rPr>
                    <w:t>去除</w:t>
                  </w:r>
                </w:p>
                <w:p>
                  <w:pPr>
                    <w:pStyle w:val="40"/>
                  </w:pPr>
                  <w:r>
                    <w:rPr>
                      <w:rFonts w:hint="eastAsia"/>
                    </w:rPr>
                    <w:t>效率</w:t>
                  </w:r>
                </w:p>
              </w:tc>
              <w:tc>
                <w:tcPr>
                  <w:tcW w:w="881" w:type="dxa"/>
                  <w:noWrap/>
                  <w:vAlign w:val="center"/>
                </w:tcPr>
                <w:p>
                  <w:pPr>
                    <w:pStyle w:val="40"/>
                  </w:pPr>
                  <w:r>
                    <w:rPr>
                      <w:rFonts w:hint="eastAsia"/>
                    </w:rPr>
                    <w:t>风量</w:t>
                  </w:r>
                </w:p>
                <w:p>
                  <w:pPr>
                    <w:pStyle w:val="40"/>
                  </w:pPr>
                  <w:r>
                    <w:rPr>
                      <w:rFonts w:hint="eastAsia"/>
                    </w:rPr>
                    <w:t>(</w:t>
                  </w:r>
                  <w:r>
                    <w:t>m3/h</w:t>
                  </w:r>
                  <w:r>
                    <w:rPr>
                      <w:rFonts w:hint="eastAsia"/>
                    </w:rPr>
                    <w:t>)</w:t>
                  </w:r>
                </w:p>
              </w:tc>
              <w:tc>
                <w:tcPr>
                  <w:tcW w:w="739" w:type="dxa"/>
                  <w:noWrap/>
                  <w:vAlign w:val="center"/>
                </w:tcPr>
                <w:p>
                  <w:pPr>
                    <w:pStyle w:val="40"/>
                  </w:pPr>
                  <w:r>
                    <w:rPr>
                      <w:rFonts w:hint="eastAsia"/>
                    </w:rPr>
                    <w:t>高度</w:t>
                  </w:r>
                </w:p>
              </w:tc>
              <w:tc>
                <w:tcPr>
                  <w:tcW w:w="793" w:type="dxa"/>
                  <w:noWrap/>
                  <w:vAlign w:val="center"/>
                </w:tcPr>
                <w:p>
                  <w:pPr>
                    <w:pStyle w:val="40"/>
                  </w:pPr>
                  <w:r>
                    <w:rPr>
                      <w:rFonts w:hint="eastAsia"/>
                    </w:rPr>
                    <w:t>出口</w:t>
                  </w:r>
                </w:p>
                <w:p>
                  <w:pPr>
                    <w:pStyle w:val="40"/>
                  </w:pPr>
                  <w:r>
                    <w:rPr>
                      <w:rFonts w:hint="eastAsia"/>
                    </w:rPr>
                    <w:t>内径</w:t>
                  </w:r>
                </w:p>
              </w:tc>
              <w:tc>
                <w:tcPr>
                  <w:tcW w:w="882" w:type="dxa"/>
                  <w:noWrap/>
                  <w:vAlign w:val="center"/>
                </w:tcPr>
                <w:p>
                  <w:pPr>
                    <w:pStyle w:val="40"/>
                  </w:pPr>
                  <w:r>
                    <w:rPr>
                      <w:rFonts w:hint="eastAsia"/>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8" w:type="dxa"/>
                  <w:noWrap/>
                  <w:vAlign w:val="center"/>
                </w:tcPr>
                <w:p>
                  <w:pPr>
                    <w:pStyle w:val="40"/>
                  </w:pPr>
                  <w:r>
                    <w:rPr>
                      <w:rFonts w:hint="eastAsia"/>
                    </w:rPr>
                    <w:t>印刷机</w:t>
                  </w:r>
                </w:p>
              </w:tc>
              <w:tc>
                <w:tcPr>
                  <w:tcW w:w="870" w:type="dxa"/>
                  <w:noWrap/>
                  <w:vAlign w:val="center"/>
                </w:tcPr>
                <w:p>
                  <w:pPr>
                    <w:pStyle w:val="40"/>
                  </w:pPr>
                  <w:r>
                    <w:rPr>
                      <w:rFonts w:hint="eastAsia"/>
                    </w:rPr>
                    <w:t>VOCs</w:t>
                  </w:r>
                </w:p>
              </w:tc>
              <w:tc>
                <w:tcPr>
                  <w:tcW w:w="1798" w:type="dxa"/>
                  <w:noWrap/>
                  <w:vAlign w:val="center"/>
                </w:tcPr>
                <w:p>
                  <w:pPr>
                    <w:pStyle w:val="40"/>
                  </w:pPr>
                  <w:r>
                    <w:rPr>
                      <w:rFonts w:hint="eastAsia"/>
                    </w:rPr>
                    <w:t>UV光解净化+活性炭吸附装置</w:t>
                  </w:r>
                </w:p>
              </w:tc>
              <w:tc>
                <w:tcPr>
                  <w:tcW w:w="1620" w:type="dxa"/>
                  <w:noWrap/>
                  <w:vAlign w:val="center"/>
                </w:tcPr>
                <w:p>
                  <w:pPr>
                    <w:pStyle w:val="40"/>
                  </w:pPr>
                  <w:r>
                    <w:rPr>
                      <w:rFonts w:hint="eastAsia"/>
                    </w:rPr>
                    <w:t>UV光解净化+活性炭吸附去除有机废气</w:t>
                  </w:r>
                </w:p>
              </w:tc>
              <w:tc>
                <w:tcPr>
                  <w:tcW w:w="674" w:type="dxa"/>
                  <w:noWrap/>
                  <w:vAlign w:val="center"/>
                </w:tcPr>
                <w:p>
                  <w:pPr>
                    <w:pStyle w:val="40"/>
                  </w:pPr>
                  <w:r>
                    <w:rPr>
                      <w:rFonts w:hint="eastAsia"/>
                    </w:rPr>
                    <w:t>90%</w:t>
                  </w:r>
                </w:p>
              </w:tc>
              <w:tc>
                <w:tcPr>
                  <w:tcW w:w="881" w:type="dxa"/>
                  <w:noWrap/>
                  <w:vAlign w:val="center"/>
                </w:tcPr>
                <w:p>
                  <w:pPr>
                    <w:pStyle w:val="40"/>
                  </w:pPr>
                  <w:r>
                    <w:rPr>
                      <w:rFonts w:hint="eastAsia"/>
                    </w:rPr>
                    <w:t>5000</w:t>
                  </w:r>
                </w:p>
              </w:tc>
              <w:tc>
                <w:tcPr>
                  <w:tcW w:w="739" w:type="dxa"/>
                  <w:noWrap/>
                  <w:vAlign w:val="center"/>
                </w:tcPr>
                <w:p>
                  <w:pPr>
                    <w:pStyle w:val="40"/>
                  </w:pPr>
                  <w:r>
                    <w:rPr>
                      <w:rFonts w:hint="eastAsia"/>
                    </w:rPr>
                    <w:t>15m</w:t>
                  </w:r>
                </w:p>
              </w:tc>
              <w:tc>
                <w:tcPr>
                  <w:tcW w:w="793" w:type="dxa"/>
                  <w:noWrap/>
                  <w:vAlign w:val="center"/>
                </w:tcPr>
                <w:p>
                  <w:pPr>
                    <w:pStyle w:val="40"/>
                  </w:pPr>
                  <w:r>
                    <w:rPr>
                      <w:rFonts w:hint="eastAsia"/>
                    </w:rPr>
                    <w:t>0.4m</w:t>
                  </w:r>
                </w:p>
              </w:tc>
              <w:tc>
                <w:tcPr>
                  <w:tcW w:w="882" w:type="dxa"/>
                  <w:noWrap/>
                  <w:vAlign w:val="center"/>
                </w:tcPr>
                <w:p>
                  <w:pPr>
                    <w:pStyle w:val="40"/>
                  </w:pPr>
                  <w:r>
                    <w:rPr>
                      <w:rFonts w:hint="eastAsia"/>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8" w:type="dxa"/>
                  <w:noWrap/>
                  <w:vAlign w:val="center"/>
                </w:tcPr>
                <w:p>
                  <w:pPr>
                    <w:pStyle w:val="40"/>
                  </w:pPr>
                  <w:r>
                    <w:rPr>
                      <w:rFonts w:hint="eastAsia"/>
                    </w:rPr>
                    <w:t>粘合机</w:t>
                  </w:r>
                </w:p>
              </w:tc>
              <w:tc>
                <w:tcPr>
                  <w:tcW w:w="870" w:type="dxa"/>
                  <w:noWrap/>
                  <w:vAlign w:val="center"/>
                </w:tcPr>
                <w:p>
                  <w:pPr>
                    <w:pStyle w:val="40"/>
                  </w:pPr>
                  <w:r>
                    <w:rPr>
                      <w:rFonts w:hint="eastAsia"/>
                    </w:rPr>
                    <w:t>VOCs</w:t>
                  </w:r>
                </w:p>
              </w:tc>
              <w:tc>
                <w:tcPr>
                  <w:tcW w:w="1798" w:type="dxa"/>
                  <w:noWrap/>
                  <w:vAlign w:val="center"/>
                </w:tcPr>
                <w:p>
                  <w:pPr>
                    <w:pStyle w:val="40"/>
                  </w:pPr>
                  <w:r>
                    <w:rPr>
                      <w:rFonts w:hint="eastAsia"/>
                    </w:rPr>
                    <w:t>UV光解净化+活性炭吸附装置</w:t>
                  </w:r>
                </w:p>
              </w:tc>
              <w:tc>
                <w:tcPr>
                  <w:tcW w:w="1620" w:type="dxa"/>
                  <w:noWrap/>
                  <w:vAlign w:val="center"/>
                </w:tcPr>
                <w:p>
                  <w:pPr>
                    <w:pStyle w:val="40"/>
                  </w:pPr>
                  <w:r>
                    <w:rPr>
                      <w:rFonts w:hint="eastAsia"/>
                    </w:rPr>
                    <w:t>UV光解净化+活性炭吸附去除有机废气</w:t>
                  </w:r>
                </w:p>
              </w:tc>
              <w:tc>
                <w:tcPr>
                  <w:tcW w:w="674" w:type="dxa"/>
                  <w:noWrap/>
                  <w:vAlign w:val="center"/>
                </w:tcPr>
                <w:p>
                  <w:pPr>
                    <w:pStyle w:val="40"/>
                  </w:pPr>
                  <w:r>
                    <w:rPr>
                      <w:rFonts w:hint="eastAsia"/>
                    </w:rPr>
                    <w:t>90%</w:t>
                  </w:r>
                </w:p>
              </w:tc>
              <w:tc>
                <w:tcPr>
                  <w:tcW w:w="881" w:type="dxa"/>
                  <w:noWrap/>
                  <w:vAlign w:val="center"/>
                </w:tcPr>
                <w:p>
                  <w:pPr>
                    <w:pStyle w:val="40"/>
                  </w:pPr>
                  <w:r>
                    <w:rPr>
                      <w:rFonts w:hint="eastAsia"/>
                    </w:rPr>
                    <w:t>5000</w:t>
                  </w:r>
                </w:p>
              </w:tc>
              <w:tc>
                <w:tcPr>
                  <w:tcW w:w="739" w:type="dxa"/>
                  <w:noWrap/>
                  <w:vAlign w:val="center"/>
                </w:tcPr>
                <w:p>
                  <w:pPr>
                    <w:pStyle w:val="40"/>
                  </w:pPr>
                  <w:r>
                    <w:rPr>
                      <w:rFonts w:hint="eastAsia"/>
                    </w:rPr>
                    <w:t>15m</w:t>
                  </w:r>
                </w:p>
              </w:tc>
              <w:tc>
                <w:tcPr>
                  <w:tcW w:w="793" w:type="dxa"/>
                  <w:noWrap/>
                  <w:vAlign w:val="center"/>
                </w:tcPr>
                <w:p>
                  <w:pPr>
                    <w:pStyle w:val="40"/>
                  </w:pPr>
                  <w:r>
                    <w:rPr>
                      <w:rFonts w:hint="eastAsia"/>
                    </w:rPr>
                    <w:t>0.4m</w:t>
                  </w:r>
                </w:p>
              </w:tc>
              <w:tc>
                <w:tcPr>
                  <w:tcW w:w="882" w:type="dxa"/>
                  <w:noWrap/>
                  <w:vAlign w:val="center"/>
                </w:tcPr>
                <w:p>
                  <w:pPr>
                    <w:pStyle w:val="40"/>
                  </w:pPr>
                  <w:r>
                    <w:rPr>
                      <w:rFonts w:hint="eastAsia"/>
                    </w:rPr>
                    <w:t>DA001</w:t>
                  </w:r>
                </w:p>
              </w:tc>
            </w:tr>
          </w:tbl>
          <w:p>
            <w:pPr>
              <w:pStyle w:val="5"/>
            </w:pPr>
            <w:r>
              <w:rPr>
                <w:rFonts w:hint="eastAsia"/>
              </w:rPr>
              <w:t>（三）有机废气治理措施</w:t>
            </w:r>
          </w:p>
          <w:p>
            <w:pPr>
              <w:pStyle w:val="5"/>
            </w:pPr>
            <w:r>
              <w:t>有机废气</w:t>
            </w:r>
            <w:r>
              <w:rPr>
                <w:rFonts w:hint="eastAsia"/>
              </w:rPr>
              <w:t>经3个集气罩收集后</w:t>
            </w:r>
            <w:r>
              <w:t>先经UV光氧催化处理后，再由活性炭吸附装置对尾气进行进一步处理，产生的废活性炭较少，同时考虑到活性炭吸附和UV光氧催化技术效率高、投资成本低、容易管理控制。工程拟采用“UV光氧催化+活性炭吸附装置”处理有机废气，符合《十三五挥发性有机物污染防治工作方案》的要求。</w:t>
            </w:r>
          </w:p>
          <w:p>
            <w:pPr>
              <w:pStyle w:val="5"/>
            </w:pPr>
            <w:r>
              <w:t>项目采用的有机废气处理装置由两部分组成，一部分为UV光氧催化装置，另一部分为活性炭吸附层。</w:t>
            </w:r>
          </w:p>
          <w:p>
            <w:pPr>
              <w:pStyle w:val="5"/>
            </w:pPr>
            <w:r>
              <w:rPr>
                <w:rFonts w:hint="eastAsia"/>
              </w:rPr>
              <w:t>（四）</w:t>
            </w:r>
            <w:r>
              <w:t>光氧催化装置的有机废气净化原理：</w:t>
            </w:r>
          </w:p>
          <w:p>
            <w:pPr>
              <w:pStyle w:val="5"/>
            </w:pPr>
            <w:r>
              <w:rPr>
                <w:rFonts w:hint="eastAsia"/>
              </w:rPr>
              <w:t>光催化氧化是一种新型且优良的处理方式。该处理方式主要是经过</w:t>
            </w:r>
            <w:r>
              <w:t xml:space="preserve">UV </w:t>
            </w:r>
            <w:r>
              <w:rPr>
                <w:rFonts w:hint="eastAsia"/>
              </w:rPr>
              <w:t>紫外光照射相应的光催化剂，导致其生出高能电荷</w:t>
            </w:r>
            <w:r>
              <w:t>-</w:t>
            </w:r>
            <w:r>
              <w:rPr>
                <w:rFonts w:hint="eastAsia"/>
              </w:rPr>
              <w:t>电子空穴对，同时在空气中的</w:t>
            </w:r>
            <w:r>
              <w:t>O2</w:t>
            </w:r>
            <w:r>
              <w:rPr>
                <w:rFonts w:hint="eastAsia"/>
              </w:rPr>
              <w:t>、</w:t>
            </w:r>
            <w:r>
              <w:t xml:space="preserve">H2O </w:t>
            </w:r>
            <w:r>
              <w:rPr>
                <w:rFonts w:hint="eastAsia"/>
              </w:rPr>
              <w:t>等物质的作用下，促使有机挥发性废气借助催化剂表面进行催化，转化为</w:t>
            </w:r>
            <w:r>
              <w:t>CO2</w:t>
            </w:r>
            <w:r>
              <w:rPr>
                <w:rFonts w:hint="eastAsia"/>
              </w:rPr>
              <w:t>、</w:t>
            </w:r>
            <w:r>
              <w:t xml:space="preserve">H2O </w:t>
            </w:r>
            <w:r>
              <w:rPr>
                <w:rFonts w:hint="eastAsia"/>
              </w:rPr>
              <w:t>与其他各种无机小分子物质等。</w:t>
            </w:r>
          </w:p>
          <w:p>
            <w:pPr>
              <w:pStyle w:val="5"/>
            </w:pPr>
            <w:r>
              <w:rPr>
                <w:rFonts w:hint="eastAsia"/>
              </w:rPr>
              <w:t>将废气输入光解催化净化设备中进行光解、催化氧化。其中，光解主要是将空气里的氧气经过高能</w:t>
            </w:r>
            <w:r>
              <w:t xml:space="preserve">UV </w:t>
            </w:r>
            <w:r>
              <w:rPr>
                <w:rFonts w:hint="eastAsia"/>
              </w:rPr>
              <w:t>紫外线进行分解，使其分解为游离态的氧，因为其正负电子不处于平衡状态，所以其非常容易与氧分子结合，从而转化为臭氧（</w:t>
            </w:r>
            <w:r>
              <w:t>O3</w:t>
            </w:r>
            <w:r>
              <w:rPr>
                <w:rFonts w:hint="eastAsia"/>
              </w:rPr>
              <w:t>），具体的过程如下化学方程式所示：</w:t>
            </w:r>
          </w:p>
          <w:p>
            <w:pPr>
              <w:pStyle w:val="5"/>
            </w:pPr>
            <w:r>
              <w:t>O2</w:t>
            </w:r>
            <w:r>
              <w:rPr>
                <w:rFonts w:hint="eastAsia"/>
              </w:rPr>
              <w:t>＋</w:t>
            </w:r>
            <w:r>
              <w:t>UV</w:t>
            </w:r>
            <w:r>
              <w:rPr>
                <w:rFonts w:hint="eastAsia"/>
              </w:rPr>
              <w:t>→</w:t>
            </w:r>
            <w:r>
              <w:t>O</w:t>
            </w:r>
            <w:r>
              <w:rPr>
                <w:rFonts w:hint="eastAsia"/>
              </w:rPr>
              <w:t>（游离态）＋</w:t>
            </w:r>
            <w:r>
              <w:t xml:space="preserve">O- </w:t>
            </w:r>
          </w:p>
          <w:p>
            <w:pPr>
              <w:pStyle w:val="5"/>
            </w:pPr>
            <w:r>
              <w:t>O2</w:t>
            </w:r>
            <w:r>
              <w:rPr>
                <w:rFonts w:hint="eastAsia"/>
              </w:rPr>
              <w:t>＋</w:t>
            </w:r>
            <w:r>
              <w:t>O</w:t>
            </w:r>
            <w:r>
              <w:rPr>
                <w:rFonts w:hint="eastAsia"/>
              </w:rPr>
              <w:t>（游离态）→</w:t>
            </w:r>
            <w:r>
              <w:t xml:space="preserve">O3 </w:t>
            </w:r>
          </w:p>
          <w:p>
            <w:pPr>
              <w:pStyle w:val="5"/>
            </w:pPr>
            <w:r>
              <w:t>O3</w:t>
            </w:r>
            <w:r>
              <w:rPr>
                <w:rFonts w:hint="eastAsia"/>
              </w:rPr>
              <w:t>的强氧化作用可以导致废气被分解。将紫外线放电管安装在</w:t>
            </w:r>
            <w:r>
              <w:t>UV</w:t>
            </w:r>
            <w:r>
              <w:rPr>
                <w:rFonts w:hint="eastAsia"/>
              </w:rPr>
              <w:t>高效设备里面，其所产生的光子能量能够高达</w:t>
            </w:r>
            <w:r>
              <w:t xml:space="preserve">647kJ/mol </w:t>
            </w:r>
            <w:r>
              <w:rPr>
                <w:rFonts w:hint="eastAsia"/>
              </w:rPr>
              <w:t>或是</w:t>
            </w:r>
            <w:r>
              <w:t>642 kJ/mol</w:t>
            </w:r>
            <w:r>
              <w:rPr>
                <w:rFonts w:hint="eastAsia"/>
              </w:rPr>
              <w:t>。这么高的光子能可以将小于该能量的废气分子键快速裂解，促使这些废气转化成无机小分子物质。</w:t>
            </w:r>
          </w:p>
          <w:p>
            <w:pPr>
              <w:pStyle w:val="5"/>
            </w:pPr>
            <w:r>
              <w:rPr>
                <w:rFonts w:hint="eastAsia"/>
              </w:rPr>
              <w:t>经过有关学者长时间研究，有机挥发性废气在纳米级别的活性材料以及紫外光能量的共同作用下，可以在短时间内被充分分解，其分解时间可达</w:t>
            </w:r>
            <w:r>
              <w:t>2</w:t>
            </w:r>
            <w:r>
              <w:rPr>
                <w:rFonts w:hint="eastAsia"/>
              </w:rPr>
              <w:t>～</w:t>
            </w:r>
            <w:r>
              <w:t>3 s</w:t>
            </w:r>
            <w:r>
              <w:rPr>
                <w:rFonts w:hint="eastAsia"/>
              </w:rPr>
              <w:t>。将纳米级别的活性材料加入到治理废气的净化设备中，并用紫外线对其进行照射。因为大量的光能可以被里面的活性材料所吸收，同时生成</w:t>
            </w:r>
            <w:r>
              <w:t>h+</w:t>
            </w:r>
            <w:r>
              <w:rPr>
                <w:rFonts w:hint="eastAsia"/>
              </w:rPr>
              <w:t>（空穴）与</w:t>
            </w:r>
            <w:r>
              <w:t>e-</w:t>
            </w:r>
            <w:r>
              <w:rPr>
                <w:rFonts w:hint="eastAsia"/>
              </w:rPr>
              <w:t>（电子），而其所生成的</w:t>
            </w:r>
            <w:r>
              <w:t>e-</w:t>
            </w:r>
            <w:r>
              <w:rPr>
                <w:rFonts w:hint="eastAsia"/>
              </w:rPr>
              <w:t>和</w:t>
            </w:r>
            <w:r>
              <w:t>h+</w:t>
            </w:r>
            <w:r>
              <w:rPr>
                <w:rFonts w:hint="eastAsia"/>
              </w:rPr>
              <w:t>具备相应的氧化还原能力，能够与</w:t>
            </w:r>
            <w:r>
              <w:t>O2</w:t>
            </w:r>
            <w:r>
              <w:rPr>
                <w:rFonts w:hint="eastAsia"/>
              </w:rPr>
              <w:t>、</w:t>
            </w:r>
            <w:r>
              <w:t xml:space="preserve">H2O </w:t>
            </w:r>
            <w:r>
              <w:rPr>
                <w:rFonts w:hint="eastAsia"/>
              </w:rPr>
              <w:t>反应快速生成·</w:t>
            </w:r>
            <w:r>
              <w:t>O2-</w:t>
            </w:r>
            <w:r>
              <w:rPr>
                <w:rFonts w:hint="eastAsia"/>
              </w:rPr>
              <w:t>（超级阴氧离子）和·</w:t>
            </w:r>
            <w:r>
              <w:t>OH</w:t>
            </w:r>
            <w:r>
              <w:rPr>
                <w:rFonts w:hint="eastAsia"/>
              </w:rPr>
              <w:t>（氢氧根自由基），这两者有着非常高的氧化能力。·</w:t>
            </w:r>
            <w:r>
              <w:t xml:space="preserve">OH </w:t>
            </w:r>
            <w:r>
              <w:rPr>
                <w:rFonts w:hint="eastAsia"/>
              </w:rPr>
              <w:t>能够将有机挥发性废气中的电进行氧化，具有非常强的氧化电位能力，可以促使无光吸收能力物质的氧化分解。</w:t>
            </w:r>
          </w:p>
          <w:p>
            <w:pPr>
              <w:pStyle w:val="5"/>
            </w:pPr>
            <w:r>
              <w:t>活性炭吸附原理：活性炭是一种很细小的炭粒,有很大的表面积</w:t>
            </w:r>
            <w:r>
              <w:rPr>
                <w:rFonts w:hint="eastAsia"/>
              </w:rPr>
              <w:t>，</w:t>
            </w:r>
            <w:r>
              <w:t>而且炭粒中还有更细小的孔——毛细管。这种毛细管具有很强的吸附能力,由于炭粒的表面积很大</w:t>
            </w:r>
            <w:r>
              <w:rPr>
                <w:rFonts w:hint="eastAsia"/>
              </w:rPr>
              <w:t>，</w:t>
            </w:r>
            <w:r>
              <w:t>所以能与气体</w:t>
            </w:r>
            <w:r>
              <w:rPr>
                <w:rFonts w:hint="eastAsia"/>
              </w:rPr>
              <w:t>（</w:t>
            </w:r>
            <w:r>
              <w:t>有机废气</w:t>
            </w:r>
            <w:r>
              <w:rPr>
                <w:rFonts w:hint="eastAsia"/>
              </w:rPr>
              <w:t>）</w:t>
            </w:r>
            <w:r>
              <w:t>充分接触,当这些气体</w:t>
            </w:r>
            <w:r>
              <w:rPr>
                <w:rFonts w:hint="eastAsia"/>
              </w:rPr>
              <w:t>（</w:t>
            </w:r>
            <w:r>
              <w:t>有机废气</w:t>
            </w:r>
            <w:r>
              <w:rPr>
                <w:rFonts w:hint="eastAsia"/>
              </w:rPr>
              <w:t>）</w:t>
            </w:r>
            <w:r>
              <w:t>碰到毛细管就被吸附</w:t>
            </w:r>
            <w:r>
              <w:rPr>
                <w:rFonts w:hint="eastAsia"/>
              </w:rPr>
              <w:t>，</w:t>
            </w:r>
            <w:r>
              <w:t>起净化作用。当废气由风机提供动力，负压进入吸附箱后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气体混合物分离，净化后的气体高空排放。</w:t>
            </w:r>
          </w:p>
          <w:p>
            <w:pPr>
              <w:pStyle w:val="29"/>
              <w:spacing w:before="65" w:after="65"/>
            </w:pPr>
            <w:r>
              <w:rPr>
                <w:rFonts w:hint="eastAsia"/>
              </w:rPr>
              <w:t>图7-3单级活性炭吸附箱（不进行脱附的简单工艺）</w:t>
            </w:r>
          </w:p>
          <w:p>
            <w:pPr>
              <w:pStyle w:val="10"/>
              <w:jc w:val="center"/>
            </w:pPr>
            <w:r>
              <w:drawing>
                <wp:inline distT="0" distB="0" distL="114300" distR="114300">
                  <wp:extent cx="4791075" cy="2333625"/>
                  <wp:effectExtent l="0" t="0" r="9525"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tretch>
                            <a:fillRect/>
                          </a:stretch>
                        </pic:blipFill>
                        <pic:spPr>
                          <a:xfrm>
                            <a:off x="0" y="0"/>
                            <a:ext cx="4791075" cy="2333625"/>
                          </a:xfrm>
                          <a:prstGeom prst="rect">
                            <a:avLst/>
                          </a:prstGeom>
                          <a:noFill/>
                          <a:ln>
                            <a:noFill/>
                          </a:ln>
                        </pic:spPr>
                      </pic:pic>
                    </a:graphicData>
                  </a:graphic>
                </wp:inline>
              </w:drawing>
            </w:r>
          </w:p>
          <w:p>
            <w:pPr>
              <w:pStyle w:val="5"/>
            </w:pPr>
            <w:r>
              <w:rPr>
                <w:rFonts w:hint="eastAsia"/>
              </w:rPr>
              <w:t>本项目利用“</w:t>
            </w:r>
            <w:r>
              <w:t>UV</w:t>
            </w:r>
            <w:r>
              <w:rPr>
                <w:rFonts w:hint="eastAsia"/>
              </w:rPr>
              <w:t>光氧催化</w:t>
            </w:r>
            <w:r>
              <w:t>+</w:t>
            </w:r>
            <w:r>
              <w:rPr>
                <w:rFonts w:hint="eastAsia"/>
              </w:rPr>
              <w:t>活性炭吸附装置”处理有机废气，为国内较为普遍的有机废气处理方式，现有的管理经验较为丰富，企业可以节省大量管理维护培训费用，活性炭吸附装置运行稳定，维护简单。</w:t>
            </w:r>
          </w:p>
          <w:p>
            <w:pPr>
              <w:pStyle w:val="5"/>
            </w:pPr>
            <w:r>
              <w:rPr>
                <w:rFonts w:hint="eastAsia"/>
              </w:rPr>
              <w:t>（五）废气达标分析：</w:t>
            </w:r>
          </w:p>
          <w:p>
            <w:pPr>
              <w:pStyle w:val="5"/>
            </w:pPr>
            <w:r>
              <w:rPr>
                <w:rFonts w:hint="eastAsia"/>
              </w:rPr>
              <w:t>根据《光氧催化</w:t>
            </w:r>
            <w:r>
              <w:t>+</w:t>
            </w:r>
            <w:r>
              <w:rPr>
                <w:rFonts w:hint="eastAsia"/>
              </w:rPr>
              <w:t>活性炭吸附装置工艺应用于含异味有机废气的处理》（污染防治技术，</w:t>
            </w:r>
            <w:r>
              <w:t>2015</w:t>
            </w:r>
            <w:r>
              <w:rPr>
                <w:rFonts w:hint="eastAsia"/>
              </w:rPr>
              <w:t>年</w:t>
            </w:r>
            <w:r>
              <w:t>4</w:t>
            </w:r>
            <w:r>
              <w:rPr>
                <w:rFonts w:hint="eastAsia"/>
              </w:rPr>
              <w:t>月第</w:t>
            </w:r>
            <w:r>
              <w:t>28</w:t>
            </w:r>
            <w:r>
              <w:rPr>
                <w:rFonts w:hint="eastAsia"/>
              </w:rPr>
              <w:t>卷第</w:t>
            </w:r>
            <w:r>
              <w:t>2</w:t>
            </w:r>
            <w:r>
              <w:rPr>
                <w:rFonts w:hint="eastAsia"/>
              </w:rPr>
              <w:t>期，刘松华，周静），采用</w:t>
            </w:r>
            <w:r>
              <w:t>“</w:t>
            </w:r>
            <w:r>
              <w:rPr>
                <w:rFonts w:hint="eastAsia"/>
              </w:rPr>
              <w:t>光氧催化</w:t>
            </w:r>
            <w:r>
              <w:t>+</w:t>
            </w:r>
            <w:r>
              <w:rPr>
                <w:rFonts w:hint="eastAsia"/>
              </w:rPr>
              <w:t>活性炭吸附装置</w:t>
            </w:r>
            <w:r>
              <w:t>”</w:t>
            </w:r>
            <w:r>
              <w:rPr>
                <w:rFonts w:hint="eastAsia"/>
              </w:rPr>
              <w:t>处理有机废气，根据实际项目运行监测情况，整套废气净化装置对有机废气的去除效率可达</w:t>
            </w:r>
            <w:r>
              <w:t>95%</w:t>
            </w:r>
            <w:r>
              <w:rPr>
                <w:rFonts w:hint="eastAsia"/>
              </w:rPr>
              <w:t>以上。本次评价保守估计，取90%。</w:t>
            </w:r>
          </w:p>
          <w:p>
            <w:pPr>
              <w:pStyle w:val="5"/>
            </w:pPr>
            <w:r>
              <w:rPr>
                <w:rFonts w:hint="eastAsia"/>
              </w:rPr>
              <w:t>根据前文工程分析可知，</w:t>
            </w:r>
            <w:r>
              <w:t>通过排气筒</w:t>
            </w:r>
            <w:r>
              <w:rPr>
                <w:rFonts w:hint="eastAsia"/>
              </w:rPr>
              <w:t>DA001</w:t>
            </w:r>
            <w:r>
              <w:t>排放的</w:t>
            </w:r>
            <w:r>
              <w:rPr>
                <w:rFonts w:hint="eastAsia"/>
              </w:rPr>
              <w:t>非甲烷总烃</w:t>
            </w:r>
            <w:r>
              <w:t>量为</w:t>
            </w:r>
            <w:r>
              <w:rPr>
                <w:rFonts w:hint="eastAsia"/>
              </w:rPr>
              <w:t>0.0261</w:t>
            </w:r>
            <w:r>
              <w:t>t/a，排放速率为</w:t>
            </w:r>
            <w:r>
              <w:rPr>
                <w:rFonts w:hint="eastAsia"/>
              </w:rPr>
              <w:t>0.010875</w:t>
            </w:r>
            <w:r>
              <w:t>kg/h，排放浓度为</w:t>
            </w:r>
            <w:r>
              <w:rPr>
                <w:rFonts w:hint="eastAsia"/>
              </w:rPr>
              <w:t>2.175</w:t>
            </w:r>
            <w:r>
              <w:t>mg/</w:t>
            </w:r>
            <w:r>
              <w:rPr>
                <w:rFonts w:hint="eastAsia"/>
              </w:rPr>
              <w:t>m³</w:t>
            </w:r>
            <w:r>
              <w:t>；废气经处理达标后经</w:t>
            </w:r>
            <w:r>
              <w:rPr>
                <w:rFonts w:hint="eastAsia"/>
              </w:rPr>
              <w:t>15</w:t>
            </w:r>
            <w:r>
              <w:t>m高排气筒排放。排气筒</w:t>
            </w:r>
            <w:r>
              <w:rPr>
                <w:rFonts w:hint="eastAsia"/>
              </w:rPr>
              <w:t>DA001排放的污染物</w:t>
            </w:r>
            <w:r>
              <w:t>中</w:t>
            </w:r>
            <w:r>
              <w:rPr>
                <w:rFonts w:hint="eastAsia"/>
              </w:rPr>
              <w:t>非甲烷总烃</w:t>
            </w:r>
            <w:r>
              <w:t>排放浓度</w:t>
            </w:r>
            <w:r>
              <w:rPr>
                <w:rFonts w:hint="eastAsia"/>
              </w:rPr>
              <w:t>能够满足《</w:t>
            </w:r>
            <w:r>
              <w:rPr>
                <w:rFonts w:hint="eastAsia"/>
                <w:lang w:val="en-US" w:eastAsia="zh-CN"/>
              </w:rPr>
              <w:t>上海市地方标准大气污染物综合</w:t>
            </w:r>
            <w:r>
              <w:rPr>
                <w:rFonts w:hint="eastAsia"/>
              </w:rPr>
              <w:t>排放标准》（</w:t>
            </w:r>
            <w:r>
              <w:rPr>
                <w:rFonts w:hint="eastAsia"/>
                <w:lang w:val="en-US" w:eastAsia="zh-CN"/>
              </w:rPr>
              <w:t>DB31/933-2015</w:t>
            </w:r>
            <w:r>
              <w:rPr>
                <w:rFonts w:hint="eastAsia"/>
              </w:rPr>
              <w:t>）印刷中的相关排放标准限值。</w:t>
            </w:r>
          </w:p>
          <w:p>
            <w:pPr>
              <w:pStyle w:val="5"/>
            </w:pPr>
            <w:r>
              <w:rPr>
                <w:rFonts w:hint="eastAsia"/>
              </w:rPr>
              <w:t>（六）</w:t>
            </w:r>
            <w:r>
              <w:t>挥发性有机物无组织控制</w:t>
            </w:r>
            <w:r>
              <w:rPr>
                <w:rFonts w:hint="eastAsia"/>
              </w:rPr>
              <w:t>：</w:t>
            </w:r>
          </w:p>
          <w:p>
            <w:pPr>
              <w:pStyle w:val="5"/>
            </w:pPr>
            <w:r>
              <w:t>根据《挥发性有机物无组织排放控制标准》（GB37822-2019）（2019 年 7 月 1 日实施），本项目生产应按如下要求进行：</w:t>
            </w:r>
          </w:p>
          <w:p>
            <w:pPr>
              <w:pStyle w:val="5"/>
            </w:pPr>
            <w:r>
              <w:rPr>
                <w:rFonts w:hint="eastAsia"/>
              </w:rPr>
              <w:t>A、</w:t>
            </w:r>
            <w:r>
              <w:t>物料投加：VOCs 物料投加采用密闭管道或高低液位槽输送（液态）、气力输送或密闭投料器（粉状、粒状），或在密闭空间内操作，废气排至 VOCs 废气收集处理系统；</w:t>
            </w:r>
          </w:p>
          <w:p>
            <w:pPr>
              <w:pStyle w:val="5"/>
            </w:pPr>
            <w:r>
              <w:rPr>
                <w:rFonts w:hint="eastAsia"/>
              </w:rPr>
              <w:t>B、</w:t>
            </w:r>
            <w:r>
              <w:t>物料转移和输送：VOCs 物料输送采用密闭容器（液态），气力输送或密闭输送设备（粉状、粒状），或采用密闭包装进行转移；</w:t>
            </w:r>
          </w:p>
          <w:p>
            <w:pPr>
              <w:pStyle w:val="5"/>
            </w:pPr>
            <w:r>
              <w:rPr>
                <w:rFonts w:hint="eastAsia"/>
              </w:rPr>
              <w:t>C、</w:t>
            </w:r>
            <w:r>
              <w:t>物料混合：采用密闭设备或在密闭空间内操作，废气排至VOCs 废气收集处理系统，无法密闭的，应采取局部气体收集措施；</w:t>
            </w:r>
          </w:p>
          <w:p>
            <w:pPr>
              <w:pStyle w:val="5"/>
            </w:pPr>
            <w:r>
              <w:rPr>
                <w:rFonts w:hint="eastAsia"/>
              </w:rPr>
              <w:t>D、</w:t>
            </w:r>
            <w:r>
              <w:t>管理：建设单位应建立台账，记录含 VOCs 原辅材料和含 VOCs 产品的名称、使用量、回收量、废弃量、去向以及 VOCs 含量等信息。台账保存期限不少于 3 年；</w:t>
            </w:r>
          </w:p>
          <w:p>
            <w:pPr>
              <w:pStyle w:val="5"/>
            </w:pPr>
            <w:r>
              <w:rPr>
                <w:rFonts w:hint="eastAsia"/>
              </w:rPr>
              <w:t>E、</w:t>
            </w:r>
            <w:r>
              <w:t>其他：VOCs 废气收集处理系统应与生产工艺设备同步运行，VOCs 废气收集处理系统发生故障或检修时，对应的生产工艺设备应停止运行，待检修完毕后同步投入使用，生产工艺设备不能停止运行或不能及时停止运行的，应设置废气应急处理设施或采取其他替代措施。</w:t>
            </w:r>
          </w:p>
          <w:p>
            <w:pPr>
              <w:pStyle w:val="5"/>
            </w:pPr>
            <w:r>
              <w:rPr>
                <w:rFonts w:hint="eastAsia"/>
              </w:rPr>
              <w:t>2、</w:t>
            </w:r>
            <w:r>
              <w:t>大气环境影响评价工作等级的确定</w:t>
            </w:r>
          </w:p>
          <w:p>
            <w:pPr>
              <w:pStyle w:val="5"/>
            </w:pPr>
            <w: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pStyle w:val="5"/>
            </w:pPr>
            <w:r>
              <w:rPr>
                <w:rFonts w:hint="eastAsia"/>
              </w:rPr>
              <w:t>（1）</w:t>
            </w:r>
            <w:r>
              <w:t>Pmax及D10%的确定</w:t>
            </w:r>
          </w:p>
          <w:p>
            <w:pPr>
              <w:pStyle w:val="5"/>
            </w:pPr>
            <w:r>
              <w:t>依据《环境影响评价技术导则 大气环境》(HJ2.2-20</w:t>
            </w:r>
            <w:r>
              <w:rPr>
                <w:rFonts w:hint="eastAsia"/>
              </w:rPr>
              <w:t>1</w:t>
            </w:r>
            <w:r>
              <w:t>8)中最大地面浓度占标率Pi定义如下：</w:t>
            </w:r>
          </w:p>
          <w:p>
            <w:pPr>
              <w:pStyle w:val="5"/>
            </w:pPr>
            <m:oMathPara>
              <m:oMath>
                <m:sSub>
                  <m:sSubPr>
                    <m:ctrlPr>
                      <w:rPr>
                        <w:rFonts w:ascii="Cambria Math" w:hAnsi="Cambria Math"/>
                      </w:rPr>
                    </m:ctrlPr>
                  </m:sSubPr>
                  <m:e>
                    <m:r>
                      <m:rPr>
                        <m:sty m:val="p"/>
                      </m:rPr>
                      <w:rPr>
                        <w:rFonts w:ascii="Cambria Math" w:hAnsi="Cambria Math"/>
                      </w:rPr>
                      <m:t>P</m:t>
                    </m:r>
                    <m:ctrlPr>
                      <w:rPr>
                        <w:rFonts w:ascii="Cambria Math" w:hAnsi="Cambria Math"/>
                      </w:rPr>
                    </m:ctrlPr>
                  </m:e>
                  <m:sub>
                    <m:r>
                      <m:rPr>
                        <m:sty m:val="p"/>
                      </m:rPr>
                      <w:rPr>
                        <w:rFonts w:ascii="Cambria Math" w:hAnsi="Cambria Math"/>
                      </w:rPr>
                      <m:t>i</m:t>
                    </m:r>
                    <m:ctrlPr>
                      <w:rPr>
                        <w:rFonts w:ascii="Cambria Math" w:hAnsi="Cambria Math"/>
                      </w:rPr>
                    </m:ctrlP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num>
                  <m:den>
                    <m:sSub>
                      <m:sSubPr>
                        <m:ctrlPr>
                          <w:rPr>
                            <w:rFonts w:ascii="Cambria Math" w:hAnsi="Cambria Math"/>
                          </w:rPr>
                        </m:ctrlPr>
                      </m:sSubPr>
                      <m:e>
                        <m:r>
                          <m:rPr>
                            <m:sty m:val="p"/>
                          </m:rPr>
                          <w:rPr>
                            <w:rFonts w:ascii="Cambria Math" w:hAnsi="Cambria Math"/>
                          </w:rPr>
                          <m:t>C</m:t>
                        </m:r>
                        <m:ctrlPr>
                          <w:rPr>
                            <w:rFonts w:ascii="Cambria Math" w:hAnsi="Cambria Math"/>
                          </w:rPr>
                        </m:ctrlPr>
                      </m:e>
                      <m:sub>
                        <m:r>
                          <m:rPr>
                            <m:sty m:val="p"/>
                          </m:rPr>
                          <w:rPr>
                            <w:rFonts w:ascii="Cambria Math" w:hAnsi="Cambria Math"/>
                          </w:rPr>
                          <m:t>0i</m:t>
                        </m:r>
                        <m:ctrlPr>
                          <w:rPr>
                            <w:rFonts w:ascii="Cambria Math" w:hAnsi="Cambria Math"/>
                          </w:rPr>
                        </m:ctrlPr>
                      </m:sub>
                    </m:sSub>
                    <m:ctrlPr>
                      <w:rPr>
                        <w:rFonts w:ascii="Cambria Math" w:hAnsi="Cambria Math"/>
                      </w:rPr>
                    </m:ctrlPr>
                  </m:den>
                </m:f>
                <m:r>
                  <m:rPr>
                    <m:sty m:val="p"/>
                  </m:rPr>
                  <w:rPr>
                    <w:rFonts w:ascii="Cambria Math" w:hAnsi="Cambria Math"/>
                  </w:rPr>
                  <m:t>×100%</m:t>
                </m:r>
              </m:oMath>
            </m:oMathPara>
          </w:p>
          <w:p>
            <w:pPr>
              <w:pStyle w:val="5"/>
            </w:pPr>
            <m:oMath>
              <m:sSub>
                <m:sSubPr>
                  <m:ctrlPr>
                    <w:rPr>
                      <w:rFonts w:ascii="Cambria Math" w:hAnsi="Cambria Math"/>
                    </w:rPr>
                  </m:ctrlPr>
                </m:sSubPr>
                <m:e>
                  <m:r>
                    <m:rPr>
                      <m:sty m:val="p"/>
                    </m:rPr>
                    <w:rPr>
                      <w:rFonts w:ascii="Cambria Math" w:hAnsi="Cambria Math"/>
                    </w:rPr>
                    <m:t>P</m:t>
                  </m:r>
                  <m:ctrlPr>
                    <w:rPr>
                      <w:rFonts w:ascii="Cambria Math" w:hAnsi="Cambria Math"/>
                    </w:rPr>
                  </m:ctrlPr>
                </m:e>
                <m:sub>
                  <m:r>
                    <m:rPr>
                      <m:sty m:val="p"/>
                    </m:rPr>
                    <w:rPr>
                      <w:rFonts w:ascii="Cambria Math" w:hAnsi="Cambria Math"/>
                    </w:rPr>
                    <m:t>i</m:t>
                  </m:r>
                  <m:ctrlPr>
                    <w:rPr>
                      <w:rFonts w:ascii="Cambria Math" w:hAnsi="Cambria Math"/>
                    </w:rPr>
                  </m:ctrlPr>
                </m:sub>
              </m:sSub>
            </m:oMath>
            <w:r>
              <w:t xml:space="preserve"> ——第i个污染物的最大地面空气质量浓度 占标率，%；</w:t>
            </w:r>
          </w:p>
          <w:p>
            <w:pPr>
              <w:pStyle w:val="5"/>
            </w:pPr>
            <m:oMath>
              <m:sSub>
                <m:sSubPr>
                  <m:ctrlPr>
                    <w:rPr>
                      <w:rFonts w:ascii="Cambria Math" w:hAnsi="Cambria Math"/>
                    </w:rPr>
                  </m:ctrlPr>
                </m:sSubPr>
                <m:e>
                  <m:r>
                    <m:rPr>
                      <m:sty m:val="p"/>
                    </m:rPr>
                    <w:rPr>
                      <w:rFonts w:ascii="Cambria Math" w:hAnsi="Cambria Math"/>
                    </w:rPr>
                    <m:t>C</m:t>
                  </m:r>
                  <m:ctrlPr>
                    <w:rPr>
                      <w:rFonts w:ascii="Cambria Math" w:hAnsi="Cambria Math"/>
                    </w:rPr>
                  </m:ctrlPr>
                </m:e>
                <m:sub>
                  <m:r>
                    <m:rPr>
                      <m:sty m:val="p"/>
                    </m:rPr>
                    <w:rPr>
                      <w:rFonts w:ascii="Cambria Math" w:hAnsi="Cambria Math"/>
                    </w:rPr>
                    <m:t>i</m:t>
                  </m:r>
                  <m:ctrlPr>
                    <w:rPr>
                      <w:rFonts w:ascii="Cambria Math" w:hAnsi="Cambria Math"/>
                    </w:rPr>
                  </m:ctrlPr>
                </m:sub>
              </m:sSub>
            </m:oMath>
            <w:r>
              <w:t>——采用估算模型计算出的第i个污染物的最大1h地面空气质量浓度，μg/m3；</w:t>
            </w:r>
          </w:p>
          <w:p>
            <w:pPr>
              <w:pStyle w:val="5"/>
            </w:pPr>
            <m:oMath>
              <m:sSub>
                <m:sSubPr>
                  <m:ctrlPr>
                    <w:rPr>
                      <w:rFonts w:ascii="Cambria Math" w:hAnsi="Cambria Math"/>
                    </w:rPr>
                  </m:ctrlPr>
                </m:sSubPr>
                <m:e>
                  <m:r>
                    <m:rPr>
                      <m:sty m:val="p"/>
                    </m:rPr>
                    <w:rPr>
                      <w:rFonts w:ascii="Cambria Math" w:hAnsi="Cambria Math"/>
                    </w:rPr>
                    <m:t>C</m:t>
                  </m:r>
                  <m:ctrlPr>
                    <w:rPr>
                      <w:rFonts w:ascii="Cambria Math" w:hAnsi="Cambria Math"/>
                    </w:rPr>
                  </m:ctrlPr>
                </m:e>
                <m:sub>
                  <m:r>
                    <m:rPr>
                      <m:sty m:val="p"/>
                    </m:rPr>
                    <w:rPr>
                      <w:rFonts w:ascii="Cambria Math" w:hAnsi="Cambria Math"/>
                    </w:rPr>
                    <m:t>0i</m:t>
                  </m:r>
                  <m:ctrlPr>
                    <w:rPr>
                      <w:rFonts w:ascii="Cambria Math" w:hAnsi="Cambria Math"/>
                    </w:rPr>
                  </m:ctrlPr>
                </m:sub>
              </m:sSub>
            </m:oMath>
            <w:r>
              <w:t>——第i个污染物的环境空气质量浓度标准，μg/m3。</w:t>
            </w:r>
          </w:p>
          <w:p>
            <w:pPr>
              <w:pStyle w:val="5"/>
            </w:pPr>
            <w:r>
              <w:rPr>
                <w:rFonts w:hint="eastAsia"/>
              </w:rPr>
              <w:t>（2）</w:t>
            </w:r>
            <w:r>
              <w:t>评价等级判别表</w:t>
            </w:r>
          </w:p>
          <w:p>
            <w:pPr>
              <w:pStyle w:val="5"/>
            </w:pPr>
            <w:r>
              <w:t>评价等级按下表的分级判据进行划分</w:t>
            </w:r>
          </w:p>
          <w:p>
            <w:pPr>
              <w:pStyle w:val="29"/>
              <w:spacing w:before="65" w:after="65"/>
            </w:pPr>
            <w:r>
              <w:t>表</w:t>
            </w:r>
            <w:r>
              <w:rPr>
                <w:rFonts w:hint="eastAsia"/>
              </w:rPr>
              <w:t>7-4</w:t>
            </w:r>
            <w:r>
              <w:t xml:space="preserve"> 评价等级判别表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643" w:type="dxa"/>
                  <w:noWrap/>
                  <w:vAlign w:val="center"/>
                </w:tcPr>
                <w:p>
                  <w:pPr>
                    <w:pStyle w:val="40"/>
                  </w:pPr>
                  <w:r>
                    <w:t>评价工作等级</w:t>
                  </w:r>
                </w:p>
              </w:tc>
              <w:tc>
                <w:tcPr>
                  <w:tcW w:w="4643" w:type="dxa"/>
                  <w:noWrap/>
                  <w:vAlign w:val="center"/>
                </w:tcPr>
                <w:p>
                  <w:pPr>
                    <w:pStyle w:val="40"/>
                  </w:pPr>
                  <w: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643" w:type="dxa"/>
                  <w:noWrap/>
                  <w:vAlign w:val="center"/>
                </w:tcPr>
                <w:p>
                  <w:pPr>
                    <w:pStyle w:val="40"/>
                  </w:pPr>
                  <w:r>
                    <w:t>一级评价</w:t>
                  </w:r>
                </w:p>
              </w:tc>
              <w:tc>
                <w:tcPr>
                  <w:tcW w:w="4643" w:type="dxa"/>
                  <w:noWrap/>
                  <w:vAlign w:val="center"/>
                </w:tcPr>
                <w:p>
                  <w:pPr>
                    <w:pStyle w:val="40"/>
                  </w:pPr>
                  <w:r>
                    <w:t>Pmax</w:t>
                  </w:r>
                  <w:r>
                    <w:rPr>
                      <w:rFonts w:hint="eastAsia"/>
                    </w:rPr>
                    <w:t>≧</w:t>
                  </w: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643" w:type="dxa"/>
                  <w:noWrap/>
                  <w:vAlign w:val="center"/>
                </w:tcPr>
                <w:p>
                  <w:pPr>
                    <w:pStyle w:val="40"/>
                  </w:pPr>
                  <w:r>
                    <w:t>二级评价</w:t>
                  </w:r>
                </w:p>
              </w:tc>
              <w:tc>
                <w:tcPr>
                  <w:tcW w:w="4643" w:type="dxa"/>
                  <w:noWrap/>
                  <w:vAlign w:val="center"/>
                </w:tcPr>
                <w:p>
                  <w:pPr>
                    <w:pStyle w:val="40"/>
                  </w:pPr>
                  <w:r>
                    <w:t>1%</w:t>
                  </w:r>
                  <w:r>
                    <w:rPr>
                      <w:rFonts w:hint="eastAsia"/>
                    </w:rPr>
                    <w:t>≦</w:t>
                  </w:r>
                  <w:r>
                    <w:t>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643" w:type="dxa"/>
                  <w:noWrap/>
                  <w:vAlign w:val="center"/>
                </w:tcPr>
                <w:p>
                  <w:pPr>
                    <w:pStyle w:val="40"/>
                  </w:pPr>
                  <w:r>
                    <w:t>三级评价</w:t>
                  </w:r>
                </w:p>
              </w:tc>
              <w:tc>
                <w:tcPr>
                  <w:tcW w:w="4643" w:type="dxa"/>
                  <w:noWrap/>
                  <w:vAlign w:val="center"/>
                </w:tcPr>
                <w:p>
                  <w:pPr>
                    <w:pStyle w:val="40"/>
                  </w:pPr>
                  <w:r>
                    <w:t>Pmax&lt;1%</w:t>
                  </w:r>
                </w:p>
              </w:tc>
            </w:tr>
          </w:tbl>
          <w:p>
            <w:pPr>
              <w:pStyle w:val="5"/>
            </w:pPr>
            <w:r>
              <w:rPr>
                <w:rFonts w:hint="eastAsia"/>
              </w:rPr>
              <w:t>（3）</w:t>
            </w:r>
            <w:r>
              <w:t>污染物评价标准</w:t>
            </w:r>
          </w:p>
          <w:p>
            <w:pPr>
              <w:pStyle w:val="5"/>
            </w:pPr>
            <w:r>
              <w:t>污染物评价标准和来源见下表。</w:t>
            </w:r>
          </w:p>
          <w:p>
            <w:pPr>
              <w:pStyle w:val="29"/>
              <w:spacing w:before="65" w:after="65"/>
            </w:pPr>
            <w:r>
              <w:t>表</w:t>
            </w:r>
            <w:r>
              <w:rPr>
                <w:rFonts w:hint="eastAsia"/>
              </w:rPr>
              <w:t>7-5</w:t>
            </w:r>
            <w:r>
              <w:t xml:space="preserve"> 污染物评价标准</w:t>
            </w:r>
          </w:p>
          <w:tbl>
            <w:tblPr>
              <w:tblStyle w:val="23"/>
              <w:tblW w:w="9106"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14"/>
              <w:gridCol w:w="1215"/>
              <w:gridCol w:w="1260"/>
              <w:gridCol w:w="1470"/>
              <w:gridCol w:w="384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69" w:hRule="atLeast"/>
                <w:jc w:val="center"/>
              </w:trPr>
              <w:tc>
                <w:tcPr>
                  <w:tcW w:w="1314" w:type="dxa"/>
                  <w:noWrap/>
                  <w:vAlign w:val="center"/>
                </w:tcPr>
                <w:p>
                  <w:pPr>
                    <w:pStyle w:val="40"/>
                    <w:bidi w:val="0"/>
                  </w:pPr>
                  <w:r>
                    <w:t>污染物名称</w:t>
                  </w:r>
                </w:p>
              </w:tc>
              <w:tc>
                <w:tcPr>
                  <w:tcW w:w="1215" w:type="dxa"/>
                  <w:noWrap/>
                  <w:vAlign w:val="center"/>
                </w:tcPr>
                <w:p>
                  <w:pPr>
                    <w:pStyle w:val="40"/>
                    <w:bidi w:val="0"/>
                  </w:pPr>
                  <w:r>
                    <w:t>功能区</w:t>
                  </w:r>
                </w:p>
              </w:tc>
              <w:tc>
                <w:tcPr>
                  <w:tcW w:w="1260" w:type="dxa"/>
                  <w:noWrap/>
                  <w:vAlign w:val="center"/>
                </w:tcPr>
                <w:p>
                  <w:pPr>
                    <w:pStyle w:val="40"/>
                    <w:bidi w:val="0"/>
                  </w:pPr>
                  <w:r>
                    <w:t>取值时间</w:t>
                  </w:r>
                </w:p>
              </w:tc>
              <w:tc>
                <w:tcPr>
                  <w:tcW w:w="1470" w:type="dxa"/>
                  <w:noWrap/>
                  <w:vAlign w:val="center"/>
                </w:tcPr>
                <w:p>
                  <w:pPr>
                    <w:pStyle w:val="40"/>
                    <w:bidi w:val="0"/>
                  </w:pPr>
                  <w:r>
                    <w:t>标准值(μg/m³)</w:t>
                  </w:r>
                </w:p>
              </w:tc>
              <w:tc>
                <w:tcPr>
                  <w:tcW w:w="3847" w:type="dxa"/>
                  <w:noWrap/>
                  <w:vAlign w:val="center"/>
                </w:tcPr>
                <w:p>
                  <w:pPr>
                    <w:pStyle w:val="40"/>
                    <w:bidi w:val="0"/>
                  </w:pPr>
                  <w:r>
                    <w:t>标准来源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69" w:hRule="atLeast"/>
                <w:jc w:val="center"/>
              </w:trPr>
              <w:tc>
                <w:tcPr>
                  <w:tcW w:w="1314" w:type="dxa"/>
                  <w:noWrap/>
                  <w:vAlign w:val="center"/>
                </w:tcPr>
                <w:p>
                  <w:pPr>
                    <w:pStyle w:val="40"/>
                    <w:bidi w:val="0"/>
                  </w:pPr>
                  <w:r>
                    <w:rPr>
                      <w:rFonts w:hint="eastAsia"/>
                    </w:rPr>
                    <w:t>非甲烷总烃</w:t>
                  </w:r>
                </w:p>
              </w:tc>
              <w:tc>
                <w:tcPr>
                  <w:tcW w:w="1215" w:type="dxa"/>
                  <w:noWrap/>
                  <w:vAlign w:val="center"/>
                </w:tcPr>
                <w:p>
                  <w:pPr>
                    <w:pStyle w:val="40"/>
                    <w:bidi w:val="0"/>
                  </w:pPr>
                  <w:r>
                    <w:t>二类限区</w:t>
                  </w:r>
                </w:p>
              </w:tc>
              <w:tc>
                <w:tcPr>
                  <w:tcW w:w="1260" w:type="dxa"/>
                  <w:noWrap/>
                  <w:vAlign w:val="center"/>
                </w:tcPr>
                <w:p>
                  <w:pPr>
                    <w:pStyle w:val="40"/>
                    <w:bidi w:val="0"/>
                  </w:pPr>
                  <w:r>
                    <w:t>一小时</w:t>
                  </w:r>
                </w:p>
              </w:tc>
              <w:tc>
                <w:tcPr>
                  <w:tcW w:w="1470" w:type="dxa"/>
                  <w:noWrap/>
                  <w:vAlign w:val="center"/>
                </w:tcPr>
                <w:p>
                  <w:pPr>
                    <w:pStyle w:val="40"/>
                    <w:bidi w:val="0"/>
                  </w:pPr>
                  <w:r>
                    <w:t>2000.0</w:t>
                  </w:r>
                </w:p>
              </w:tc>
              <w:tc>
                <w:tcPr>
                  <w:tcW w:w="3847" w:type="dxa"/>
                  <w:noWrap/>
                  <w:vAlign w:val="center"/>
                </w:tcPr>
                <w:p>
                  <w:pPr>
                    <w:pStyle w:val="40"/>
                    <w:bidi w:val="0"/>
                  </w:pPr>
                  <w:r>
                    <w:rPr>
                      <w:rFonts w:hint="eastAsia"/>
                    </w:rPr>
                    <w:t>《</w:t>
                  </w:r>
                  <w:r>
                    <w:rPr>
                      <w:rFonts w:hint="eastAsia"/>
                      <w:lang w:val="en-US" w:eastAsia="zh-CN"/>
                    </w:rPr>
                    <w:t>上海市地方标准大气污染物综合</w:t>
                  </w:r>
                  <w:r>
                    <w:rPr>
                      <w:rFonts w:hint="eastAsia"/>
                    </w:rPr>
                    <w:t>排放标准》（</w:t>
                  </w:r>
                  <w:r>
                    <w:rPr>
                      <w:rFonts w:hint="eastAsia"/>
                      <w:lang w:val="en-US" w:eastAsia="zh-CN"/>
                    </w:rPr>
                    <w:t>DB31/933-2015</w:t>
                  </w:r>
                  <w:r>
                    <w:rPr>
                      <w:rFonts w:hint="eastAsia"/>
                    </w:rPr>
                    <w:t>）</w:t>
                  </w:r>
                </w:p>
              </w:tc>
            </w:tr>
          </w:tbl>
          <w:p>
            <w:pPr>
              <w:pStyle w:val="5"/>
            </w:pPr>
            <w:r>
              <w:rPr>
                <w:rFonts w:hint="eastAsia"/>
              </w:rPr>
              <w:t>3、污染源参数</w:t>
            </w:r>
          </w:p>
          <w:p>
            <w:pPr>
              <w:pStyle w:val="29"/>
              <w:bidi w:val="0"/>
            </w:pPr>
            <w:r>
              <w:t>表</w:t>
            </w:r>
            <w:r>
              <w:rPr>
                <w:rFonts w:hint="eastAsia"/>
              </w:rPr>
              <w:t>7-6</w:t>
            </w:r>
            <w:r>
              <w:t xml:space="preserve"> 主要废气污染源参数一览表(点源)</w:t>
            </w:r>
          </w:p>
          <w:tbl>
            <w:tblPr>
              <w:tblStyle w:val="23"/>
              <w:tblW w:w="9105"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7"/>
              <w:gridCol w:w="525"/>
              <w:gridCol w:w="525"/>
              <w:gridCol w:w="1095"/>
              <w:gridCol w:w="900"/>
              <w:gridCol w:w="900"/>
              <w:gridCol w:w="885"/>
              <w:gridCol w:w="675"/>
              <w:gridCol w:w="735"/>
              <w:gridCol w:w="810"/>
              <w:gridCol w:w="117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877" w:type="dxa"/>
                  <w:noWrap/>
                  <w:vAlign w:val="center"/>
                </w:tcPr>
                <w:p>
                  <w:pPr>
                    <w:pStyle w:val="40"/>
                  </w:pPr>
                  <w:r>
                    <w:t>污染源名称</w:t>
                  </w:r>
                </w:p>
              </w:tc>
              <w:tc>
                <w:tcPr>
                  <w:tcW w:w="1050" w:type="dxa"/>
                  <w:gridSpan w:val="2"/>
                  <w:noWrap/>
                  <w:vAlign w:val="center"/>
                </w:tcPr>
                <w:p>
                  <w:pPr>
                    <w:pStyle w:val="40"/>
                  </w:pPr>
                  <w:r>
                    <w:t>排气筒底部中心坐标°</w:t>
                  </w:r>
                </w:p>
              </w:tc>
              <w:tc>
                <w:tcPr>
                  <w:tcW w:w="1095" w:type="dxa"/>
                  <w:noWrap/>
                  <w:vAlign w:val="center"/>
                </w:tcPr>
                <w:p>
                  <w:pPr>
                    <w:pStyle w:val="40"/>
                  </w:pPr>
                  <w:r>
                    <w:t>排气筒底部海拔m</w:t>
                  </w:r>
                </w:p>
              </w:tc>
              <w:tc>
                <w:tcPr>
                  <w:tcW w:w="4905" w:type="dxa"/>
                  <w:gridSpan w:val="6"/>
                  <w:noWrap/>
                  <w:vAlign w:val="center"/>
                </w:tcPr>
                <w:p>
                  <w:pPr>
                    <w:pStyle w:val="40"/>
                  </w:pPr>
                  <w:r>
                    <w:t>排气筒</w:t>
                  </w:r>
                  <w:r>
                    <w:rPr>
                      <w:rFonts w:hint="eastAsia"/>
                    </w:rPr>
                    <w:t>DA001</w:t>
                  </w:r>
                  <w:r>
                    <w:t>参数</w:t>
                  </w:r>
                </w:p>
              </w:tc>
              <w:tc>
                <w:tcPr>
                  <w:tcW w:w="1178" w:type="dxa"/>
                  <w:noWrap/>
                  <w:vAlign w:val="center"/>
                </w:tcPr>
                <w:p>
                  <w:pPr>
                    <w:pStyle w:val="40"/>
                  </w:pPr>
                  <w: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877" w:type="dxa"/>
                  <w:vMerge w:val="restart"/>
                  <w:noWrap/>
                  <w:vAlign w:val="center"/>
                </w:tcPr>
                <w:p>
                  <w:pPr>
                    <w:pStyle w:val="40"/>
                  </w:pPr>
                  <w:r>
                    <w:rPr>
                      <w:rFonts w:hint="eastAsia"/>
                    </w:rPr>
                    <w:t>DA001排气筒</w:t>
                  </w:r>
                </w:p>
              </w:tc>
              <w:tc>
                <w:tcPr>
                  <w:tcW w:w="525" w:type="dxa"/>
                  <w:noWrap/>
                  <w:vAlign w:val="center"/>
                </w:tcPr>
                <w:p>
                  <w:pPr>
                    <w:pStyle w:val="40"/>
                  </w:pPr>
                  <w:r>
                    <w:t>经度</w:t>
                  </w:r>
                </w:p>
              </w:tc>
              <w:tc>
                <w:tcPr>
                  <w:tcW w:w="525" w:type="dxa"/>
                  <w:tcBorders>
                    <w:bottom w:val="single" w:color="auto" w:sz="4" w:space="0"/>
                  </w:tcBorders>
                  <w:noWrap/>
                  <w:vAlign w:val="center"/>
                </w:tcPr>
                <w:p>
                  <w:pPr>
                    <w:pStyle w:val="40"/>
                  </w:pPr>
                  <w:r>
                    <w:t>纬度</w:t>
                  </w:r>
                </w:p>
              </w:tc>
              <w:tc>
                <w:tcPr>
                  <w:tcW w:w="1095" w:type="dxa"/>
                  <w:tcBorders>
                    <w:bottom w:val="single" w:color="auto" w:sz="4" w:space="0"/>
                  </w:tcBorders>
                  <w:noWrap/>
                  <w:vAlign w:val="center"/>
                </w:tcPr>
                <w:p>
                  <w:pPr>
                    <w:pStyle w:val="40"/>
                  </w:pPr>
                  <w:r>
                    <w:rPr>
                      <w:rFonts w:hint="eastAsia"/>
                    </w:rPr>
                    <w:t>海拔</w:t>
                  </w:r>
                  <w:r>
                    <w:t>高度m</w:t>
                  </w:r>
                </w:p>
              </w:tc>
              <w:tc>
                <w:tcPr>
                  <w:tcW w:w="900" w:type="dxa"/>
                  <w:tcBorders>
                    <w:right w:val="single" w:color="auto" w:sz="4" w:space="0"/>
                  </w:tcBorders>
                  <w:noWrap/>
                  <w:vAlign w:val="center"/>
                </w:tcPr>
                <w:p>
                  <w:pPr>
                    <w:pStyle w:val="40"/>
                  </w:pPr>
                  <w:r>
                    <w:t>内径m</w:t>
                  </w:r>
                </w:p>
              </w:tc>
              <w:tc>
                <w:tcPr>
                  <w:tcW w:w="900" w:type="dxa"/>
                  <w:tcBorders>
                    <w:left w:val="single" w:color="auto" w:sz="4" w:space="0"/>
                    <w:right w:val="single" w:color="auto" w:sz="4" w:space="0"/>
                  </w:tcBorders>
                  <w:noWrap/>
                  <w:vAlign w:val="center"/>
                </w:tcPr>
                <w:p>
                  <w:pPr>
                    <w:pStyle w:val="40"/>
                  </w:pPr>
                  <w:r>
                    <w:rPr>
                      <w:rFonts w:hint="eastAsia"/>
                    </w:rPr>
                    <w:t>排气筒高度m</w:t>
                  </w:r>
                </w:p>
              </w:tc>
              <w:tc>
                <w:tcPr>
                  <w:tcW w:w="885" w:type="dxa"/>
                  <w:tcBorders>
                    <w:left w:val="single" w:color="auto" w:sz="4" w:space="0"/>
                  </w:tcBorders>
                  <w:noWrap/>
                  <w:vAlign w:val="center"/>
                </w:tcPr>
                <w:p>
                  <w:pPr>
                    <w:pStyle w:val="40"/>
                  </w:pPr>
                  <w:r>
                    <w:rPr>
                      <w:rFonts w:hint="eastAsia"/>
                    </w:rPr>
                    <w:t>年排放小时h</w:t>
                  </w:r>
                </w:p>
              </w:tc>
              <w:tc>
                <w:tcPr>
                  <w:tcW w:w="675" w:type="dxa"/>
                  <w:tcBorders>
                    <w:right w:val="single" w:color="auto" w:sz="4" w:space="0"/>
                  </w:tcBorders>
                  <w:noWrap/>
                  <w:vAlign w:val="center"/>
                </w:tcPr>
                <w:p>
                  <w:pPr>
                    <w:pStyle w:val="40"/>
                  </w:pPr>
                  <w:r>
                    <w:t>温度℃</w:t>
                  </w:r>
                </w:p>
              </w:tc>
              <w:tc>
                <w:tcPr>
                  <w:tcW w:w="735" w:type="dxa"/>
                  <w:tcBorders>
                    <w:left w:val="single" w:color="auto" w:sz="4" w:space="0"/>
                  </w:tcBorders>
                  <w:noWrap/>
                  <w:vAlign w:val="center"/>
                </w:tcPr>
                <w:p>
                  <w:pPr>
                    <w:pStyle w:val="40"/>
                  </w:pPr>
                  <w:r>
                    <w:rPr>
                      <w:rFonts w:hint="eastAsia"/>
                    </w:rPr>
                    <w:t>排放工况</w:t>
                  </w:r>
                </w:p>
              </w:tc>
              <w:tc>
                <w:tcPr>
                  <w:tcW w:w="810" w:type="dxa"/>
                  <w:noWrap/>
                  <w:vAlign w:val="center"/>
                </w:tcPr>
                <w:p>
                  <w:pPr>
                    <w:pStyle w:val="40"/>
                  </w:pPr>
                  <w:r>
                    <w:t>流速m/s</w:t>
                  </w:r>
                </w:p>
              </w:tc>
              <w:tc>
                <w:tcPr>
                  <w:tcW w:w="1178" w:type="dxa"/>
                  <w:noWrap/>
                  <w:vAlign w:val="center"/>
                </w:tcPr>
                <w:p>
                  <w:pPr>
                    <w:pStyle w:val="40"/>
                  </w:pPr>
                  <w:r>
                    <w:rPr>
                      <w:rFonts w:hint="eastAsia"/>
                    </w:rPr>
                    <w:t>非甲烷总烃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877" w:type="dxa"/>
                  <w:vMerge w:val="continue"/>
                  <w:noWrap/>
                  <w:vAlign w:val="center"/>
                </w:tcPr>
                <w:p>
                  <w:pPr>
                    <w:pStyle w:val="40"/>
                  </w:pPr>
                </w:p>
              </w:tc>
              <w:tc>
                <w:tcPr>
                  <w:tcW w:w="525" w:type="dxa"/>
                  <w:noWrap/>
                  <w:vAlign w:val="center"/>
                </w:tcPr>
                <w:p>
                  <w:pPr>
                    <w:pStyle w:val="40"/>
                  </w:pPr>
                  <w:r>
                    <w:t>117.06</w:t>
                  </w:r>
                </w:p>
              </w:tc>
              <w:tc>
                <w:tcPr>
                  <w:tcW w:w="525" w:type="dxa"/>
                  <w:tcBorders>
                    <w:top w:val="single" w:color="auto" w:sz="4" w:space="0"/>
                  </w:tcBorders>
                  <w:noWrap/>
                  <w:vAlign w:val="center"/>
                </w:tcPr>
                <w:p>
                  <w:pPr>
                    <w:pStyle w:val="40"/>
                  </w:pPr>
                  <w:r>
                    <w:t>32.6688</w:t>
                  </w:r>
                </w:p>
              </w:tc>
              <w:tc>
                <w:tcPr>
                  <w:tcW w:w="1095" w:type="dxa"/>
                  <w:tcBorders>
                    <w:top w:val="single" w:color="auto" w:sz="4" w:space="0"/>
                  </w:tcBorders>
                  <w:noWrap/>
                  <w:vAlign w:val="center"/>
                </w:tcPr>
                <w:p>
                  <w:pPr>
                    <w:pStyle w:val="40"/>
                  </w:pPr>
                  <w:r>
                    <w:rPr>
                      <w:rFonts w:hint="eastAsia"/>
                    </w:rPr>
                    <w:t>25</w:t>
                  </w:r>
                </w:p>
              </w:tc>
              <w:tc>
                <w:tcPr>
                  <w:tcW w:w="900" w:type="dxa"/>
                  <w:tcBorders>
                    <w:right w:val="single" w:color="auto" w:sz="4" w:space="0"/>
                  </w:tcBorders>
                  <w:noWrap/>
                  <w:vAlign w:val="center"/>
                </w:tcPr>
                <w:p>
                  <w:pPr>
                    <w:pStyle w:val="40"/>
                  </w:pPr>
                  <w:r>
                    <w:t>0.</w:t>
                  </w:r>
                  <w:r>
                    <w:rPr>
                      <w:rFonts w:hint="eastAsia"/>
                    </w:rPr>
                    <w:t>4</w:t>
                  </w:r>
                </w:p>
              </w:tc>
              <w:tc>
                <w:tcPr>
                  <w:tcW w:w="900" w:type="dxa"/>
                  <w:tcBorders>
                    <w:left w:val="single" w:color="auto" w:sz="4" w:space="0"/>
                    <w:right w:val="single" w:color="auto" w:sz="4" w:space="0"/>
                  </w:tcBorders>
                  <w:noWrap/>
                  <w:vAlign w:val="center"/>
                </w:tcPr>
                <w:p>
                  <w:pPr>
                    <w:pStyle w:val="40"/>
                  </w:pPr>
                  <w:r>
                    <w:rPr>
                      <w:rFonts w:hint="eastAsia"/>
                    </w:rPr>
                    <w:t>15</w:t>
                  </w:r>
                </w:p>
              </w:tc>
              <w:tc>
                <w:tcPr>
                  <w:tcW w:w="885" w:type="dxa"/>
                  <w:tcBorders>
                    <w:left w:val="single" w:color="auto" w:sz="4" w:space="0"/>
                  </w:tcBorders>
                  <w:noWrap/>
                  <w:vAlign w:val="center"/>
                </w:tcPr>
                <w:p>
                  <w:pPr>
                    <w:pStyle w:val="40"/>
                  </w:pPr>
                  <w:r>
                    <w:rPr>
                      <w:rFonts w:hint="eastAsia"/>
                    </w:rPr>
                    <w:t>2400</w:t>
                  </w:r>
                </w:p>
              </w:tc>
              <w:tc>
                <w:tcPr>
                  <w:tcW w:w="675" w:type="dxa"/>
                  <w:tcBorders>
                    <w:right w:val="single" w:color="auto" w:sz="4" w:space="0"/>
                  </w:tcBorders>
                  <w:noWrap/>
                  <w:vAlign w:val="center"/>
                </w:tcPr>
                <w:p>
                  <w:pPr>
                    <w:pStyle w:val="40"/>
                  </w:pPr>
                  <w:r>
                    <w:t>25.00</w:t>
                  </w:r>
                </w:p>
              </w:tc>
              <w:tc>
                <w:tcPr>
                  <w:tcW w:w="735" w:type="dxa"/>
                  <w:tcBorders>
                    <w:left w:val="single" w:color="auto" w:sz="4" w:space="0"/>
                  </w:tcBorders>
                  <w:noWrap/>
                  <w:vAlign w:val="center"/>
                </w:tcPr>
                <w:p>
                  <w:pPr>
                    <w:pStyle w:val="40"/>
                  </w:pPr>
                  <w:r>
                    <w:rPr>
                      <w:rFonts w:hint="eastAsia"/>
                    </w:rPr>
                    <w:t>正常排放</w:t>
                  </w:r>
                </w:p>
              </w:tc>
              <w:tc>
                <w:tcPr>
                  <w:tcW w:w="810" w:type="dxa"/>
                  <w:noWrap/>
                  <w:vAlign w:val="center"/>
                </w:tcPr>
                <w:p>
                  <w:pPr>
                    <w:pStyle w:val="40"/>
                  </w:pPr>
                  <w:r>
                    <w:rPr>
                      <w:rFonts w:hint="eastAsia"/>
                    </w:rPr>
                    <w:t>11</w:t>
                  </w:r>
                </w:p>
              </w:tc>
              <w:tc>
                <w:tcPr>
                  <w:tcW w:w="1178" w:type="dxa"/>
                  <w:noWrap/>
                  <w:vAlign w:val="center"/>
                </w:tcPr>
                <w:p>
                  <w:pPr>
                    <w:pStyle w:val="40"/>
                  </w:pPr>
                  <w:r>
                    <w:rPr>
                      <w:rFonts w:hint="eastAsia"/>
                    </w:rPr>
                    <w:t>0.010875</w:t>
                  </w:r>
                </w:p>
              </w:tc>
            </w:tr>
          </w:tbl>
          <w:p>
            <w:pPr>
              <w:spacing w:line="480" w:lineRule="exact"/>
              <w:jc w:val="center"/>
            </w:pPr>
            <w:r>
              <w:t>表</w:t>
            </w:r>
            <w:r>
              <w:rPr>
                <w:rFonts w:hint="eastAsia"/>
              </w:rPr>
              <w:t>7-7</w:t>
            </w:r>
            <w:r>
              <w:t xml:space="preserve"> 主要废气污染源参数一览表(矩形面源)</w:t>
            </w:r>
          </w:p>
          <w:tbl>
            <w:tblPr>
              <w:tblStyle w:val="23"/>
              <w:tblW w:w="9086"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82"/>
              <w:gridCol w:w="495"/>
              <w:gridCol w:w="540"/>
              <w:gridCol w:w="1110"/>
              <w:gridCol w:w="771"/>
              <w:gridCol w:w="1014"/>
              <w:gridCol w:w="870"/>
              <w:gridCol w:w="662"/>
              <w:gridCol w:w="763"/>
              <w:gridCol w:w="810"/>
              <w:gridCol w:w="116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82" w:type="dxa"/>
                  <w:noWrap/>
                  <w:vAlign w:val="center"/>
                </w:tcPr>
                <w:p>
                  <w:pPr>
                    <w:pStyle w:val="40"/>
                  </w:pPr>
                  <w:r>
                    <w:t>污染源名称</w:t>
                  </w:r>
                </w:p>
              </w:tc>
              <w:tc>
                <w:tcPr>
                  <w:tcW w:w="1035" w:type="dxa"/>
                  <w:gridSpan w:val="2"/>
                  <w:noWrap/>
                  <w:vAlign w:val="center"/>
                </w:tcPr>
                <w:p>
                  <w:pPr>
                    <w:pStyle w:val="40"/>
                  </w:pPr>
                  <w:r>
                    <w:t>坐标°</w:t>
                  </w:r>
                </w:p>
              </w:tc>
              <w:tc>
                <w:tcPr>
                  <w:tcW w:w="1110" w:type="dxa"/>
                  <w:noWrap/>
                  <w:vAlign w:val="center"/>
                </w:tcPr>
                <w:p>
                  <w:pPr>
                    <w:pStyle w:val="40"/>
                  </w:pPr>
                  <w:r>
                    <w:t>海拔高度m</w:t>
                  </w:r>
                </w:p>
              </w:tc>
              <w:tc>
                <w:tcPr>
                  <w:tcW w:w="4890" w:type="dxa"/>
                  <w:gridSpan w:val="6"/>
                  <w:tcBorders>
                    <w:bottom w:val="single" w:color="auto" w:sz="4" w:space="0"/>
                  </w:tcBorders>
                  <w:noWrap/>
                  <w:vAlign w:val="center"/>
                </w:tcPr>
                <w:p>
                  <w:pPr>
                    <w:pStyle w:val="40"/>
                  </w:pPr>
                  <w:r>
                    <w:t>矩形面源</w:t>
                  </w:r>
                </w:p>
              </w:tc>
              <w:tc>
                <w:tcPr>
                  <w:tcW w:w="1169" w:type="dxa"/>
                  <w:noWrap/>
                  <w:vAlign w:val="center"/>
                </w:tcPr>
                <w:p>
                  <w:pPr>
                    <w:pStyle w:val="40"/>
                  </w:pPr>
                  <w: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82" w:type="dxa"/>
                  <w:vMerge w:val="restart"/>
                  <w:noWrap/>
                  <w:vAlign w:val="center"/>
                </w:tcPr>
                <w:p>
                  <w:pPr>
                    <w:pStyle w:val="40"/>
                  </w:pPr>
                  <w:r>
                    <w:rPr>
                      <w:rFonts w:hint="eastAsia"/>
                    </w:rPr>
                    <w:t>生产车间</w:t>
                  </w:r>
                </w:p>
              </w:tc>
              <w:tc>
                <w:tcPr>
                  <w:tcW w:w="495" w:type="dxa"/>
                  <w:noWrap/>
                  <w:vAlign w:val="center"/>
                </w:tcPr>
                <w:p>
                  <w:pPr>
                    <w:pStyle w:val="40"/>
                  </w:pPr>
                  <w:r>
                    <w:t>经度</w:t>
                  </w:r>
                </w:p>
              </w:tc>
              <w:tc>
                <w:tcPr>
                  <w:tcW w:w="540" w:type="dxa"/>
                  <w:noWrap/>
                  <w:vAlign w:val="center"/>
                </w:tcPr>
                <w:p>
                  <w:pPr>
                    <w:pStyle w:val="40"/>
                  </w:pPr>
                  <w:r>
                    <w:t>纬度</w:t>
                  </w:r>
                </w:p>
              </w:tc>
              <w:tc>
                <w:tcPr>
                  <w:tcW w:w="1110" w:type="dxa"/>
                  <w:vMerge w:val="restart"/>
                  <w:noWrap/>
                  <w:vAlign w:val="center"/>
                </w:tcPr>
                <w:p>
                  <w:pPr>
                    <w:pStyle w:val="40"/>
                  </w:pPr>
                  <w:r>
                    <w:rPr>
                      <w:rFonts w:hint="eastAsia"/>
                    </w:rPr>
                    <w:t>25m</w:t>
                  </w:r>
                </w:p>
              </w:tc>
              <w:tc>
                <w:tcPr>
                  <w:tcW w:w="771" w:type="dxa"/>
                  <w:tcBorders>
                    <w:top w:val="single" w:color="auto" w:sz="4" w:space="0"/>
                  </w:tcBorders>
                  <w:noWrap/>
                  <w:vAlign w:val="center"/>
                </w:tcPr>
                <w:p>
                  <w:pPr>
                    <w:pStyle w:val="40"/>
                  </w:pPr>
                  <w:r>
                    <w:t>宽度m</w:t>
                  </w:r>
                </w:p>
              </w:tc>
              <w:tc>
                <w:tcPr>
                  <w:tcW w:w="1014" w:type="dxa"/>
                  <w:tcBorders>
                    <w:top w:val="single" w:color="auto" w:sz="4" w:space="0"/>
                    <w:right w:val="single" w:color="auto" w:sz="4" w:space="0"/>
                  </w:tcBorders>
                  <w:noWrap/>
                  <w:vAlign w:val="center"/>
                </w:tcPr>
                <w:p>
                  <w:pPr>
                    <w:pStyle w:val="40"/>
                  </w:pPr>
                  <w:r>
                    <w:rPr>
                      <w:rFonts w:hint="eastAsia"/>
                    </w:rPr>
                    <w:t>长度m</w:t>
                  </w:r>
                </w:p>
              </w:tc>
              <w:tc>
                <w:tcPr>
                  <w:tcW w:w="870" w:type="dxa"/>
                  <w:tcBorders>
                    <w:top w:val="single" w:color="auto" w:sz="4" w:space="0"/>
                    <w:left w:val="single" w:color="auto" w:sz="4" w:space="0"/>
                    <w:right w:val="single" w:color="auto" w:sz="4" w:space="0"/>
                  </w:tcBorders>
                  <w:noWrap/>
                  <w:vAlign w:val="center"/>
                </w:tcPr>
                <w:p>
                  <w:pPr>
                    <w:pStyle w:val="40"/>
                  </w:pPr>
                  <w:r>
                    <w:rPr>
                      <w:rFonts w:hint="eastAsia"/>
                    </w:rPr>
                    <w:t>年排放小时h</w:t>
                  </w:r>
                </w:p>
              </w:tc>
              <w:tc>
                <w:tcPr>
                  <w:tcW w:w="662" w:type="dxa"/>
                  <w:tcBorders>
                    <w:top w:val="single" w:color="auto" w:sz="4" w:space="0"/>
                    <w:left w:val="single" w:color="auto" w:sz="4" w:space="0"/>
                    <w:right w:val="single" w:color="auto" w:sz="4" w:space="0"/>
                  </w:tcBorders>
                  <w:noWrap/>
                  <w:vAlign w:val="center"/>
                </w:tcPr>
                <w:p>
                  <w:pPr>
                    <w:pStyle w:val="40"/>
                  </w:pPr>
                  <w:r>
                    <w:rPr>
                      <w:rFonts w:hint="eastAsia"/>
                    </w:rPr>
                    <w:t>有效高度m</w:t>
                  </w:r>
                </w:p>
              </w:tc>
              <w:tc>
                <w:tcPr>
                  <w:tcW w:w="763" w:type="dxa"/>
                  <w:tcBorders>
                    <w:top w:val="single" w:color="auto" w:sz="4" w:space="0"/>
                    <w:left w:val="single" w:color="auto" w:sz="4" w:space="0"/>
                    <w:right w:val="single" w:color="auto" w:sz="4" w:space="0"/>
                  </w:tcBorders>
                  <w:noWrap/>
                  <w:vAlign w:val="center"/>
                </w:tcPr>
                <w:p>
                  <w:pPr>
                    <w:pStyle w:val="40"/>
                  </w:pPr>
                  <w:r>
                    <w:rPr>
                      <w:rFonts w:hint="eastAsia"/>
                    </w:rPr>
                    <w:t>排放工况</w:t>
                  </w:r>
                </w:p>
              </w:tc>
              <w:tc>
                <w:tcPr>
                  <w:tcW w:w="810" w:type="dxa"/>
                  <w:tcBorders>
                    <w:top w:val="single" w:color="auto" w:sz="4" w:space="0"/>
                    <w:left w:val="single" w:color="auto" w:sz="4" w:space="0"/>
                  </w:tcBorders>
                  <w:noWrap/>
                  <w:vAlign w:val="center"/>
                </w:tcPr>
                <w:p>
                  <w:pPr>
                    <w:pStyle w:val="40"/>
                  </w:pPr>
                  <w:r>
                    <w:rPr>
                      <w:rFonts w:hint="eastAsia"/>
                    </w:rPr>
                    <w:t>与正北方向夹角°</w:t>
                  </w:r>
                </w:p>
              </w:tc>
              <w:tc>
                <w:tcPr>
                  <w:tcW w:w="1169" w:type="dxa"/>
                  <w:noWrap/>
                  <w:vAlign w:val="center"/>
                </w:tcPr>
                <w:p>
                  <w:pPr>
                    <w:pStyle w:val="40"/>
                  </w:pPr>
                  <w:r>
                    <w:rPr>
                      <w:rFonts w:hint="eastAsia"/>
                    </w:rPr>
                    <w:t>非甲烷总烃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jc w:val="center"/>
              </w:trPr>
              <w:tc>
                <w:tcPr>
                  <w:tcW w:w="882" w:type="dxa"/>
                  <w:vMerge w:val="continue"/>
                  <w:noWrap/>
                  <w:vAlign w:val="center"/>
                </w:tcPr>
                <w:p>
                  <w:pPr>
                    <w:pStyle w:val="40"/>
                  </w:pPr>
                </w:p>
              </w:tc>
              <w:tc>
                <w:tcPr>
                  <w:tcW w:w="495" w:type="dxa"/>
                  <w:noWrap/>
                  <w:vAlign w:val="center"/>
                </w:tcPr>
                <w:p>
                  <w:pPr>
                    <w:pStyle w:val="40"/>
                  </w:pPr>
                  <w:r>
                    <w:t>117.0</w:t>
                  </w:r>
                  <w:r>
                    <w:rPr>
                      <w:rFonts w:hint="eastAsia"/>
                    </w:rPr>
                    <w:t>6</w:t>
                  </w:r>
                </w:p>
              </w:tc>
              <w:tc>
                <w:tcPr>
                  <w:tcW w:w="540" w:type="dxa"/>
                  <w:noWrap/>
                  <w:vAlign w:val="center"/>
                </w:tcPr>
                <w:p>
                  <w:pPr>
                    <w:pStyle w:val="40"/>
                  </w:pPr>
                  <w:r>
                    <w:t>32.668</w:t>
                  </w:r>
                  <w:r>
                    <w:rPr>
                      <w:rFonts w:hint="eastAsia"/>
                    </w:rPr>
                    <w:t>8</w:t>
                  </w:r>
                </w:p>
              </w:tc>
              <w:tc>
                <w:tcPr>
                  <w:tcW w:w="1110" w:type="dxa"/>
                  <w:vMerge w:val="continue"/>
                  <w:noWrap/>
                  <w:vAlign w:val="center"/>
                </w:tcPr>
                <w:p>
                  <w:pPr>
                    <w:pStyle w:val="40"/>
                  </w:pPr>
                </w:p>
              </w:tc>
              <w:tc>
                <w:tcPr>
                  <w:tcW w:w="771" w:type="dxa"/>
                  <w:noWrap/>
                  <w:vAlign w:val="center"/>
                </w:tcPr>
                <w:p>
                  <w:pPr>
                    <w:pStyle w:val="40"/>
                  </w:pPr>
                  <w:r>
                    <w:t>20</w:t>
                  </w:r>
                </w:p>
              </w:tc>
              <w:tc>
                <w:tcPr>
                  <w:tcW w:w="1014" w:type="dxa"/>
                  <w:tcBorders>
                    <w:right w:val="single" w:color="auto" w:sz="4" w:space="0"/>
                  </w:tcBorders>
                  <w:noWrap/>
                  <w:vAlign w:val="center"/>
                </w:tcPr>
                <w:p>
                  <w:pPr>
                    <w:pStyle w:val="40"/>
                  </w:pPr>
                  <w:r>
                    <w:rPr>
                      <w:rFonts w:hint="eastAsia"/>
                    </w:rPr>
                    <w:t>60</w:t>
                  </w:r>
                </w:p>
              </w:tc>
              <w:tc>
                <w:tcPr>
                  <w:tcW w:w="870" w:type="dxa"/>
                  <w:tcBorders>
                    <w:left w:val="single" w:color="auto" w:sz="4" w:space="0"/>
                    <w:right w:val="single" w:color="auto" w:sz="4" w:space="0"/>
                  </w:tcBorders>
                  <w:noWrap/>
                  <w:vAlign w:val="center"/>
                </w:tcPr>
                <w:p>
                  <w:pPr>
                    <w:pStyle w:val="40"/>
                  </w:pPr>
                  <w:r>
                    <w:rPr>
                      <w:rFonts w:hint="eastAsia"/>
                    </w:rPr>
                    <w:t>2400</w:t>
                  </w:r>
                </w:p>
              </w:tc>
              <w:tc>
                <w:tcPr>
                  <w:tcW w:w="662" w:type="dxa"/>
                  <w:tcBorders>
                    <w:left w:val="single" w:color="auto" w:sz="4" w:space="0"/>
                    <w:right w:val="single" w:color="auto" w:sz="4" w:space="0"/>
                  </w:tcBorders>
                  <w:noWrap/>
                  <w:vAlign w:val="center"/>
                </w:tcPr>
                <w:p>
                  <w:pPr>
                    <w:pStyle w:val="40"/>
                  </w:pPr>
                  <w:r>
                    <w:rPr>
                      <w:rFonts w:hint="eastAsia"/>
                    </w:rPr>
                    <w:t>6.5</w:t>
                  </w:r>
                </w:p>
              </w:tc>
              <w:tc>
                <w:tcPr>
                  <w:tcW w:w="763" w:type="dxa"/>
                  <w:tcBorders>
                    <w:left w:val="single" w:color="auto" w:sz="4" w:space="0"/>
                    <w:right w:val="single" w:color="auto" w:sz="4" w:space="0"/>
                  </w:tcBorders>
                  <w:noWrap/>
                  <w:vAlign w:val="center"/>
                </w:tcPr>
                <w:p>
                  <w:pPr>
                    <w:pStyle w:val="40"/>
                  </w:pPr>
                  <w:r>
                    <w:rPr>
                      <w:rFonts w:hint="eastAsia"/>
                    </w:rPr>
                    <w:t>正常排放</w:t>
                  </w:r>
                </w:p>
              </w:tc>
              <w:tc>
                <w:tcPr>
                  <w:tcW w:w="810" w:type="dxa"/>
                  <w:tcBorders>
                    <w:left w:val="single" w:color="auto" w:sz="4" w:space="0"/>
                  </w:tcBorders>
                  <w:noWrap/>
                  <w:vAlign w:val="center"/>
                </w:tcPr>
                <w:p>
                  <w:pPr>
                    <w:pStyle w:val="40"/>
                  </w:pPr>
                  <w:r>
                    <w:rPr>
                      <w:rFonts w:hint="eastAsia"/>
                    </w:rPr>
                    <w:t>0</w:t>
                  </w:r>
                </w:p>
              </w:tc>
              <w:tc>
                <w:tcPr>
                  <w:tcW w:w="1169" w:type="dxa"/>
                  <w:noWrap/>
                  <w:vAlign w:val="center"/>
                </w:tcPr>
                <w:p>
                  <w:pPr>
                    <w:pStyle w:val="40"/>
                  </w:pPr>
                  <w:r>
                    <w:rPr>
                      <w:rFonts w:hint="eastAsia"/>
                    </w:rPr>
                    <w:t>0.012083</w:t>
                  </w:r>
                </w:p>
              </w:tc>
            </w:tr>
          </w:tbl>
          <w:p>
            <w:pPr>
              <w:pStyle w:val="5"/>
            </w:pPr>
            <w:r>
              <w:rPr>
                <w:rFonts w:hint="eastAsia"/>
              </w:rPr>
              <w:t>4、</w:t>
            </w:r>
            <w:r>
              <w:t>项目参数</w:t>
            </w:r>
          </w:p>
          <w:p>
            <w:pPr>
              <w:pStyle w:val="5"/>
              <w:ind w:firstLine="0" w:firstLineChars="0"/>
              <w:jc w:val="center"/>
            </w:pPr>
            <w:r>
              <w:t>表</w:t>
            </w:r>
            <w:r>
              <w:rPr>
                <w:rFonts w:hint="eastAsia"/>
              </w:rPr>
              <w:t>7-8</w:t>
            </w:r>
            <w:r>
              <w:t xml:space="preserve"> 估算模型参数表</w:t>
            </w:r>
          </w:p>
          <w:tbl>
            <w:tblPr>
              <w:tblStyle w:val="23"/>
              <w:tblW w:w="9164"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479"/>
              <w:gridCol w:w="1421"/>
              <w:gridCol w:w="1421"/>
              <w:gridCol w:w="284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4900" w:type="dxa"/>
                  <w:gridSpan w:val="2"/>
                  <w:noWrap/>
                  <w:vAlign w:val="center"/>
                </w:tcPr>
                <w:p>
                  <w:pPr>
                    <w:pStyle w:val="40"/>
                  </w:pPr>
                  <w:r>
                    <w:t>参数</w:t>
                  </w:r>
                </w:p>
              </w:tc>
              <w:tc>
                <w:tcPr>
                  <w:tcW w:w="4264" w:type="dxa"/>
                  <w:gridSpan w:val="2"/>
                  <w:noWrap/>
                  <w:vAlign w:val="center"/>
                </w:tcPr>
                <w:p>
                  <w:pPr>
                    <w:pStyle w:val="40"/>
                  </w:pPr>
                  <w:r>
                    <w:t>取值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479" w:type="dxa"/>
                  <w:vMerge w:val="restart"/>
                  <w:noWrap/>
                  <w:vAlign w:val="center"/>
                </w:tcPr>
                <w:p>
                  <w:pPr>
                    <w:pStyle w:val="40"/>
                  </w:pPr>
                  <w:r>
                    <w:t>城市/农村选项</w:t>
                  </w:r>
                </w:p>
              </w:tc>
              <w:tc>
                <w:tcPr>
                  <w:tcW w:w="2842" w:type="dxa"/>
                  <w:gridSpan w:val="2"/>
                  <w:noWrap/>
                  <w:vAlign w:val="center"/>
                </w:tcPr>
                <w:p>
                  <w:pPr>
                    <w:pStyle w:val="40"/>
                  </w:pPr>
                  <w:r>
                    <w:t>城市/农村</w:t>
                  </w:r>
                </w:p>
              </w:tc>
              <w:tc>
                <w:tcPr>
                  <w:tcW w:w="2843" w:type="dxa"/>
                  <w:noWrap/>
                  <w:vAlign w:val="center"/>
                </w:tcPr>
                <w:p>
                  <w:pPr>
                    <w:pStyle w:val="40"/>
                  </w:pPr>
                  <w:r>
                    <w:t>城市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479" w:type="dxa"/>
                  <w:vMerge w:val="continue"/>
                  <w:noWrap/>
                  <w:vAlign w:val="center"/>
                </w:tcPr>
                <w:p>
                  <w:pPr>
                    <w:pStyle w:val="40"/>
                  </w:pPr>
                </w:p>
              </w:tc>
              <w:tc>
                <w:tcPr>
                  <w:tcW w:w="2842" w:type="dxa"/>
                  <w:gridSpan w:val="2"/>
                  <w:noWrap/>
                  <w:vAlign w:val="center"/>
                </w:tcPr>
                <w:p>
                  <w:pPr>
                    <w:pStyle w:val="40"/>
                  </w:pPr>
                  <w:r>
                    <w:t>人口数(城市人口数)</w:t>
                  </w:r>
                </w:p>
              </w:tc>
              <w:tc>
                <w:tcPr>
                  <w:tcW w:w="2843" w:type="dxa"/>
                  <w:noWrap/>
                  <w:vAlign w:val="center"/>
                </w:tcPr>
                <w:p>
                  <w:pPr>
                    <w:pStyle w:val="40"/>
                  </w:pPr>
                  <w:r>
                    <w:t>3490000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4900" w:type="dxa"/>
                  <w:gridSpan w:val="2"/>
                  <w:noWrap/>
                  <w:vAlign w:val="center"/>
                </w:tcPr>
                <w:p>
                  <w:pPr>
                    <w:pStyle w:val="40"/>
                  </w:pPr>
                  <w:r>
                    <w:t>最高环境温度</w:t>
                  </w:r>
                </w:p>
              </w:tc>
              <w:tc>
                <w:tcPr>
                  <w:tcW w:w="4264" w:type="dxa"/>
                  <w:gridSpan w:val="2"/>
                  <w:noWrap/>
                  <w:vAlign w:val="center"/>
                </w:tcPr>
                <w:p>
                  <w:pPr>
                    <w:pStyle w:val="40"/>
                  </w:pPr>
                  <w:r>
                    <w:t>41.3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4900" w:type="dxa"/>
                  <w:gridSpan w:val="2"/>
                  <w:noWrap/>
                  <w:vAlign w:val="center"/>
                </w:tcPr>
                <w:p>
                  <w:pPr>
                    <w:pStyle w:val="40"/>
                  </w:pPr>
                  <w:r>
                    <w:t>最低环境温度</w:t>
                  </w:r>
                </w:p>
              </w:tc>
              <w:tc>
                <w:tcPr>
                  <w:tcW w:w="4264" w:type="dxa"/>
                  <w:gridSpan w:val="2"/>
                  <w:noWrap/>
                  <w:vAlign w:val="center"/>
                </w:tcPr>
                <w:p>
                  <w:pPr>
                    <w:pStyle w:val="40"/>
                  </w:pPr>
                  <w:r>
                    <w:t>-19.4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4900" w:type="dxa"/>
                  <w:gridSpan w:val="2"/>
                  <w:noWrap/>
                  <w:vAlign w:val="center"/>
                </w:tcPr>
                <w:p>
                  <w:pPr>
                    <w:pStyle w:val="40"/>
                  </w:pPr>
                  <w:r>
                    <w:t>土地利用类型</w:t>
                  </w:r>
                </w:p>
              </w:tc>
              <w:tc>
                <w:tcPr>
                  <w:tcW w:w="4264" w:type="dxa"/>
                  <w:gridSpan w:val="2"/>
                  <w:noWrap/>
                  <w:vAlign w:val="center"/>
                </w:tcPr>
                <w:p>
                  <w:pPr>
                    <w:pStyle w:val="40"/>
                  </w:pPr>
                  <w:r>
                    <w:t>城市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4900" w:type="dxa"/>
                  <w:gridSpan w:val="2"/>
                  <w:noWrap/>
                  <w:vAlign w:val="center"/>
                </w:tcPr>
                <w:p>
                  <w:pPr>
                    <w:pStyle w:val="40"/>
                  </w:pPr>
                  <w:r>
                    <w:t>区域湿度条件</w:t>
                  </w:r>
                </w:p>
              </w:tc>
              <w:tc>
                <w:tcPr>
                  <w:tcW w:w="4264" w:type="dxa"/>
                  <w:gridSpan w:val="2"/>
                  <w:noWrap/>
                  <w:vAlign w:val="center"/>
                </w:tcPr>
                <w:p>
                  <w:pPr>
                    <w:pStyle w:val="40"/>
                  </w:pPr>
                  <w:r>
                    <w:t>潮湿</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479" w:type="dxa"/>
                  <w:vMerge w:val="restart"/>
                  <w:noWrap/>
                  <w:vAlign w:val="center"/>
                </w:tcPr>
                <w:p>
                  <w:pPr>
                    <w:pStyle w:val="40"/>
                  </w:pPr>
                  <w:r>
                    <w:t>是否考虑地形</w:t>
                  </w:r>
                </w:p>
              </w:tc>
              <w:tc>
                <w:tcPr>
                  <w:tcW w:w="2842" w:type="dxa"/>
                  <w:gridSpan w:val="2"/>
                  <w:noWrap/>
                  <w:vAlign w:val="center"/>
                </w:tcPr>
                <w:p>
                  <w:pPr>
                    <w:pStyle w:val="40"/>
                  </w:pPr>
                  <w:r>
                    <w:t>考虑地形</w:t>
                  </w:r>
                </w:p>
              </w:tc>
              <w:tc>
                <w:tcPr>
                  <w:tcW w:w="2843" w:type="dxa"/>
                  <w:noWrap/>
                  <w:vAlign w:val="center"/>
                </w:tcPr>
                <w:p>
                  <w:pPr>
                    <w:pStyle w:val="40"/>
                  </w:pPr>
                  <w: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479" w:type="dxa"/>
                  <w:vMerge w:val="continue"/>
                  <w:noWrap/>
                  <w:vAlign w:val="center"/>
                </w:tcPr>
                <w:p>
                  <w:pPr>
                    <w:pStyle w:val="40"/>
                  </w:pPr>
                </w:p>
              </w:tc>
              <w:tc>
                <w:tcPr>
                  <w:tcW w:w="2842" w:type="dxa"/>
                  <w:gridSpan w:val="2"/>
                  <w:noWrap/>
                  <w:vAlign w:val="center"/>
                </w:tcPr>
                <w:p>
                  <w:pPr>
                    <w:pStyle w:val="40"/>
                  </w:pPr>
                  <w:r>
                    <w:t>地形数据分辨率(m)</w:t>
                  </w:r>
                </w:p>
              </w:tc>
              <w:tc>
                <w:tcPr>
                  <w:tcW w:w="2843" w:type="dxa"/>
                  <w:noWrap/>
                  <w:vAlign w:val="center"/>
                </w:tcPr>
                <w:p>
                  <w:pPr>
                    <w:pStyle w:val="40"/>
                  </w:pPr>
                  <w: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479" w:type="dxa"/>
                  <w:vMerge w:val="restart"/>
                  <w:noWrap/>
                  <w:vAlign w:val="center"/>
                </w:tcPr>
                <w:p>
                  <w:pPr>
                    <w:pStyle w:val="40"/>
                  </w:pPr>
                  <w:r>
                    <w:t>是否考虑岸线熏烟</w:t>
                  </w:r>
                </w:p>
              </w:tc>
              <w:tc>
                <w:tcPr>
                  <w:tcW w:w="2842" w:type="dxa"/>
                  <w:gridSpan w:val="2"/>
                  <w:noWrap/>
                  <w:vAlign w:val="center"/>
                </w:tcPr>
                <w:p>
                  <w:pPr>
                    <w:pStyle w:val="40"/>
                  </w:pPr>
                  <w:r>
                    <w:t>考虑岸线熏烟</w:t>
                  </w:r>
                </w:p>
              </w:tc>
              <w:tc>
                <w:tcPr>
                  <w:tcW w:w="2843" w:type="dxa"/>
                  <w:noWrap/>
                  <w:vAlign w:val="center"/>
                </w:tcPr>
                <w:p>
                  <w:pPr>
                    <w:pStyle w:val="40"/>
                  </w:pPr>
                  <w: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479" w:type="dxa"/>
                  <w:vMerge w:val="continue"/>
                  <w:noWrap/>
                  <w:vAlign w:val="center"/>
                </w:tcPr>
                <w:p>
                  <w:pPr>
                    <w:pStyle w:val="40"/>
                  </w:pPr>
                </w:p>
              </w:tc>
              <w:tc>
                <w:tcPr>
                  <w:tcW w:w="2842" w:type="dxa"/>
                  <w:gridSpan w:val="2"/>
                  <w:noWrap/>
                  <w:vAlign w:val="center"/>
                </w:tcPr>
                <w:p>
                  <w:pPr>
                    <w:pStyle w:val="40"/>
                  </w:pPr>
                  <w:r>
                    <w:t>岸线距离/m</w:t>
                  </w:r>
                </w:p>
              </w:tc>
              <w:tc>
                <w:tcPr>
                  <w:tcW w:w="2843" w:type="dxa"/>
                  <w:noWrap/>
                  <w:vAlign w:val="center"/>
                </w:tcPr>
                <w:p>
                  <w:pPr>
                    <w:pStyle w:val="40"/>
                  </w:pPr>
                  <w: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479" w:type="dxa"/>
                  <w:vMerge w:val="continue"/>
                  <w:noWrap/>
                  <w:vAlign w:val="center"/>
                </w:tcPr>
                <w:p>
                  <w:pPr>
                    <w:pStyle w:val="40"/>
                  </w:pPr>
                </w:p>
              </w:tc>
              <w:tc>
                <w:tcPr>
                  <w:tcW w:w="2842" w:type="dxa"/>
                  <w:gridSpan w:val="2"/>
                  <w:noWrap/>
                  <w:vAlign w:val="center"/>
                </w:tcPr>
                <w:p>
                  <w:pPr>
                    <w:pStyle w:val="40"/>
                  </w:pPr>
                  <w:r>
                    <w:t>岸线方向/°</w:t>
                  </w:r>
                </w:p>
              </w:tc>
              <w:tc>
                <w:tcPr>
                  <w:tcW w:w="2843" w:type="dxa"/>
                  <w:noWrap/>
                  <w:vAlign w:val="center"/>
                </w:tcPr>
                <w:p>
                  <w:pPr>
                    <w:pStyle w:val="40"/>
                  </w:pPr>
                  <w:r>
                    <w:t>/</w:t>
                  </w:r>
                </w:p>
              </w:tc>
            </w:tr>
          </w:tbl>
          <w:p>
            <w:pPr>
              <w:pStyle w:val="5"/>
            </w:pPr>
            <w:r>
              <w:rPr>
                <w:rFonts w:hint="eastAsia"/>
              </w:rPr>
              <w:t>5、</w:t>
            </w:r>
            <w:r>
              <w:t>评价工作等级确定</w:t>
            </w:r>
          </w:p>
          <w:p>
            <w:pPr>
              <w:pStyle w:val="5"/>
              <w:ind w:left="0" w:leftChars="0" w:firstLine="480" w:firstLineChars="200"/>
              <w:jc w:val="center"/>
              <w:rPr>
                <w:rStyle w:val="50"/>
              </w:rPr>
            </w:pPr>
            <w:r>
              <w:t>本项目所有污染源的正常排放的污染物的Pmax和D10%预测结果如下:</w:t>
            </w:r>
            <w:r>
              <w:cr/>
            </w:r>
            <w:r>
              <w:rPr>
                <w:rStyle w:val="50"/>
              </w:rPr>
              <w:t>表</w:t>
            </w:r>
            <w:r>
              <w:rPr>
                <w:rStyle w:val="50"/>
                <w:rFonts w:hint="eastAsia"/>
              </w:rPr>
              <w:t>7-9</w:t>
            </w:r>
            <w:r>
              <w:rPr>
                <w:rStyle w:val="50"/>
              </w:rPr>
              <w:t xml:space="preserve"> Pmax和D10%预测和计算结果一览表</w:t>
            </w:r>
          </w:p>
          <w:tbl>
            <w:tblPr>
              <w:tblStyle w:val="23"/>
              <w:tblW w:w="8598"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493"/>
              <w:gridCol w:w="1421"/>
              <w:gridCol w:w="1421"/>
              <w:gridCol w:w="1421"/>
              <w:gridCol w:w="1421"/>
              <w:gridCol w:w="142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1493" w:type="dxa"/>
                  <w:noWrap/>
                  <w:vAlign w:val="center"/>
                </w:tcPr>
                <w:p>
                  <w:pPr>
                    <w:pStyle w:val="40"/>
                  </w:pPr>
                  <w:r>
                    <w:t>污染源名称</w:t>
                  </w:r>
                </w:p>
              </w:tc>
              <w:tc>
                <w:tcPr>
                  <w:tcW w:w="1421" w:type="dxa"/>
                  <w:noWrap/>
                  <w:vAlign w:val="center"/>
                </w:tcPr>
                <w:p>
                  <w:pPr>
                    <w:pStyle w:val="40"/>
                  </w:pPr>
                  <w:r>
                    <w:t>评价因子</w:t>
                  </w:r>
                </w:p>
              </w:tc>
              <w:tc>
                <w:tcPr>
                  <w:tcW w:w="1421" w:type="dxa"/>
                  <w:noWrap/>
                  <w:vAlign w:val="center"/>
                </w:tcPr>
                <w:p>
                  <w:pPr>
                    <w:pStyle w:val="40"/>
                  </w:pPr>
                  <w:r>
                    <w:t>评价标准(μg/m³)</w:t>
                  </w:r>
                </w:p>
              </w:tc>
              <w:tc>
                <w:tcPr>
                  <w:tcW w:w="1421" w:type="dxa"/>
                  <w:noWrap/>
                  <w:vAlign w:val="center"/>
                </w:tcPr>
                <w:p>
                  <w:pPr>
                    <w:pStyle w:val="40"/>
                  </w:pPr>
                  <w:r>
                    <w:t>Cmax(μg/m³)</w:t>
                  </w:r>
                </w:p>
              </w:tc>
              <w:tc>
                <w:tcPr>
                  <w:tcW w:w="1421" w:type="dxa"/>
                  <w:noWrap/>
                  <w:vAlign w:val="center"/>
                </w:tcPr>
                <w:p>
                  <w:pPr>
                    <w:pStyle w:val="40"/>
                  </w:pPr>
                  <w:r>
                    <w:t>Pmax(%)</w:t>
                  </w:r>
                </w:p>
              </w:tc>
              <w:tc>
                <w:tcPr>
                  <w:tcW w:w="1421" w:type="dxa"/>
                  <w:noWrap/>
                  <w:vAlign w:val="center"/>
                </w:tcPr>
                <w:p>
                  <w:pPr>
                    <w:pStyle w:val="40"/>
                  </w:pPr>
                  <w:r>
                    <w:t>D10%(m)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1493" w:type="dxa"/>
                  <w:noWrap/>
                  <w:vAlign w:val="center"/>
                </w:tcPr>
                <w:p>
                  <w:pPr>
                    <w:pStyle w:val="40"/>
                  </w:pPr>
                  <w:r>
                    <w:rPr>
                      <w:rFonts w:hint="eastAsia"/>
                    </w:rPr>
                    <w:t>DA001排气筒</w:t>
                  </w:r>
                </w:p>
              </w:tc>
              <w:tc>
                <w:tcPr>
                  <w:tcW w:w="1421" w:type="dxa"/>
                  <w:noWrap/>
                  <w:vAlign w:val="center"/>
                </w:tcPr>
                <w:p>
                  <w:pPr>
                    <w:pStyle w:val="40"/>
                  </w:pPr>
                  <w:r>
                    <w:rPr>
                      <w:rFonts w:hint="eastAsia"/>
                    </w:rPr>
                    <w:t>非甲烷总烃</w:t>
                  </w:r>
                </w:p>
              </w:tc>
              <w:tc>
                <w:tcPr>
                  <w:tcW w:w="1421" w:type="dxa"/>
                  <w:noWrap/>
                  <w:vAlign w:val="center"/>
                </w:tcPr>
                <w:p>
                  <w:pPr>
                    <w:pStyle w:val="40"/>
                  </w:pPr>
                  <w:r>
                    <w:t>2000.0</w:t>
                  </w:r>
                </w:p>
              </w:tc>
              <w:tc>
                <w:tcPr>
                  <w:tcW w:w="1421" w:type="dxa"/>
                  <w:noWrap/>
                  <w:vAlign w:val="center"/>
                </w:tcPr>
                <w:p>
                  <w:pPr>
                    <w:pStyle w:val="40"/>
                  </w:pPr>
                  <w:r>
                    <w:t>0.9599</w:t>
                  </w:r>
                </w:p>
              </w:tc>
              <w:tc>
                <w:tcPr>
                  <w:tcW w:w="1421" w:type="dxa"/>
                  <w:noWrap/>
                  <w:vAlign w:val="center"/>
                </w:tcPr>
                <w:p>
                  <w:pPr>
                    <w:pStyle w:val="40"/>
                  </w:pPr>
                  <w:r>
                    <w:t>0.0480</w:t>
                  </w:r>
                </w:p>
              </w:tc>
              <w:tc>
                <w:tcPr>
                  <w:tcW w:w="1421" w:type="dxa"/>
                  <w:noWrap/>
                  <w:vAlign w:val="center"/>
                </w:tcPr>
                <w:p>
                  <w:pPr>
                    <w:pStyle w:val="40"/>
                  </w:pPr>
                  <w: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1493" w:type="dxa"/>
                  <w:noWrap/>
                  <w:vAlign w:val="center"/>
                </w:tcPr>
                <w:p>
                  <w:pPr>
                    <w:pStyle w:val="40"/>
                  </w:pPr>
                  <w:r>
                    <w:t>矩形面源</w:t>
                  </w:r>
                </w:p>
              </w:tc>
              <w:tc>
                <w:tcPr>
                  <w:tcW w:w="1421" w:type="dxa"/>
                  <w:noWrap/>
                  <w:vAlign w:val="center"/>
                </w:tcPr>
                <w:p>
                  <w:pPr>
                    <w:pStyle w:val="40"/>
                  </w:pPr>
                  <w:r>
                    <w:rPr>
                      <w:rFonts w:hint="eastAsia"/>
                    </w:rPr>
                    <w:t>非甲烷总烃</w:t>
                  </w:r>
                </w:p>
              </w:tc>
              <w:tc>
                <w:tcPr>
                  <w:tcW w:w="1421" w:type="dxa"/>
                  <w:noWrap/>
                  <w:vAlign w:val="center"/>
                </w:tcPr>
                <w:p>
                  <w:pPr>
                    <w:pStyle w:val="40"/>
                  </w:pPr>
                  <w:r>
                    <w:t>2000.0</w:t>
                  </w:r>
                </w:p>
              </w:tc>
              <w:tc>
                <w:tcPr>
                  <w:tcW w:w="1421" w:type="dxa"/>
                  <w:noWrap/>
                  <w:vAlign w:val="center"/>
                </w:tcPr>
                <w:p>
                  <w:pPr>
                    <w:pStyle w:val="40"/>
                  </w:pPr>
                  <w:r>
                    <w:t>16.0880</w:t>
                  </w:r>
                </w:p>
              </w:tc>
              <w:tc>
                <w:tcPr>
                  <w:tcW w:w="1421" w:type="dxa"/>
                  <w:noWrap/>
                  <w:vAlign w:val="center"/>
                </w:tcPr>
                <w:p>
                  <w:pPr>
                    <w:pStyle w:val="40"/>
                  </w:pPr>
                  <w:r>
                    <w:t>0.8044</w:t>
                  </w:r>
                </w:p>
              </w:tc>
              <w:tc>
                <w:tcPr>
                  <w:tcW w:w="1421" w:type="dxa"/>
                  <w:noWrap/>
                  <w:vAlign w:val="center"/>
                </w:tcPr>
                <w:p>
                  <w:pPr>
                    <w:pStyle w:val="40"/>
                  </w:pPr>
                  <w:r>
                    <w:t>/</w:t>
                  </w:r>
                </w:p>
              </w:tc>
            </w:tr>
          </w:tbl>
          <w:p>
            <w:pPr>
              <w:pStyle w:val="5"/>
            </w:pPr>
            <w:r>
              <w:t>本项目Pmax最大值出现为矩形面源排放的</w:t>
            </w:r>
            <w:r>
              <w:rPr>
                <w:rFonts w:hint="eastAsia"/>
              </w:rPr>
              <w:t>非甲烷总烃</w:t>
            </w:r>
            <w:r>
              <w:t>Pmax值为0.8044%,Cmax为16.088μg/m³,根据《环境影响评价技术导则 大气环境》（HJ2.2-2018）分级判据，确定本项目大气环境影响评价工作等级为三级</w:t>
            </w:r>
            <w:r>
              <w:rPr>
                <w:rFonts w:hint="eastAsia"/>
              </w:rPr>
              <w:t>。</w:t>
            </w:r>
          </w:p>
          <w:p>
            <w:pPr>
              <w:pStyle w:val="5"/>
            </w:pPr>
            <w:r>
              <w:t>注：本次预测不考虑《环境影响评价技术导则 大气环境》（HJ2.2-2018）章节5.3.3中规定的评价等级判定还应遵守的规定</w:t>
            </w:r>
          </w:p>
          <w:p>
            <w:pPr>
              <w:pStyle w:val="5"/>
              <w:numPr>
                <w:ilvl w:val="0"/>
                <w:numId w:val="10"/>
              </w:numPr>
            </w:pPr>
            <w:r>
              <w:t>污染源结果</w:t>
            </w:r>
          </w:p>
          <w:p>
            <w:pPr>
              <w:pStyle w:val="29"/>
              <w:spacing w:before="65" w:after="65"/>
            </w:pPr>
            <w:r>
              <w:rPr>
                <w:rFonts w:hint="eastAsia"/>
              </w:rPr>
              <w:t>表7-10 无组织废气排放环境影响预测结果</w:t>
            </w:r>
          </w:p>
          <w:tbl>
            <w:tblPr>
              <w:tblStyle w:val="23"/>
              <w:tblW w:w="8881"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196"/>
              <w:gridCol w:w="2842"/>
              <w:gridCol w:w="284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vMerge w:val="restart"/>
                  <w:noWrap/>
                  <w:vAlign w:val="center"/>
                </w:tcPr>
                <w:p>
                  <w:pPr>
                    <w:pStyle w:val="40"/>
                  </w:pPr>
                  <w:r>
                    <w:t>下风向距离</w:t>
                  </w:r>
                </w:p>
              </w:tc>
              <w:tc>
                <w:tcPr>
                  <w:tcW w:w="5685" w:type="dxa"/>
                  <w:gridSpan w:val="2"/>
                  <w:noWrap/>
                  <w:vAlign w:val="center"/>
                </w:tcPr>
                <w:p>
                  <w:pPr>
                    <w:pStyle w:val="40"/>
                  </w:pPr>
                  <w:r>
                    <w:t>矩形面源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vMerge w:val="continue"/>
                  <w:noWrap/>
                  <w:vAlign w:val="center"/>
                </w:tcPr>
                <w:p>
                  <w:pPr>
                    <w:pStyle w:val="40"/>
                  </w:pPr>
                </w:p>
              </w:tc>
              <w:tc>
                <w:tcPr>
                  <w:tcW w:w="2842" w:type="dxa"/>
                  <w:noWrap/>
                  <w:vAlign w:val="center"/>
                </w:tcPr>
                <w:p>
                  <w:pPr>
                    <w:pStyle w:val="40"/>
                  </w:pPr>
                  <w:r>
                    <w:rPr>
                      <w:rFonts w:hint="eastAsia"/>
                    </w:rPr>
                    <w:t>VOCs</w:t>
                  </w:r>
                  <w:r>
                    <w:t>浓度(μg/m³)</w:t>
                  </w:r>
                </w:p>
              </w:tc>
              <w:tc>
                <w:tcPr>
                  <w:tcW w:w="2843" w:type="dxa"/>
                  <w:noWrap/>
                  <w:vAlign w:val="center"/>
                </w:tcPr>
                <w:p>
                  <w:pPr>
                    <w:pStyle w:val="40"/>
                  </w:pPr>
                  <w:r>
                    <w:rPr>
                      <w:rFonts w:hint="eastAsia"/>
                    </w:rPr>
                    <w:t>VOCs</w:t>
                  </w:r>
                  <w:r>
                    <w:t>占标率(%)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50.0</w:t>
                  </w:r>
                </w:p>
              </w:tc>
              <w:tc>
                <w:tcPr>
                  <w:tcW w:w="2842" w:type="dxa"/>
                  <w:noWrap/>
                  <w:vAlign w:val="center"/>
                </w:tcPr>
                <w:p>
                  <w:pPr>
                    <w:pStyle w:val="40"/>
                  </w:pPr>
                  <w:r>
                    <w:t>9.7835</w:t>
                  </w:r>
                </w:p>
              </w:tc>
              <w:tc>
                <w:tcPr>
                  <w:tcW w:w="2843" w:type="dxa"/>
                  <w:noWrap/>
                  <w:vAlign w:val="center"/>
                </w:tcPr>
                <w:p>
                  <w:pPr>
                    <w:pStyle w:val="40"/>
                  </w:pPr>
                  <w:r>
                    <w:t>0.4892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100.0</w:t>
                  </w:r>
                </w:p>
              </w:tc>
              <w:tc>
                <w:tcPr>
                  <w:tcW w:w="2842" w:type="dxa"/>
                  <w:noWrap/>
                  <w:vAlign w:val="center"/>
                </w:tcPr>
                <w:p>
                  <w:pPr>
                    <w:pStyle w:val="40"/>
                  </w:pPr>
                  <w:r>
                    <w:t>3.4466</w:t>
                  </w:r>
                </w:p>
              </w:tc>
              <w:tc>
                <w:tcPr>
                  <w:tcW w:w="2843" w:type="dxa"/>
                  <w:noWrap/>
                  <w:vAlign w:val="center"/>
                </w:tcPr>
                <w:p>
                  <w:pPr>
                    <w:pStyle w:val="40"/>
                  </w:pPr>
                  <w:r>
                    <w:t>0.1723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200.0</w:t>
                  </w:r>
                </w:p>
              </w:tc>
              <w:tc>
                <w:tcPr>
                  <w:tcW w:w="2842" w:type="dxa"/>
                  <w:noWrap/>
                  <w:vAlign w:val="center"/>
                </w:tcPr>
                <w:p>
                  <w:pPr>
                    <w:pStyle w:val="40"/>
                  </w:pPr>
                  <w:r>
                    <w:t>1.2811</w:t>
                  </w:r>
                </w:p>
              </w:tc>
              <w:tc>
                <w:tcPr>
                  <w:tcW w:w="2843" w:type="dxa"/>
                  <w:noWrap/>
                  <w:vAlign w:val="center"/>
                </w:tcPr>
                <w:p>
                  <w:pPr>
                    <w:pStyle w:val="40"/>
                  </w:pPr>
                  <w:r>
                    <w:t>0.0641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300.0</w:t>
                  </w:r>
                </w:p>
              </w:tc>
              <w:tc>
                <w:tcPr>
                  <w:tcW w:w="2842" w:type="dxa"/>
                  <w:noWrap/>
                  <w:vAlign w:val="center"/>
                </w:tcPr>
                <w:p>
                  <w:pPr>
                    <w:pStyle w:val="40"/>
                  </w:pPr>
                  <w:r>
                    <w:t>0.7279</w:t>
                  </w:r>
                </w:p>
              </w:tc>
              <w:tc>
                <w:tcPr>
                  <w:tcW w:w="2843" w:type="dxa"/>
                  <w:noWrap/>
                  <w:vAlign w:val="center"/>
                </w:tcPr>
                <w:p>
                  <w:pPr>
                    <w:pStyle w:val="40"/>
                  </w:pPr>
                  <w:r>
                    <w:t>0.0364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400.0</w:t>
                  </w:r>
                </w:p>
              </w:tc>
              <w:tc>
                <w:tcPr>
                  <w:tcW w:w="2842" w:type="dxa"/>
                  <w:noWrap/>
                  <w:vAlign w:val="center"/>
                </w:tcPr>
                <w:p>
                  <w:pPr>
                    <w:pStyle w:val="40"/>
                  </w:pPr>
                  <w:r>
                    <w:t>0.4885</w:t>
                  </w:r>
                </w:p>
              </w:tc>
              <w:tc>
                <w:tcPr>
                  <w:tcW w:w="2843" w:type="dxa"/>
                  <w:noWrap/>
                  <w:vAlign w:val="center"/>
                </w:tcPr>
                <w:p>
                  <w:pPr>
                    <w:pStyle w:val="40"/>
                  </w:pPr>
                  <w:r>
                    <w:t>0.0244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500.0</w:t>
                  </w:r>
                </w:p>
              </w:tc>
              <w:tc>
                <w:tcPr>
                  <w:tcW w:w="2842" w:type="dxa"/>
                  <w:noWrap/>
                  <w:vAlign w:val="center"/>
                </w:tcPr>
                <w:p>
                  <w:pPr>
                    <w:pStyle w:val="40"/>
                  </w:pPr>
                  <w:r>
                    <w:t>0.3590</w:t>
                  </w:r>
                </w:p>
              </w:tc>
              <w:tc>
                <w:tcPr>
                  <w:tcW w:w="2843" w:type="dxa"/>
                  <w:noWrap/>
                  <w:vAlign w:val="center"/>
                </w:tcPr>
                <w:p>
                  <w:pPr>
                    <w:pStyle w:val="40"/>
                  </w:pPr>
                  <w:r>
                    <w:t>0.0179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454" w:hRule="atLeast"/>
                <w:jc w:val="center"/>
              </w:trPr>
              <w:tc>
                <w:tcPr>
                  <w:tcW w:w="3196" w:type="dxa"/>
                  <w:noWrap/>
                  <w:vAlign w:val="center"/>
                </w:tcPr>
                <w:p>
                  <w:pPr>
                    <w:pStyle w:val="40"/>
                  </w:pPr>
                  <w:r>
                    <w:t>600.0</w:t>
                  </w:r>
                </w:p>
              </w:tc>
              <w:tc>
                <w:tcPr>
                  <w:tcW w:w="2842" w:type="dxa"/>
                  <w:noWrap/>
                  <w:vAlign w:val="center"/>
                </w:tcPr>
                <w:p>
                  <w:pPr>
                    <w:pStyle w:val="40"/>
                  </w:pPr>
                  <w:r>
                    <w:t>0.2794</w:t>
                  </w:r>
                </w:p>
              </w:tc>
              <w:tc>
                <w:tcPr>
                  <w:tcW w:w="2843" w:type="dxa"/>
                  <w:noWrap/>
                  <w:vAlign w:val="center"/>
                </w:tcPr>
                <w:p>
                  <w:pPr>
                    <w:pStyle w:val="40"/>
                  </w:pPr>
                  <w:r>
                    <w:t>0.0140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700.0</w:t>
                  </w:r>
                </w:p>
              </w:tc>
              <w:tc>
                <w:tcPr>
                  <w:tcW w:w="2842" w:type="dxa"/>
                  <w:noWrap/>
                  <w:vAlign w:val="center"/>
                </w:tcPr>
                <w:p>
                  <w:pPr>
                    <w:pStyle w:val="40"/>
                  </w:pPr>
                  <w:r>
                    <w:t>0.2260</w:t>
                  </w:r>
                </w:p>
              </w:tc>
              <w:tc>
                <w:tcPr>
                  <w:tcW w:w="2843" w:type="dxa"/>
                  <w:noWrap/>
                  <w:vAlign w:val="center"/>
                </w:tcPr>
                <w:p>
                  <w:pPr>
                    <w:pStyle w:val="40"/>
                  </w:pPr>
                  <w:r>
                    <w:t>0.0113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800.0</w:t>
                  </w:r>
                </w:p>
              </w:tc>
              <w:tc>
                <w:tcPr>
                  <w:tcW w:w="2842" w:type="dxa"/>
                  <w:noWrap/>
                  <w:vAlign w:val="center"/>
                </w:tcPr>
                <w:p>
                  <w:pPr>
                    <w:pStyle w:val="40"/>
                  </w:pPr>
                  <w:r>
                    <w:t>0.1882</w:t>
                  </w:r>
                </w:p>
              </w:tc>
              <w:tc>
                <w:tcPr>
                  <w:tcW w:w="2843" w:type="dxa"/>
                  <w:noWrap/>
                  <w:vAlign w:val="center"/>
                </w:tcPr>
                <w:p>
                  <w:pPr>
                    <w:pStyle w:val="40"/>
                  </w:pPr>
                  <w:r>
                    <w:t>0.0094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900.0</w:t>
                  </w:r>
                </w:p>
              </w:tc>
              <w:tc>
                <w:tcPr>
                  <w:tcW w:w="2842" w:type="dxa"/>
                  <w:noWrap/>
                  <w:vAlign w:val="center"/>
                </w:tcPr>
                <w:p>
                  <w:pPr>
                    <w:pStyle w:val="40"/>
                  </w:pPr>
                  <w:r>
                    <w:t>0.1601</w:t>
                  </w:r>
                </w:p>
              </w:tc>
              <w:tc>
                <w:tcPr>
                  <w:tcW w:w="2843" w:type="dxa"/>
                  <w:noWrap/>
                  <w:vAlign w:val="center"/>
                </w:tcPr>
                <w:p>
                  <w:pPr>
                    <w:pStyle w:val="40"/>
                  </w:pPr>
                  <w:r>
                    <w:t>0.0080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1000.0</w:t>
                  </w:r>
                </w:p>
              </w:tc>
              <w:tc>
                <w:tcPr>
                  <w:tcW w:w="2842" w:type="dxa"/>
                  <w:noWrap/>
                  <w:vAlign w:val="center"/>
                </w:tcPr>
                <w:p>
                  <w:pPr>
                    <w:pStyle w:val="40"/>
                  </w:pPr>
                  <w:r>
                    <w:t>0.1385</w:t>
                  </w:r>
                </w:p>
              </w:tc>
              <w:tc>
                <w:tcPr>
                  <w:tcW w:w="2843" w:type="dxa"/>
                  <w:noWrap/>
                  <w:vAlign w:val="center"/>
                </w:tcPr>
                <w:p>
                  <w:pPr>
                    <w:pStyle w:val="40"/>
                  </w:pPr>
                  <w:r>
                    <w:t>0.0069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1200.0</w:t>
                  </w:r>
                </w:p>
              </w:tc>
              <w:tc>
                <w:tcPr>
                  <w:tcW w:w="2842" w:type="dxa"/>
                  <w:noWrap/>
                  <w:vAlign w:val="center"/>
                </w:tcPr>
                <w:p>
                  <w:pPr>
                    <w:pStyle w:val="40"/>
                  </w:pPr>
                  <w:r>
                    <w:t>0.1079</w:t>
                  </w:r>
                </w:p>
              </w:tc>
              <w:tc>
                <w:tcPr>
                  <w:tcW w:w="2843" w:type="dxa"/>
                  <w:noWrap/>
                  <w:vAlign w:val="center"/>
                </w:tcPr>
                <w:p>
                  <w:pPr>
                    <w:pStyle w:val="40"/>
                  </w:pPr>
                  <w:r>
                    <w:t>0.0054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454" w:hRule="atLeast"/>
                <w:jc w:val="center"/>
              </w:trPr>
              <w:tc>
                <w:tcPr>
                  <w:tcW w:w="3196" w:type="dxa"/>
                  <w:noWrap/>
                  <w:vAlign w:val="center"/>
                </w:tcPr>
                <w:p>
                  <w:pPr>
                    <w:pStyle w:val="40"/>
                  </w:pPr>
                  <w:r>
                    <w:t>1400.0</w:t>
                  </w:r>
                </w:p>
              </w:tc>
              <w:tc>
                <w:tcPr>
                  <w:tcW w:w="2842" w:type="dxa"/>
                  <w:noWrap/>
                  <w:vAlign w:val="center"/>
                </w:tcPr>
                <w:p>
                  <w:pPr>
                    <w:pStyle w:val="40"/>
                  </w:pPr>
                  <w:r>
                    <w:t>0.0873</w:t>
                  </w:r>
                </w:p>
              </w:tc>
              <w:tc>
                <w:tcPr>
                  <w:tcW w:w="2843" w:type="dxa"/>
                  <w:noWrap/>
                  <w:vAlign w:val="center"/>
                </w:tcPr>
                <w:p>
                  <w:pPr>
                    <w:pStyle w:val="40"/>
                  </w:pPr>
                  <w:r>
                    <w:t>0.0044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1600.0</w:t>
                  </w:r>
                </w:p>
              </w:tc>
              <w:tc>
                <w:tcPr>
                  <w:tcW w:w="2842" w:type="dxa"/>
                  <w:noWrap/>
                  <w:vAlign w:val="center"/>
                </w:tcPr>
                <w:p>
                  <w:pPr>
                    <w:pStyle w:val="40"/>
                  </w:pPr>
                  <w:r>
                    <w:t>0.0727</w:t>
                  </w:r>
                </w:p>
              </w:tc>
              <w:tc>
                <w:tcPr>
                  <w:tcW w:w="2843" w:type="dxa"/>
                  <w:noWrap/>
                  <w:vAlign w:val="center"/>
                </w:tcPr>
                <w:p>
                  <w:pPr>
                    <w:pStyle w:val="40"/>
                  </w:pPr>
                  <w:r>
                    <w:t>0.0036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1800.0</w:t>
                  </w:r>
                </w:p>
              </w:tc>
              <w:tc>
                <w:tcPr>
                  <w:tcW w:w="2842" w:type="dxa"/>
                  <w:noWrap/>
                  <w:vAlign w:val="center"/>
                </w:tcPr>
                <w:p>
                  <w:pPr>
                    <w:pStyle w:val="40"/>
                  </w:pPr>
                  <w:r>
                    <w:t>0.0619</w:t>
                  </w:r>
                </w:p>
              </w:tc>
              <w:tc>
                <w:tcPr>
                  <w:tcW w:w="2843" w:type="dxa"/>
                  <w:noWrap/>
                  <w:vAlign w:val="center"/>
                </w:tcPr>
                <w:p>
                  <w:pPr>
                    <w:pStyle w:val="40"/>
                  </w:pPr>
                  <w:r>
                    <w:t>0.0031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2000.0</w:t>
                  </w:r>
                </w:p>
              </w:tc>
              <w:tc>
                <w:tcPr>
                  <w:tcW w:w="2842" w:type="dxa"/>
                  <w:noWrap/>
                  <w:vAlign w:val="center"/>
                </w:tcPr>
                <w:p>
                  <w:pPr>
                    <w:pStyle w:val="40"/>
                  </w:pPr>
                  <w:r>
                    <w:t>0.0536</w:t>
                  </w:r>
                </w:p>
              </w:tc>
              <w:tc>
                <w:tcPr>
                  <w:tcW w:w="2843" w:type="dxa"/>
                  <w:noWrap/>
                  <w:vAlign w:val="center"/>
                </w:tcPr>
                <w:p>
                  <w:pPr>
                    <w:pStyle w:val="40"/>
                  </w:pPr>
                  <w:r>
                    <w:t>0.0027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2500.0</w:t>
                  </w:r>
                </w:p>
              </w:tc>
              <w:tc>
                <w:tcPr>
                  <w:tcW w:w="2842" w:type="dxa"/>
                  <w:noWrap/>
                  <w:vAlign w:val="center"/>
                </w:tcPr>
                <w:p>
                  <w:pPr>
                    <w:pStyle w:val="40"/>
                  </w:pPr>
                  <w:r>
                    <w:t>0.0395</w:t>
                  </w:r>
                </w:p>
              </w:tc>
              <w:tc>
                <w:tcPr>
                  <w:tcW w:w="2843" w:type="dxa"/>
                  <w:noWrap/>
                  <w:vAlign w:val="center"/>
                </w:tcPr>
                <w:p>
                  <w:pPr>
                    <w:pStyle w:val="40"/>
                  </w:pPr>
                  <w:r>
                    <w:t>0.0020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下风向最大浓度</w:t>
                  </w:r>
                </w:p>
              </w:tc>
              <w:tc>
                <w:tcPr>
                  <w:tcW w:w="2842" w:type="dxa"/>
                  <w:noWrap/>
                  <w:vAlign w:val="center"/>
                </w:tcPr>
                <w:p>
                  <w:pPr>
                    <w:pStyle w:val="40"/>
                  </w:pPr>
                  <w:r>
                    <w:t>16.0880</w:t>
                  </w:r>
                </w:p>
              </w:tc>
              <w:tc>
                <w:tcPr>
                  <w:tcW w:w="2843" w:type="dxa"/>
                  <w:noWrap/>
                  <w:vAlign w:val="center"/>
                </w:tcPr>
                <w:p>
                  <w:pPr>
                    <w:pStyle w:val="40"/>
                  </w:pPr>
                  <w:r>
                    <w:t>0.8044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下风向最大浓度出现距离</w:t>
                  </w:r>
                </w:p>
              </w:tc>
              <w:tc>
                <w:tcPr>
                  <w:tcW w:w="2842" w:type="dxa"/>
                  <w:noWrap/>
                  <w:vAlign w:val="center"/>
                </w:tcPr>
                <w:p>
                  <w:pPr>
                    <w:pStyle w:val="40"/>
                  </w:pPr>
                  <w:r>
                    <w:t>32.0</w:t>
                  </w:r>
                </w:p>
              </w:tc>
              <w:tc>
                <w:tcPr>
                  <w:tcW w:w="2843" w:type="dxa"/>
                  <w:noWrap/>
                  <w:vAlign w:val="center"/>
                </w:tcPr>
                <w:p>
                  <w:pPr>
                    <w:pStyle w:val="40"/>
                  </w:pPr>
                  <w:r>
                    <w:t>32.0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6" w:type="dxa"/>
                  <w:noWrap/>
                  <w:vAlign w:val="center"/>
                </w:tcPr>
                <w:p>
                  <w:pPr>
                    <w:pStyle w:val="40"/>
                  </w:pPr>
                  <w:r>
                    <w:t>D10%最远距离</w:t>
                  </w:r>
                </w:p>
              </w:tc>
              <w:tc>
                <w:tcPr>
                  <w:tcW w:w="2842" w:type="dxa"/>
                  <w:noWrap/>
                  <w:vAlign w:val="center"/>
                </w:tcPr>
                <w:p>
                  <w:pPr>
                    <w:pStyle w:val="40"/>
                  </w:pPr>
                  <w:r>
                    <w:t>/</w:t>
                  </w:r>
                </w:p>
              </w:tc>
              <w:tc>
                <w:tcPr>
                  <w:tcW w:w="2843" w:type="dxa"/>
                  <w:noWrap/>
                  <w:vAlign w:val="center"/>
                </w:tcPr>
                <w:p>
                  <w:pPr>
                    <w:pStyle w:val="40"/>
                  </w:pPr>
                  <w:r>
                    <w:t>/</w:t>
                  </w:r>
                </w:p>
              </w:tc>
            </w:tr>
          </w:tbl>
          <w:p>
            <w:pPr>
              <w:pStyle w:val="29"/>
              <w:spacing w:before="65" w:after="65"/>
            </w:pPr>
            <w:r>
              <w:rPr>
                <w:rFonts w:hint="eastAsia"/>
              </w:rPr>
              <w:t>表7-11 DA001排气筒有组织废气排放环境影响预测结果</w:t>
            </w:r>
          </w:p>
          <w:tbl>
            <w:tblPr>
              <w:tblStyle w:val="23"/>
              <w:tblW w:w="8875"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190"/>
              <w:gridCol w:w="2842"/>
              <w:gridCol w:w="284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vMerge w:val="restart"/>
                  <w:noWrap/>
                  <w:vAlign w:val="center"/>
                </w:tcPr>
                <w:p>
                  <w:pPr>
                    <w:pStyle w:val="40"/>
                  </w:pPr>
                  <w:r>
                    <w:t>下风向距离</w:t>
                  </w:r>
                </w:p>
              </w:tc>
              <w:tc>
                <w:tcPr>
                  <w:tcW w:w="5685" w:type="dxa"/>
                  <w:gridSpan w:val="2"/>
                  <w:noWrap/>
                  <w:vAlign w:val="center"/>
                </w:tcPr>
                <w:p>
                  <w:pPr>
                    <w:pStyle w:val="40"/>
                  </w:pPr>
                  <w:r>
                    <w:t>点源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vMerge w:val="continue"/>
                  <w:noWrap/>
                  <w:vAlign w:val="center"/>
                </w:tcPr>
                <w:p>
                  <w:pPr>
                    <w:pStyle w:val="40"/>
                  </w:pPr>
                </w:p>
              </w:tc>
              <w:tc>
                <w:tcPr>
                  <w:tcW w:w="2842" w:type="dxa"/>
                  <w:noWrap/>
                  <w:vAlign w:val="center"/>
                </w:tcPr>
                <w:p>
                  <w:pPr>
                    <w:pStyle w:val="40"/>
                  </w:pPr>
                  <w:r>
                    <w:rPr>
                      <w:rFonts w:hint="eastAsia"/>
                    </w:rPr>
                    <w:t>VOCs</w:t>
                  </w:r>
                  <w:r>
                    <w:t>浓度(μg/m³)</w:t>
                  </w:r>
                </w:p>
              </w:tc>
              <w:tc>
                <w:tcPr>
                  <w:tcW w:w="2843" w:type="dxa"/>
                  <w:noWrap/>
                  <w:vAlign w:val="center"/>
                </w:tcPr>
                <w:p>
                  <w:pPr>
                    <w:pStyle w:val="40"/>
                  </w:pPr>
                  <w:r>
                    <w:rPr>
                      <w:rFonts w:hint="eastAsia"/>
                    </w:rPr>
                    <w:t>VOCs</w:t>
                  </w:r>
                  <w:r>
                    <w:t>占标率(%)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50.0</w:t>
                  </w:r>
                </w:p>
              </w:tc>
              <w:tc>
                <w:tcPr>
                  <w:tcW w:w="2842" w:type="dxa"/>
                  <w:noWrap/>
                  <w:vAlign w:val="center"/>
                </w:tcPr>
                <w:p>
                  <w:pPr>
                    <w:pStyle w:val="40"/>
                  </w:pPr>
                  <w:r>
                    <w:t>0.6455</w:t>
                  </w:r>
                </w:p>
              </w:tc>
              <w:tc>
                <w:tcPr>
                  <w:tcW w:w="2843" w:type="dxa"/>
                  <w:noWrap/>
                  <w:vAlign w:val="center"/>
                </w:tcPr>
                <w:p>
                  <w:pPr>
                    <w:pStyle w:val="40"/>
                  </w:pPr>
                  <w:r>
                    <w:t>0.0323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100.0</w:t>
                  </w:r>
                </w:p>
              </w:tc>
              <w:tc>
                <w:tcPr>
                  <w:tcW w:w="2842" w:type="dxa"/>
                  <w:noWrap/>
                  <w:vAlign w:val="center"/>
                </w:tcPr>
                <w:p>
                  <w:pPr>
                    <w:pStyle w:val="40"/>
                  </w:pPr>
                  <w:r>
                    <w:t>0.3949</w:t>
                  </w:r>
                </w:p>
              </w:tc>
              <w:tc>
                <w:tcPr>
                  <w:tcW w:w="2843" w:type="dxa"/>
                  <w:noWrap/>
                  <w:vAlign w:val="center"/>
                </w:tcPr>
                <w:p>
                  <w:pPr>
                    <w:pStyle w:val="40"/>
                  </w:pPr>
                  <w:r>
                    <w:t>0.0197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200.0</w:t>
                  </w:r>
                </w:p>
              </w:tc>
              <w:tc>
                <w:tcPr>
                  <w:tcW w:w="2842" w:type="dxa"/>
                  <w:noWrap/>
                  <w:vAlign w:val="center"/>
                </w:tcPr>
                <w:p>
                  <w:pPr>
                    <w:pStyle w:val="40"/>
                  </w:pPr>
                  <w:r>
                    <w:t>0.2647</w:t>
                  </w:r>
                </w:p>
              </w:tc>
              <w:tc>
                <w:tcPr>
                  <w:tcW w:w="2843" w:type="dxa"/>
                  <w:noWrap/>
                  <w:vAlign w:val="center"/>
                </w:tcPr>
                <w:p>
                  <w:pPr>
                    <w:pStyle w:val="40"/>
                  </w:pPr>
                  <w:r>
                    <w:t>0.0132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300.0</w:t>
                  </w:r>
                </w:p>
              </w:tc>
              <w:tc>
                <w:tcPr>
                  <w:tcW w:w="2842" w:type="dxa"/>
                  <w:noWrap/>
                  <w:vAlign w:val="center"/>
                </w:tcPr>
                <w:p>
                  <w:pPr>
                    <w:pStyle w:val="40"/>
                  </w:pPr>
                  <w:r>
                    <w:t>0.1812</w:t>
                  </w:r>
                </w:p>
              </w:tc>
              <w:tc>
                <w:tcPr>
                  <w:tcW w:w="2843" w:type="dxa"/>
                  <w:noWrap/>
                  <w:vAlign w:val="center"/>
                </w:tcPr>
                <w:p>
                  <w:pPr>
                    <w:pStyle w:val="40"/>
                  </w:pPr>
                  <w:r>
                    <w:t>0.0091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400.0</w:t>
                  </w:r>
                </w:p>
              </w:tc>
              <w:tc>
                <w:tcPr>
                  <w:tcW w:w="2842" w:type="dxa"/>
                  <w:noWrap/>
                  <w:vAlign w:val="center"/>
                </w:tcPr>
                <w:p>
                  <w:pPr>
                    <w:pStyle w:val="40"/>
                  </w:pPr>
                  <w:r>
                    <w:t>0.1309</w:t>
                  </w:r>
                </w:p>
              </w:tc>
              <w:tc>
                <w:tcPr>
                  <w:tcW w:w="2843" w:type="dxa"/>
                  <w:noWrap/>
                  <w:vAlign w:val="center"/>
                </w:tcPr>
                <w:p>
                  <w:pPr>
                    <w:pStyle w:val="40"/>
                  </w:pPr>
                  <w:r>
                    <w:t>0.0065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500.0</w:t>
                  </w:r>
                </w:p>
              </w:tc>
              <w:tc>
                <w:tcPr>
                  <w:tcW w:w="2842" w:type="dxa"/>
                  <w:noWrap/>
                  <w:vAlign w:val="center"/>
                </w:tcPr>
                <w:p>
                  <w:pPr>
                    <w:pStyle w:val="40"/>
                  </w:pPr>
                  <w:r>
                    <w:t>0.0998</w:t>
                  </w:r>
                </w:p>
              </w:tc>
              <w:tc>
                <w:tcPr>
                  <w:tcW w:w="2843" w:type="dxa"/>
                  <w:noWrap/>
                  <w:vAlign w:val="center"/>
                </w:tcPr>
                <w:p>
                  <w:pPr>
                    <w:pStyle w:val="40"/>
                  </w:pPr>
                  <w:r>
                    <w:t>0.0050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600.0</w:t>
                  </w:r>
                </w:p>
              </w:tc>
              <w:tc>
                <w:tcPr>
                  <w:tcW w:w="2842" w:type="dxa"/>
                  <w:noWrap/>
                  <w:vAlign w:val="center"/>
                </w:tcPr>
                <w:p>
                  <w:pPr>
                    <w:pStyle w:val="40"/>
                  </w:pPr>
                  <w:r>
                    <w:t>0.0792</w:t>
                  </w:r>
                </w:p>
              </w:tc>
              <w:tc>
                <w:tcPr>
                  <w:tcW w:w="2843" w:type="dxa"/>
                  <w:noWrap/>
                  <w:vAlign w:val="center"/>
                </w:tcPr>
                <w:p>
                  <w:pPr>
                    <w:pStyle w:val="40"/>
                  </w:pPr>
                  <w:r>
                    <w:t>0.0040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700.0</w:t>
                  </w:r>
                </w:p>
              </w:tc>
              <w:tc>
                <w:tcPr>
                  <w:tcW w:w="2842" w:type="dxa"/>
                  <w:noWrap/>
                  <w:vAlign w:val="center"/>
                </w:tcPr>
                <w:p>
                  <w:pPr>
                    <w:pStyle w:val="40"/>
                  </w:pPr>
                  <w:r>
                    <w:t>0.0684</w:t>
                  </w:r>
                </w:p>
              </w:tc>
              <w:tc>
                <w:tcPr>
                  <w:tcW w:w="2843" w:type="dxa"/>
                  <w:noWrap/>
                  <w:vAlign w:val="center"/>
                </w:tcPr>
                <w:p>
                  <w:pPr>
                    <w:pStyle w:val="40"/>
                  </w:pPr>
                  <w:r>
                    <w:t>0.0034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800.0</w:t>
                  </w:r>
                </w:p>
              </w:tc>
              <w:tc>
                <w:tcPr>
                  <w:tcW w:w="2842" w:type="dxa"/>
                  <w:noWrap/>
                  <w:vAlign w:val="center"/>
                </w:tcPr>
                <w:p>
                  <w:pPr>
                    <w:pStyle w:val="40"/>
                  </w:pPr>
                  <w:r>
                    <w:t>0.0598</w:t>
                  </w:r>
                </w:p>
              </w:tc>
              <w:tc>
                <w:tcPr>
                  <w:tcW w:w="2843" w:type="dxa"/>
                  <w:noWrap/>
                  <w:vAlign w:val="center"/>
                </w:tcPr>
                <w:p>
                  <w:pPr>
                    <w:pStyle w:val="40"/>
                  </w:pPr>
                  <w:r>
                    <w:t>0.0030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900.0</w:t>
                  </w:r>
                </w:p>
              </w:tc>
              <w:tc>
                <w:tcPr>
                  <w:tcW w:w="2842" w:type="dxa"/>
                  <w:noWrap/>
                  <w:vAlign w:val="center"/>
                </w:tcPr>
                <w:p>
                  <w:pPr>
                    <w:pStyle w:val="40"/>
                  </w:pPr>
                  <w:r>
                    <w:t>0.0527</w:t>
                  </w:r>
                </w:p>
              </w:tc>
              <w:tc>
                <w:tcPr>
                  <w:tcW w:w="2843" w:type="dxa"/>
                  <w:noWrap/>
                  <w:vAlign w:val="center"/>
                </w:tcPr>
                <w:p>
                  <w:pPr>
                    <w:pStyle w:val="40"/>
                  </w:pPr>
                  <w:r>
                    <w:t>0.0026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1000.0</w:t>
                  </w:r>
                </w:p>
              </w:tc>
              <w:tc>
                <w:tcPr>
                  <w:tcW w:w="2842" w:type="dxa"/>
                  <w:noWrap/>
                  <w:vAlign w:val="center"/>
                </w:tcPr>
                <w:p>
                  <w:pPr>
                    <w:pStyle w:val="40"/>
                  </w:pPr>
                  <w:r>
                    <w:t>0.0469</w:t>
                  </w:r>
                </w:p>
              </w:tc>
              <w:tc>
                <w:tcPr>
                  <w:tcW w:w="2843" w:type="dxa"/>
                  <w:noWrap/>
                  <w:vAlign w:val="center"/>
                </w:tcPr>
                <w:p>
                  <w:pPr>
                    <w:pStyle w:val="40"/>
                  </w:pPr>
                  <w:r>
                    <w:t>0.0023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1200.0</w:t>
                  </w:r>
                </w:p>
              </w:tc>
              <w:tc>
                <w:tcPr>
                  <w:tcW w:w="2842" w:type="dxa"/>
                  <w:noWrap/>
                  <w:vAlign w:val="center"/>
                </w:tcPr>
                <w:p>
                  <w:pPr>
                    <w:pStyle w:val="40"/>
                  </w:pPr>
                  <w:r>
                    <w:t>0.0379</w:t>
                  </w:r>
                </w:p>
              </w:tc>
              <w:tc>
                <w:tcPr>
                  <w:tcW w:w="2843" w:type="dxa"/>
                  <w:noWrap/>
                  <w:vAlign w:val="center"/>
                </w:tcPr>
                <w:p>
                  <w:pPr>
                    <w:pStyle w:val="40"/>
                  </w:pPr>
                  <w:r>
                    <w:t>0.0019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1400.0</w:t>
                  </w:r>
                </w:p>
              </w:tc>
              <w:tc>
                <w:tcPr>
                  <w:tcW w:w="2842" w:type="dxa"/>
                  <w:noWrap/>
                  <w:vAlign w:val="center"/>
                </w:tcPr>
                <w:p>
                  <w:pPr>
                    <w:pStyle w:val="40"/>
                  </w:pPr>
                  <w:r>
                    <w:t>0.0315</w:t>
                  </w:r>
                </w:p>
              </w:tc>
              <w:tc>
                <w:tcPr>
                  <w:tcW w:w="2843" w:type="dxa"/>
                  <w:noWrap/>
                  <w:vAlign w:val="center"/>
                </w:tcPr>
                <w:p>
                  <w:pPr>
                    <w:pStyle w:val="40"/>
                  </w:pPr>
                  <w:r>
                    <w:t>0.0016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1600.0</w:t>
                  </w:r>
                </w:p>
              </w:tc>
              <w:tc>
                <w:tcPr>
                  <w:tcW w:w="2842" w:type="dxa"/>
                  <w:noWrap/>
                  <w:vAlign w:val="center"/>
                </w:tcPr>
                <w:p>
                  <w:pPr>
                    <w:pStyle w:val="40"/>
                  </w:pPr>
                  <w:r>
                    <w:t>0.0267</w:t>
                  </w:r>
                </w:p>
              </w:tc>
              <w:tc>
                <w:tcPr>
                  <w:tcW w:w="2843" w:type="dxa"/>
                  <w:noWrap/>
                  <w:vAlign w:val="center"/>
                </w:tcPr>
                <w:p>
                  <w:pPr>
                    <w:pStyle w:val="40"/>
                  </w:pPr>
                  <w:r>
                    <w:t>0.0013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1800.0</w:t>
                  </w:r>
                </w:p>
              </w:tc>
              <w:tc>
                <w:tcPr>
                  <w:tcW w:w="2842" w:type="dxa"/>
                  <w:noWrap/>
                  <w:vAlign w:val="center"/>
                </w:tcPr>
                <w:p>
                  <w:pPr>
                    <w:pStyle w:val="40"/>
                  </w:pPr>
                  <w:r>
                    <w:t>0.0230</w:t>
                  </w:r>
                </w:p>
              </w:tc>
              <w:tc>
                <w:tcPr>
                  <w:tcW w:w="2843" w:type="dxa"/>
                  <w:noWrap/>
                  <w:vAlign w:val="center"/>
                </w:tcPr>
                <w:p>
                  <w:pPr>
                    <w:pStyle w:val="40"/>
                  </w:pPr>
                  <w:r>
                    <w:t>0.0011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2000.0</w:t>
                  </w:r>
                </w:p>
              </w:tc>
              <w:tc>
                <w:tcPr>
                  <w:tcW w:w="2842" w:type="dxa"/>
                  <w:noWrap/>
                  <w:vAlign w:val="center"/>
                </w:tcPr>
                <w:p>
                  <w:pPr>
                    <w:pStyle w:val="40"/>
                  </w:pPr>
                  <w:r>
                    <w:t>0.0201</w:t>
                  </w:r>
                </w:p>
              </w:tc>
              <w:tc>
                <w:tcPr>
                  <w:tcW w:w="2843" w:type="dxa"/>
                  <w:noWrap/>
                  <w:vAlign w:val="center"/>
                </w:tcPr>
                <w:p>
                  <w:pPr>
                    <w:pStyle w:val="40"/>
                  </w:pPr>
                  <w:r>
                    <w:t>0.0010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2500.0</w:t>
                  </w:r>
                </w:p>
              </w:tc>
              <w:tc>
                <w:tcPr>
                  <w:tcW w:w="2842" w:type="dxa"/>
                  <w:noWrap/>
                  <w:vAlign w:val="center"/>
                </w:tcPr>
                <w:p>
                  <w:pPr>
                    <w:pStyle w:val="40"/>
                  </w:pPr>
                  <w:r>
                    <w:t>0.0150</w:t>
                  </w:r>
                </w:p>
              </w:tc>
              <w:tc>
                <w:tcPr>
                  <w:tcW w:w="2843" w:type="dxa"/>
                  <w:noWrap/>
                  <w:vAlign w:val="center"/>
                </w:tcPr>
                <w:p>
                  <w:pPr>
                    <w:pStyle w:val="40"/>
                  </w:pPr>
                  <w:r>
                    <w:t>0.0008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下风向最大浓度</w:t>
                  </w:r>
                </w:p>
              </w:tc>
              <w:tc>
                <w:tcPr>
                  <w:tcW w:w="2842" w:type="dxa"/>
                  <w:noWrap/>
                  <w:vAlign w:val="center"/>
                </w:tcPr>
                <w:p>
                  <w:pPr>
                    <w:pStyle w:val="40"/>
                  </w:pPr>
                  <w:r>
                    <w:t>0.9599</w:t>
                  </w:r>
                </w:p>
              </w:tc>
              <w:tc>
                <w:tcPr>
                  <w:tcW w:w="2843" w:type="dxa"/>
                  <w:noWrap/>
                  <w:vAlign w:val="center"/>
                </w:tcPr>
                <w:p>
                  <w:pPr>
                    <w:pStyle w:val="40"/>
                  </w:pPr>
                  <w:r>
                    <w:t>0.0480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下风向最大浓度出现距离</w:t>
                  </w:r>
                </w:p>
              </w:tc>
              <w:tc>
                <w:tcPr>
                  <w:tcW w:w="2842" w:type="dxa"/>
                  <w:noWrap/>
                  <w:vAlign w:val="center"/>
                </w:tcPr>
                <w:p>
                  <w:pPr>
                    <w:pStyle w:val="40"/>
                  </w:pPr>
                  <w:r>
                    <w:t>18.0</w:t>
                  </w:r>
                </w:p>
              </w:tc>
              <w:tc>
                <w:tcPr>
                  <w:tcW w:w="2843" w:type="dxa"/>
                  <w:noWrap/>
                  <w:vAlign w:val="center"/>
                </w:tcPr>
                <w:p>
                  <w:pPr>
                    <w:pStyle w:val="40"/>
                  </w:pPr>
                  <w:r>
                    <w:t>18.0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3190" w:type="dxa"/>
                  <w:noWrap/>
                  <w:vAlign w:val="center"/>
                </w:tcPr>
                <w:p>
                  <w:pPr>
                    <w:pStyle w:val="40"/>
                  </w:pPr>
                  <w:r>
                    <w:t>D10%最远距离</w:t>
                  </w:r>
                </w:p>
              </w:tc>
              <w:tc>
                <w:tcPr>
                  <w:tcW w:w="2842" w:type="dxa"/>
                  <w:noWrap/>
                  <w:vAlign w:val="center"/>
                </w:tcPr>
                <w:p>
                  <w:pPr>
                    <w:pStyle w:val="40"/>
                  </w:pPr>
                  <w:r>
                    <w:t>/</w:t>
                  </w:r>
                </w:p>
              </w:tc>
              <w:tc>
                <w:tcPr>
                  <w:tcW w:w="2843" w:type="dxa"/>
                  <w:noWrap/>
                  <w:vAlign w:val="center"/>
                </w:tcPr>
                <w:p>
                  <w:pPr>
                    <w:pStyle w:val="40"/>
                  </w:pPr>
                  <w:r>
                    <w:t>/</w:t>
                  </w:r>
                </w:p>
              </w:tc>
            </w:tr>
          </w:tbl>
          <w:p>
            <w:pPr>
              <w:pStyle w:val="29"/>
              <w:spacing w:before="65" w:after="65"/>
            </w:pPr>
            <w:r>
              <w:rPr>
                <w:rFonts w:hint="eastAsia"/>
              </w:rPr>
              <w:t>表7-12 污染物下风向最大地面浓度、占标率一览表</w:t>
            </w:r>
          </w:p>
          <w:tbl>
            <w:tblPr>
              <w:tblStyle w:val="24"/>
              <w:tblW w:w="9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245"/>
              <w:gridCol w:w="1170"/>
              <w:gridCol w:w="1740"/>
              <w:gridCol w:w="1800"/>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ign w:val="center"/>
                </w:tcPr>
                <w:p>
                  <w:pPr>
                    <w:pStyle w:val="40"/>
                  </w:pPr>
                  <w:r>
                    <w:rPr>
                      <w:rFonts w:hint="eastAsia"/>
                    </w:rPr>
                    <w:t>类别</w:t>
                  </w:r>
                </w:p>
              </w:tc>
              <w:tc>
                <w:tcPr>
                  <w:tcW w:w="1245" w:type="dxa"/>
                  <w:noWrap/>
                  <w:vAlign w:val="center"/>
                </w:tcPr>
                <w:p>
                  <w:pPr>
                    <w:pStyle w:val="40"/>
                  </w:pPr>
                  <w:r>
                    <w:rPr>
                      <w:rFonts w:hint="eastAsia"/>
                    </w:rPr>
                    <w:t>污染源</w:t>
                  </w:r>
                </w:p>
              </w:tc>
              <w:tc>
                <w:tcPr>
                  <w:tcW w:w="1170" w:type="dxa"/>
                  <w:noWrap/>
                  <w:vAlign w:val="center"/>
                </w:tcPr>
                <w:p>
                  <w:pPr>
                    <w:pStyle w:val="40"/>
                  </w:pPr>
                  <w:r>
                    <w:rPr>
                      <w:rFonts w:hint="eastAsia"/>
                    </w:rPr>
                    <w:t>污染物</w:t>
                  </w:r>
                </w:p>
              </w:tc>
              <w:tc>
                <w:tcPr>
                  <w:tcW w:w="1740" w:type="dxa"/>
                  <w:noWrap/>
                  <w:vAlign w:val="center"/>
                </w:tcPr>
                <w:p>
                  <w:pPr>
                    <w:pStyle w:val="40"/>
                  </w:pPr>
                  <w:r>
                    <w:rPr>
                      <w:rFonts w:hint="eastAsia"/>
                    </w:rPr>
                    <w:t>最大落地浓度（ug/m³）</w:t>
                  </w:r>
                </w:p>
              </w:tc>
              <w:tc>
                <w:tcPr>
                  <w:tcW w:w="1800" w:type="dxa"/>
                  <w:noWrap/>
                  <w:vAlign w:val="center"/>
                </w:tcPr>
                <w:p>
                  <w:pPr>
                    <w:pStyle w:val="40"/>
                  </w:pPr>
                  <w:r>
                    <w:rPr>
                      <w:rFonts w:hint="eastAsia"/>
                    </w:rPr>
                    <w:t>最大落地浓度占标率</w:t>
                  </w:r>
                  <w:r>
                    <w:t>Pmax</w:t>
                  </w:r>
                  <w:r>
                    <w:rPr>
                      <w:rFonts w:hint="eastAsia"/>
                    </w:rPr>
                    <w:t>（%）</w:t>
                  </w:r>
                </w:p>
              </w:tc>
              <w:tc>
                <w:tcPr>
                  <w:tcW w:w="2254" w:type="dxa"/>
                  <w:noWrap/>
                  <w:vAlign w:val="center"/>
                </w:tcPr>
                <w:p>
                  <w:pPr>
                    <w:pStyle w:val="40"/>
                  </w:pPr>
                  <w:r>
                    <w:rPr>
                      <w:rFonts w:hint="eastAsia"/>
                    </w:rPr>
                    <w:t>下风向最大浓度出现距离m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ign w:val="center"/>
                </w:tcPr>
                <w:p>
                  <w:pPr>
                    <w:pStyle w:val="40"/>
                  </w:pPr>
                  <w:r>
                    <w:rPr>
                      <w:rFonts w:hint="eastAsia"/>
                    </w:rPr>
                    <w:t>有组织</w:t>
                  </w:r>
                </w:p>
              </w:tc>
              <w:tc>
                <w:tcPr>
                  <w:tcW w:w="1245" w:type="dxa"/>
                  <w:noWrap/>
                  <w:vAlign w:val="center"/>
                </w:tcPr>
                <w:p>
                  <w:pPr>
                    <w:pStyle w:val="40"/>
                  </w:pPr>
                  <w:r>
                    <w:rPr>
                      <w:rFonts w:hint="eastAsia"/>
                    </w:rPr>
                    <w:t>DA001排气筒</w:t>
                  </w:r>
                </w:p>
              </w:tc>
              <w:tc>
                <w:tcPr>
                  <w:tcW w:w="1170" w:type="dxa"/>
                  <w:noWrap/>
                  <w:vAlign w:val="center"/>
                </w:tcPr>
                <w:p>
                  <w:pPr>
                    <w:pStyle w:val="40"/>
                  </w:pPr>
                  <w:r>
                    <w:rPr>
                      <w:rFonts w:hint="eastAsia"/>
                    </w:rPr>
                    <w:t>VOCs</w:t>
                  </w:r>
                </w:p>
              </w:tc>
              <w:tc>
                <w:tcPr>
                  <w:tcW w:w="1740" w:type="dxa"/>
                  <w:noWrap/>
                  <w:vAlign w:val="center"/>
                </w:tcPr>
                <w:p>
                  <w:pPr>
                    <w:pStyle w:val="40"/>
                  </w:pPr>
                  <w:r>
                    <w:t>0.9599</w:t>
                  </w:r>
                </w:p>
              </w:tc>
              <w:tc>
                <w:tcPr>
                  <w:tcW w:w="1800" w:type="dxa"/>
                  <w:noWrap/>
                  <w:vAlign w:val="center"/>
                </w:tcPr>
                <w:p>
                  <w:pPr>
                    <w:pStyle w:val="40"/>
                  </w:pPr>
                  <w:r>
                    <w:t>0.0480</w:t>
                  </w:r>
                </w:p>
              </w:tc>
              <w:tc>
                <w:tcPr>
                  <w:tcW w:w="2254" w:type="dxa"/>
                  <w:noWrap/>
                  <w:vAlign w:val="center"/>
                </w:tcPr>
                <w:p>
                  <w:pPr>
                    <w:pStyle w:val="40"/>
                  </w:pPr>
                  <w: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ign w:val="center"/>
                </w:tcPr>
                <w:p>
                  <w:pPr>
                    <w:pStyle w:val="40"/>
                  </w:pPr>
                  <w:r>
                    <w:rPr>
                      <w:rFonts w:hint="eastAsia"/>
                    </w:rPr>
                    <w:t>无组织</w:t>
                  </w:r>
                </w:p>
              </w:tc>
              <w:tc>
                <w:tcPr>
                  <w:tcW w:w="1245" w:type="dxa"/>
                  <w:noWrap/>
                  <w:vAlign w:val="center"/>
                </w:tcPr>
                <w:p>
                  <w:pPr>
                    <w:pStyle w:val="40"/>
                  </w:pPr>
                  <w:r>
                    <w:rPr>
                      <w:rFonts w:hint="eastAsia"/>
                    </w:rPr>
                    <w:t>生产车间</w:t>
                  </w:r>
                </w:p>
              </w:tc>
              <w:tc>
                <w:tcPr>
                  <w:tcW w:w="1170" w:type="dxa"/>
                  <w:noWrap/>
                  <w:vAlign w:val="center"/>
                </w:tcPr>
                <w:p>
                  <w:pPr>
                    <w:pStyle w:val="40"/>
                  </w:pPr>
                  <w:r>
                    <w:rPr>
                      <w:rFonts w:hint="eastAsia"/>
                    </w:rPr>
                    <w:t>VOCs</w:t>
                  </w:r>
                </w:p>
              </w:tc>
              <w:tc>
                <w:tcPr>
                  <w:tcW w:w="1740" w:type="dxa"/>
                  <w:noWrap/>
                  <w:vAlign w:val="center"/>
                </w:tcPr>
                <w:p>
                  <w:pPr>
                    <w:pStyle w:val="40"/>
                  </w:pPr>
                  <w:r>
                    <w:t>16.0880</w:t>
                  </w:r>
                </w:p>
              </w:tc>
              <w:tc>
                <w:tcPr>
                  <w:tcW w:w="1800" w:type="dxa"/>
                  <w:noWrap/>
                  <w:vAlign w:val="center"/>
                </w:tcPr>
                <w:p>
                  <w:pPr>
                    <w:pStyle w:val="40"/>
                  </w:pPr>
                  <w:r>
                    <w:t>0.8044</w:t>
                  </w:r>
                </w:p>
              </w:tc>
              <w:tc>
                <w:tcPr>
                  <w:tcW w:w="2254" w:type="dxa"/>
                  <w:noWrap/>
                  <w:vAlign w:val="center"/>
                </w:tcPr>
                <w:p>
                  <w:pPr>
                    <w:pStyle w:val="40"/>
                  </w:pPr>
                  <w:r>
                    <w:rPr>
                      <w:rFonts w:hint="eastAsia"/>
                    </w:rPr>
                    <w:t>32</w:t>
                  </w:r>
                </w:p>
              </w:tc>
            </w:tr>
          </w:tbl>
          <w:p>
            <w:pPr>
              <w:pStyle w:val="5"/>
            </w:pPr>
            <w:r>
              <w:rPr>
                <w:rFonts w:hint="eastAsia"/>
              </w:rPr>
              <w:t>预测结果显示，有组织排放的非甲烷总烃下风向落地最大浓度为</w:t>
            </w:r>
            <w:r>
              <w:t>0.9599</w:t>
            </w:r>
            <w:r>
              <w:rPr>
                <w:rFonts w:hint="eastAsia"/>
              </w:rPr>
              <w:t>ug/m³，占标率为</w:t>
            </w:r>
            <w:r>
              <w:t>0.0480</w:t>
            </w:r>
            <w:r>
              <w:rPr>
                <w:rFonts w:hint="eastAsia"/>
              </w:rPr>
              <w:t>%，无组织排放的非甲烷总烃下风向最大落地浓度为</w:t>
            </w:r>
            <w:r>
              <w:t>16.0880</w:t>
            </w:r>
            <w:r>
              <w:rPr>
                <w:rFonts w:hint="eastAsia"/>
              </w:rPr>
              <w:t>ug/m³，占标率为</w:t>
            </w:r>
            <w:r>
              <w:t>0.8044</w:t>
            </w:r>
            <w:r>
              <w:rPr>
                <w:rFonts w:hint="eastAsia"/>
              </w:rPr>
              <w:t>%，均无超标点，对周边环境影响较小。</w:t>
            </w:r>
          </w:p>
          <w:p>
            <w:pPr>
              <w:pStyle w:val="5"/>
              <w:numPr>
                <w:ilvl w:val="0"/>
                <w:numId w:val="10"/>
              </w:numPr>
            </w:pPr>
            <w:r>
              <w:rPr>
                <w:rFonts w:hint="eastAsia"/>
              </w:rPr>
              <w:t>大气环境影响评价自查表</w:t>
            </w:r>
          </w:p>
          <w:p>
            <w:pPr>
              <w:pStyle w:val="29"/>
              <w:spacing w:before="65" w:after="65"/>
            </w:pPr>
            <w:r>
              <w:rPr>
                <w:rFonts w:hint="eastAsia"/>
              </w:rPr>
              <w:t>表7-13 大气环境影响评价自查表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340"/>
              <w:gridCol w:w="1073"/>
              <w:gridCol w:w="132"/>
              <w:gridCol w:w="1106"/>
              <w:gridCol w:w="162"/>
              <w:gridCol w:w="265"/>
              <w:gridCol w:w="502"/>
              <w:gridCol w:w="1788"/>
              <w:gridCol w:w="619"/>
              <w:gridCol w:w="221"/>
              <w:gridCol w:w="356"/>
              <w:gridCol w:w="301"/>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pct"/>
                  <w:gridSpan w:val="2"/>
                  <w:noWrap/>
                  <w:vAlign w:val="center"/>
                </w:tcPr>
                <w:p>
                  <w:pPr>
                    <w:jc w:val="center"/>
                  </w:pPr>
                  <w:r>
                    <w:t>工作内容</w:t>
                  </w:r>
                </w:p>
              </w:tc>
              <w:tc>
                <w:tcPr>
                  <w:tcW w:w="3920" w:type="pct"/>
                  <w:gridSpan w:val="12"/>
                  <w:noWrap/>
                  <w:vAlign w:val="center"/>
                </w:tcPr>
                <w:p>
                  <w:pPr>
                    <w:jc w:val="center"/>
                  </w:pPr>
                  <w: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restart"/>
                  <w:noWrap/>
                  <w:vAlign w:val="center"/>
                </w:tcPr>
                <w:p>
                  <w:pPr>
                    <w:jc w:val="center"/>
                  </w:pPr>
                  <w:r>
                    <w:t>评价等级与范围</w:t>
                  </w:r>
                </w:p>
              </w:tc>
              <w:tc>
                <w:tcPr>
                  <w:tcW w:w="729" w:type="pct"/>
                  <w:noWrap/>
                  <w:vAlign w:val="center"/>
                </w:tcPr>
                <w:p>
                  <w:pPr>
                    <w:jc w:val="center"/>
                  </w:pPr>
                  <w:r>
                    <w:t>评价等级</w:t>
                  </w:r>
                </w:p>
              </w:tc>
              <w:tc>
                <w:tcPr>
                  <w:tcW w:w="1258" w:type="pct"/>
                  <w:gridSpan w:val="3"/>
                  <w:noWrap/>
                  <w:vAlign w:val="center"/>
                </w:tcPr>
                <w:p>
                  <w:pPr>
                    <w:jc w:val="center"/>
                  </w:pPr>
                  <w:r>
                    <w:t>一级</w:t>
                  </w:r>
                  <w:r>
                    <w:rPr/>
                    <w:sym w:font="Wingdings" w:char="00A8"/>
                  </w:r>
                </w:p>
              </w:tc>
              <w:tc>
                <w:tcPr>
                  <w:tcW w:w="1478" w:type="pct"/>
                  <w:gridSpan w:val="4"/>
                  <w:noWrap/>
                  <w:vAlign w:val="center"/>
                </w:tcPr>
                <w:p>
                  <w:pPr>
                    <w:jc w:val="center"/>
                  </w:pPr>
                  <w:r>
                    <w:t>二级</w:t>
                  </w:r>
                  <w:r>
                    <w:rPr/>
                    <w:sym w:font="Wingdings" w:char="00A8"/>
                  </w:r>
                </w:p>
              </w:tc>
              <w:tc>
                <w:tcPr>
                  <w:tcW w:w="1184" w:type="pct"/>
                  <w:gridSpan w:val="5"/>
                  <w:noWrap/>
                  <w:vAlign w:val="center"/>
                </w:tcPr>
                <w:p>
                  <w:pPr>
                    <w:jc w:val="center"/>
                  </w:pPr>
                  <w:r>
                    <w:t>三级</w:t>
                  </w:r>
                  <w:r>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ign w:val="center"/>
                </w:tcPr>
                <w:p>
                  <w:pPr>
                    <w:jc w:val="center"/>
                  </w:pPr>
                </w:p>
              </w:tc>
              <w:tc>
                <w:tcPr>
                  <w:tcW w:w="729" w:type="pct"/>
                  <w:noWrap/>
                  <w:vAlign w:val="center"/>
                </w:tcPr>
                <w:p>
                  <w:pPr>
                    <w:jc w:val="center"/>
                  </w:pPr>
                  <w:r>
                    <w:t>评价范围</w:t>
                  </w:r>
                </w:p>
              </w:tc>
              <w:tc>
                <w:tcPr>
                  <w:tcW w:w="1258" w:type="pct"/>
                  <w:gridSpan w:val="3"/>
                  <w:noWrap/>
                  <w:vAlign w:val="center"/>
                </w:tcPr>
                <w:p>
                  <w:pPr>
                    <w:jc w:val="center"/>
                  </w:pPr>
                  <w:r>
                    <w:t>边长=50km</w:t>
                  </w:r>
                  <w:r>
                    <w:rPr/>
                    <w:sym w:font="Wingdings" w:char="00A8"/>
                  </w:r>
                </w:p>
              </w:tc>
              <w:tc>
                <w:tcPr>
                  <w:tcW w:w="1478" w:type="pct"/>
                  <w:gridSpan w:val="4"/>
                  <w:noWrap/>
                  <w:vAlign w:val="center"/>
                </w:tcPr>
                <w:p>
                  <w:pPr>
                    <w:jc w:val="center"/>
                  </w:pPr>
                  <w:r>
                    <w:t>边长 5～50km</w:t>
                  </w:r>
                  <w:r>
                    <w:rPr/>
                    <w:sym w:font="Wingdings" w:char="00A8"/>
                  </w:r>
                </w:p>
              </w:tc>
              <w:tc>
                <w:tcPr>
                  <w:tcW w:w="1184" w:type="pct"/>
                  <w:gridSpan w:val="5"/>
                  <w:noWrap/>
                  <w:vAlign w:val="center"/>
                </w:tcPr>
                <w:p>
                  <w:pPr>
                    <w:jc w:val="center"/>
                  </w:pPr>
                  <w:r>
                    <w:t>边长=5 km</w:t>
                  </w:r>
                  <w:r>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restart"/>
                  <w:noWrap/>
                  <w:vAlign w:val="center"/>
                </w:tcPr>
                <w:p>
                  <w:pPr>
                    <w:jc w:val="center"/>
                  </w:pPr>
                  <w:r>
                    <w:t>评价因子</w:t>
                  </w:r>
                </w:p>
              </w:tc>
              <w:tc>
                <w:tcPr>
                  <w:tcW w:w="729" w:type="pct"/>
                  <w:noWrap/>
                  <w:vAlign w:val="center"/>
                </w:tcPr>
                <w:p>
                  <w:pPr>
                    <w:jc w:val="center"/>
                  </w:pPr>
                  <w:r>
                    <w:t>SO2 +NOx排放量</w:t>
                  </w:r>
                </w:p>
              </w:tc>
              <w:tc>
                <w:tcPr>
                  <w:tcW w:w="1258" w:type="pct"/>
                  <w:gridSpan w:val="3"/>
                  <w:noWrap/>
                  <w:vAlign w:val="center"/>
                </w:tcPr>
                <w:p>
                  <w:pPr>
                    <w:jc w:val="center"/>
                  </w:pPr>
                  <w:r>
                    <w:t>≥ 2000t/a</w:t>
                  </w:r>
                  <w:r>
                    <w:rPr/>
                    <w:sym w:font="Wingdings" w:char="00A8"/>
                  </w:r>
                </w:p>
              </w:tc>
              <w:tc>
                <w:tcPr>
                  <w:tcW w:w="1478" w:type="pct"/>
                  <w:gridSpan w:val="4"/>
                  <w:noWrap/>
                  <w:vAlign w:val="center"/>
                </w:tcPr>
                <w:p>
                  <w:pPr>
                    <w:jc w:val="center"/>
                  </w:pPr>
                  <w:r>
                    <w:t>500 ~ 2000t/a</w:t>
                  </w:r>
                  <w:r>
                    <w:rPr/>
                    <w:sym w:font="Wingdings" w:char="00A8"/>
                  </w:r>
                </w:p>
              </w:tc>
              <w:tc>
                <w:tcPr>
                  <w:tcW w:w="1184" w:type="pct"/>
                  <w:gridSpan w:val="5"/>
                  <w:noWrap/>
                  <w:vAlign w:val="center"/>
                </w:tcPr>
                <w:p>
                  <w:pPr>
                    <w:jc w:val="center"/>
                  </w:pPr>
                  <w:r>
                    <w:t>＜500 t/a</w:t>
                  </w:r>
                  <w:r>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ign w:val="center"/>
                </w:tcPr>
                <w:p>
                  <w:pPr>
                    <w:jc w:val="center"/>
                  </w:pPr>
                </w:p>
              </w:tc>
              <w:tc>
                <w:tcPr>
                  <w:tcW w:w="729" w:type="pct"/>
                  <w:noWrap/>
                  <w:vAlign w:val="center"/>
                </w:tcPr>
                <w:p>
                  <w:pPr>
                    <w:jc w:val="center"/>
                  </w:pPr>
                  <w:r>
                    <w:t>评价因子</w:t>
                  </w:r>
                </w:p>
              </w:tc>
              <w:tc>
                <w:tcPr>
                  <w:tcW w:w="2736" w:type="pct"/>
                  <w:gridSpan w:val="7"/>
                  <w:noWrap/>
                  <w:vAlign w:val="center"/>
                </w:tcPr>
                <w:p>
                  <w:pPr>
                    <w:jc w:val="center"/>
                  </w:pPr>
                  <w:r>
                    <w:t>基本污染物 (SO2、NO2、PM10、PM2.5、CO、O3)</w:t>
                  </w:r>
                </w:p>
                <w:p>
                  <w:pPr>
                    <w:jc w:val="center"/>
                  </w:pPr>
                  <w:r>
                    <w:t>其他污染物(</w:t>
                  </w:r>
                  <w:r>
                    <w:rPr>
                      <w:rFonts w:hint="eastAsia"/>
                      <w:lang w:val="en-US" w:eastAsia="zh-CN"/>
                    </w:rPr>
                    <w:t>非甲烷总烃</w:t>
                  </w:r>
                  <w:r>
                    <w:t>)</w:t>
                  </w:r>
                </w:p>
              </w:tc>
              <w:tc>
                <w:tcPr>
                  <w:tcW w:w="1184" w:type="pct"/>
                  <w:gridSpan w:val="5"/>
                  <w:noWrap/>
                  <w:vAlign w:val="center"/>
                </w:tcPr>
                <w:p>
                  <w:pPr>
                    <w:jc w:val="center"/>
                  </w:pPr>
                  <w:r>
                    <w:t>包括二次 PM2.5</w:t>
                  </w:r>
                  <w:r>
                    <w:rPr/>
                    <w:sym w:font="Wingdings" w:char="00A8"/>
                  </w:r>
                </w:p>
                <w:p>
                  <w:pPr>
                    <w:jc w:val="center"/>
                  </w:pPr>
                  <w:r>
                    <w:t>不包括二次 PM2.5</w:t>
                  </w:r>
                  <w:r>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noWrap/>
                  <w:vAlign w:val="center"/>
                </w:tcPr>
                <w:p>
                  <w:pPr>
                    <w:jc w:val="center"/>
                  </w:pPr>
                  <w:r>
                    <w:t>评价标准</w:t>
                  </w:r>
                </w:p>
              </w:tc>
              <w:tc>
                <w:tcPr>
                  <w:tcW w:w="729" w:type="pct"/>
                  <w:noWrap/>
                  <w:vAlign w:val="center"/>
                </w:tcPr>
                <w:p>
                  <w:pPr>
                    <w:jc w:val="center"/>
                  </w:pPr>
                  <w:r>
                    <w:t>评价标准</w:t>
                  </w:r>
                </w:p>
              </w:tc>
              <w:tc>
                <w:tcPr>
                  <w:tcW w:w="1258" w:type="pct"/>
                  <w:gridSpan w:val="3"/>
                  <w:noWrap/>
                  <w:vAlign w:val="center"/>
                </w:tcPr>
                <w:p>
                  <w:pPr>
                    <w:jc w:val="center"/>
                  </w:pPr>
                  <w:r>
                    <w:t>国家标准</w:t>
                  </w:r>
                  <w:r>
                    <w:rPr/>
                    <w:sym w:font="Wingdings" w:char="00A8"/>
                  </w:r>
                </w:p>
              </w:tc>
              <w:tc>
                <w:tcPr>
                  <w:tcW w:w="1478" w:type="pct"/>
                  <w:gridSpan w:val="4"/>
                  <w:noWrap/>
                  <w:vAlign w:val="center"/>
                </w:tcPr>
                <w:p>
                  <w:pPr>
                    <w:jc w:val="center"/>
                  </w:pPr>
                  <w:r>
                    <w:t>地方标准</w:t>
                  </w:r>
                  <w:r>
                    <w:rPr/>
                    <w:sym w:font="Wingdings" w:char="00FE"/>
                  </w:r>
                </w:p>
              </w:tc>
              <w:tc>
                <w:tcPr>
                  <w:tcW w:w="651" w:type="pct"/>
                  <w:gridSpan w:val="3"/>
                  <w:noWrap/>
                  <w:vAlign w:val="center"/>
                </w:tcPr>
                <w:p>
                  <w:pPr>
                    <w:jc w:val="center"/>
                  </w:pPr>
                  <w:r>
                    <w:t xml:space="preserve">附录D </w:t>
                  </w:r>
                  <w:r>
                    <w:rPr/>
                    <w:sym w:font="Wingdings" w:char="00A8"/>
                  </w:r>
                </w:p>
              </w:tc>
              <w:tc>
                <w:tcPr>
                  <w:tcW w:w="532" w:type="pct"/>
                  <w:gridSpan w:val="2"/>
                  <w:noWrap/>
                  <w:vAlign w:val="center"/>
                </w:tcPr>
                <w:p>
                  <w:pPr>
                    <w:jc w:val="center"/>
                  </w:pPr>
                  <w:r>
                    <w:t>其他标准</w:t>
                  </w:r>
                  <w:r>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restart"/>
                  <w:noWrap/>
                  <w:vAlign w:val="center"/>
                </w:tcPr>
                <w:p>
                  <w:pPr>
                    <w:jc w:val="center"/>
                  </w:pPr>
                  <w:r>
                    <w:t>现状评价</w:t>
                  </w:r>
                </w:p>
              </w:tc>
              <w:tc>
                <w:tcPr>
                  <w:tcW w:w="729" w:type="pct"/>
                  <w:noWrap/>
                  <w:vAlign w:val="center"/>
                </w:tcPr>
                <w:p>
                  <w:pPr>
                    <w:jc w:val="center"/>
                  </w:pPr>
                  <w:r>
                    <w:t>环境功能区</w:t>
                  </w:r>
                </w:p>
              </w:tc>
              <w:tc>
                <w:tcPr>
                  <w:tcW w:w="1258" w:type="pct"/>
                  <w:gridSpan w:val="3"/>
                  <w:noWrap/>
                  <w:vAlign w:val="center"/>
                </w:tcPr>
                <w:p>
                  <w:pPr>
                    <w:jc w:val="center"/>
                  </w:pPr>
                  <w:r>
                    <w:t>一类区</w:t>
                  </w:r>
                  <w:r>
                    <w:rPr/>
                    <w:sym w:font="Wingdings" w:char="00A8"/>
                  </w:r>
                </w:p>
              </w:tc>
              <w:tc>
                <w:tcPr>
                  <w:tcW w:w="1478" w:type="pct"/>
                  <w:gridSpan w:val="4"/>
                  <w:noWrap/>
                  <w:vAlign w:val="center"/>
                </w:tcPr>
                <w:p>
                  <w:pPr>
                    <w:jc w:val="center"/>
                  </w:pPr>
                  <w:r>
                    <w:t>二类区</w:t>
                  </w:r>
                  <w:r>
                    <w:rPr/>
                    <w:sym w:font="Wingdings" w:char="00FE"/>
                  </w:r>
                </w:p>
              </w:tc>
              <w:tc>
                <w:tcPr>
                  <w:tcW w:w="1184" w:type="pct"/>
                  <w:gridSpan w:val="5"/>
                  <w:noWrap/>
                  <w:vAlign w:val="center"/>
                </w:tcPr>
                <w:p>
                  <w:pPr>
                    <w:jc w:val="center"/>
                  </w:pPr>
                  <w:r>
                    <w:t>一类区和二类区</w:t>
                  </w:r>
                  <w:r>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ign w:val="center"/>
                </w:tcPr>
                <w:p>
                  <w:pPr>
                    <w:jc w:val="center"/>
                  </w:pPr>
                </w:p>
              </w:tc>
              <w:tc>
                <w:tcPr>
                  <w:tcW w:w="729" w:type="pct"/>
                  <w:noWrap/>
                  <w:vAlign w:val="center"/>
                </w:tcPr>
                <w:p>
                  <w:pPr>
                    <w:jc w:val="center"/>
                  </w:pPr>
                  <w:r>
                    <w:t>评价基准年</w:t>
                  </w:r>
                </w:p>
              </w:tc>
              <w:tc>
                <w:tcPr>
                  <w:tcW w:w="3920" w:type="pct"/>
                  <w:gridSpan w:val="12"/>
                  <w:noWrap/>
                  <w:vAlign w:val="center"/>
                </w:tcPr>
                <w:p>
                  <w:pPr>
                    <w:jc w:val="center"/>
                  </w:pPr>
                  <w:r>
                    <w:t>（  201</w:t>
                  </w:r>
                  <w:r>
                    <w:rPr>
                      <w:rFonts w:hint="eastAsia"/>
                    </w:rPr>
                    <w:t>9</w:t>
                  </w:r>
                  <w:r>
                    <w:t xml:space="preserve">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ign w:val="center"/>
                </w:tcPr>
                <w:p>
                  <w:pPr>
                    <w:jc w:val="center"/>
                  </w:pPr>
                </w:p>
              </w:tc>
              <w:tc>
                <w:tcPr>
                  <w:tcW w:w="729" w:type="pct"/>
                  <w:noWrap/>
                  <w:vAlign w:val="center"/>
                </w:tcPr>
                <w:p>
                  <w:pPr>
                    <w:jc w:val="center"/>
                  </w:pPr>
                  <w:r>
                    <w:t>环境空气质量现状调查数据来源</w:t>
                  </w:r>
                </w:p>
              </w:tc>
              <w:tc>
                <w:tcPr>
                  <w:tcW w:w="1258" w:type="pct"/>
                  <w:gridSpan w:val="3"/>
                  <w:noWrap/>
                  <w:vAlign w:val="center"/>
                </w:tcPr>
                <w:p>
                  <w:pPr>
                    <w:jc w:val="center"/>
                  </w:pPr>
                  <w:r>
                    <w:t>长期例行监测数据</w:t>
                  </w:r>
                  <w:r>
                    <w:rPr/>
                    <w:sym w:font="Wingdings" w:char="00A8"/>
                  </w:r>
                </w:p>
              </w:tc>
              <w:tc>
                <w:tcPr>
                  <w:tcW w:w="1478" w:type="pct"/>
                  <w:gridSpan w:val="4"/>
                  <w:noWrap/>
                  <w:vAlign w:val="center"/>
                </w:tcPr>
                <w:p>
                  <w:pPr>
                    <w:ind w:right="-120" w:rightChars="-50"/>
                    <w:jc w:val="center"/>
                  </w:pPr>
                  <w:r>
                    <w:t>主管部门发布的数据</w:t>
                  </w:r>
                  <w:r>
                    <w:rPr/>
                    <w:sym w:font="Wingdings" w:char="00FE"/>
                  </w:r>
                </w:p>
              </w:tc>
              <w:tc>
                <w:tcPr>
                  <w:tcW w:w="1184" w:type="pct"/>
                  <w:gridSpan w:val="5"/>
                  <w:noWrap/>
                  <w:vAlign w:val="center"/>
                </w:tcPr>
                <w:p>
                  <w:pPr>
                    <w:jc w:val="center"/>
                  </w:pPr>
                  <w:r>
                    <w:t>现状补充监测</w:t>
                  </w:r>
                  <w:r>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ign w:val="center"/>
                </w:tcPr>
                <w:p>
                  <w:pPr>
                    <w:jc w:val="center"/>
                  </w:pPr>
                </w:p>
              </w:tc>
              <w:tc>
                <w:tcPr>
                  <w:tcW w:w="729" w:type="pct"/>
                  <w:noWrap/>
                  <w:vAlign w:val="center"/>
                </w:tcPr>
                <w:p>
                  <w:pPr>
                    <w:jc w:val="center"/>
                  </w:pPr>
                  <w:r>
                    <w:t>现状评价</w:t>
                  </w:r>
                </w:p>
              </w:tc>
              <w:tc>
                <w:tcPr>
                  <w:tcW w:w="2736" w:type="pct"/>
                  <w:gridSpan w:val="7"/>
                  <w:noWrap/>
                  <w:vAlign w:val="center"/>
                </w:tcPr>
                <w:p>
                  <w:pPr>
                    <w:jc w:val="center"/>
                  </w:pPr>
                  <w:r>
                    <w:t>达标区</w:t>
                  </w:r>
                  <w:r>
                    <w:rPr/>
                    <w:sym w:font="Wingdings" w:char="00A8"/>
                  </w:r>
                </w:p>
              </w:tc>
              <w:tc>
                <w:tcPr>
                  <w:tcW w:w="1184" w:type="pct"/>
                  <w:gridSpan w:val="5"/>
                  <w:noWrap/>
                  <w:vAlign w:val="center"/>
                </w:tcPr>
                <w:p>
                  <w:pPr>
                    <w:jc w:val="center"/>
                  </w:pPr>
                  <w:r>
                    <w:t>不达标区</w:t>
                  </w:r>
                  <w:r>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noWrap/>
                  <w:vAlign w:val="center"/>
                </w:tcPr>
                <w:p>
                  <w:pPr>
                    <w:jc w:val="center"/>
                  </w:pPr>
                  <w:r>
                    <w:t>污染源调查</w:t>
                  </w:r>
                </w:p>
              </w:tc>
              <w:tc>
                <w:tcPr>
                  <w:tcW w:w="729" w:type="pct"/>
                  <w:noWrap/>
                  <w:vAlign w:val="center"/>
                </w:tcPr>
                <w:p>
                  <w:pPr>
                    <w:jc w:val="center"/>
                  </w:pPr>
                  <w:r>
                    <w:t>调查内容</w:t>
                  </w:r>
                </w:p>
              </w:tc>
              <w:tc>
                <w:tcPr>
                  <w:tcW w:w="1258" w:type="pct"/>
                  <w:gridSpan w:val="3"/>
                  <w:noWrap/>
                  <w:vAlign w:val="center"/>
                </w:tcPr>
                <w:p>
                  <w:pPr>
                    <w:jc w:val="center"/>
                  </w:pPr>
                  <w:r>
                    <w:t>本项目正常排放源</w:t>
                  </w:r>
                  <w:r>
                    <w:rPr/>
                    <w:sym w:font="Wingdings" w:char="00FE"/>
                  </w:r>
                </w:p>
                <w:p>
                  <w:pPr>
                    <w:jc w:val="center"/>
                  </w:pPr>
                  <w:r>
                    <w:t>本项目非正常排放源</w:t>
                  </w:r>
                  <w:r>
                    <w:rPr/>
                    <w:sym w:font="Wingdings" w:char="00A8"/>
                  </w:r>
                  <w:r>
                    <w:t xml:space="preserve"> 现有污染源</w:t>
                  </w:r>
                  <w:r>
                    <w:rPr/>
                    <w:sym w:font="Wingdings" w:char="00A8"/>
                  </w:r>
                </w:p>
              </w:tc>
              <w:tc>
                <w:tcPr>
                  <w:tcW w:w="1478" w:type="pct"/>
                  <w:gridSpan w:val="4"/>
                  <w:noWrap/>
                  <w:vAlign w:val="center"/>
                </w:tcPr>
                <w:p>
                  <w:pPr>
                    <w:jc w:val="center"/>
                  </w:pPr>
                  <w:r>
                    <w:t>拟替代的污染源</w:t>
                  </w:r>
                  <w:r>
                    <w:rPr/>
                    <w:sym w:font="Wingdings" w:char="00A8"/>
                  </w:r>
                </w:p>
              </w:tc>
              <w:tc>
                <w:tcPr>
                  <w:tcW w:w="651" w:type="pct"/>
                  <w:gridSpan w:val="3"/>
                  <w:noWrap/>
                  <w:vAlign w:val="center"/>
                </w:tcPr>
                <w:p>
                  <w:pPr>
                    <w:jc w:val="center"/>
                  </w:pPr>
                  <w:r>
                    <w:t>其他在建、拟建项目污染源</w:t>
                  </w:r>
                  <w:r>
                    <w:rPr/>
                    <w:sym w:font="Wingdings" w:char="00A8"/>
                  </w:r>
                </w:p>
              </w:tc>
              <w:tc>
                <w:tcPr>
                  <w:tcW w:w="532" w:type="pct"/>
                  <w:gridSpan w:val="2"/>
                  <w:noWrap/>
                  <w:vAlign w:val="center"/>
                </w:tcPr>
                <w:p>
                  <w:pPr>
                    <w:jc w:val="center"/>
                  </w:pPr>
                  <w:r>
                    <w:t>区域污染源</w:t>
                  </w:r>
                  <w:r>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restart"/>
                  <w:noWrap/>
                  <w:vAlign w:val="center"/>
                </w:tcPr>
                <w:p>
                  <w:pPr>
                    <w:jc w:val="center"/>
                  </w:pPr>
                  <w:r>
                    <w:t>大气环境影响预测与评价</w:t>
                  </w:r>
                </w:p>
              </w:tc>
              <w:tc>
                <w:tcPr>
                  <w:tcW w:w="729" w:type="pct"/>
                  <w:noWrap/>
                  <w:vAlign w:val="center"/>
                </w:tcPr>
                <w:p>
                  <w:pPr>
                    <w:jc w:val="center"/>
                  </w:pPr>
                  <w:r>
                    <w:t>预测模型</w:t>
                  </w:r>
                </w:p>
              </w:tc>
              <w:tc>
                <w:tcPr>
                  <w:tcW w:w="584" w:type="pct"/>
                  <w:noWrap/>
                  <w:vAlign w:val="center"/>
                </w:tcPr>
                <w:p>
                  <w:pPr>
                    <w:jc w:val="center"/>
                  </w:pPr>
                  <w:r>
                    <w:t xml:space="preserve">AERMOD </w:t>
                  </w:r>
                  <w:r>
                    <w:rPr/>
                    <w:sym w:font="Wingdings" w:char="00A8"/>
                  </w:r>
                </w:p>
              </w:tc>
              <w:tc>
                <w:tcPr>
                  <w:tcW w:w="673" w:type="pct"/>
                  <w:gridSpan w:val="2"/>
                  <w:noWrap/>
                  <w:vAlign w:val="center"/>
                </w:tcPr>
                <w:p>
                  <w:pPr>
                    <w:jc w:val="center"/>
                  </w:pPr>
                  <w:r>
                    <w:t xml:space="preserve">ADMS </w:t>
                  </w:r>
                  <w:r>
                    <w:rPr/>
                    <w:sym w:font="Wingdings" w:char="00A8"/>
                  </w:r>
                </w:p>
              </w:tc>
              <w:tc>
                <w:tcPr>
                  <w:tcW w:w="505" w:type="pct"/>
                  <w:gridSpan w:val="3"/>
                  <w:noWrap/>
                  <w:vAlign w:val="center"/>
                </w:tcPr>
                <w:p>
                  <w:pPr>
                    <w:jc w:val="center"/>
                  </w:pPr>
                  <w:r>
                    <w:t xml:space="preserve">AUSTAL2000 </w:t>
                  </w:r>
                  <w:r>
                    <w:rPr/>
                    <w:sym w:font="Wingdings" w:char="00A8"/>
                  </w:r>
                </w:p>
              </w:tc>
              <w:tc>
                <w:tcPr>
                  <w:tcW w:w="973" w:type="pct"/>
                  <w:noWrap/>
                  <w:vAlign w:val="center"/>
                </w:tcPr>
                <w:p>
                  <w:pPr>
                    <w:jc w:val="center"/>
                  </w:pPr>
                  <w:r>
                    <w:t>EDMS/AEDT</w:t>
                  </w:r>
                  <w:r>
                    <w:rPr/>
                    <w:sym w:font="Wingdings" w:char="00A8"/>
                  </w:r>
                </w:p>
              </w:tc>
              <w:tc>
                <w:tcPr>
                  <w:tcW w:w="457" w:type="pct"/>
                  <w:gridSpan w:val="2"/>
                  <w:noWrap/>
                  <w:vAlign w:val="center"/>
                </w:tcPr>
                <w:p>
                  <w:pPr>
                    <w:jc w:val="center"/>
                  </w:pPr>
                  <w:r>
                    <w:t xml:space="preserve">CALPUFF </w:t>
                  </w:r>
                  <w:r>
                    <w:rPr/>
                    <w:sym w:font="Wingdings" w:char="00A8"/>
                  </w:r>
                </w:p>
              </w:tc>
              <w:tc>
                <w:tcPr>
                  <w:tcW w:w="358" w:type="pct"/>
                  <w:gridSpan w:val="2"/>
                  <w:noWrap/>
                  <w:vAlign w:val="center"/>
                </w:tcPr>
                <w:p>
                  <w:pPr>
                    <w:jc w:val="center"/>
                  </w:pPr>
                  <w:r>
                    <w:t xml:space="preserve">网格模型 </w:t>
                  </w:r>
                  <w:r>
                    <w:rPr/>
                    <w:sym w:font="Wingdings" w:char="00A8"/>
                  </w:r>
                </w:p>
              </w:tc>
              <w:tc>
                <w:tcPr>
                  <w:tcW w:w="368" w:type="pct"/>
                  <w:noWrap/>
                  <w:vAlign w:val="center"/>
                </w:tcPr>
                <w:p>
                  <w:pPr>
                    <w:jc w:val="center"/>
                  </w:pPr>
                  <w:r>
                    <w:t xml:space="preserve">其他 </w:t>
                  </w:r>
                  <w:r>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ign w:val="center"/>
                </w:tcPr>
                <w:p>
                  <w:pPr>
                    <w:jc w:val="center"/>
                  </w:pPr>
                </w:p>
              </w:tc>
              <w:tc>
                <w:tcPr>
                  <w:tcW w:w="729" w:type="pct"/>
                  <w:noWrap/>
                  <w:vAlign w:val="center"/>
                </w:tcPr>
                <w:p>
                  <w:pPr>
                    <w:jc w:val="center"/>
                  </w:pPr>
                  <w:r>
                    <w:t>预测范围</w:t>
                  </w:r>
                </w:p>
              </w:tc>
              <w:tc>
                <w:tcPr>
                  <w:tcW w:w="1258" w:type="pct"/>
                  <w:gridSpan w:val="3"/>
                  <w:noWrap/>
                  <w:vAlign w:val="center"/>
                </w:tcPr>
                <w:p>
                  <w:pPr>
                    <w:jc w:val="center"/>
                  </w:pPr>
                  <w:r>
                    <w:t>边长≥ 50km</w:t>
                  </w:r>
                  <w:r>
                    <w:rPr/>
                    <w:sym w:font="Wingdings" w:char="00A8"/>
                  </w:r>
                </w:p>
              </w:tc>
              <w:tc>
                <w:tcPr>
                  <w:tcW w:w="1478" w:type="pct"/>
                  <w:gridSpan w:val="4"/>
                  <w:noWrap/>
                  <w:vAlign w:val="center"/>
                </w:tcPr>
                <w:p>
                  <w:pPr>
                    <w:jc w:val="center"/>
                  </w:pPr>
                  <w:r>
                    <w:t xml:space="preserve">边长 5～50km </w:t>
                  </w:r>
                  <w:r>
                    <w:rPr/>
                    <w:sym w:font="Wingdings" w:char="00A8"/>
                  </w:r>
                </w:p>
              </w:tc>
              <w:tc>
                <w:tcPr>
                  <w:tcW w:w="1184" w:type="pct"/>
                  <w:gridSpan w:val="5"/>
                  <w:noWrap/>
                  <w:vAlign w:val="center"/>
                </w:tcPr>
                <w:p>
                  <w:pPr>
                    <w:jc w:val="center"/>
                  </w:pPr>
                  <w:r>
                    <w:t xml:space="preserve">边长 = 5 km </w:t>
                  </w:r>
                  <w:r>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ign w:val="center"/>
                </w:tcPr>
                <w:p>
                  <w:pPr>
                    <w:jc w:val="center"/>
                  </w:pPr>
                </w:p>
              </w:tc>
              <w:tc>
                <w:tcPr>
                  <w:tcW w:w="729" w:type="pct"/>
                  <w:noWrap/>
                  <w:vAlign w:val="center"/>
                </w:tcPr>
                <w:p>
                  <w:pPr>
                    <w:jc w:val="center"/>
                  </w:pPr>
                  <w:r>
                    <w:t>预测因子</w:t>
                  </w:r>
                </w:p>
              </w:tc>
              <w:tc>
                <w:tcPr>
                  <w:tcW w:w="1763" w:type="pct"/>
                  <w:gridSpan w:val="6"/>
                  <w:noWrap/>
                  <w:vAlign w:val="center"/>
                </w:tcPr>
                <w:p>
                  <w:pPr>
                    <w:jc w:val="center"/>
                  </w:pPr>
                  <w:r>
                    <w:t>预测因子(</w:t>
                  </w:r>
                  <w:r>
                    <w:rPr>
                      <w:rFonts w:hint="eastAsia"/>
                      <w:lang w:val="en-US" w:eastAsia="zh-CN"/>
                    </w:rPr>
                    <w:t>非甲烷总烃</w:t>
                  </w:r>
                  <w:r>
                    <w:t>)</w:t>
                  </w:r>
                </w:p>
              </w:tc>
              <w:tc>
                <w:tcPr>
                  <w:tcW w:w="2157" w:type="pct"/>
                  <w:gridSpan w:val="6"/>
                  <w:noWrap/>
                  <w:vAlign w:val="center"/>
                </w:tcPr>
                <w:p>
                  <w:pPr>
                    <w:jc w:val="center"/>
                  </w:pPr>
                  <w:r>
                    <w:t xml:space="preserve">包括二次 PM2.5 </w:t>
                  </w:r>
                  <w:r>
                    <w:rPr/>
                    <w:sym w:font="Wingdings" w:char="00A8"/>
                  </w:r>
                </w:p>
                <w:p>
                  <w:pPr>
                    <w:jc w:val="center"/>
                  </w:pPr>
                  <w:r>
                    <w:t xml:space="preserve">不包括二次 PM2.5 </w:t>
                  </w:r>
                  <w:r>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ign w:val="center"/>
                </w:tcPr>
                <w:p>
                  <w:pPr>
                    <w:jc w:val="center"/>
                  </w:pPr>
                </w:p>
              </w:tc>
              <w:tc>
                <w:tcPr>
                  <w:tcW w:w="729" w:type="pct"/>
                  <w:noWrap/>
                  <w:vAlign w:val="center"/>
                </w:tcPr>
                <w:p>
                  <w:pPr>
                    <w:jc w:val="center"/>
                  </w:pPr>
                  <w:r>
                    <w:t>正常排放短期浓度贡献值</w:t>
                  </w:r>
                </w:p>
              </w:tc>
              <w:tc>
                <w:tcPr>
                  <w:tcW w:w="1763" w:type="pct"/>
                  <w:gridSpan w:val="6"/>
                  <w:noWrap/>
                  <w:vAlign w:val="center"/>
                </w:tcPr>
                <w:p>
                  <w:pPr>
                    <w:jc w:val="center"/>
                  </w:pPr>
                  <w:r>
                    <w:t>𝐶本项目最大占标率≤100%</w:t>
                  </w:r>
                  <w:r>
                    <w:rPr/>
                    <w:sym w:font="Wingdings" w:char="00FE"/>
                  </w:r>
                </w:p>
              </w:tc>
              <w:tc>
                <w:tcPr>
                  <w:tcW w:w="2157" w:type="pct"/>
                  <w:gridSpan w:val="6"/>
                  <w:noWrap/>
                  <w:vAlign w:val="center"/>
                </w:tcPr>
                <w:p>
                  <w:pPr>
                    <w:jc w:val="center"/>
                  </w:pPr>
                  <w:r>
                    <w:t xml:space="preserve">𝐶本项目最大占标率＞100% </w:t>
                  </w:r>
                  <w:r>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ign w:val="center"/>
                </w:tcPr>
                <w:p>
                  <w:pPr>
                    <w:jc w:val="center"/>
                  </w:pPr>
                </w:p>
              </w:tc>
              <w:tc>
                <w:tcPr>
                  <w:tcW w:w="729" w:type="pct"/>
                  <w:vMerge w:val="restart"/>
                  <w:noWrap/>
                  <w:vAlign w:val="center"/>
                </w:tcPr>
                <w:p>
                  <w:pPr>
                    <w:jc w:val="center"/>
                  </w:pPr>
                  <w:r>
                    <w:t>正常排放年均浓度贡献值</w:t>
                  </w:r>
                </w:p>
              </w:tc>
              <w:tc>
                <w:tcPr>
                  <w:tcW w:w="584" w:type="pct"/>
                  <w:noWrap/>
                  <w:vAlign w:val="center"/>
                </w:tcPr>
                <w:p>
                  <w:pPr>
                    <w:jc w:val="center"/>
                  </w:pPr>
                  <w:r>
                    <w:t>一类区</w:t>
                  </w:r>
                </w:p>
              </w:tc>
              <w:tc>
                <w:tcPr>
                  <w:tcW w:w="1178" w:type="pct"/>
                  <w:gridSpan w:val="5"/>
                  <w:noWrap/>
                  <w:vAlign w:val="center"/>
                </w:tcPr>
                <w:p>
                  <w:pPr>
                    <w:ind w:right="-120" w:rightChars="-50"/>
                    <w:jc w:val="center"/>
                  </w:pPr>
                  <w:r>
                    <w:t>𝐶本项目最大占标率≤10%</w:t>
                  </w:r>
                  <w:r>
                    <w:rPr/>
                    <w:sym w:font="Wingdings" w:char="00A8"/>
                  </w:r>
                </w:p>
              </w:tc>
              <w:tc>
                <w:tcPr>
                  <w:tcW w:w="2157" w:type="pct"/>
                  <w:gridSpan w:val="6"/>
                  <w:noWrap/>
                  <w:vAlign w:val="center"/>
                </w:tcPr>
                <w:p>
                  <w:pPr>
                    <w:ind w:right="-120" w:rightChars="-50"/>
                    <w:jc w:val="center"/>
                  </w:pPr>
                  <w:r>
                    <w:t xml:space="preserve">𝐶本项目最大标率＞10% </w:t>
                  </w:r>
                  <w:r>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ign w:val="center"/>
                </w:tcPr>
                <w:p>
                  <w:pPr>
                    <w:jc w:val="center"/>
                  </w:pPr>
                </w:p>
              </w:tc>
              <w:tc>
                <w:tcPr>
                  <w:tcW w:w="729" w:type="pct"/>
                  <w:vMerge w:val="continue"/>
                  <w:noWrap/>
                  <w:vAlign w:val="center"/>
                </w:tcPr>
                <w:p>
                  <w:pPr>
                    <w:jc w:val="center"/>
                  </w:pPr>
                </w:p>
              </w:tc>
              <w:tc>
                <w:tcPr>
                  <w:tcW w:w="584" w:type="pct"/>
                  <w:noWrap/>
                  <w:vAlign w:val="center"/>
                </w:tcPr>
                <w:p>
                  <w:pPr>
                    <w:jc w:val="center"/>
                  </w:pPr>
                  <w:r>
                    <w:t>二类区</w:t>
                  </w:r>
                </w:p>
              </w:tc>
              <w:tc>
                <w:tcPr>
                  <w:tcW w:w="1178" w:type="pct"/>
                  <w:gridSpan w:val="5"/>
                  <w:noWrap/>
                  <w:vAlign w:val="center"/>
                </w:tcPr>
                <w:p>
                  <w:pPr>
                    <w:ind w:right="-120" w:rightChars="-50"/>
                    <w:jc w:val="center"/>
                  </w:pPr>
                  <w:r>
                    <w:t>𝐶本项目最大占标率≤30%</w:t>
                  </w:r>
                  <w:r>
                    <w:rPr/>
                    <w:sym w:font="Wingdings" w:char="00FE"/>
                  </w:r>
                </w:p>
              </w:tc>
              <w:tc>
                <w:tcPr>
                  <w:tcW w:w="2157" w:type="pct"/>
                  <w:gridSpan w:val="6"/>
                  <w:noWrap/>
                  <w:vAlign w:val="center"/>
                </w:tcPr>
                <w:p>
                  <w:pPr>
                    <w:ind w:right="-120" w:rightChars="-50"/>
                    <w:jc w:val="center"/>
                  </w:pPr>
                  <w:r>
                    <w:t xml:space="preserve">𝐶本项目最大标率＞30% </w:t>
                  </w:r>
                  <w:r>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ign w:val="center"/>
                </w:tcPr>
                <w:p>
                  <w:pPr>
                    <w:jc w:val="center"/>
                  </w:pPr>
                </w:p>
              </w:tc>
              <w:tc>
                <w:tcPr>
                  <w:tcW w:w="729" w:type="pct"/>
                  <w:noWrap/>
                  <w:vAlign w:val="center"/>
                </w:tcPr>
                <w:p>
                  <w:pPr>
                    <w:jc w:val="center"/>
                  </w:pPr>
                  <w:r>
                    <w:t>非正常排放1h浓度贡献值</w:t>
                  </w:r>
                </w:p>
              </w:tc>
              <w:tc>
                <w:tcPr>
                  <w:tcW w:w="1258" w:type="pct"/>
                  <w:gridSpan w:val="3"/>
                  <w:noWrap/>
                  <w:vAlign w:val="center"/>
                </w:tcPr>
                <w:p>
                  <w:pPr>
                    <w:jc w:val="center"/>
                  </w:pPr>
                  <w:r>
                    <w:t>非正常持续时长</w:t>
                  </w:r>
                </w:p>
                <w:p>
                  <w:pPr>
                    <w:jc w:val="center"/>
                  </w:pPr>
                  <w:r>
                    <w:t>（</w:t>
                  </w:r>
                  <w:r>
                    <w:rPr>
                      <w:rFonts w:hint="eastAsia"/>
                    </w:rPr>
                    <w:t>0</w:t>
                  </w:r>
                  <w:r>
                    <w:t>）h</w:t>
                  </w:r>
                </w:p>
              </w:tc>
              <w:tc>
                <w:tcPr>
                  <w:tcW w:w="1815" w:type="pct"/>
                  <w:gridSpan w:val="5"/>
                  <w:noWrap/>
                  <w:vAlign w:val="center"/>
                </w:tcPr>
                <w:p>
                  <w:pPr>
                    <w:ind w:right="-120" w:rightChars="-50"/>
                    <w:jc w:val="center"/>
                  </w:pPr>
                  <w:r>
                    <w:t xml:space="preserve">𝐶非正常占标率≤100% </w:t>
                  </w:r>
                  <w:r>
                    <w:rPr/>
                    <w:sym w:font="Wingdings" w:char="00A8"/>
                  </w:r>
                </w:p>
              </w:tc>
              <w:tc>
                <w:tcPr>
                  <w:tcW w:w="846" w:type="pct"/>
                  <w:gridSpan w:val="4"/>
                  <w:noWrap/>
                  <w:vAlign w:val="center"/>
                </w:tcPr>
                <w:p>
                  <w:pPr>
                    <w:ind w:right="-120" w:rightChars="-50"/>
                    <w:jc w:val="center"/>
                  </w:pPr>
                  <w:r>
                    <w:t>𝐶非正常占标率＞100%</w:t>
                  </w:r>
                  <w:r>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ign w:val="center"/>
                </w:tcPr>
                <w:p>
                  <w:pPr>
                    <w:jc w:val="center"/>
                  </w:pPr>
                </w:p>
              </w:tc>
              <w:tc>
                <w:tcPr>
                  <w:tcW w:w="729" w:type="pct"/>
                  <w:noWrap/>
                  <w:vAlign w:val="center"/>
                </w:tcPr>
                <w:p>
                  <w:pPr>
                    <w:jc w:val="center"/>
                  </w:pPr>
                  <w:r>
                    <w:t>保证率日平均浓度和年平均浓度叠加值</w:t>
                  </w:r>
                </w:p>
              </w:tc>
              <w:tc>
                <w:tcPr>
                  <w:tcW w:w="1763" w:type="pct"/>
                  <w:gridSpan w:val="6"/>
                  <w:noWrap/>
                  <w:vAlign w:val="center"/>
                </w:tcPr>
                <w:p>
                  <w:pPr>
                    <w:jc w:val="center"/>
                  </w:pPr>
                  <w:r>
                    <w:t xml:space="preserve">𝐶叠加达标 </w:t>
                  </w:r>
                  <w:r>
                    <w:rPr/>
                    <w:sym w:font="Wingdings" w:char="00FE"/>
                  </w:r>
                </w:p>
              </w:tc>
              <w:tc>
                <w:tcPr>
                  <w:tcW w:w="2157" w:type="pct"/>
                  <w:gridSpan w:val="6"/>
                  <w:noWrap/>
                  <w:vAlign w:val="center"/>
                </w:tcPr>
                <w:p>
                  <w:pPr>
                    <w:jc w:val="center"/>
                  </w:pPr>
                  <w:r>
                    <w:t xml:space="preserve">𝐶叠加不达标 </w:t>
                  </w:r>
                  <w:r>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ign w:val="center"/>
                </w:tcPr>
                <w:p>
                  <w:pPr>
                    <w:jc w:val="center"/>
                  </w:pPr>
                </w:p>
              </w:tc>
              <w:tc>
                <w:tcPr>
                  <w:tcW w:w="729" w:type="pct"/>
                  <w:noWrap/>
                  <w:vAlign w:val="center"/>
                </w:tcPr>
                <w:p>
                  <w:pPr>
                    <w:jc w:val="center"/>
                  </w:pPr>
                  <w:r>
                    <w:t>区域环境质量的整体变化情况</w:t>
                  </w:r>
                </w:p>
              </w:tc>
              <w:tc>
                <w:tcPr>
                  <w:tcW w:w="1763" w:type="pct"/>
                  <w:gridSpan w:val="6"/>
                  <w:noWrap/>
                  <w:vAlign w:val="center"/>
                </w:tcPr>
                <w:p>
                  <w:pPr>
                    <w:jc w:val="center"/>
                  </w:pPr>
                  <w:r>
                    <w:t xml:space="preserve">k ≤-20%  </w:t>
                  </w:r>
                  <w:r>
                    <w:rPr/>
                    <w:sym w:font="Wingdings" w:char="00FE"/>
                  </w:r>
                </w:p>
              </w:tc>
              <w:tc>
                <w:tcPr>
                  <w:tcW w:w="2157" w:type="pct"/>
                  <w:gridSpan w:val="6"/>
                  <w:noWrap/>
                  <w:vAlign w:val="center"/>
                </w:tcPr>
                <w:p>
                  <w:pPr>
                    <w:jc w:val="center"/>
                  </w:pPr>
                  <w:r>
                    <w:t>k ＞-20%</w:t>
                  </w:r>
                  <w:r>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restart"/>
                  <w:noWrap/>
                  <w:vAlign w:val="center"/>
                </w:tcPr>
                <w:p>
                  <w:pPr>
                    <w:jc w:val="center"/>
                  </w:pPr>
                  <w:r>
                    <w:t>环境监测计划</w:t>
                  </w:r>
                </w:p>
              </w:tc>
              <w:tc>
                <w:tcPr>
                  <w:tcW w:w="729" w:type="pct"/>
                  <w:noWrap/>
                  <w:vAlign w:val="center"/>
                </w:tcPr>
                <w:p>
                  <w:pPr>
                    <w:jc w:val="center"/>
                  </w:pPr>
                  <w:r>
                    <w:t>污染源监测</w:t>
                  </w:r>
                </w:p>
              </w:tc>
              <w:tc>
                <w:tcPr>
                  <w:tcW w:w="1490" w:type="pct"/>
                  <w:gridSpan w:val="5"/>
                  <w:noWrap/>
                  <w:vAlign w:val="center"/>
                </w:tcPr>
                <w:p>
                  <w:pPr>
                    <w:jc w:val="center"/>
                  </w:pPr>
                  <w:r>
                    <w:t>监测因子：（</w:t>
                  </w:r>
                  <w:r>
                    <w:rPr>
                      <w:rFonts w:hint="eastAsia"/>
                    </w:rPr>
                    <w:t>非甲烷总烃</w:t>
                  </w:r>
                  <w:r>
                    <w:t>）</w:t>
                  </w:r>
                </w:p>
              </w:tc>
              <w:tc>
                <w:tcPr>
                  <w:tcW w:w="1246" w:type="pct"/>
                  <w:gridSpan w:val="2"/>
                  <w:noWrap/>
                  <w:vAlign w:val="center"/>
                </w:tcPr>
                <w:p>
                  <w:pPr>
                    <w:jc w:val="center"/>
                  </w:pPr>
                  <w:r>
                    <w:t xml:space="preserve">有组织废气监测 </w:t>
                  </w:r>
                  <w:r>
                    <w:rPr/>
                    <w:sym w:font="Wingdings" w:char="00FE"/>
                  </w:r>
                </w:p>
                <w:p>
                  <w:pPr>
                    <w:jc w:val="center"/>
                  </w:pPr>
                  <w:r>
                    <w:t xml:space="preserve">无组织废气监测 </w:t>
                  </w:r>
                  <w:r>
                    <w:rPr/>
                    <w:sym w:font="Wingdings" w:char="00FE"/>
                  </w:r>
                </w:p>
              </w:tc>
              <w:tc>
                <w:tcPr>
                  <w:tcW w:w="1184" w:type="pct"/>
                  <w:gridSpan w:val="5"/>
                  <w:noWrap/>
                  <w:vAlign w:val="center"/>
                </w:tcPr>
                <w:p>
                  <w:pPr>
                    <w:jc w:val="center"/>
                  </w:pPr>
                  <w:r>
                    <w:t>无监测</w:t>
                  </w:r>
                  <w:r>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ign w:val="center"/>
                </w:tcPr>
                <w:p>
                  <w:pPr>
                    <w:jc w:val="center"/>
                  </w:pPr>
                </w:p>
              </w:tc>
              <w:tc>
                <w:tcPr>
                  <w:tcW w:w="729" w:type="pct"/>
                  <w:noWrap/>
                  <w:vAlign w:val="center"/>
                </w:tcPr>
                <w:p>
                  <w:pPr>
                    <w:jc w:val="center"/>
                  </w:pPr>
                  <w:r>
                    <w:t>环境质量监测</w:t>
                  </w:r>
                </w:p>
              </w:tc>
              <w:tc>
                <w:tcPr>
                  <w:tcW w:w="1490" w:type="pct"/>
                  <w:gridSpan w:val="5"/>
                  <w:noWrap/>
                  <w:vAlign w:val="center"/>
                </w:tcPr>
                <w:p>
                  <w:pPr>
                    <w:jc w:val="center"/>
                  </w:pPr>
                  <w:r>
                    <w:t>监测因子：（</w:t>
                  </w:r>
                  <w:r>
                    <w:rPr>
                      <w:rFonts w:hint="eastAsia"/>
                    </w:rPr>
                    <w:t>非甲烷总烃</w:t>
                  </w:r>
                  <w:r>
                    <w:t>）</w:t>
                  </w:r>
                </w:p>
              </w:tc>
              <w:tc>
                <w:tcPr>
                  <w:tcW w:w="1246" w:type="pct"/>
                  <w:gridSpan w:val="2"/>
                  <w:noWrap/>
                  <w:vAlign w:val="center"/>
                </w:tcPr>
                <w:p>
                  <w:pPr>
                    <w:jc w:val="center"/>
                  </w:pPr>
                  <w:r>
                    <w:t>监测点位数（</w:t>
                  </w:r>
                  <w:r>
                    <w:rPr>
                      <w:rFonts w:hint="eastAsia"/>
                      <w:lang w:val="en-US" w:eastAsia="zh-CN"/>
                    </w:rPr>
                    <w:t>4</w:t>
                  </w:r>
                  <w:r>
                    <w:t>）</w:t>
                  </w:r>
                </w:p>
              </w:tc>
              <w:tc>
                <w:tcPr>
                  <w:tcW w:w="1184" w:type="pct"/>
                  <w:gridSpan w:val="5"/>
                  <w:noWrap/>
                  <w:vAlign w:val="center"/>
                </w:tcPr>
                <w:p>
                  <w:pPr>
                    <w:jc w:val="center"/>
                  </w:pPr>
                  <w:r>
                    <w:t>无监测</w:t>
                  </w:r>
                  <w:r>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restart"/>
                  <w:noWrap/>
                  <w:vAlign w:val="center"/>
                </w:tcPr>
                <w:p>
                  <w:pPr>
                    <w:jc w:val="center"/>
                  </w:pPr>
                  <w:r>
                    <w:t>评价结论</w:t>
                  </w:r>
                </w:p>
              </w:tc>
              <w:tc>
                <w:tcPr>
                  <w:tcW w:w="729" w:type="pct"/>
                  <w:noWrap/>
                  <w:vAlign w:val="center"/>
                </w:tcPr>
                <w:p>
                  <w:pPr>
                    <w:jc w:val="center"/>
                  </w:pPr>
                  <w:r>
                    <w:t>环境影响</w:t>
                  </w:r>
                </w:p>
              </w:tc>
              <w:tc>
                <w:tcPr>
                  <w:tcW w:w="3920" w:type="pct"/>
                  <w:gridSpan w:val="12"/>
                  <w:noWrap/>
                  <w:vAlign w:val="center"/>
                </w:tcPr>
                <w:p>
                  <w:pPr>
                    <w:jc w:val="center"/>
                  </w:pPr>
                  <w:r>
                    <w:t xml:space="preserve">可以接受 </w:t>
                  </w:r>
                  <w:r>
                    <w:rPr/>
                    <w:sym w:font="Wingdings" w:char="00FE"/>
                  </w:r>
                  <w:r>
                    <w:t xml:space="preserve">       不可以接受 </w:t>
                  </w:r>
                  <w:r>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ign w:val="center"/>
                </w:tcPr>
                <w:p>
                  <w:pPr>
                    <w:jc w:val="center"/>
                  </w:pPr>
                </w:p>
              </w:tc>
              <w:tc>
                <w:tcPr>
                  <w:tcW w:w="729" w:type="pct"/>
                  <w:noWrap/>
                  <w:vAlign w:val="center"/>
                </w:tcPr>
                <w:p>
                  <w:pPr>
                    <w:jc w:val="center"/>
                  </w:pPr>
                  <w:r>
                    <w:t>大气环境防护距离</w:t>
                  </w:r>
                </w:p>
              </w:tc>
              <w:tc>
                <w:tcPr>
                  <w:tcW w:w="3920" w:type="pct"/>
                  <w:gridSpan w:val="12"/>
                  <w:noWrap/>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pct"/>
                  <w:vMerge w:val="continue"/>
                  <w:noWrap/>
                  <w:vAlign w:val="center"/>
                </w:tcPr>
                <w:p>
                  <w:pPr>
                    <w:jc w:val="center"/>
                  </w:pPr>
                </w:p>
              </w:tc>
              <w:tc>
                <w:tcPr>
                  <w:tcW w:w="729" w:type="pct"/>
                  <w:noWrap/>
                  <w:vAlign w:val="center"/>
                </w:tcPr>
                <w:p>
                  <w:pPr>
                    <w:jc w:val="center"/>
                  </w:pPr>
                  <w:r>
                    <w:t>污染源年排放量</w:t>
                  </w:r>
                </w:p>
              </w:tc>
              <w:tc>
                <w:tcPr>
                  <w:tcW w:w="656" w:type="pct"/>
                  <w:gridSpan w:val="2"/>
                  <w:noWrap/>
                  <w:vAlign w:val="center"/>
                </w:tcPr>
                <w:p>
                  <w:pPr>
                    <w:jc w:val="center"/>
                  </w:pPr>
                  <w:r>
                    <w:t>SO2:（</w:t>
                  </w:r>
                  <w:r>
                    <w:rPr>
                      <w:rFonts w:hint="eastAsia"/>
                    </w:rPr>
                    <w:t>0</w:t>
                  </w:r>
                  <w:r>
                    <w:t>）t/a</w:t>
                  </w:r>
                </w:p>
              </w:tc>
              <w:tc>
                <w:tcPr>
                  <w:tcW w:w="690" w:type="pct"/>
                  <w:gridSpan w:val="2"/>
                  <w:noWrap/>
                  <w:vAlign w:val="center"/>
                </w:tcPr>
                <w:p>
                  <w:pPr>
                    <w:jc w:val="center"/>
                  </w:pPr>
                  <w:r>
                    <w:t>NOx:（0）t/a</w:t>
                  </w:r>
                </w:p>
              </w:tc>
              <w:tc>
                <w:tcPr>
                  <w:tcW w:w="1389" w:type="pct"/>
                  <w:gridSpan w:val="3"/>
                  <w:noWrap/>
                  <w:vAlign w:val="center"/>
                </w:tcPr>
                <w:p>
                  <w:pPr>
                    <w:jc w:val="center"/>
                  </w:pPr>
                  <w:r>
                    <w:t>颗粒物:（</w:t>
                  </w:r>
                  <w:r>
                    <w:rPr>
                      <w:rFonts w:hint="eastAsia"/>
                    </w:rPr>
                    <w:t>0</w:t>
                  </w:r>
                  <w:r>
                    <w:t>）t/a</w:t>
                  </w:r>
                </w:p>
              </w:tc>
              <w:tc>
                <w:tcPr>
                  <w:tcW w:w="1184" w:type="pct"/>
                  <w:gridSpan w:val="5"/>
                  <w:noWrap/>
                  <w:vAlign w:val="center"/>
                </w:tcPr>
                <w:p>
                  <w:pPr>
                    <w:jc w:val="center"/>
                  </w:pPr>
                  <w:r>
                    <w:rPr>
                      <w:rFonts w:hint="eastAsia"/>
                    </w:rPr>
                    <w:t>非甲烷总烃</w:t>
                  </w:r>
                  <w:r>
                    <w:t>:（</w:t>
                  </w:r>
                  <w:r>
                    <w:rPr>
                      <w:rFonts w:hint="eastAsia"/>
                    </w:rPr>
                    <w:t>0.0261</w:t>
                  </w:r>
                  <w: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4"/>
                  <w:noWrap/>
                  <w:vAlign w:val="center"/>
                </w:tcPr>
                <w:p>
                  <w:pPr>
                    <w:jc w:val="center"/>
                  </w:pPr>
                  <w:r>
                    <w:t>注：</w:t>
                  </w:r>
                  <w:r>
                    <w:rPr>
                      <w:rFonts w:hint="eastAsia"/>
                    </w:rPr>
                    <w:t>“</w:t>
                  </w:r>
                  <w:r>
                    <w:t>□</w:t>
                  </w:r>
                  <w:r>
                    <w:rPr>
                      <w:rFonts w:hint="eastAsia"/>
                    </w:rPr>
                    <w:t>”</w:t>
                  </w:r>
                  <w:r>
                    <w:t xml:space="preserve"> 为勾选项 ，填</w:t>
                  </w:r>
                  <w:r>
                    <w:rPr>
                      <w:rFonts w:hint="eastAsia"/>
                    </w:rPr>
                    <w:t>“</w:t>
                  </w:r>
                  <w:r>
                    <w:t>√</w:t>
                  </w:r>
                  <w:r>
                    <w:rPr>
                      <w:rFonts w:hint="eastAsia"/>
                    </w:rPr>
                    <w:t>”</w:t>
                  </w:r>
                  <w:r>
                    <w:t xml:space="preserve"> ；</w:t>
                  </w:r>
                  <w:r>
                    <w:rPr>
                      <w:rFonts w:hint="eastAsia"/>
                    </w:rPr>
                    <w:t>“</w:t>
                  </w:r>
                  <w:r>
                    <w:t>（ ）</w:t>
                  </w:r>
                  <w:r>
                    <w:rPr>
                      <w:rFonts w:hint="eastAsia"/>
                    </w:rPr>
                    <w:t>”</w:t>
                  </w:r>
                  <w:r>
                    <w:t xml:space="preserve"> 为内容填写项</w:t>
                  </w:r>
                </w:p>
              </w:tc>
            </w:tr>
          </w:tbl>
          <w:p>
            <w:pPr>
              <w:pStyle w:val="5"/>
              <w:numPr>
                <w:ilvl w:val="0"/>
                <w:numId w:val="11"/>
              </w:numPr>
            </w:pPr>
            <w:r>
              <w:rPr>
                <w:rFonts w:hint="eastAsia"/>
              </w:rPr>
              <w:t xml:space="preserve">环境防护距离 </w:t>
            </w:r>
          </w:p>
          <w:p>
            <w:pPr>
              <w:pStyle w:val="5"/>
            </w:pPr>
            <w:r>
              <w:rPr>
                <w:rFonts w:hint="eastAsia"/>
              </w:rPr>
              <w:t>（1）大气环境防护距离</w:t>
            </w:r>
          </w:p>
          <w:p>
            <w:pPr>
              <w:pStyle w:val="5"/>
            </w:pPr>
            <w:r>
              <w:t>根据预测结果，按《环境影响评价技术导则大气环境》（HJ2.2-2018）中确定大气环境防护距离的规定，本项目大气污染物在厂界的预测浓度满足相应的厂界浓度限值，厂界外大气污染物短期贡献浓度低于环境质量浓度限值，因此无需设置大气环境防护距离。</w:t>
            </w:r>
          </w:p>
          <w:p>
            <w:pPr>
              <w:pStyle w:val="5"/>
              <w:numPr>
                <w:ilvl w:val="0"/>
                <w:numId w:val="12"/>
              </w:numPr>
            </w:pPr>
            <w:r>
              <w:rPr>
                <w:rFonts w:hint="eastAsia"/>
              </w:rPr>
              <w:t>无组织排放卫生防护距离</w:t>
            </w:r>
          </w:p>
          <w:p>
            <w:pPr>
              <w:pStyle w:val="5"/>
            </w:pPr>
            <w:r>
              <w:rPr>
                <w:rFonts w:hint="eastAsia"/>
              </w:rPr>
              <w:t>计算公式：按照工程分析核算的有害气体无组织排放量，根据《制定地方大气污染物排放标准的技术方法》(GB/T13201-91)的有关规定，确定本拟建项目的卫生防护距离按下式计算：</w:t>
            </w:r>
          </w:p>
          <w:p>
            <w:pPr>
              <w:pStyle w:val="5"/>
            </w:pPr>
            <w:r>
              <w:t>Qc/Cm = (BLc +0.25r2) 0.05LD/A</w:t>
            </w:r>
          </w:p>
          <w:p>
            <w:pPr>
              <w:pStyle w:val="5"/>
            </w:pPr>
            <w:r>
              <w:rPr>
                <w:rFonts w:hint="eastAsia"/>
              </w:rPr>
              <w:t>式中：</w:t>
            </w:r>
          </w:p>
          <w:p>
            <w:pPr>
              <w:pStyle w:val="5"/>
            </w:pPr>
            <w:r>
              <w:t>Cm</w:t>
            </w:r>
            <w:r>
              <w:rPr>
                <w:rFonts w:hint="eastAsia"/>
              </w:rPr>
              <w:t>－标准浓度限值，mg/Nm</w:t>
            </w:r>
            <w:r>
              <w:t>3</w:t>
            </w:r>
            <w:r>
              <w:rPr>
                <w:rFonts w:hint="eastAsia"/>
              </w:rPr>
              <w:t>；</w:t>
            </w:r>
          </w:p>
          <w:p>
            <w:pPr>
              <w:pStyle w:val="5"/>
            </w:pPr>
            <w:r>
              <w:t>L</w:t>
            </w:r>
            <w:r>
              <w:rPr>
                <w:rFonts w:hint="eastAsia"/>
              </w:rPr>
              <w:t>－工业企业所需大气环境防护距离，m；</w:t>
            </w:r>
          </w:p>
          <w:p>
            <w:pPr>
              <w:pStyle w:val="5"/>
            </w:pPr>
            <w:r>
              <w:t>r</w:t>
            </w:r>
            <w:r>
              <w:rPr>
                <w:rFonts w:hint="eastAsia"/>
              </w:rPr>
              <w:t>－有害气体无组织排放源所在生产单元的等效半径，m；</w:t>
            </w:r>
          </w:p>
          <w:p>
            <w:pPr>
              <w:pStyle w:val="5"/>
            </w:pPr>
            <w:r>
              <w:t>A</w:t>
            </w:r>
            <w:r>
              <w:rPr>
                <w:rFonts w:hint="eastAsia"/>
              </w:rPr>
              <w:t>、B、C、D－大气环境防护距离计算系数，无因次，根据所在地5年平均风速及工业企业大气污染源构成类别查取；</w:t>
            </w:r>
          </w:p>
          <w:p>
            <w:pPr>
              <w:pStyle w:val="5"/>
            </w:pPr>
            <w:r>
              <w:t>Qc</w:t>
            </w:r>
            <w:r>
              <w:rPr>
                <w:rFonts w:hint="eastAsia"/>
              </w:rPr>
              <w:t>－工业企业有害气体无组织排放量可达到的控制水平，kg/h。</w:t>
            </w:r>
          </w:p>
          <w:p>
            <w:pPr>
              <w:pStyle w:val="5"/>
            </w:pPr>
            <w:r>
              <w:rPr>
                <w:rFonts w:hint="eastAsia"/>
              </w:rPr>
              <w:t>◆参数选择</w:t>
            </w:r>
          </w:p>
          <w:p>
            <w:pPr>
              <w:pStyle w:val="5"/>
            </w:pPr>
            <w:r>
              <w:t>无组织排放多种有害气体时，按Qc/Cn的最大值计算其所需的卫生防护距离。当按两种或两种以上有害气体的Qc/Cn计算卫生防护距离在同一级别时，该类工业企业的卫生防护距离提高一级。根据工程分析，各因子A、B、C、D值的选取情况及计算结果见下表。</w:t>
            </w:r>
          </w:p>
          <w:p>
            <w:pPr>
              <w:pStyle w:val="29"/>
              <w:spacing w:before="65" w:after="65"/>
            </w:pPr>
            <w:r>
              <w:rPr>
                <w:rFonts w:hint="eastAsia"/>
              </w:rPr>
              <w:t>表7-14 卫生防护距离计算系数表</w:t>
            </w:r>
          </w:p>
          <w:tbl>
            <w:tblPr>
              <w:tblStyle w:val="23"/>
              <w:tblW w:w="496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6"/>
              <w:gridCol w:w="1488"/>
              <w:gridCol w:w="760"/>
              <w:gridCol w:w="787"/>
              <w:gridCol w:w="792"/>
              <w:gridCol w:w="787"/>
              <w:gridCol w:w="787"/>
              <w:gridCol w:w="791"/>
              <w:gridCol w:w="785"/>
              <w:gridCol w:w="645"/>
              <w:gridCol w:w="7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restart"/>
                  <w:vAlign w:val="center"/>
                </w:tcPr>
                <w:p>
                  <w:pPr>
                    <w:pStyle w:val="40"/>
                  </w:pPr>
                  <w:r>
                    <w:rPr>
                      <w:rFonts w:hint="eastAsia"/>
                    </w:rPr>
                    <w:t>计算系数</w:t>
                  </w:r>
                </w:p>
              </w:tc>
              <w:tc>
                <w:tcPr>
                  <w:tcW w:w="815" w:type="pct"/>
                  <w:vMerge w:val="restart"/>
                  <w:vAlign w:val="center"/>
                </w:tcPr>
                <w:p>
                  <w:pPr>
                    <w:pStyle w:val="40"/>
                  </w:pPr>
                  <w:r>
                    <w:rPr>
                      <w:rFonts w:hint="eastAsia"/>
                    </w:rPr>
                    <w:t>工业企业所在地区近五年平均风速m/s</w:t>
                  </w:r>
                </w:p>
              </w:tc>
              <w:tc>
                <w:tcPr>
                  <w:tcW w:w="1281" w:type="pct"/>
                  <w:gridSpan w:val="3"/>
                  <w:vAlign w:val="center"/>
                </w:tcPr>
                <w:p>
                  <w:pPr>
                    <w:pStyle w:val="40"/>
                  </w:pPr>
                  <w:r>
                    <w:rPr>
                      <w:rFonts w:hint="eastAsia"/>
                    </w:rPr>
                    <w:t>L≤1000</w:t>
                  </w:r>
                </w:p>
              </w:tc>
              <w:tc>
                <w:tcPr>
                  <w:tcW w:w="1295" w:type="pct"/>
                  <w:gridSpan w:val="3"/>
                  <w:vAlign w:val="center"/>
                </w:tcPr>
                <w:p>
                  <w:pPr>
                    <w:pStyle w:val="40"/>
                  </w:pPr>
                  <w:r>
                    <w:rPr>
                      <w:rFonts w:hint="eastAsia"/>
                    </w:rPr>
                    <w:t>1000&lt;L&lt;2000</w:t>
                  </w:r>
                </w:p>
              </w:tc>
              <w:tc>
                <w:tcPr>
                  <w:tcW w:w="1214" w:type="pct"/>
                  <w:gridSpan w:val="3"/>
                  <w:vAlign w:val="center"/>
                </w:tcPr>
                <w:p>
                  <w:pPr>
                    <w:pStyle w:val="40"/>
                  </w:pPr>
                  <w:r>
                    <w:rPr>
                      <w:rFonts w:hint="eastAsia"/>
                    </w:rPr>
                    <w:t>L&gt;2000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continue"/>
                  <w:vAlign w:val="center"/>
                </w:tcPr>
                <w:p>
                  <w:pPr>
                    <w:pStyle w:val="40"/>
                  </w:pPr>
                </w:p>
              </w:tc>
              <w:tc>
                <w:tcPr>
                  <w:tcW w:w="815" w:type="pct"/>
                  <w:vMerge w:val="continue"/>
                  <w:vAlign w:val="center"/>
                </w:tcPr>
                <w:p>
                  <w:pPr>
                    <w:pStyle w:val="40"/>
                  </w:pPr>
                </w:p>
              </w:tc>
              <w:tc>
                <w:tcPr>
                  <w:tcW w:w="3792" w:type="pct"/>
                  <w:gridSpan w:val="9"/>
                  <w:vAlign w:val="center"/>
                </w:tcPr>
                <w:p>
                  <w:pPr>
                    <w:pStyle w:val="40"/>
                  </w:pPr>
                  <w:r>
                    <w:rPr>
                      <w:rFonts w:hint="eastAsia"/>
                    </w:rPr>
                    <w:t>工业企业大气污染源构成类别(1)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continue"/>
                  <w:vAlign w:val="center"/>
                </w:tcPr>
                <w:p>
                  <w:pPr>
                    <w:pStyle w:val="40"/>
                  </w:pPr>
                </w:p>
              </w:tc>
              <w:tc>
                <w:tcPr>
                  <w:tcW w:w="815" w:type="pct"/>
                  <w:vMerge w:val="continue"/>
                  <w:vAlign w:val="center"/>
                </w:tcPr>
                <w:p>
                  <w:pPr>
                    <w:pStyle w:val="40"/>
                  </w:pPr>
                </w:p>
              </w:tc>
              <w:tc>
                <w:tcPr>
                  <w:tcW w:w="416" w:type="pct"/>
                  <w:vAlign w:val="center"/>
                </w:tcPr>
                <w:p>
                  <w:pPr>
                    <w:pStyle w:val="40"/>
                  </w:pPr>
                  <w:r>
                    <w:rPr>
                      <w:rFonts w:hint="eastAsia"/>
                    </w:rPr>
                    <w:t>Ⅰ</w:t>
                  </w:r>
                </w:p>
              </w:tc>
              <w:tc>
                <w:tcPr>
                  <w:tcW w:w="431" w:type="pct"/>
                  <w:vAlign w:val="center"/>
                </w:tcPr>
                <w:p>
                  <w:pPr>
                    <w:pStyle w:val="40"/>
                  </w:pPr>
                  <w:r>
                    <w:rPr>
                      <w:rFonts w:hint="eastAsia"/>
                    </w:rPr>
                    <w:t>Ⅱ</w:t>
                  </w:r>
                </w:p>
              </w:tc>
              <w:tc>
                <w:tcPr>
                  <w:tcW w:w="433" w:type="pct"/>
                  <w:vAlign w:val="center"/>
                </w:tcPr>
                <w:p>
                  <w:pPr>
                    <w:pStyle w:val="40"/>
                  </w:pPr>
                  <w:r>
                    <w:rPr>
                      <w:rFonts w:hint="eastAsia"/>
                    </w:rPr>
                    <w:t>Ⅲ</w:t>
                  </w:r>
                </w:p>
              </w:tc>
              <w:tc>
                <w:tcPr>
                  <w:tcW w:w="431" w:type="pct"/>
                  <w:vAlign w:val="center"/>
                </w:tcPr>
                <w:p>
                  <w:pPr>
                    <w:pStyle w:val="40"/>
                  </w:pPr>
                  <w:r>
                    <w:rPr>
                      <w:rFonts w:hint="eastAsia"/>
                    </w:rPr>
                    <w:t>Ⅰ</w:t>
                  </w:r>
                </w:p>
              </w:tc>
              <w:tc>
                <w:tcPr>
                  <w:tcW w:w="431" w:type="pct"/>
                  <w:vAlign w:val="center"/>
                </w:tcPr>
                <w:p>
                  <w:pPr>
                    <w:pStyle w:val="40"/>
                  </w:pPr>
                  <w:r>
                    <w:rPr>
                      <w:rFonts w:hint="eastAsia"/>
                    </w:rPr>
                    <w:t>Ⅱ</w:t>
                  </w:r>
                </w:p>
              </w:tc>
              <w:tc>
                <w:tcPr>
                  <w:tcW w:w="431" w:type="pct"/>
                  <w:vAlign w:val="center"/>
                </w:tcPr>
                <w:p>
                  <w:pPr>
                    <w:pStyle w:val="40"/>
                  </w:pPr>
                  <w:r>
                    <w:rPr>
                      <w:rFonts w:hint="eastAsia"/>
                    </w:rPr>
                    <w:t>Ⅲ</w:t>
                  </w:r>
                </w:p>
              </w:tc>
              <w:tc>
                <w:tcPr>
                  <w:tcW w:w="430" w:type="pct"/>
                  <w:vAlign w:val="center"/>
                </w:tcPr>
                <w:p>
                  <w:pPr>
                    <w:pStyle w:val="40"/>
                  </w:pPr>
                  <w:r>
                    <w:rPr>
                      <w:rFonts w:hint="eastAsia"/>
                    </w:rPr>
                    <w:t>Ⅰ</w:t>
                  </w:r>
                </w:p>
              </w:tc>
              <w:tc>
                <w:tcPr>
                  <w:tcW w:w="353" w:type="pct"/>
                  <w:vAlign w:val="center"/>
                </w:tcPr>
                <w:p>
                  <w:pPr>
                    <w:pStyle w:val="40"/>
                  </w:pPr>
                  <w:r>
                    <w:rPr>
                      <w:rFonts w:hint="eastAsia"/>
                    </w:rPr>
                    <w:t>Ⅱ</w:t>
                  </w:r>
                </w:p>
              </w:tc>
              <w:tc>
                <w:tcPr>
                  <w:tcW w:w="430" w:type="pct"/>
                  <w:vAlign w:val="center"/>
                </w:tcPr>
                <w:p>
                  <w:pPr>
                    <w:pStyle w:val="40"/>
                  </w:pPr>
                  <w:r>
                    <w:rPr>
                      <w:rFonts w:hint="eastAsia"/>
                    </w:rPr>
                    <w:t>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restart"/>
                  <w:vAlign w:val="center"/>
                </w:tcPr>
                <w:p>
                  <w:pPr>
                    <w:pStyle w:val="40"/>
                  </w:pPr>
                  <w:r>
                    <w:rPr>
                      <w:rFonts w:hint="eastAsia"/>
                    </w:rPr>
                    <w:t>A</w:t>
                  </w:r>
                </w:p>
              </w:tc>
              <w:tc>
                <w:tcPr>
                  <w:tcW w:w="815" w:type="pct"/>
                  <w:vAlign w:val="center"/>
                </w:tcPr>
                <w:p>
                  <w:pPr>
                    <w:pStyle w:val="40"/>
                  </w:pPr>
                  <w:r>
                    <w:rPr>
                      <w:rFonts w:hint="eastAsia"/>
                    </w:rPr>
                    <w:t>&lt;2</w:t>
                  </w:r>
                </w:p>
              </w:tc>
              <w:tc>
                <w:tcPr>
                  <w:tcW w:w="416" w:type="pct"/>
                  <w:vAlign w:val="center"/>
                </w:tcPr>
                <w:p>
                  <w:pPr>
                    <w:pStyle w:val="40"/>
                  </w:pPr>
                  <w:r>
                    <w:rPr>
                      <w:rFonts w:hint="eastAsia"/>
                    </w:rPr>
                    <w:t>400</w:t>
                  </w:r>
                </w:p>
              </w:tc>
              <w:tc>
                <w:tcPr>
                  <w:tcW w:w="431" w:type="pct"/>
                  <w:vAlign w:val="center"/>
                </w:tcPr>
                <w:p>
                  <w:pPr>
                    <w:pStyle w:val="40"/>
                  </w:pPr>
                  <w:r>
                    <w:rPr>
                      <w:rFonts w:hint="eastAsia"/>
                    </w:rPr>
                    <w:t>400</w:t>
                  </w:r>
                </w:p>
              </w:tc>
              <w:tc>
                <w:tcPr>
                  <w:tcW w:w="433" w:type="pct"/>
                  <w:vAlign w:val="center"/>
                </w:tcPr>
                <w:p>
                  <w:pPr>
                    <w:pStyle w:val="40"/>
                  </w:pPr>
                  <w:r>
                    <w:rPr>
                      <w:rFonts w:hint="eastAsia"/>
                    </w:rPr>
                    <w:t>400</w:t>
                  </w:r>
                </w:p>
              </w:tc>
              <w:tc>
                <w:tcPr>
                  <w:tcW w:w="431" w:type="pct"/>
                  <w:vAlign w:val="center"/>
                </w:tcPr>
                <w:p>
                  <w:pPr>
                    <w:pStyle w:val="40"/>
                  </w:pPr>
                  <w:r>
                    <w:rPr>
                      <w:rFonts w:hint="eastAsia"/>
                    </w:rPr>
                    <w:t>400</w:t>
                  </w:r>
                </w:p>
              </w:tc>
              <w:tc>
                <w:tcPr>
                  <w:tcW w:w="431" w:type="pct"/>
                  <w:vAlign w:val="center"/>
                </w:tcPr>
                <w:p>
                  <w:pPr>
                    <w:pStyle w:val="40"/>
                  </w:pPr>
                  <w:r>
                    <w:rPr>
                      <w:rFonts w:hint="eastAsia"/>
                    </w:rPr>
                    <w:t>400</w:t>
                  </w:r>
                </w:p>
              </w:tc>
              <w:tc>
                <w:tcPr>
                  <w:tcW w:w="431" w:type="pct"/>
                  <w:vAlign w:val="center"/>
                </w:tcPr>
                <w:p>
                  <w:pPr>
                    <w:pStyle w:val="40"/>
                  </w:pPr>
                  <w:r>
                    <w:rPr>
                      <w:rFonts w:hint="eastAsia"/>
                    </w:rPr>
                    <w:t>400</w:t>
                  </w:r>
                </w:p>
              </w:tc>
              <w:tc>
                <w:tcPr>
                  <w:tcW w:w="430" w:type="pct"/>
                  <w:vAlign w:val="center"/>
                </w:tcPr>
                <w:p>
                  <w:pPr>
                    <w:pStyle w:val="40"/>
                  </w:pPr>
                  <w:r>
                    <w:rPr>
                      <w:rFonts w:hint="eastAsia"/>
                    </w:rPr>
                    <w:t>80</w:t>
                  </w:r>
                </w:p>
              </w:tc>
              <w:tc>
                <w:tcPr>
                  <w:tcW w:w="353" w:type="pct"/>
                  <w:vAlign w:val="center"/>
                </w:tcPr>
                <w:p>
                  <w:pPr>
                    <w:pStyle w:val="40"/>
                  </w:pPr>
                  <w:r>
                    <w:rPr>
                      <w:rFonts w:hint="eastAsia"/>
                    </w:rPr>
                    <w:t>80</w:t>
                  </w:r>
                </w:p>
              </w:tc>
              <w:tc>
                <w:tcPr>
                  <w:tcW w:w="430" w:type="pct"/>
                  <w:vAlign w:val="center"/>
                </w:tcPr>
                <w:p>
                  <w:pPr>
                    <w:pStyle w:val="40"/>
                  </w:pPr>
                  <w:r>
                    <w:rPr>
                      <w:rFonts w:hint="eastAsia"/>
                    </w:rPr>
                    <w:t>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continue"/>
                  <w:vAlign w:val="center"/>
                </w:tcPr>
                <w:p>
                  <w:pPr>
                    <w:pStyle w:val="40"/>
                  </w:pPr>
                </w:p>
              </w:tc>
              <w:tc>
                <w:tcPr>
                  <w:tcW w:w="815" w:type="pct"/>
                  <w:vAlign w:val="center"/>
                </w:tcPr>
                <w:p>
                  <w:pPr>
                    <w:pStyle w:val="40"/>
                  </w:pPr>
                  <w:r>
                    <w:rPr>
                      <w:rFonts w:hint="eastAsia"/>
                    </w:rPr>
                    <w:t>2-4</w:t>
                  </w:r>
                </w:p>
              </w:tc>
              <w:tc>
                <w:tcPr>
                  <w:tcW w:w="416" w:type="pct"/>
                  <w:vAlign w:val="center"/>
                </w:tcPr>
                <w:p>
                  <w:pPr>
                    <w:pStyle w:val="40"/>
                  </w:pPr>
                  <w:r>
                    <w:rPr>
                      <w:rFonts w:hint="eastAsia"/>
                    </w:rPr>
                    <w:t>700</w:t>
                  </w:r>
                </w:p>
              </w:tc>
              <w:tc>
                <w:tcPr>
                  <w:tcW w:w="431" w:type="pct"/>
                  <w:vAlign w:val="center"/>
                </w:tcPr>
                <w:p>
                  <w:pPr>
                    <w:pStyle w:val="40"/>
                  </w:pPr>
                  <w:r>
                    <w:rPr>
                      <w:rFonts w:hint="eastAsia"/>
                    </w:rPr>
                    <w:t>470</w:t>
                  </w:r>
                </w:p>
              </w:tc>
              <w:tc>
                <w:tcPr>
                  <w:tcW w:w="433" w:type="pct"/>
                  <w:vAlign w:val="center"/>
                </w:tcPr>
                <w:p>
                  <w:pPr>
                    <w:pStyle w:val="40"/>
                  </w:pPr>
                  <w:r>
                    <w:rPr>
                      <w:rFonts w:hint="eastAsia"/>
                    </w:rPr>
                    <w:t>350</w:t>
                  </w:r>
                </w:p>
              </w:tc>
              <w:tc>
                <w:tcPr>
                  <w:tcW w:w="431" w:type="pct"/>
                  <w:vAlign w:val="center"/>
                </w:tcPr>
                <w:p>
                  <w:pPr>
                    <w:pStyle w:val="40"/>
                  </w:pPr>
                  <w:r>
                    <w:rPr>
                      <w:rFonts w:hint="eastAsia"/>
                    </w:rPr>
                    <w:t>700</w:t>
                  </w:r>
                </w:p>
              </w:tc>
              <w:tc>
                <w:tcPr>
                  <w:tcW w:w="431" w:type="pct"/>
                  <w:vAlign w:val="center"/>
                </w:tcPr>
                <w:p>
                  <w:pPr>
                    <w:pStyle w:val="40"/>
                  </w:pPr>
                  <w:r>
                    <w:rPr>
                      <w:rFonts w:hint="eastAsia"/>
                    </w:rPr>
                    <w:t>470</w:t>
                  </w:r>
                </w:p>
              </w:tc>
              <w:tc>
                <w:tcPr>
                  <w:tcW w:w="431" w:type="pct"/>
                  <w:vAlign w:val="center"/>
                </w:tcPr>
                <w:p>
                  <w:pPr>
                    <w:pStyle w:val="40"/>
                  </w:pPr>
                  <w:r>
                    <w:rPr>
                      <w:rFonts w:hint="eastAsia"/>
                    </w:rPr>
                    <w:t>350</w:t>
                  </w:r>
                </w:p>
              </w:tc>
              <w:tc>
                <w:tcPr>
                  <w:tcW w:w="430" w:type="pct"/>
                  <w:vAlign w:val="center"/>
                </w:tcPr>
                <w:p>
                  <w:pPr>
                    <w:pStyle w:val="40"/>
                  </w:pPr>
                  <w:r>
                    <w:rPr>
                      <w:rFonts w:hint="eastAsia"/>
                    </w:rPr>
                    <w:t>380</w:t>
                  </w:r>
                </w:p>
              </w:tc>
              <w:tc>
                <w:tcPr>
                  <w:tcW w:w="353" w:type="pct"/>
                  <w:vAlign w:val="center"/>
                </w:tcPr>
                <w:p>
                  <w:pPr>
                    <w:pStyle w:val="40"/>
                  </w:pPr>
                  <w:r>
                    <w:rPr>
                      <w:rFonts w:hint="eastAsia"/>
                    </w:rPr>
                    <w:t>250</w:t>
                  </w:r>
                </w:p>
              </w:tc>
              <w:tc>
                <w:tcPr>
                  <w:tcW w:w="430" w:type="pct"/>
                  <w:vAlign w:val="center"/>
                </w:tcPr>
                <w:p>
                  <w:pPr>
                    <w:pStyle w:val="40"/>
                  </w:pPr>
                  <w:r>
                    <w:rPr>
                      <w:rFonts w:hint="eastAsia"/>
                    </w:rPr>
                    <w:t>190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continue"/>
                  <w:vAlign w:val="center"/>
                </w:tcPr>
                <w:p>
                  <w:pPr>
                    <w:pStyle w:val="40"/>
                  </w:pPr>
                </w:p>
              </w:tc>
              <w:tc>
                <w:tcPr>
                  <w:tcW w:w="815" w:type="pct"/>
                  <w:vAlign w:val="center"/>
                </w:tcPr>
                <w:p>
                  <w:pPr>
                    <w:pStyle w:val="40"/>
                  </w:pPr>
                  <w:r>
                    <w:rPr>
                      <w:rFonts w:hint="eastAsia"/>
                    </w:rPr>
                    <w:t>&gt;4</w:t>
                  </w:r>
                </w:p>
              </w:tc>
              <w:tc>
                <w:tcPr>
                  <w:tcW w:w="416" w:type="pct"/>
                  <w:vAlign w:val="center"/>
                </w:tcPr>
                <w:p>
                  <w:pPr>
                    <w:pStyle w:val="40"/>
                  </w:pPr>
                  <w:r>
                    <w:rPr>
                      <w:rFonts w:hint="eastAsia"/>
                    </w:rPr>
                    <w:t>530</w:t>
                  </w:r>
                </w:p>
              </w:tc>
              <w:tc>
                <w:tcPr>
                  <w:tcW w:w="431" w:type="pct"/>
                  <w:vAlign w:val="center"/>
                </w:tcPr>
                <w:p>
                  <w:pPr>
                    <w:pStyle w:val="40"/>
                  </w:pPr>
                  <w:r>
                    <w:rPr>
                      <w:rFonts w:hint="eastAsia"/>
                    </w:rPr>
                    <w:t>350</w:t>
                  </w:r>
                </w:p>
              </w:tc>
              <w:tc>
                <w:tcPr>
                  <w:tcW w:w="433" w:type="pct"/>
                  <w:vAlign w:val="center"/>
                </w:tcPr>
                <w:p>
                  <w:pPr>
                    <w:pStyle w:val="40"/>
                  </w:pPr>
                  <w:r>
                    <w:rPr>
                      <w:rFonts w:hint="eastAsia"/>
                    </w:rPr>
                    <w:t>260</w:t>
                  </w:r>
                </w:p>
              </w:tc>
              <w:tc>
                <w:tcPr>
                  <w:tcW w:w="431" w:type="pct"/>
                  <w:vAlign w:val="center"/>
                </w:tcPr>
                <w:p>
                  <w:pPr>
                    <w:pStyle w:val="40"/>
                  </w:pPr>
                  <w:r>
                    <w:rPr>
                      <w:rFonts w:hint="eastAsia"/>
                    </w:rPr>
                    <w:t>530</w:t>
                  </w:r>
                </w:p>
              </w:tc>
              <w:tc>
                <w:tcPr>
                  <w:tcW w:w="431" w:type="pct"/>
                  <w:vAlign w:val="center"/>
                </w:tcPr>
                <w:p>
                  <w:pPr>
                    <w:pStyle w:val="40"/>
                  </w:pPr>
                  <w:r>
                    <w:rPr>
                      <w:rFonts w:hint="eastAsia"/>
                    </w:rPr>
                    <w:t>350</w:t>
                  </w:r>
                </w:p>
              </w:tc>
              <w:tc>
                <w:tcPr>
                  <w:tcW w:w="431" w:type="pct"/>
                  <w:vAlign w:val="center"/>
                </w:tcPr>
                <w:p>
                  <w:pPr>
                    <w:pStyle w:val="40"/>
                  </w:pPr>
                  <w:r>
                    <w:rPr>
                      <w:rFonts w:hint="eastAsia"/>
                    </w:rPr>
                    <w:t>260</w:t>
                  </w:r>
                </w:p>
              </w:tc>
              <w:tc>
                <w:tcPr>
                  <w:tcW w:w="430" w:type="pct"/>
                  <w:vAlign w:val="center"/>
                </w:tcPr>
                <w:p>
                  <w:pPr>
                    <w:pStyle w:val="40"/>
                  </w:pPr>
                  <w:r>
                    <w:rPr>
                      <w:rFonts w:hint="eastAsia"/>
                    </w:rPr>
                    <w:t>290</w:t>
                  </w:r>
                </w:p>
              </w:tc>
              <w:tc>
                <w:tcPr>
                  <w:tcW w:w="353" w:type="pct"/>
                  <w:vAlign w:val="center"/>
                </w:tcPr>
                <w:p>
                  <w:pPr>
                    <w:pStyle w:val="40"/>
                  </w:pPr>
                  <w:r>
                    <w:rPr>
                      <w:rFonts w:hint="eastAsia"/>
                    </w:rPr>
                    <w:t>190</w:t>
                  </w:r>
                </w:p>
              </w:tc>
              <w:tc>
                <w:tcPr>
                  <w:tcW w:w="430" w:type="pct"/>
                  <w:vAlign w:val="center"/>
                </w:tcPr>
                <w:p>
                  <w:pPr>
                    <w:pStyle w:val="40"/>
                  </w:pPr>
                  <w:r>
                    <w:rPr>
                      <w:rFonts w:hint="eastAsia"/>
                    </w:rPr>
                    <w:t>140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restart"/>
                  <w:vAlign w:val="center"/>
                </w:tcPr>
                <w:p>
                  <w:pPr>
                    <w:pStyle w:val="40"/>
                  </w:pPr>
                  <w:r>
                    <w:rPr>
                      <w:rFonts w:hint="eastAsia"/>
                    </w:rPr>
                    <w:t>B</w:t>
                  </w:r>
                </w:p>
              </w:tc>
              <w:tc>
                <w:tcPr>
                  <w:tcW w:w="815" w:type="pct"/>
                  <w:vAlign w:val="center"/>
                </w:tcPr>
                <w:p>
                  <w:pPr>
                    <w:pStyle w:val="40"/>
                  </w:pPr>
                  <w:r>
                    <w:rPr>
                      <w:rFonts w:hint="eastAsia"/>
                    </w:rPr>
                    <w:t>&lt;2</w:t>
                  </w:r>
                </w:p>
              </w:tc>
              <w:tc>
                <w:tcPr>
                  <w:tcW w:w="1281" w:type="pct"/>
                  <w:gridSpan w:val="3"/>
                  <w:vAlign w:val="center"/>
                </w:tcPr>
                <w:p>
                  <w:pPr>
                    <w:pStyle w:val="40"/>
                  </w:pPr>
                  <w:r>
                    <w:rPr>
                      <w:rFonts w:hint="eastAsia"/>
                    </w:rPr>
                    <w:t>0.01</w:t>
                  </w:r>
                </w:p>
              </w:tc>
              <w:tc>
                <w:tcPr>
                  <w:tcW w:w="1295" w:type="pct"/>
                  <w:gridSpan w:val="3"/>
                  <w:vAlign w:val="center"/>
                </w:tcPr>
                <w:p>
                  <w:pPr>
                    <w:pStyle w:val="40"/>
                  </w:pPr>
                  <w:r>
                    <w:rPr>
                      <w:rFonts w:hint="eastAsia"/>
                    </w:rPr>
                    <w:t>0.015</w:t>
                  </w:r>
                </w:p>
              </w:tc>
              <w:tc>
                <w:tcPr>
                  <w:tcW w:w="1214" w:type="pct"/>
                  <w:gridSpan w:val="3"/>
                  <w:vAlign w:val="center"/>
                </w:tcPr>
                <w:p>
                  <w:pPr>
                    <w:pStyle w:val="40"/>
                  </w:pPr>
                  <w:r>
                    <w:rPr>
                      <w:rFonts w:hint="eastAsia"/>
                    </w:rPr>
                    <w:t>0.015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continue"/>
                  <w:vAlign w:val="center"/>
                </w:tcPr>
                <w:p>
                  <w:pPr>
                    <w:pStyle w:val="40"/>
                  </w:pPr>
                </w:p>
              </w:tc>
              <w:tc>
                <w:tcPr>
                  <w:tcW w:w="815" w:type="pct"/>
                  <w:vAlign w:val="center"/>
                </w:tcPr>
                <w:p>
                  <w:pPr>
                    <w:pStyle w:val="40"/>
                  </w:pPr>
                  <w:r>
                    <w:rPr>
                      <w:rFonts w:hint="eastAsia"/>
                    </w:rPr>
                    <w:t>&gt;2</w:t>
                  </w:r>
                </w:p>
              </w:tc>
              <w:tc>
                <w:tcPr>
                  <w:tcW w:w="1281" w:type="pct"/>
                  <w:gridSpan w:val="3"/>
                  <w:vAlign w:val="center"/>
                </w:tcPr>
                <w:p>
                  <w:pPr>
                    <w:pStyle w:val="40"/>
                  </w:pPr>
                  <w:r>
                    <w:rPr>
                      <w:rFonts w:hint="eastAsia"/>
                    </w:rPr>
                    <w:t>0.021</w:t>
                  </w:r>
                </w:p>
              </w:tc>
              <w:tc>
                <w:tcPr>
                  <w:tcW w:w="1295" w:type="pct"/>
                  <w:gridSpan w:val="3"/>
                  <w:vAlign w:val="center"/>
                </w:tcPr>
                <w:p>
                  <w:pPr>
                    <w:pStyle w:val="40"/>
                  </w:pPr>
                  <w:r>
                    <w:rPr>
                      <w:rFonts w:hint="eastAsia"/>
                    </w:rPr>
                    <w:t>0.036</w:t>
                  </w:r>
                </w:p>
              </w:tc>
              <w:tc>
                <w:tcPr>
                  <w:tcW w:w="1214" w:type="pct"/>
                  <w:gridSpan w:val="3"/>
                  <w:vAlign w:val="center"/>
                </w:tcPr>
                <w:p>
                  <w:pPr>
                    <w:pStyle w:val="40"/>
                  </w:pPr>
                  <w:r>
                    <w:rPr>
                      <w:rFonts w:hint="eastAsia"/>
                    </w:rPr>
                    <w:t>0.036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restart"/>
                  <w:vAlign w:val="center"/>
                </w:tcPr>
                <w:p>
                  <w:pPr>
                    <w:pStyle w:val="40"/>
                  </w:pPr>
                  <w:r>
                    <w:rPr>
                      <w:rFonts w:hint="eastAsia"/>
                    </w:rPr>
                    <w:t>C</w:t>
                  </w:r>
                </w:p>
              </w:tc>
              <w:tc>
                <w:tcPr>
                  <w:tcW w:w="815" w:type="pct"/>
                  <w:vAlign w:val="center"/>
                </w:tcPr>
                <w:p>
                  <w:pPr>
                    <w:pStyle w:val="40"/>
                  </w:pPr>
                  <w:r>
                    <w:rPr>
                      <w:rFonts w:hint="eastAsia"/>
                    </w:rPr>
                    <w:t>&lt;2</w:t>
                  </w:r>
                </w:p>
              </w:tc>
              <w:tc>
                <w:tcPr>
                  <w:tcW w:w="1281" w:type="pct"/>
                  <w:gridSpan w:val="3"/>
                  <w:vAlign w:val="center"/>
                </w:tcPr>
                <w:p>
                  <w:pPr>
                    <w:pStyle w:val="40"/>
                  </w:pPr>
                  <w:r>
                    <w:rPr>
                      <w:rFonts w:hint="eastAsia"/>
                    </w:rPr>
                    <w:t>1.85</w:t>
                  </w:r>
                </w:p>
              </w:tc>
              <w:tc>
                <w:tcPr>
                  <w:tcW w:w="1295" w:type="pct"/>
                  <w:gridSpan w:val="3"/>
                  <w:vAlign w:val="center"/>
                </w:tcPr>
                <w:p>
                  <w:pPr>
                    <w:pStyle w:val="40"/>
                  </w:pPr>
                  <w:r>
                    <w:rPr>
                      <w:rFonts w:hint="eastAsia"/>
                    </w:rPr>
                    <w:t>1.79</w:t>
                  </w:r>
                </w:p>
              </w:tc>
              <w:tc>
                <w:tcPr>
                  <w:tcW w:w="1214" w:type="pct"/>
                  <w:gridSpan w:val="3"/>
                  <w:vAlign w:val="center"/>
                </w:tcPr>
                <w:p>
                  <w:pPr>
                    <w:pStyle w:val="40"/>
                  </w:pPr>
                  <w:r>
                    <w:rPr>
                      <w:rFonts w:hint="eastAsia"/>
                    </w:rPr>
                    <w:t>1.79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continue"/>
                  <w:vAlign w:val="center"/>
                </w:tcPr>
                <w:p>
                  <w:pPr>
                    <w:pStyle w:val="40"/>
                  </w:pPr>
                </w:p>
              </w:tc>
              <w:tc>
                <w:tcPr>
                  <w:tcW w:w="815" w:type="pct"/>
                  <w:vAlign w:val="center"/>
                </w:tcPr>
                <w:p>
                  <w:pPr>
                    <w:pStyle w:val="40"/>
                  </w:pPr>
                  <w:r>
                    <w:rPr>
                      <w:rFonts w:hint="eastAsia"/>
                    </w:rPr>
                    <w:t>&gt;2</w:t>
                  </w:r>
                </w:p>
              </w:tc>
              <w:tc>
                <w:tcPr>
                  <w:tcW w:w="1281" w:type="pct"/>
                  <w:gridSpan w:val="3"/>
                  <w:vAlign w:val="center"/>
                </w:tcPr>
                <w:p>
                  <w:pPr>
                    <w:pStyle w:val="40"/>
                  </w:pPr>
                  <w:r>
                    <w:rPr>
                      <w:rFonts w:hint="eastAsia"/>
                    </w:rPr>
                    <w:t>1.85</w:t>
                  </w:r>
                </w:p>
              </w:tc>
              <w:tc>
                <w:tcPr>
                  <w:tcW w:w="1295" w:type="pct"/>
                  <w:gridSpan w:val="3"/>
                  <w:vAlign w:val="center"/>
                </w:tcPr>
                <w:p>
                  <w:pPr>
                    <w:pStyle w:val="40"/>
                  </w:pPr>
                  <w:r>
                    <w:rPr>
                      <w:rFonts w:hint="eastAsia"/>
                    </w:rPr>
                    <w:t>1.77</w:t>
                  </w:r>
                </w:p>
              </w:tc>
              <w:tc>
                <w:tcPr>
                  <w:tcW w:w="1214" w:type="pct"/>
                  <w:gridSpan w:val="3"/>
                  <w:vAlign w:val="center"/>
                </w:tcPr>
                <w:p>
                  <w:pPr>
                    <w:pStyle w:val="40"/>
                  </w:pPr>
                  <w:r>
                    <w:rPr>
                      <w:rFonts w:hint="eastAsia"/>
                    </w:rPr>
                    <w:t>1.70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restart"/>
                  <w:vAlign w:val="center"/>
                </w:tcPr>
                <w:p>
                  <w:pPr>
                    <w:pStyle w:val="40"/>
                  </w:pPr>
                  <w:r>
                    <w:rPr>
                      <w:rFonts w:hint="eastAsia"/>
                    </w:rPr>
                    <w:t>D</w:t>
                  </w:r>
                </w:p>
              </w:tc>
              <w:tc>
                <w:tcPr>
                  <w:tcW w:w="815" w:type="pct"/>
                  <w:vAlign w:val="center"/>
                </w:tcPr>
                <w:p>
                  <w:pPr>
                    <w:pStyle w:val="40"/>
                  </w:pPr>
                  <w:r>
                    <w:rPr>
                      <w:rFonts w:hint="eastAsia"/>
                    </w:rPr>
                    <w:t>&lt;2</w:t>
                  </w:r>
                </w:p>
              </w:tc>
              <w:tc>
                <w:tcPr>
                  <w:tcW w:w="1281" w:type="pct"/>
                  <w:gridSpan w:val="3"/>
                  <w:vAlign w:val="center"/>
                </w:tcPr>
                <w:p>
                  <w:pPr>
                    <w:pStyle w:val="40"/>
                  </w:pPr>
                  <w:r>
                    <w:rPr>
                      <w:rFonts w:hint="eastAsia"/>
                    </w:rPr>
                    <w:t>0.78</w:t>
                  </w:r>
                </w:p>
              </w:tc>
              <w:tc>
                <w:tcPr>
                  <w:tcW w:w="1295" w:type="pct"/>
                  <w:gridSpan w:val="3"/>
                  <w:vAlign w:val="center"/>
                </w:tcPr>
                <w:p>
                  <w:pPr>
                    <w:pStyle w:val="40"/>
                  </w:pPr>
                  <w:r>
                    <w:rPr>
                      <w:rFonts w:hint="eastAsia"/>
                    </w:rPr>
                    <w:t>0.78</w:t>
                  </w:r>
                </w:p>
              </w:tc>
              <w:tc>
                <w:tcPr>
                  <w:tcW w:w="1214" w:type="pct"/>
                  <w:gridSpan w:val="3"/>
                  <w:vAlign w:val="center"/>
                </w:tcPr>
                <w:p>
                  <w:pPr>
                    <w:pStyle w:val="40"/>
                  </w:pPr>
                  <w:r>
                    <w:rPr>
                      <w:rFonts w:hint="eastAsia"/>
                    </w:rPr>
                    <w:t>0.57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continue"/>
                  <w:vAlign w:val="center"/>
                </w:tcPr>
                <w:p>
                  <w:pPr>
                    <w:pStyle w:val="40"/>
                  </w:pPr>
                </w:p>
              </w:tc>
              <w:tc>
                <w:tcPr>
                  <w:tcW w:w="815" w:type="pct"/>
                  <w:vAlign w:val="center"/>
                </w:tcPr>
                <w:p>
                  <w:pPr>
                    <w:pStyle w:val="40"/>
                  </w:pPr>
                  <w:r>
                    <w:rPr>
                      <w:rFonts w:hint="eastAsia"/>
                    </w:rPr>
                    <w:t>&gt;2</w:t>
                  </w:r>
                </w:p>
              </w:tc>
              <w:tc>
                <w:tcPr>
                  <w:tcW w:w="1281" w:type="pct"/>
                  <w:gridSpan w:val="3"/>
                  <w:vAlign w:val="center"/>
                </w:tcPr>
                <w:p>
                  <w:pPr>
                    <w:pStyle w:val="40"/>
                  </w:pPr>
                  <w:r>
                    <w:rPr>
                      <w:rFonts w:hint="eastAsia"/>
                    </w:rPr>
                    <w:t>0.84</w:t>
                  </w:r>
                </w:p>
              </w:tc>
              <w:tc>
                <w:tcPr>
                  <w:tcW w:w="1295" w:type="pct"/>
                  <w:gridSpan w:val="3"/>
                  <w:vAlign w:val="center"/>
                </w:tcPr>
                <w:p>
                  <w:pPr>
                    <w:pStyle w:val="40"/>
                  </w:pPr>
                  <w:r>
                    <w:rPr>
                      <w:rFonts w:hint="eastAsia"/>
                    </w:rPr>
                    <w:t>0.84</w:t>
                  </w:r>
                </w:p>
              </w:tc>
              <w:tc>
                <w:tcPr>
                  <w:tcW w:w="1214" w:type="pct"/>
                  <w:gridSpan w:val="3"/>
                  <w:vAlign w:val="center"/>
                </w:tcPr>
                <w:p>
                  <w:pPr>
                    <w:pStyle w:val="40"/>
                  </w:pPr>
                  <w:r>
                    <w:rPr>
                      <w:rFonts w:hint="eastAsia"/>
                    </w:rPr>
                    <w:t>0.76</w:t>
                  </w:r>
                </w:p>
              </w:tc>
            </w:tr>
          </w:tbl>
          <w:p>
            <w:pPr>
              <w:pStyle w:val="5"/>
            </w:pPr>
            <w:r>
              <w:t>注：工业企业大气污染源构成分为三类：</w:t>
            </w:r>
          </w:p>
          <w:p>
            <w:pPr>
              <w:pStyle w:val="5"/>
            </w:pPr>
            <w:r>
              <w:t>I类：与无组织排放源共存的排放同种有害气体的排气筒的排放量，大于标准规定的允许排放量的1/3者。</w:t>
            </w:r>
          </w:p>
          <w:p>
            <w:pPr>
              <w:pStyle w:val="5"/>
            </w:pPr>
            <w:r>
              <w:t>II类：与无组织排放源共存的排放同种有害气体的排气筒的排放量，小于标准规定的允许排放量的1/3，或虽无排放同种大气污染物之排气筒共存，但无组织排放的有害物质的容许浓度指标是按急性反应指标确定者。</w:t>
            </w:r>
          </w:p>
          <w:p>
            <w:pPr>
              <w:pStyle w:val="5"/>
            </w:pPr>
            <w:r>
              <w:t>III类：无排放同种有害物质的排气筒与无组织排放源共存，无组织排放的有害物质的容许浓度是按慢性反应指标确定者。</w:t>
            </w:r>
          </w:p>
          <w:p>
            <w:pPr>
              <w:pStyle w:val="5"/>
            </w:pPr>
            <w:r>
              <w:t>计算结果见下表。</w:t>
            </w:r>
          </w:p>
          <w:p>
            <w:pPr>
              <w:pStyle w:val="29"/>
              <w:spacing w:before="65" w:after="65"/>
            </w:pPr>
            <w:r>
              <w:rPr>
                <w:rFonts w:hint="eastAsia"/>
              </w:rPr>
              <w:t>表7-15 无组织排放卫生防护距离计算参数及结果</w:t>
            </w:r>
          </w:p>
          <w:tbl>
            <w:tblPr>
              <w:tblStyle w:val="23"/>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3"/>
              <w:gridCol w:w="1590"/>
              <w:gridCol w:w="1605"/>
              <w:gridCol w:w="1440"/>
              <w:gridCol w:w="1326"/>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323" w:type="dxa"/>
                  <w:vAlign w:val="center"/>
                </w:tcPr>
                <w:p>
                  <w:pPr>
                    <w:pStyle w:val="40"/>
                  </w:pPr>
                  <w:r>
                    <w:rPr>
                      <w:rFonts w:hint="eastAsia"/>
                    </w:rPr>
                    <w:t>污染源</w:t>
                  </w:r>
                </w:p>
              </w:tc>
              <w:tc>
                <w:tcPr>
                  <w:tcW w:w="1590" w:type="dxa"/>
                  <w:vAlign w:val="center"/>
                </w:tcPr>
                <w:p>
                  <w:pPr>
                    <w:pStyle w:val="40"/>
                  </w:pPr>
                  <w:r>
                    <w:rPr>
                      <w:rFonts w:hint="eastAsia"/>
                    </w:rPr>
                    <w:t>污染物名称</w:t>
                  </w:r>
                </w:p>
              </w:tc>
              <w:tc>
                <w:tcPr>
                  <w:tcW w:w="1605" w:type="dxa"/>
                  <w:vAlign w:val="center"/>
                </w:tcPr>
                <w:p>
                  <w:pPr>
                    <w:pStyle w:val="40"/>
                  </w:pPr>
                  <w:r>
                    <w:rPr>
                      <w:rFonts w:hint="eastAsia"/>
                    </w:rPr>
                    <w:t>排放量t/a</w:t>
                  </w:r>
                </w:p>
              </w:tc>
              <w:tc>
                <w:tcPr>
                  <w:tcW w:w="1440" w:type="dxa"/>
                  <w:vAlign w:val="center"/>
                </w:tcPr>
                <w:p>
                  <w:pPr>
                    <w:pStyle w:val="40"/>
                  </w:pPr>
                  <w:r>
                    <w:rPr>
                      <w:rFonts w:hint="eastAsia"/>
                    </w:rPr>
                    <w:t>标准mg/m3</w:t>
                  </w:r>
                </w:p>
              </w:tc>
              <w:tc>
                <w:tcPr>
                  <w:tcW w:w="1326" w:type="dxa"/>
                  <w:vAlign w:val="center"/>
                </w:tcPr>
                <w:p>
                  <w:pPr>
                    <w:pStyle w:val="40"/>
                  </w:pPr>
                  <w:r>
                    <w:rPr>
                      <w:rFonts w:hint="eastAsia"/>
                    </w:rPr>
                    <w:t>计算数据m</w:t>
                  </w:r>
                </w:p>
              </w:tc>
              <w:tc>
                <w:tcPr>
                  <w:tcW w:w="1876" w:type="dxa"/>
                  <w:vAlign w:val="center"/>
                </w:tcPr>
                <w:p>
                  <w:pPr>
                    <w:pStyle w:val="40"/>
                  </w:pPr>
                  <w:r>
                    <w:rPr>
                      <w:rFonts w:hint="eastAsia"/>
                    </w:rPr>
                    <w:t>卫生防护距离m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323" w:type="dxa"/>
                  <w:vAlign w:val="center"/>
                </w:tcPr>
                <w:p>
                  <w:pPr>
                    <w:pStyle w:val="40"/>
                  </w:pPr>
                  <w:r>
                    <w:rPr>
                      <w:rFonts w:hint="eastAsia"/>
                    </w:rPr>
                    <w:t>生产车间</w:t>
                  </w:r>
                </w:p>
              </w:tc>
              <w:tc>
                <w:tcPr>
                  <w:tcW w:w="1590" w:type="dxa"/>
                  <w:vAlign w:val="center"/>
                </w:tcPr>
                <w:p>
                  <w:pPr>
                    <w:pStyle w:val="40"/>
                  </w:pPr>
                  <w:r>
                    <w:rPr>
                      <w:rFonts w:hint="eastAsia"/>
                    </w:rPr>
                    <w:t>非甲烷总烃</w:t>
                  </w:r>
                </w:p>
              </w:tc>
              <w:tc>
                <w:tcPr>
                  <w:tcW w:w="1605" w:type="dxa"/>
                  <w:vAlign w:val="center"/>
                </w:tcPr>
                <w:p>
                  <w:pPr>
                    <w:pStyle w:val="40"/>
                  </w:pPr>
                  <w:r>
                    <w:rPr>
                      <w:rFonts w:hint="eastAsia"/>
                    </w:rPr>
                    <w:t>0.029</w:t>
                  </w:r>
                </w:p>
              </w:tc>
              <w:tc>
                <w:tcPr>
                  <w:tcW w:w="1440" w:type="dxa"/>
                  <w:vAlign w:val="center"/>
                </w:tcPr>
                <w:p>
                  <w:pPr>
                    <w:pStyle w:val="40"/>
                  </w:pPr>
                  <w:r>
                    <w:rPr>
                      <w:rFonts w:hint="eastAsia"/>
                    </w:rPr>
                    <w:t>2</w:t>
                  </w:r>
                </w:p>
              </w:tc>
              <w:tc>
                <w:tcPr>
                  <w:tcW w:w="1326" w:type="dxa"/>
                  <w:vAlign w:val="center"/>
                </w:tcPr>
                <w:p>
                  <w:pPr>
                    <w:pStyle w:val="40"/>
                  </w:pPr>
                  <w:r>
                    <w:rPr>
                      <w:rFonts w:hint="eastAsia"/>
                    </w:rPr>
                    <w:t>2.36</w:t>
                  </w:r>
                </w:p>
              </w:tc>
              <w:tc>
                <w:tcPr>
                  <w:tcW w:w="1876" w:type="dxa"/>
                  <w:vAlign w:val="center"/>
                </w:tcPr>
                <w:p>
                  <w:pPr>
                    <w:pStyle w:val="40"/>
                  </w:pPr>
                  <w:r>
                    <w:rPr>
                      <w:rFonts w:hint="eastAsia"/>
                    </w:rPr>
                    <w:t>50</w:t>
                  </w:r>
                </w:p>
              </w:tc>
            </w:tr>
          </w:tbl>
          <w:p>
            <w:pPr>
              <w:pStyle w:val="5"/>
              <w:ind w:left="0" w:leftChars="0" w:firstLine="480" w:firstLineChars="200"/>
            </w:pPr>
            <w:r>
              <w:t>根据卫生防护距离取值规定，卫生防护距离在100m以内时，级差为50m；超过100m，但小于或等于1000m时级差为100m，计算的L值在两级之间时，取偏宽的一级。当按两种或两种以上的有害气体的Qc/Cm值计算的卫生防护距离在同一级别时，该类工业企业的卫生防护距离级别应该高一级。根据此规定以及计算结果，确定本项目卫生防护距离为</w:t>
            </w:r>
            <w:r>
              <w:rPr>
                <w:rFonts w:hint="eastAsia"/>
              </w:rPr>
              <w:t>50</w:t>
            </w:r>
            <w:r>
              <w:t>m。</w:t>
            </w:r>
          </w:p>
          <w:p>
            <w:pPr>
              <w:pStyle w:val="5"/>
            </w:pPr>
            <w:r>
              <w:t>结合项目周边环境、以及地形、气象条件，本项目以厂界为起始，其四周需设置环境防护距离</w:t>
            </w:r>
            <w:r>
              <w:rPr>
                <w:rFonts w:hint="eastAsia"/>
              </w:rPr>
              <w:t>50</w:t>
            </w:r>
            <w:r>
              <w:t>m，据现场调查，拟建项目环境防护距离内无敏感点，且以后不得建设居民区、学校、医院等环境敏感目标。</w:t>
            </w:r>
          </w:p>
          <w:p>
            <w:pPr>
              <w:pStyle w:val="42"/>
              <w:spacing w:line="348" w:lineRule="auto"/>
              <w:ind w:firstLine="0" w:firstLineChars="0"/>
              <w:rPr>
                <w:lang w:val="en-US"/>
              </w:rPr>
            </w:pPr>
            <w:r>
              <w:rPr>
                <w:lang w:val="en-US"/>
              </w:rPr>
              <mc:AlternateContent>
                <mc:Choice Requires="wps">
                  <w:drawing>
                    <wp:anchor distT="0" distB="0" distL="114300" distR="114300" simplePos="0" relativeHeight="251669504" behindDoc="0" locked="0" layoutInCell="1" allowOverlap="1">
                      <wp:simplePos x="0" y="0"/>
                      <wp:positionH relativeFrom="column">
                        <wp:posOffset>3599180</wp:posOffset>
                      </wp:positionH>
                      <wp:positionV relativeFrom="paragraph">
                        <wp:posOffset>1344930</wp:posOffset>
                      </wp:positionV>
                      <wp:extent cx="1617345" cy="323850"/>
                      <wp:effectExtent l="0" t="0" r="0" b="0"/>
                      <wp:wrapNone/>
                      <wp:docPr id="7" name="文本框 1084"/>
                      <wp:cNvGraphicFramePr/>
                      <a:graphic xmlns:a="http://schemas.openxmlformats.org/drawingml/2006/main">
                        <a:graphicData uri="http://schemas.microsoft.com/office/word/2010/wordprocessingShape">
                          <wps:wsp>
                            <wps:cNvSpPr txBox="1"/>
                            <wps:spPr>
                              <a:xfrm>
                                <a:off x="0" y="0"/>
                                <a:ext cx="1617345" cy="323850"/>
                              </a:xfrm>
                              <a:prstGeom prst="rect">
                                <a:avLst/>
                              </a:prstGeom>
                              <a:noFill/>
                              <a:ln>
                                <a:noFill/>
                              </a:ln>
                              <a:effectLst/>
                            </wps:spPr>
                            <wps:txbx>
                              <w:txbxContent>
                                <w:p>
                                  <w:pPr>
                                    <w:rPr>
                                      <w:color w:val="C00000"/>
                                    </w:rPr>
                                  </w:pPr>
                                  <w:r>
                                    <w:rPr>
                                      <w:rFonts w:hint="eastAsia"/>
                                      <w:color w:val="C00000"/>
                                      <w:lang w:val="en-US" w:eastAsia="zh-CN"/>
                                    </w:rPr>
                                    <w:t>50m</w:t>
                                  </w:r>
                                  <w:r>
                                    <w:rPr>
                                      <w:rFonts w:hint="eastAsia"/>
                                      <w:color w:val="C00000"/>
                                    </w:rPr>
                                    <w:t>防护距离包络线图</w:t>
                                  </w:r>
                                </w:p>
                              </w:txbxContent>
                            </wps:txbx>
                            <wps:bodyPr vert="horz" wrap="square" anchor="t" upright="1"/>
                          </wps:wsp>
                        </a:graphicData>
                      </a:graphic>
                    </wp:anchor>
                  </w:drawing>
                </mc:Choice>
                <mc:Fallback>
                  <w:pict>
                    <v:shape id="文本框 1084" o:spid="_x0000_s1026" o:spt="202" type="#_x0000_t202" style="position:absolute;left:0pt;margin-left:283.4pt;margin-top:105.9pt;height:25.5pt;width:127.35pt;z-index:251669504;mso-width-relative:page;mso-height-relative:page;" filled="f" stroked="f" coordsize="21600,21600" o:gfxdata="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0yna9cAAAALAQAADwAAAAAAAAABACAAAAAiAAAA&#10;ZHJzL2Rvd25yZXYueG1sUEsBAhQAFAAAAAgAh07iQEOk7kHPAQAAhAMAAA4AAAAAAAAAAQAgAAAA&#10;JgEAAGRycy9lMm9Eb2MueG1sUEsFBgAAAAAGAAYAWQEAAGcFAAAAAA==&#10;">
                      <v:fill on="f" focussize="0,0"/>
                      <v:stroke on="f"/>
                      <v:imagedata o:title=""/>
                      <o:lock v:ext="edit" aspectratio="f"/>
                      <v:textbox>
                        <w:txbxContent>
                          <w:p>
                            <w:pPr>
                              <w:rPr>
                                <w:color w:val="C00000"/>
                              </w:rPr>
                            </w:pPr>
                            <w:r>
                              <w:rPr>
                                <w:rFonts w:hint="eastAsia"/>
                                <w:color w:val="C00000"/>
                                <w:lang w:val="en-US" w:eastAsia="zh-CN"/>
                              </w:rPr>
                              <w:t>50m</w:t>
                            </w:r>
                            <w:r>
                              <w:rPr>
                                <w:rFonts w:hint="eastAsia"/>
                                <w:color w:val="C00000"/>
                              </w:rPr>
                              <w:t>防护距离包络线图</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2371725</wp:posOffset>
                      </wp:positionH>
                      <wp:positionV relativeFrom="paragraph">
                        <wp:posOffset>1247140</wp:posOffset>
                      </wp:positionV>
                      <wp:extent cx="904875" cy="514350"/>
                      <wp:effectExtent l="12700" t="0" r="15875" b="25400"/>
                      <wp:wrapNone/>
                      <wp:docPr id="52" name="矩形 52"/>
                      <wp:cNvGraphicFramePr/>
                      <a:graphic xmlns:a="http://schemas.openxmlformats.org/drawingml/2006/main">
                        <a:graphicData uri="http://schemas.microsoft.com/office/word/2010/wordprocessingShape">
                          <wps:wsp>
                            <wps:cNvSpPr/>
                            <wps:spPr>
                              <a:xfrm>
                                <a:off x="3299460" y="2240280"/>
                                <a:ext cx="904875" cy="514350"/>
                              </a:xfrm>
                              <a:prstGeom prst="rect">
                                <a:avLst/>
                              </a:prstGeom>
                              <a:solidFill>
                                <a:srgbClr val="C00000">
                                  <a:alpha val="50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6.75pt;margin-top:98.2pt;height:40.5pt;width:71.25pt;z-index:251688960;v-text-anchor:middle;mso-width-relative:page;mso-height-relative:page;" fillcolor="#C00000" filled="t" stroked="t" coordsize="21600,21600" o:gfxdata="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ZA8PbAAAACwEAAA8A&#10;AAAAAAAAAQAgAAAAIgAAAGRycy9kb3ducmV2LnhtbFBLAQIUABQAAAAIAIdO4kBsHO52hgIAABYF&#10;AAAOAAAAAAAAAAEAIAAAACoBAABkcnMvZTJvRG9jLnhtbFBLBQYAAAAABgAGAFkBAAAiBgAAAAA=&#10;">
                      <v:fill on="t" opacity="32768f" focussize="0,0"/>
                      <v:stroke weight="2pt" color="#C00000 [3204]" joinstyle="round"/>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2552700</wp:posOffset>
                      </wp:positionH>
                      <wp:positionV relativeFrom="paragraph">
                        <wp:posOffset>1418590</wp:posOffset>
                      </wp:positionV>
                      <wp:extent cx="533400" cy="180975"/>
                      <wp:effectExtent l="13970" t="13970" r="24130" b="14605"/>
                      <wp:wrapNone/>
                      <wp:docPr id="45" name="矩形 45"/>
                      <wp:cNvGraphicFramePr/>
                      <a:graphic xmlns:a="http://schemas.openxmlformats.org/drawingml/2006/main">
                        <a:graphicData uri="http://schemas.microsoft.com/office/word/2010/wordprocessingShape">
                          <wps:wsp>
                            <wps:cNvSpPr/>
                            <wps:spPr>
                              <a:xfrm>
                                <a:off x="3480435" y="2421255"/>
                                <a:ext cx="533400" cy="180975"/>
                              </a:xfrm>
                              <a:prstGeom prst="rect">
                                <a:avLst/>
                              </a:prstGeom>
                              <a:noFill/>
                              <a:ln w="28575" cmpd="sng">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1pt;margin-top:111.7pt;height:14.25pt;width:42pt;z-index:251687936;v-text-anchor:middle;mso-width-relative:page;mso-height-relative:page;" filled="f" stroked="t" coordsize="21600,21600" o:gfxdata="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ZQzANsAAAALAQAADwAAAAAAAAABACAAAAAiAAAAZHJz&#10;L2Rvd25yZXYueG1sUEsBAhQAFAAAAAgAh07iQAKe75pzAgAAzAQAAA4AAAAAAAAAAQAgAAAAKgEA&#10;AGRycy9lMm9Eb2MueG1sUEsFBgAAAAAGAAYAWQEAAA8GAAAAAA==&#10;">
                      <v:fill on="f" focussize="0,0"/>
                      <v:stroke weight="2.25pt" color="#C0504D [3205]" joinstyle="round"/>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3276600</wp:posOffset>
                      </wp:positionH>
                      <wp:positionV relativeFrom="paragraph">
                        <wp:posOffset>1504315</wp:posOffset>
                      </wp:positionV>
                      <wp:extent cx="322580" cy="2540"/>
                      <wp:effectExtent l="0" t="62865" r="1270" b="67945"/>
                      <wp:wrapNone/>
                      <wp:docPr id="61" name="直接箭头连接符 61"/>
                      <wp:cNvGraphicFramePr/>
                      <a:graphic xmlns:a="http://schemas.openxmlformats.org/drawingml/2006/main">
                        <a:graphicData uri="http://schemas.microsoft.com/office/word/2010/wordprocessingShape">
                          <wps:wsp>
                            <wps:cNvCnPr>
                              <a:stCxn id="52" idx="3"/>
                              <a:endCxn id="7" idx="1"/>
                            </wps:cNvCnPr>
                            <wps:spPr>
                              <a:xfrm>
                                <a:off x="4204335" y="2316480"/>
                                <a:ext cx="322580" cy="2540"/>
                              </a:xfrm>
                              <a:prstGeom prst="straightConnector1">
                                <a:avLst/>
                              </a:prstGeom>
                              <a:ln w="28575" cmpd="sng">
                                <a:solidFill>
                                  <a:srgbClr val="C00000"/>
                                </a:solidFill>
                                <a:prstDash val="solid"/>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258pt;margin-top:118.45pt;height:0.2pt;width:25.4pt;z-index:251689984;mso-width-relative:page;mso-height-relative:page;" filled="f" stroked="t" coordsize="21600,21600" o:gfxdata="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jX6E/ZAAAACwEAAA8AAAAAAAAAAQAgAAAAIgAAAGRycy9kb3ducmV2LnhtbFBL&#10;AQIUABQAAAAIAIdO4kBycXnSLgIAACsEAAAOAAAAAAAAAAEAIAAAACgBAABkcnMvZTJvRG9jLnht&#10;bFBLBQYAAAAABgAGAFkBAADIBQAAAAA=&#10;">
                      <v:fill on="f" focussize="0,0"/>
                      <v:stroke weight="2.25pt" color="#C00000 [3205]" joinstyle="round" endarrow="open"/>
                      <v:imagedata o:title=""/>
                      <o:lock v:ext="edit" aspectratio="f"/>
                    </v:shape>
                  </w:pict>
                </mc:Fallback>
              </mc:AlternateContent>
            </w:r>
            <w:r>
              <w:rPr>
                <w:rFonts w:hint="eastAsia"/>
              </w:rPr>
              <w:drawing>
                <wp:anchor distT="0" distB="0" distL="114935" distR="114935" simplePos="0" relativeHeight="251691008" behindDoc="0" locked="0" layoutInCell="1" allowOverlap="1">
                  <wp:simplePos x="0" y="0"/>
                  <wp:positionH relativeFrom="column">
                    <wp:posOffset>5492115</wp:posOffset>
                  </wp:positionH>
                  <wp:positionV relativeFrom="paragraph">
                    <wp:posOffset>107950</wp:posOffset>
                  </wp:positionV>
                  <wp:extent cx="346710" cy="368300"/>
                  <wp:effectExtent l="0" t="0" r="15240" b="12700"/>
                  <wp:wrapNone/>
                  <wp:docPr id="77" name="图片 7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图片1"/>
                          <pic:cNvPicPr>
                            <a:picLocks noChangeAspect="1"/>
                          </pic:cNvPicPr>
                        </pic:nvPicPr>
                        <pic:blipFill>
                          <a:blip r:embed="rId12"/>
                          <a:stretch>
                            <a:fillRect/>
                          </a:stretch>
                        </pic:blipFill>
                        <pic:spPr>
                          <a:xfrm>
                            <a:off x="0" y="0"/>
                            <a:ext cx="346710" cy="368300"/>
                          </a:xfrm>
                          <a:prstGeom prst="rect">
                            <a:avLst/>
                          </a:prstGeom>
                        </pic:spPr>
                      </pic:pic>
                    </a:graphicData>
                  </a:graphic>
                </wp:anchor>
              </w:drawing>
            </w:r>
            <w:r>
              <w:rPr>
                <w:lang w:val="en-US"/>
              </w:rPr>
              <w:drawing>
                <wp:inline distT="0" distB="0" distL="114300" distR="114300">
                  <wp:extent cx="5836285" cy="3348355"/>
                  <wp:effectExtent l="0" t="0" r="12065" b="4445"/>
                  <wp:docPr id="43" name="图片 4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02"/>
                          <pic:cNvPicPr>
                            <a:picLocks noChangeAspect="1"/>
                          </pic:cNvPicPr>
                        </pic:nvPicPr>
                        <pic:blipFill>
                          <a:blip r:embed="rId13"/>
                          <a:stretch>
                            <a:fillRect/>
                          </a:stretch>
                        </pic:blipFill>
                        <pic:spPr>
                          <a:xfrm>
                            <a:off x="0" y="0"/>
                            <a:ext cx="5836285" cy="3348355"/>
                          </a:xfrm>
                          <a:prstGeom prst="rect">
                            <a:avLst/>
                          </a:prstGeom>
                        </pic:spPr>
                      </pic:pic>
                    </a:graphicData>
                  </a:graphic>
                </wp:inline>
              </w:drawing>
            </w:r>
          </w:p>
          <w:p>
            <w:pPr>
              <w:pStyle w:val="5"/>
            </w:pPr>
            <w:r>
              <w:rPr>
                <w:rFonts w:hint="eastAsia"/>
              </w:rPr>
              <w:t xml:space="preserve">二、地表水环境影响分析 </w:t>
            </w:r>
          </w:p>
          <w:p>
            <w:pPr>
              <w:pStyle w:val="5"/>
            </w:pPr>
            <w:r>
              <w:rPr>
                <w:rFonts w:hint="eastAsia"/>
              </w:rPr>
              <w:t>本项目会产生印刷冲洗废水（</w:t>
            </w:r>
            <w:r>
              <w:rPr>
                <w:rFonts w:hint="eastAsia"/>
                <w:lang w:val="en-US" w:eastAsia="zh-CN"/>
              </w:rPr>
              <w:t>3</w:t>
            </w:r>
            <w:r>
              <w:t>t/a</w:t>
            </w:r>
            <w:r>
              <w:rPr>
                <w:rFonts w:hint="eastAsia"/>
              </w:rPr>
              <w:t>），印刷清洗废水经过</w:t>
            </w:r>
            <w:r>
              <w:rPr>
                <w:rFonts w:hint="eastAsia"/>
                <w:lang w:val="en-US" w:eastAsia="zh-CN"/>
              </w:rPr>
              <w:t>收集后定期统一交由有资质单位进行处理</w:t>
            </w:r>
            <w:r>
              <w:rPr>
                <w:rFonts w:hint="eastAsia"/>
              </w:rPr>
              <w:t>。项目运营期外排的废水主要为生活污水，排放量为102</w:t>
            </w:r>
            <w:r>
              <w:t>t/a</w:t>
            </w:r>
            <w:r>
              <w:rPr>
                <w:rFonts w:hint="eastAsia"/>
              </w:rPr>
              <w:t>，经化粪池预处理后接管淮南市</w:t>
            </w:r>
            <w:r>
              <w:rPr>
                <w:rFonts w:hint="eastAsia"/>
                <w:lang w:val="en-US" w:eastAsia="zh-CN"/>
              </w:rPr>
              <w:t>经济技术开发区</w:t>
            </w:r>
            <w:r>
              <w:rPr>
                <w:rFonts w:hint="eastAsia"/>
              </w:rPr>
              <w:t>污水处理厂处理，尾水排入淮河。</w:t>
            </w:r>
          </w:p>
          <w:p>
            <w:pPr>
              <w:pStyle w:val="5"/>
            </w:pPr>
            <w:r>
              <w:rPr>
                <w:rFonts w:hint="eastAsia"/>
              </w:rPr>
              <w:t>根据《建设项目环境影响评价技术导则 总纲》（</w:t>
            </w:r>
            <w:r>
              <w:t>HJ2.1-2016</w:t>
            </w:r>
            <w:r>
              <w:rPr>
                <w:rFonts w:hint="eastAsia"/>
              </w:rPr>
              <w:t>）、《环境影响评价技术导则－地表水环境》（</w:t>
            </w:r>
            <w:r>
              <w:t>HJ2.3-2018</w:t>
            </w:r>
            <w:r>
              <w:rPr>
                <w:rFonts w:hint="eastAsia"/>
              </w:rPr>
              <w:t>）中有关环评工作等级划分规则，确定本项目评价等级。项目属于淮南市</w:t>
            </w:r>
            <w:r>
              <w:rPr>
                <w:rFonts w:hint="eastAsia"/>
                <w:lang w:val="en-US" w:eastAsia="zh-CN"/>
              </w:rPr>
              <w:t>经济技术开发区</w:t>
            </w:r>
            <w:r>
              <w:rPr>
                <w:rFonts w:hint="eastAsia"/>
              </w:rPr>
              <w:t>污水处理厂服务范围，生活污水经化粪池处理后达到《污水排入城镇下水道水质标准》（GB/T 31962-2015）B等级标准，通过淮南市</w:t>
            </w:r>
            <w:r>
              <w:rPr>
                <w:rFonts w:hint="eastAsia"/>
                <w:lang w:val="en-US" w:eastAsia="zh-CN"/>
              </w:rPr>
              <w:t>经济技术开发区</w:t>
            </w:r>
            <w:r>
              <w:rPr>
                <w:rFonts w:hint="eastAsia"/>
              </w:rPr>
              <w:t>污水处理厂进一步处理，出水水质达到《城镇污水处理厂污染物排放标准》</w:t>
            </w:r>
            <w:r>
              <w:t>(GB18918-2002)</w:t>
            </w:r>
            <w:r>
              <w:rPr>
                <w:rFonts w:hint="eastAsia"/>
              </w:rPr>
              <w:t>一级</w:t>
            </w:r>
            <w:r>
              <w:t>A</w:t>
            </w:r>
            <w:r>
              <w:rPr>
                <w:rFonts w:hint="eastAsia"/>
              </w:rPr>
              <w:t>标准后最后排入淮河。因此本项目生活污水的排放属于间接排放，根据《环境影响评价技术导则－地表水环境》（</w:t>
            </w:r>
            <w:r>
              <w:t>HJ2.3-2018</w:t>
            </w:r>
            <w:r>
              <w:rPr>
                <w:rFonts w:hint="eastAsia"/>
              </w:rPr>
              <w:t>），本项目水污染影响型建设项目评价等级为三级</w:t>
            </w:r>
            <w:r>
              <w:t>B</w:t>
            </w:r>
            <w:r>
              <w:rPr>
                <w:rFonts w:hint="eastAsia"/>
              </w:rPr>
              <w:t>，不考虑评价时期，可不开展区域污染源调查，可不进行水环境影响预测，进行简单分析即可。</w:t>
            </w:r>
          </w:p>
          <w:p>
            <w:pPr>
              <w:pStyle w:val="29"/>
              <w:spacing w:before="65" w:after="65"/>
            </w:pPr>
            <w:r>
              <w:rPr>
                <w:rFonts w:hint="eastAsia"/>
              </w:rPr>
              <w:t xml:space="preserve">表 </w:t>
            </w:r>
            <w:r>
              <w:t>7-1</w:t>
            </w:r>
            <w:r>
              <w:rPr>
                <w:rFonts w:hint="eastAsia"/>
              </w:rPr>
              <w:t>6水污染型建设项目评价等级判定地表水等级判定</w:t>
            </w:r>
          </w:p>
          <w:tbl>
            <w:tblPr>
              <w:tblStyle w:val="24"/>
              <w:tblW w:w="9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2284"/>
              <w:gridCol w:w="5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0" w:type="dxa"/>
                  <w:vMerge w:val="restart"/>
                  <w:noWrap/>
                  <w:vAlign w:val="center"/>
                </w:tcPr>
                <w:p>
                  <w:pPr>
                    <w:pStyle w:val="40"/>
                  </w:pPr>
                  <w:r>
                    <w:rPr>
                      <w:rFonts w:hint="eastAsia"/>
                    </w:rPr>
                    <w:t>评价等级</w:t>
                  </w:r>
                </w:p>
              </w:tc>
              <w:tc>
                <w:tcPr>
                  <w:tcW w:w="7434" w:type="dxa"/>
                  <w:gridSpan w:val="2"/>
                  <w:noWrap/>
                  <w:vAlign w:val="center"/>
                </w:tcPr>
                <w:p>
                  <w:pPr>
                    <w:pStyle w:val="40"/>
                  </w:pPr>
                  <w:r>
                    <w:rPr>
                      <w:rFonts w:hint="eastAsia"/>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0" w:type="dxa"/>
                  <w:vMerge w:val="continue"/>
                  <w:noWrap/>
                  <w:vAlign w:val="center"/>
                </w:tcPr>
                <w:p>
                  <w:pPr>
                    <w:pStyle w:val="40"/>
                  </w:pPr>
                </w:p>
              </w:tc>
              <w:tc>
                <w:tcPr>
                  <w:tcW w:w="2285" w:type="dxa"/>
                  <w:noWrap/>
                  <w:vAlign w:val="center"/>
                </w:tcPr>
                <w:p>
                  <w:pPr>
                    <w:pStyle w:val="40"/>
                  </w:pPr>
                  <w:r>
                    <w:rPr>
                      <w:rFonts w:hint="eastAsia"/>
                    </w:rPr>
                    <w:t>排放方式</w:t>
                  </w:r>
                </w:p>
              </w:tc>
              <w:tc>
                <w:tcPr>
                  <w:tcW w:w="5149" w:type="dxa"/>
                  <w:noWrap/>
                  <w:vAlign w:val="center"/>
                </w:tcPr>
                <w:p>
                  <w:pPr>
                    <w:pStyle w:val="40"/>
                  </w:pPr>
                  <w:r>
                    <w:rPr>
                      <w:rFonts w:hint="eastAsia"/>
                    </w:rPr>
                    <w:t xml:space="preserve">废水排放量 </w:t>
                  </w:r>
                  <w:r>
                    <w:t>Q/m3/d</w:t>
                  </w:r>
                  <w:r>
                    <w:rPr>
                      <w:rFonts w:hint="eastAsia"/>
                    </w:rPr>
                    <w:t xml:space="preserve">； </w:t>
                  </w:r>
                </w:p>
                <w:p>
                  <w:pPr>
                    <w:pStyle w:val="40"/>
                  </w:pPr>
                  <w:r>
                    <w:rPr>
                      <w:rFonts w:hint="eastAsia"/>
                    </w:rPr>
                    <w:t xml:space="preserve">水污染物当量数 </w:t>
                  </w:r>
                  <w:r>
                    <w:t>W/</w:t>
                  </w:r>
                  <w:r>
                    <w:rPr>
                      <w:rFonts w:hint="eastAsia"/>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0" w:type="dxa"/>
                  <w:noWrap/>
                  <w:vAlign w:val="center"/>
                </w:tcPr>
                <w:p>
                  <w:pPr>
                    <w:pStyle w:val="40"/>
                  </w:pPr>
                  <w:r>
                    <w:rPr>
                      <w:rFonts w:hint="eastAsia"/>
                    </w:rPr>
                    <w:t>一级</w:t>
                  </w:r>
                </w:p>
              </w:tc>
              <w:tc>
                <w:tcPr>
                  <w:tcW w:w="2280" w:type="dxa"/>
                  <w:noWrap/>
                  <w:vAlign w:val="center"/>
                </w:tcPr>
                <w:p>
                  <w:pPr>
                    <w:pStyle w:val="40"/>
                  </w:pPr>
                  <w:r>
                    <w:rPr>
                      <w:rFonts w:hint="eastAsia"/>
                    </w:rPr>
                    <w:t>直接排放</w:t>
                  </w:r>
                </w:p>
              </w:tc>
              <w:tc>
                <w:tcPr>
                  <w:tcW w:w="5154" w:type="dxa"/>
                  <w:noWrap/>
                  <w:vAlign w:val="center"/>
                </w:tcPr>
                <w:p>
                  <w:pPr>
                    <w:pStyle w:val="40"/>
                  </w:pPr>
                  <w:r>
                    <w:t xml:space="preserve">Q≥20000 </w:t>
                  </w:r>
                  <w:r>
                    <w:rPr>
                      <w:rFonts w:hint="eastAsia"/>
                    </w:rPr>
                    <w:t xml:space="preserve">或 </w:t>
                  </w:r>
                  <w:r>
                    <w:t>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0" w:type="dxa"/>
                  <w:noWrap/>
                  <w:vAlign w:val="center"/>
                </w:tcPr>
                <w:p>
                  <w:pPr>
                    <w:pStyle w:val="40"/>
                  </w:pPr>
                  <w:r>
                    <w:rPr>
                      <w:rFonts w:hint="eastAsia"/>
                    </w:rPr>
                    <w:t>二级</w:t>
                  </w:r>
                </w:p>
              </w:tc>
              <w:tc>
                <w:tcPr>
                  <w:tcW w:w="2280" w:type="dxa"/>
                  <w:noWrap/>
                  <w:vAlign w:val="center"/>
                </w:tcPr>
                <w:p>
                  <w:pPr>
                    <w:pStyle w:val="40"/>
                  </w:pPr>
                  <w:r>
                    <w:rPr>
                      <w:rFonts w:hint="eastAsia"/>
                    </w:rPr>
                    <w:t>直接排放</w:t>
                  </w:r>
                </w:p>
              </w:tc>
              <w:tc>
                <w:tcPr>
                  <w:tcW w:w="5154" w:type="dxa"/>
                  <w:noWrap/>
                  <w:vAlign w:val="center"/>
                </w:tcPr>
                <w:p>
                  <w:pPr>
                    <w:pStyle w:val="40"/>
                  </w:pPr>
                  <w:r>
                    <w:rPr>
                      <w:rFonts w:hint="eastAsia"/>
                    </w:rPr>
                    <w:t xml:space="preserve">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0" w:type="dxa"/>
                  <w:noWrap/>
                  <w:vAlign w:val="center"/>
                </w:tcPr>
                <w:p>
                  <w:pPr>
                    <w:pStyle w:val="40"/>
                  </w:pPr>
                  <w:r>
                    <w:rPr>
                      <w:rFonts w:hint="eastAsia"/>
                    </w:rPr>
                    <w:t>三级A</w:t>
                  </w:r>
                </w:p>
              </w:tc>
              <w:tc>
                <w:tcPr>
                  <w:tcW w:w="2280" w:type="dxa"/>
                  <w:noWrap/>
                  <w:vAlign w:val="center"/>
                </w:tcPr>
                <w:p>
                  <w:pPr>
                    <w:pStyle w:val="40"/>
                  </w:pPr>
                  <w:r>
                    <w:rPr>
                      <w:rFonts w:hint="eastAsia"/>
                    </w:rPr>
                    <w:t>直接排放</w:t>
                  </w:r>
                </w:p>
              </w:tc>
              <w:tc>
                <w:tcPr>
                  <w:tcW w:w="5154" w:type="dxa"/>
                  <w:noWrap/>
                  <w:vAlign w:val="center"/>
                </w:tcPr>
                <w:p>
                  <w:pPr>
                    <w:pStyle w:val="40"/>
                  </w:pPr>
                  <w:r>
                    <w:t>Q</w:t>
                  </w:r>
                  <w:r>
                    <w:rPr>
                      <w:rFonts w:hint="eastAsia"/>
                    </w:rPr>
                    <w:t>＜</w:t>
                  </w:r>
                  <w:r>
                    <w:t xml:space="preserve">200 </w:t>
                  </w:r>
                  <w:r>
                    <w:rPr>
                      <w:rFonts w:hint="eastAsia"/>
                    </w:rPr>
                    <w:t xml:space="preserve">且 </w:t>
                  </w:r>
                  <w:r>
                    <w:t>W</w:t>
                  </w:r>
                  <w:r>
                    <w:rPr>
                      <w:rFonts w:hint="eastAsia"/>
                    </w:rPr>
                    <w:t>＜</w:t>
                  </w:r>
                  <w: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0" w:type="dxa"/>
                  <w:noWrap/>
                  <w:vAlign w:val="center"/>
                </w:tcPr>
                <w:p>
                  <w:pPr>
                    <w:pStyle w:val="40"/>
                  </w:pPr>
                  <w:r>
                    <w:rPr>
                      <w:rFonts w:hint="eastAsia"/>
                    </w:rPr>
                    <w:t>三级B</w:t>
                  </w:r>
                </w:p>
              </w:tc>
              <w:tc>
                <w:tcPr>
                  <w:tcW w:w="2280" w:type="dxa"/>
                  <w:noWrap/>
                  <w:vAlign w:val="center"/>
                </w:tcPr>
                <w:p>
                  <w:pPr>
                    <w:pStyle w:val="40"/>
                  </w:pPr>
                  <w:r>
                    <w:rPr>
                      <w:rFonts w:hint="eastAsia"/>
                    </w:rPr>
                    <w:t>间接排放</w:t>
                  </w:r>
                </w:p>
              </w:tc>
              <w:tc>
                <w:tcPr>
                  <w:tcW w:w="5154" w:type="dxa"/>
                  <w:noWrap/>
                  <w:vAlign w:val="center"/>
                </w:tcPr>
                <w:p>
                  <w:pPr>
                    <w:pStyle w:val="40"/>
                  </w:pPr>
                  <w:r>
                    <w:rPr>
                      <w:rFonts w:hint="eastAsia"/>
                    </w:rPr>
                    <w:t>/</w:t>
                  </w:r>
                </w:p>
              </w:tc>
            </w:tr>
          </w:tbl>
          <w:p>
            <w:pPr>
              <w:pStyle w:val="5"/>
            </w:pPr>
            <w:r>
              <w:rPr>
                <w:rFonts w:hint="eastAsia"/>
              </w:rPr>
              <w:t>根据《环境影响评价技术导则地表水环境》（</w:t>
            </w:r>
            <w:r>
              <w:t>HJ2.3-2018</w:t>
            </w:r>
            <w:r>
              <w:rPr>
                <w:rFonts w:hint="eastAsia"/>
              </w:rPr>
              <w:t>）中5.3.2.2，</w:t>
            </w:r>
            <w:r>
              <w:t>三级B，其评价范围应符合以下要求：a) 应满足其依托污水处理设施环境可行性分析的要求；b) 涉及地表水环境风险的，应覆盖环境风险影响范围所及的水环境保护目标水域。</w:t>
            </w:r>
          </w:p>
          <w:p>
            <w:pPr>
              <w:pStyle w:val="5"/>
            </w:pPr>
            <w:r>
              <w:rPr>
                <w:rFonts w:hint="eastAsia"/>
              </w:rPr>
              <w:t>本项目不涉及地表水环境风险，因此，仅需要论证项目</w:t>
            </w:r>
            <w:r>
              <w:t>依托污水处理设施环境可行性分析的要求；</w:t>
            </w:r>
          </w:p>
          <w:p>
            <w:pPr>
              <w:pStyle w:val="5"/>
            </w:pPr>
            <w:r>
              <w:rPr>
                <w:rFonts w:hint="eastAsia"/>
              </w:rPr>
              <w:t>（一）淮南市</w:t>
            </w:r>
            <w:r>
              <w:rPr>
                <w:rFonts w:hint="eastAsia"/>
                <w:lang w:val="en-US" w:eastAsia="zh-CN"/>
              </w:rPr>
              <w:t>经济技术开发区</w:t>
            </w:r>
            <w:r>
              <w:rPr>
                <w:rFonts w:hint="eastAsia"/>
              </w:rPr>
              <w:t>污水</w:t>
            </w:r>
            <w:r>
              <w:rPr>
                <w:rFonts w:hint="eastAsia"/>
                <w:lang w:val="zh-CN"/>
              </w:rPr>
              <w:t>处理站依托性可行性分析</w:t>
            </w:r>
          </w:p>
          <w:p>
            <w:pPr>
              <w:pStyle w:val="5"/>
            </w:pPr>
            <w:r>
              <w:t>淮南</w:t>
            </w:r>
            <w:r>
              <w:rPr>
                <w:rFonts w:hint="eastAsia"/>
              </w:rPr>
              <w:t>市</w:t>
            </w:r>
            <w:r>
              <w:rPr>
                <w:rFonts w:hint="eastAsia"/>
                <w:lang w:val="en-US" w:eastAsia="zh-CN"/>
              </w:rPr>
              <w:t>经济技术开发区</w:t>
            </w:r>
            <w:r>
              <w:t>污水处理厂位于淮南</w:t>
            </w:r>
            <w:r>
              <w:rPr>
                <w:rFonts w:hint="eastAsia"/>
              </w:rPr>
              <w:t>市田家庵区</w:t>
            </w:r>
            <w:r>
              <w:rPr>
                <w:rFonts w:hint="eastAsia"/>
                <w:lang w:val="en-US" w:eastAsia="zh-CN"/>
              </w:rPr>
              <w:t>华兴路以东</w:t>
            </w:r>
            <w:r>
              <w:rPr>
                <w:rFonts w:hint="eastAsia"/>
              </w:rPr>
              <w:t>，</w:t>
            </w:r>
            <w:r>
              <w:rPr>
                <w:rFonts w:hint="eastAsia"/>
                <w:lang w:val="en-US" w:eastAsia="zh-CN"/>
              </w:rPr>
              <w:t>吉安路以南、长宁路以北、洛九路以西。</w:t>
            </w:r>
            <w:r>
              <w:t>日</w:t>
            </w:r>
            <w:r>
              <w:rPr>
                <w:rFonts w:hint="eastAsia"/>
              </w:rPr>
              <w:t>处理</w:t>
            </w:r>
            <w:r>
              <w:t>污水规模为</w:t>
            </w:r>
            <w:r>
              <w:rPr>
                <w:rFonts w:hint="eastAsia"/>
                <w:lang w:val="en-US" w:eastAsia="zh-CN"/>
              </w:rPr>
              <w:t>3</w:t>
            </w:r>
            <w:r>
              <w:rPr>
                <w:rFonts w:hint="eastAsia"/>
              </w:rPr>
              <w:t>万</w:t>
            </w:r>
            <w:r>
              <w:rPr>
                <w:rFonts w:hint="eastAsia"/>
                <w:lang w:val="en-US" w:eastAsia="zh-CN"/>
              </w:rPr>
              <w:t>吨废水</w:t>
            </w:r>
            <w:r>
              <w:t>，主要收水范围为</w:t>
            </w:r>
            <w:r>
              <w:rPr>
                <w:rFonts w:hint="eastAsia"/>
                <w:lang w:val="en-US" w:eastAsia="zh-CN"/>
              </w:rPr>
              <w:t>淮南市经济技术开发区的工业废水和生活污水及大通区的工业废水和生活污水（大通区的占10%）</w:t>
            </w:r>
            <w:r>
              <w:t>。项目所在地处于淮南</w:t>
            </w:r>
            <w:r>
              <w:rPr>
                <w:rFonts w:hint="eastAsia"/>
              </w:rPr>
              <w:t>市</w:t>
            </w:r>
            <w:r>
              <w:rPr>
                <w:rFonts w:hint="eastAsia"/>
                <w:lang w:val="en-US" w:eastAsia="zh-CN"/>
              </w:rPr>
              <w:t>经济技术开发区</w:t>
            </w:r>
            <w:r>
              <w:t>污水处理厂收水范围内，区域污水管网已经建成，生活污水可通过</w:t>
            </w:r>
            <w:r>
              <w:rPr>
                <w:rFonts w:hint="eastAsia"/>
                <w:lang w:val="en-US" w:eastAsia="zh-CN"/>
              </w:rPr>
              <w:t>园区</w:t>
            </w:r>
            <w:r>
              <w:t>污水管网进入淮南</w:t>
            </w:r>
            <w:r>
              <w:rPr>
                <w:rFonts w:hint="eastAsia"/>
                <w:lang w:val="en-US" w:eastAsia="zh-CN"/>
              </w:rPr>
              <w:t>经济技术开发区</w:t>
            </w:r>
            <w:r>
              <w:t>污水处理厂处理。目前污水处理厂运行情况良好，尾水达到《城镇污水处理厂排放标准》（JB18198-2002）表1中一级A标准排入淮河。</w:t>
            </w:r>
          </w:p>
          <w:p>
            <w:pPr>
              <w:pStyle w:val="5"/>
            </w:pPr>
            <w:r>
              <w:rPr>
                <w:rFonts w:hint="eastAsia"/>
              </w:rPr>
              <w:t>（二）水量、水质接管可能性</w:t>
            </w:r>
          </w:p>
          <w:p>
            <w:pPr>
              <w:pStyle w:val="5"/>
            </w:pPr>
            <w:r>
              <w:t>本项目排污量为</w:t>
            </w:r>
            <w:r>
              <w:rPr>
                <w:rFonts w:hint="eastAsia"/>
              </w:rPr>
              <w:t>102t/a</w:t>
            </w:r>
            <w:r>
              <w:t>，淮南</w:t>
            </w:r>
            <w:r>
              <w:rPr>
                <w:rFonts w:hint="eastAsia"/>
              </w:rPr>
              <w:t>市</w:t>
            </w:r>
            <w:r>
              <w:rPr>
                <w:rFonts w:hint="eastAsia"/>
                <w:lang w:val="en-US" w:eastAsia="zh-CN"/>
              </w:rPr>
              <w:t>经济技术开发区</w:t>
            </w:r>
            <w:r>
              <w:t>污水处理厂日</w:t>
            </w:r>
            <w:r>
              <w:rPr>
                <w:rFonts w:hint="eastAsia"/>
              </w:rPr>
              <w:t>处理</w:t>
            </w:r>
            <w:r>
              <w:t>污水规模为</w:t>
            </w:r>
            <w:r>
              <w:rPr>
                <w:rFonts w:hint="eastAsia"/>
                <w:lang w:val="en-US" w:eastAsia="zh-CN"/>
              </w:rPr>
              <w:t>3</w:t>
            </w:r>
            <w:r>
              <w:t>万</w:t>
            </w:r>
            <w:r>
              <w:rPr>
                <w:rFonts w:hint="eastAsia"/>
                <w:lang w:val="en-US" w:eastAsia="zh-CN"/>
              </w:rPr>
              <w:t>吨</w:t>
            </w:r>
            <w:r>
              <w:t>，水量不会对淮南</w:t>
            </w:r>
            <w:r>
              <w:rPr>
                <w:rFonts w:hint="eastAsia"/>
              </w:rPr>
              <w:t>市</w:t>
            </w:r>
            <w:r>
              <w:rPr>
                <w:rFonts w:hint="eastAsia"/>
                <w:lang w:val="en-US" w:eastAsia="zh-CN"/>
              </w:rPr>
              <w:t>经济技术开发区</w:t>
            </w:r>
            <w:r>
              <w:t>污水处理厂造成冲击。本项目污水经预处理后能达到《污水排入城镇下水道水质标准》（GB/T31962-2015）中B等级放标准，水质上不会对淮南</w:t>
            </w:r>
            <w:r>
              <w:rPr>
                <w:rFonts w:hint="eastAsia"/>
              </w:rPr>
              <w:t>市</w:t>
            </w:r>
            <w:r>
              <w:rPr>
                <w:rFonts w:hint="eastAsia"/>
                <w:lang w:val="en-US" w:eastAsia="zh-CN"/>
              </w:rPr>
              <w:t>经济技术开发区</w:t>
            </w:r>
            <w:r>
              <w:t>污水处理厂造成冲击。</w:t>
            </w:r>
          </w:p>
          <w:p>
            <w:pPr>
              <w:pStyle w:val="5"/>
            </w:pPr>
            <w:r>
              <w:t>因此，本项目废水对水环境影响较小。</w:t>
            </w:r>
          </w:p>
          <w:p>
            <w:pPr>
              <w:pStyle w:val="5"/>
            </w:pPr>
            <w:r>
              <w:rPr>
                <w:rFonts w:hint="eastAsia"/>
              </w:rPr>
              <w:t>（三）地表水环境影响评价自查表</w:t>
            </w:r>
          </w:p>
          <w:p>
            <w:pPr>
              <w:pStyle w:val="29"/>
              <w:spacing w:before="65" w:after="65"/>
            </w:pPr>
            <w:r>
              <w:t>表</w:t>
            </w:r>
            <w:r>
              <w:rPr>
                <w:rFonts w:hint="eastAsia"/>
              </w:rPr>
              <w:t>7-17</w:t>
            </w:r>
            <w:r>
              <w:t>地表水环境影响评价自查表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17"/>
              <w:gridCol w:w="1520"/>
              <w:gridCol w:w="1125"/>
              <w:gridCol w:w="363"/>
              <w:gridCol w:w="533"/>
              <w:gridCol w:w="447"/>
              <w:gridCol w:w="618"/>
              <w:gridCol w:w="617"/>
              <w:gridCol w:w="484"/>
              <w:gridCol w:w="73"/>
              <w:gridCol w:w="786"/>
              <w:gridCol w:w="134"/>
              <w:gridCol w:w="389"/>
              <w:gridCol w:w="14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2237" w:type="dxa"/>
                  <w:gridSpan w:val="2"/>
                  <w:tcBorders>
                    <w:bottom w:val="single" w:color="auto" w:sz="6" w:space="0"/>
                    <w:right w:val="single" w:color="auto" w:sz="6" w:space="0"/>
                  </w:tcBorders>
                  <w:noWrap/>
                  <w:vAlign w:val="center"/>
                </w:tcPr>
                <w:p>
                  <w:pPr>
                    <w:pStyle w:val="40"/>
                  </w:pPr>
                  <w:r>
                    <w:t>工作内容</w:t>
                  </w:r>
                </w:p>
              </w:tc>
              <w:tc>
                <w:tcPr>
                  <w:tcW w:w="7003" w:type="dxa"/>
                  <w:gridSpan w:val="12"/>
                  <w:tcBorders>
                    <w:left w:val="single" w:color="auto" w:sz="6" w:space="0"/>
                    <w:bottom w:val="single" w:color="auto" w:sz="6" w:space="0"/>
                  </w:tcBorders>
                  <w:noWrap/>
                  <w:vAlign w:val="center"/>
                </w:tcPr>
                <w:p>
                  <w:pPr>
                    <w:pStyle w:val="40"/>
                  </w:pPr>
                  <w:r>
                    <w:t>自查项目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restart"/>
                  <w:tcBorders>
                    <w:top w:val="single" w:color="auto" w:sz="6" w:space="0"/>
                    <w:bottom w:val="single" w:color="auto" w:sz="6" w:space="0"/>
                    <w:right w:val="single" w:color="auto" w:sz="6" w:space="0"/>
                  </w:tcBorders>
                  <w:noWrap/>
                  <w:vAlign w:val="center"/>
                </w:tcPr>
                <w:p>
                  <w:pPr>
                    <w:pStyle w:val="40"/>
                  </w:pPr>
                  <w:r>
                    <w:t>影响识别</w:t>
                  </w: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影响类型</w:t>
                  </w:r>
                </w:p>
              </w:tc>
              <w:tc>
                <w:tcPr>
                  <w:tcW w:w="7003" w:type="dxa"/>
                  <w:gridSpan w:val="12"/>
                  <w:tcBorders>
                    <w:top w:val="single" w:color="auto" w:sz="6" w:space="0"/>
                    <w:left w:val="single" w:color="auto" w:sz="6" w:space="0"/>
                    <w:bottom w:val="single" w:color="auto" w:sz="6" w:space="0"/>
                  </w:tcBorders>
                  <w:noWrap/>
                  <w:vAlign w:val="center"/>
                </w:tcPr>
                <w:p>
                  <w:pPr>
                    <w:pStyle w:val="40"/>
                    <w:rPr>
                      <w:rFonts w:hint="eastAsia" w:eastAsia="新宋体"/>
                      <w:lang w:eastAsia="zh-CN"/>
                    </w:rPr>
                  </w:pPr>
                  <w:r>
                    <w:t xml:space="preserve">水污染影响型 </w:t>
                  </w:r>
                  <w:r>
                    <w:rPr/>
                    <w:sym w:font="Wingdings 2" w:char="0052"/>
                  </w:r>
                  <w:r>
                    <w:t xml:space="preserve">；水文要素影响型 </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水环境保护目标</w:t>
                  </w:r>
                </w:p>
              </w:tc>
              <w:tc>
                <w:tcPr>
                  <w:tcW w:w="7003" w:type="dxa"/>
                  <w:gridSpan w:val="12"/>
                  <w:tcBorders>
                    <w:top w:val="single" w:color="auto" w:sz="6" w:space="0"/>
                    <w:left w:val="single" w:color="auto" w:sz="6" w:space="0"/>
                    <w:bottom w:val="single" w:color="auto" w:sz="6" w:space="0"/>
                  </w:tcBorders>
                  <w:noWrap/>
                  <w:vAlign w:val="center"/>
                </w:tcPr>
                <w:p>
                  <w:pPr>
                    <w:pStyle w:val="40"/>
                  </w:pPr>
                  <w:r>
                    <w:t xml:space="preserve">饮用水水源保护区 □；饮用水取水口 □；涉水的自然保护区 </w:t>
                  </w:r>
                  <w:r>
                    <w:rPr>
                      <w:rFonts w:hint="eastAsia"/>
                      <w:lang w:eastAsia="zh-CN"/>
                    </w:rPr>
                    <w:t>□</w:t>
                  </w:r>
                  <w:r>
                    <w:t>；重要湿地 □；</w:t>
                  </w:r>
                  <w:r>
                    <w:br w:type="textWrapping"/>
                  </w:r>
                  <w:r>
                    <w:t xml:space="preserve">重点保护与珍稀水生生物的栖息地 □；重要水生生物的自然产卵场及索饵场、越冬场和洄游通道、天然渔场等渔业水体 □；涉水的风景名胜区 □；其他 </w:t>
                  </w:r>
                  <w:r>
                    <w:rPr/>
                    <w:sym w:font="Wingdings 2" w:char="0052"/>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restart"/>
                  <w:tcBorders>
                    <w:top w:val="single" w:color="auto" w:sz="6" w:space="0"/>
                    <w:left w:val="single" w:color="auto" w:sz="6" w:space="0"/>
                    <w:bottom w:val="single" w:color="auto" w:sz="6" w:space="0"/>
                    <w:right w:val="single" w:color="auto" w:sz="6" w:space="0"/>
                  </w:tcBorders>
                  <w:noWrap/>
                  <w:vAlign w:val="center"/>
                </w:tcPr>
                <w:p>
                  <w:pPr>
                    <w:pStyle w:val="40"/>
                  </w:pPr>
                  <w:r>
                    <w:t>影响途径</w:t>
                  </w:r>
                </w:p>
              </w:tc>
              <w:tc>
                <w:tcPr>
                  <w:tcW w:w="3086"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水污染影响型</w:t>
                  </w:r>
                </w:p>
              </w:tc>
              <w:tc>
                <w:tcPr>
                  <w:tcW w:w="3917" w:type="dxa"/>
                  <w:gridSpan w:val="7"/>
                  <w:tcBorders>
                    <w:top w:val="single" w:color="auto" w:sz="6" w:space="0"/>
                    <w:left w:val="single" w:color="auto" w:sz="6" w:space="0"/>
                    <w:bottom w:val="single" w:color="auto" w:sz="6" w:space="0"/>
                  </w:tcBorders>
                  <w:noWrap/>
                  <w:vAlign w:val="center"/>
                </w:tcPr>
                <w:p>
                  <w:pPr>
                    <w:pStyle w:val="40"/>
                  </w:pPr>
                  <w:r>
                    <w:t>水文要素影响型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continue"/>
                  <w:tcBorders>
                    <w:top w:val="single" w:color="auto" w:sz="6" w:space="0"/>
                    <w:left w:val="single" w:color="auto" w:sz="6" w:space="0"/>
                    <w:bottom w:val="single" w:color="auto" w:sz="6" w:space="0"/>
                    <w:right w:val="single" w:color="auto" w:sz="6" w:space="0"/>
                  </w:tcBorders>
                  <w:noWrap/>
                  <w:vAlign w:val="center"/>
                </w:tcPr>
                <w:p>
                  <w:pPr>
                    <w:pStyle w:val="40"/>
                  </w:pPr>
                </w:p>
              </w:tc>
              <w:tc>
                <w:tcPr>
                  <w:tcW w:w="3086"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 xml:space="preserve">直接排放 □；间接排放 □；其他 </w:t>
                  </w:r>
                  <w:r>
                    <w:rPr/>
                    <w:sym w:font="Wingdings 2" w:char="0052"/>
                  </w:r>
                </w:p>
              </w:tc>
              <w:tc>
                <w:tcPr>
                  <w:tcW w:w="3917" w:type="dxa"/>
                  <w:gridSpan w:val="7"/>
                  <w:tcBorders>
                    <w:top w:val="single" w:color="auto" w:sz="6" w:space="0"/>
                    <w:left w:val="single" w:color="auto" w:sz="6" w:space="0"/>
                    <w:bottom w:val="single" w:color="auto" w:sz="6" w:space="0"/>
                  </w:tcBorders>
                  <w:noWrap/>
                  <w:vAlign w:val="center"/>
                </w:tcPr>
                <w:p>
                  <w:pPr>
                    <w:pStyle w:val="40"/>
                  </w:pPr>
                  <w:r>
                    <w:t>水温 □；径流 □；水域面积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影响因子</w:t>
                  </w:r>
                </w:p>
              </w:tc>
              <w:tc>
                <w:tcPr>
                  <w:tcW w:w="3086" w:type="dxa"/>
                  <w:gridSpan w:val="5"/>
                  <w:tcBorders>
                    <w:top w:val="single" w:color="auto" w:sz="6" w:space="0"/>
                    <w:left w:val="single" w:color="auto" w:sz="6" w:space="0"/>
                    <w:bottom w:val="single" w:color="auto" w:sz="6" w:space="0"/>
                    <w:right w:val="single" w:color="auto" w:sz="6" w:space="0"/>
                  </w:tcBorders>
                  <w:noWrap/>
                  <w:vAlign w:val="center"/>
                </w:tcPr>
                <w:p>
                  <w:pPr>
                    <w:pStyle w:val="40"/>
                    <w:rPr>
                      <w:rFonts w:hint="eastAsia" w:eastAsia="新宋体"/>
                      <w:lang w:eastAsia="zh-CN"/>
                    </w:rPr>
                  </w:pPr>
                  <w:r>
                    <w:t>持久性污染物 □；有毒有害污染物 □；非持久性污染物</w:t>
                  </w:r>
                  <w:r>
                    <w:rPr/>
                    <w:sym w:font="Wingdings 2" w:char="0052"/>
                  </w:r>
                  <w:r>
                    <w:t>；pH值 □；热污染 □；富营养化 □；其他</w:t>
                  </w:r>
                  <w:r>
                    <w:rPr>
                      <w:rFonts w:hint="eastAsia"/>
                      <w:lang w:eastAsia="zh-CN"/>
                    </w:rPr>
                    <w:t>□</w:t>
                  </w:r>
                </w:p>
              </w:tc>
              <w:tc>
                <w:tcPr>
                  <w:tcW w:w="3917" w:type="dxa"/>
                  <w:gridSpan w:val="7"/>
                  <w:tcBorders>
                    <w:top w:val="single" w:color="auto" w:sz="6" w:space="0"/>
                    <w:left w:val="single" w:color="auto" w:sz="6" w:space="0"/>
                    <w:bottom w:val="single" w:color="auto" w:sz="6" w:space="0"/>
                  </w:tcBorders>
                  <w:noWrap/>
                  <w:vAlign w:val="center"/>
                </w:tcPr>
                <w:p>
                  <w:pPr>
                    <w:pStyle w:val="40"/>
                  </w:pPr>
                  <w:r>
                    <w:t>水温 □；水位（水深） □；流速 □；流量 □；其他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237" w:type="dxa"/>
                  <w:gridSpan w:val="2"/>
                  <w:vMerge w:val="restart"/>
                  <w:tcBorders>
                    <w:top w:val="single" w:color="auto" w:sz="6" w:space="0"/>
                    <w:bottom w:val="single" w:color="auto" w:sz="6" w:space="0"/>
                    <w:right w:val="single" w:color="auto" w:sz="6" w:space="0"/>
                  </w:tcBorders>
                  <w:noWrap/>
                  <w:vAlign w:val="center"/>
                </w:tcPr>
                <w:p>
                  <w:pPr>
                    <w:pStyle w:val="40"/>
                  </w:pPr>
                  <w:r>
                    <w:t>评价等级</w:t>
                  </w:r>
                </w:p>
              </w:tc>
              <w:tc>
                <w:tcPr>
                  <w:tcW w:w="3086"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水污染影响型</w:t>
                  </w:r>
                </w:p>
              </w:tc>
              <w:tc>
                <w:tcPr>
                  <w:tcW w:w="3917" w:type="dxa"/>
                  <w:gridSpan w:val="7"/>
                  <w:tcBorders>
                    <w:top w:val="single" w:color="auto" w:sz="6" w:space="0"/>
                    <w:left w:val="single" w:color="auto" w:sz="6" w:space="0"/>
                    <w:bottom w:val="single" w:color="auto" w:sz="6" w:space="0"/>
                  </w:tcBorders>
                  <w:noWrap/>
                  <w:vAlign w:val="center"/>
                </w:tcPr>
                <w:p>
                  <w:pPr>
                    <w:pStyle w:val="40"/>
                  </w:pPr>
                  <w:r>
                    <w:t>水文要素影响型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237" w:type="dxa"/>
                  <w:gridSpan w:val="2"/>
                  <w:vMerge w:val="continue"/>
                  <w:tcBorders>
                    <w:top w:val="single" w:color="auto" w:sz="6" w:space="0"/>
                    <w:bottom w:val="single" w:color="auto" w:sz="6" w:space="0"/>
                    <w:right w:val="single" w:color="auto" w:sz="6" w:space="0"/>
                  </w:tcBorders>
                  <w:noWrap/>
                  <w:vAlign w:val="center"/>
                </w:tcPr>
                <w:p>
                  <w:pPr>
                    <w:pStyle w:val="40"/>
                  </w:pPr>
                </w:p>
              </w:tc>
              <w:tc>
                <w:tcPr>
                  <w:tcW w:w="3086"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 xml:space="preserve">一级 □；二级 □；三级A □；三级B </w:t>
                  </w:r>
                  <w:r>
                    <w:rPr/>
                    <w:sym w:font="Wingdings 2" w:char="0052"/>
                  </w:r>
                </w:p>
              </w:tc>
              <w:tc>
                <w:tcPr>
                  <w:tcW w:w="3917" w:type="dxa"/>
                  <w:gridSpan w:val="7"/>
                  <w:tcBorders>
                    <w:top w:val="single" w:color="auto" w:sz="6" w:space="0"/>
                    <w:left w:val="single" w:color="auto" w:sz="6" w:space="0"/>
                    <w:bottom w:val="single" w:color="auto" w:sz="6" w:space="0"/>
                  </w:tcBorders>
                  <w:noWrap/>
                  <w:vAlign w:val="center"/>
                </w:tcPr>
                <w:p>
                  <w:pPr>
                    <w:pStyle w:val="40"/>
                  </w:pPr>
                  <w:r>
                    <w:t>一级 □；二级 □；三级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restart"/>
                  <w:tcBorders>
                    <w:top w:val="single" w:color="auto" w:sz="6" w:space="0"/>
                    <w:bottom w:val="single" w:color="auto" w:sz="6" w:space="0"/>
                    <w:right w:val="single" w:color="auto" w:sz="6" w:space="0"/>
                  </w:tcBorders>
                  <w:noWrap/>
                  <w:vAlign w:val="center"/>
                </w:tcPr>
                <w:p>
                  <w:pPr>
                    <w:pStyle w:val="40"/>
                  </w:pPr>
                  <w:r>
                    <w:t>现状调查</w:t>
                  </w:r>
                </w:p>
              </w:tc>
              <w:tc>
                <w:tcPr>
                  <w:tcW w:w="1520" w:type="dxa"/>
                  <w:vMerge w:val="restart"/>
                  <w:tcBorders>
                    <w:top w:val="single" w:color="auto" w:sz="6" w:space="0"/>
                    <w:left w:val="single" w:color="auto" w:sz="6" w:space="0"/>
                    <w:bottom w:val="single" w:color="auto" w:sz="6" w:space="0"/>
                    <w:right w:val="single" w:color="auto" w:sz="6" w:space="0"/>
                  </w:tcBorders>
                  <w:noWrap/>
                  <w:vAlign w:val="center"/>
                </w:tcPr>
                <w:p>
                  <w:pPr>
                    <w:pStyle w:val="40"/>
                  </w:pPr>
                  <w:r>
                    <w:t>区域污染源</w:t>
                  </w:r>
                </w:p>
              </w:tc>
              <w:tc>
                <w:tcPr>
                  <w:tcW w:w="3086"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调查项目</w:t>
                  </w:r>
                </w:p>
              </w:tc>
              <w:tc>
                <w:tcPr>
                  <w:tcW w:w="3917" w:type="dxa"/>
                  <w:gridSpan w:val="7"/>
                  <w:tcBorders>
                    <w:top w:val="single" w:color="auto" w:sz="6" w:space="0"/>
                    <w:left w:val="single" w:color="auto" w:sz="6" w:space="0"/>
                    <w:bottom w:val="single" w:color="auto" w:sz="6" w:space="0"/>
                  </w:tcBorders>
                  <w:noWrap/>
                  <w:vAlign w:val="center"/>
                </w:tcPr>
                <w:p>
                  <w:pPr>
                    <w:pStyle w:val="40"/>
                  </w:pPr>
                  <w:r>
                    <w:t>数据来源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continue"/>
                  <w:tcBorders>
                    <w:top w:val="single" w:color="auto" w:sz="6" w:space="0"/>
                    <w:left w:val="single" w:color="auto" w:sz="6" w:space="0"/>
                    <w:bottom w:val="single" w:color="auto" w:sz="6" w:space="0"/>
                    <w:right w:val="single" w:color="auto" w:sz="6" w:space="0"/>
                  </w:tcBorders>
                  <w:noWrap/>
                  <w:vAlign w:val="center"/>
                </w:tcPr>
                <w:p>
                  <w:pPr>
                    <w:pStyle w:val="40"/>
                  </w:pPr>
                </w:p>
              </w:tc>
              <w:tc>
                <w:tcPr>
                  <w:tcW w:w="1488" w:type="dxa"/>
                  <w:gridSpan w:val="2"/>
                  <w:tcBorders>
                    <w:top w:val="single" w:color="auto" w:sz="6" w:space="0"/>
                    <w:left w:val="single" w:color="auto" w:sz="6" w:space="0"/>
                    <w:bottom w:val="single" w:color="auto" w:sz="6" w:space="0"/>
                    <w:right w:val="single" w:color="auto" w:sz="6" w:space="0"/>
                  </w:tcBorders>
                  <w:noWrap/>
                  <w:vAlign w:val="center"/>
                </w:tcPr>
                <w:p>
                  <w:pPr>
                    <w:pStyle w:val="40"/>
                  </w:pPr>
                  <w:r>
                    <w:t>已建 □；在建 □；拟建 □；其他 □</w:t>
                  </w:r>
                </w:p>
              </w:tc>
              <w:tc>
                <w:tcPr>
                  <w:tcW w:w="1598" w:type="dxa"/>
                  <w:gridSpan w:val="3"/>
                  <w:tcBorders>
                    <w:top w:val="single" w:color="auto" w:sz="6" w:space="0"/>
                    <w:left w:val="single" w:color="auto" w:sz="6" w:space="0"/>
                    <w:bottom w:val="single" w:color="auto" w:sz="6" w:space="0"/>
                    <w:right w:val="single" w:color="auto" w:sz="6" w:space="0"/>
                  </w:tcBorders>
                  <w:noWrap/>
                  <w:vAlign w:val="center"/>
                </w:tcPr>
                <w:p>
                  <w:pPr>
                    <w:pStyle w:val="40"/>
                  </w:pPr>
                  <w:r>
                    <w:t>拟替代的污染源 □</w:t>
                  </w:r>
                </w:p>
              </w:tc>
              <w:tc>
                <w:tcPr>
                  <w:tcW w:w="3917" w:type="dxa"/>
                  <w:gridSpan w:val="7"/>
                  <w:tcBorders>
                    <w:top w:val="single" w:color="auto" w:sz="6" w:space="0"/>
                    <w:left w:val="single" w:color="auto" w:sz="6" w:space="0"/>
                    <w:bottom w:val="single" w:color="auto" w:sz="6" w:space="0"/>
                  </w:tcBorders>
                  <w:noWrap/>
                  <w:vAlign w:val="center"/>
                </w:tcPr>
                <w:p>
                  <w:pPr>
                    <w:pStyle w:val="40"/>
                  </w:pPr>
                  <w:r>
                    <w:t xml:space="preserve">排污许可证 □；环评 □；环保验收 </w:t>
                  </w:r>
                  <w:r>
                    <w:rPr/>
                    <w:sym w:font="Wingdings 2" w:char="00A3"/>
                  </w:r>
                  <w:r>
                    <w:t xml:space="preserve">；既有实测 □；现场监测 □；入河排放口数据 □；其他 </w:t>
                  </w:r>
                  <w:r>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restart"/>
                  <w:tcBorders>
                    <w:top w:val="single" w:color="auto" w:sz="6" w:space="0"/>
                    <w:left w:val="single" w:color="auto" w:sz="6" w:space="0"/>
                    <w:bottom w:val="single" w:color="auto" w:sz="6" w:space="0"/>
                    <w:right w:val="single" w:color="auto" w:sz="6" w:space="0"/>
                  </w:tcBorders>
                  <w:noWrap/>
                  <w:vAlign w:val="center"/>
                </w:tcPr>
                <w:p>
                  <w:pPr>
                    <w:pStyle w:val="40"/>
                  </w:pPr>
                  <w:r>
                    <w:t>受影响水体水环境质量　</w:t>
                  </w:r>
                </w:p>
              </w:tc>
              <w:tc>
                <w:tcPr>
                  <w:tcW w:w="3086"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调查时期</w:t>
                  </w:r>
                </w:p>
              </w:tc>
              <w:tc>
                <w:tcPr>
                  <w:tcW w:w="3917" w:type="dxa"/>
                  <w:gridSpan w:val="7"/>
                  <w:tcBorders>
                    <w:top w:val="single" w:color="auto" w:sz="6" w:space="0"/>
                    <w:left w:val="single" w:color="auto" w:sz="6" w:space="0"/>
                    <w:bottom w:val="single" w:color="auto" w:sz="6" w:space="0"/>
                  </w:tcBorders>
                  <w:noWrap/>
                  <w:vAlign w:val="center"/>
                </w:tcPr>
                <w:p>
                  <w:pPr>
                    <w:pStyle w:val="40"/>
                  </w:pPr>
                  <w:r>
                    <w:t>数据来源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continue"/>
                  <w:tcBorders>
                    <w:top w:val="single" w:color="auto" w:sz="6" w:space="0"/>
                    <w:left w:val="single" w:color="auto" w:sz="6" w:space="0"/>
                    <w:bottom w:val="single" w:color="auto" w:sz="6" w:space="0"/>
                    <w:right w:val="single" w:color="auto" w:sz="6" w:space="0"/>
                  </w:tcBorders>
                  <w:noWrap/>
                  <w:vAlign w:val="center"/>
                </w:tcPr>
                <w:p>
                  <w:pPr>
                    <w:pStyle w:val="40"/>
                  </w:pPr>
                </w:p>
              </w:tc>
              <w:tc>
                <w:tcPr>
                  <w:tcW w:w="3086"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丰水期 □；平水期 □；枯水期 □；冰封期 □</w:t>
                  </w:r>
                  <w:r>
                    <w:br w:type="textWrapping"/>
                  </w:r>
                  <w:r>
                    <w:t>春季 □；夏季 □；秋季 □；冬季 □</w:t>
                  </w:r>
                </w:p>
              </w:tc>
              <w:tc>
                <w:tcPr>
                  <w:tcW w:w="3917" w:type="dxa"/>
                  <w:gridSpan w:val="7"/>
                  <w:tcBorders>
                    <w:top w:val="single" w:color="auto" w:sz="6" w:space="0"/>
                    <w:left w:val="single" w:color="auto" w:sz="6" w:space="0"/>
                    <w:bottom w:val="single" w:color="auto" w:sz="6" w:space="0"/>
                  </w:tcBorders>
                  <w:noWrap/>
                  <w:vAlign w:val="center"/>
                </w:tcPr>
                <w:p>
                  <w:pPr>
                    <w:pStyle w:val="40"/>
                  </w:pPr>
                  <w:r>
                    <w:t xml:space="preserve">生态环境保护主管部门 □；补充监测 □；其他 </w:t>
                  </w:r>
                  <w:r>
                    <w:rPr/>
                    <w:sym w:font="Wingdings 2" w:char="0052"/>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区域水资源开发利用状况</w:t>
                  </w:r>
                </w:p>
              </w:tc>
              <w:tc>
                <w:tcPr>
                  <w:tcW w:w="7003" w:type="dxa"/>
                  <w:gridSpan w:val="12"/>
                  <w:tcBorders>
                    <w:top w:val="single" w:color="auto" w:sz="6" w:space="0"/>
                    <w:left w:val="single" w:color="auto" w:sz="6" w:space="0"/>
                    <w:bottom w:val="single" w:color="auto" w:sz="6" w:space="0"/>
                  </w:tcBorders>
                  <w:noWrap/>
                  <w:vAlign w:val="center"/>
                </w:tcPr>
                <w:p>
                  <w:pPr>
                    <w:pStyle w:val="40"/>
                  </w:pPr>
                  <w:r>
                    <w:t>未开发 □；开发量40%以下 □；开发量40%以上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restart"/>
                  <w:tcBorders>
                    <w:top w:val="single" w:color="auto" w:sz="6" w:space="0"/>
                    <w:left w:val="single" w:color="auto" w:sz="6" w:space="0"/>
                    <w:bottom w:val="single" w:color="auto" w:sz="6" w:space="0"/>
                    <w:right w:val="single" w:color="auto" w:sz="6" w:space="0"/>
                  </w:tcBorders>
                  <w:noWrap/>
                  <w:vAlign w:val="center"/>
                </w:tcPr>
                <w:p>
                  <w:pPr>
                    <w:pStyle w:val="40"/>
                  </w:pPr>
                  <w:r>
                    <w:t>水文情势调查　</w:t>
                  </w:r>
                </w:p>
              </w:tc>
              <w:tc>
                <w:tcPr>
                  <w:tcW w:w="3086"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调查时期</w:t>
                  </w:r>
                </w:p>
              </w:tc>
              <w:tc>
                <w:tcPr>
                  <w:tcW w:w="3917" w:type="dxa"/>
                  <w:gridSpan w:val="7"/>
                  <w:tcBorders>
                    <w:top w:val="single" w:color="auto" w:sz="6" w:space="0"/>
                    <w:left w:val="single" w:color="auto" w:sz="6" w:space="0"/>
                    <w:bottom w:val="single" w:color="auto" w:sz="6" w:space="0"/>
                  </w:tcBorders>
                  <w:noWrap/>
                  <w:vAlign w:val="center"/>
                </w:tcPr>
                <w:p>
                  <w:pPr>
                    <w:pStyle w:val="40"/>
                  </w:pPr>
                  <w:r>
                    <w:t>数据来源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continue"/>
                  <w:tcBorders>
                    <w:top w:val="single" w:color="auto" w:sz="6" w:space="0"/>
                    <w:left w:val="single" w:color="auto" w:sz="6" w:space="0"/>
                    <w:bottom w:val="single" w:color="auto" w:sz="6" w:space="0"/>
                    <w:right w:val="single" w:color="auto" w:sz="6" w:space="0"/>
                  </w:tcBorders>
                  <w:noWrap/>
                  <w:vAlign w:val="center"/>
                </w:tcPr>
                <w:p>
                  <w:pPr>
                    <w:pStyle w:val="40"/>
                  </w:pPr>
                </w:p>
              </w:tc>
              <w:tc>
                <w:tcPr>
                  <w:tcW w:w="3086"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丰水期 □；平水期 □；枯水期 □；冰封期 □</w:t>
                  </w:r>
                  <w:r>
                    <w:br w:type="textWrapping"/>
                  </w:r>
                  <w:r>
                    <w:t>春季 □；夏季 □；秋季 □；冬季 □</w:t>
                  </w:r>
                </w:p>
              </w:tc>
              <w:tc>
                <w:tcPr>
                  <w:tcW w:w="3917" w:type="dxa"/>
                  <w:gridSpan w:val="7"/>
                  <w:tcBorders>
                    <w:top w:val="single" w:color="auto" w:sz="6" w:space="0"/>
                    <w:left w:val="single" w:color="auto" w:sz="6" w:space="0"/>
                    <w:bottom w:val="single" w:color="auto" w:sz="6" w:space="0"/>
                  </w:tcBorders>
                  <w:noWrap/>
                  <w:vAlign w:val="center"/>
                </w:tcPr>
                <w:p>
                  <w:pPr>
                    <w:pStyle w:val="40"/>
                  </w:pPr>
                  <w:r>
                    <w:t>水行政主管部门 □；补充监测 □；其他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restart"/>
                  <w:tcBorders>
                    <w:top w:val="single" w:color="auto" w:sz="6" w:space="0"/>
                    <w:left w:val="single" w:color="auto" w:sz="6" w:space="0"/>
                    <w:bottom w:val="single" w:color="auto" w:sz="6" w:space="0"/>
                    <w:right w:val="single" w:color="auto" w:sz="6" w:space="0"/>
                  </w:tcBorders>
                  <w:noWrap/>
                  <w:vAlign w:val="center"/>
                </w:tcPr>
                <w:p>
                  <w:pPr>
                    <w:pStyle w:val="40"/>
                  </w:pPr>
                  <w:r>
                    <w:t>补充监测　</w:t>
                  </w:r>
                </w:p>
              </w:tc>
              <w:tc>
                <w:tcPr>
                  <w:tcW w:w="3086"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监测时期</w:t>
                  </w:r>
                </w:p>
              </w:tc>
              <w:tc>
                <w:tcPr>
                  <w:tcW w:w="2094"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监测因子</w:t>
                  </w:r>
                </w:p>
              </w:tc>
              <w:tc>
                <w:tcPr>
                  <w:tcW w:w="1823" w:type="dxa"/>
                  <w:gridSpan w:val="2"/>
                  <w:tcBorders>
                    <w:top w:val="single" w:color="auto" w:sz="6" w:space="0"/>
                    <w:left w:val="single" w:color="auto" w:sz="6" w:space="0"/>
                    <w:bottom w:val="single" w:color="auto" w:sz="6" w:space="0"/>
                  </w:tcBorders>
                  <w:noWrap/>
                  <w:vAlign w:val="center"/>
                </w:tcPr>
                <w:p>
                  <w:pPr>
                    <w:pStyle w:val="40"/>
                  </w:pPr>
                  <w:r>
                    <w:t>监测断面或点位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continue"/>
                  <w:tcBorders>
                    <w:top w:val="single" w:color="auto" w:sz="6" w:space="0"/>
                    <w:left w:val="single" w:color="auto" w:sz="6" w:space="0"/>
                    <w:bottom w:val="single" w:color="auto" w:sz="6" w:space="0"/>
                    <w:right w:val="single" w:color="auto" w:sz="6" w:space="0"/>
                  </w:tcBorders>
                  <w:noWrap/>
                  <w:vAlign w:val="center"/>
                </w:tcPr>
                <w:p>
                  <w:pPr>
                    <w:pStyle w:val="40"/>
                  </w:pPr>
                </w:p>
              </w:tc>
              <w:tc>
                <w:tcPr>
                  <w:tcW w:w="3086"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丰水期 □；平水期 □；枯水期 □；冰封期 □</w:t>
                  </w:r>
                  <w:r>
                    <w:br w:type="textWrapping"/>
                  </w:r>
                  <w:r>
                    <w:t>春季 □；夏季 □；秋季 □；冬季 □</w:t>
                  </w:r>
                </w:p>
              </w:tc>
              <w:tc>
                <w:tcPr>
                  <w:tcW w:w="2094"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   ）</w:t>
                  </w:r>
                </w:p>
              </w:tc>
              <w:tc>
                <w:tcPr>
                  <w:tcW w:w="1823" w:type="dxa"/>
                  <w:gridSpan w:val="2"/>
                  <w:tcBorders>
                    <w:top w:val="single" w:color="auto" w:sz="6" w:space="0"/>
                    <w:left w:val="single" w:color="auto" w:sz="6" w:space="0"/>
                    <w:bottom w:val="single" w:color="auto" w:sz="6" w:space="0"/>
                  </w:tcBorders>
                  <w:noWrap/>
                  <w:vAlign w:val="center"/>
                </w:tcPr>
                <w:p>
                  <w:pPr>
                    <w:pStyle w:val="40"/>
                  </w:pPr>
                  <w:r>
                    <w:t>监测断面或点位个数（   ）个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restart"/>
                  <w:tcBorders>
                    <w:top w:val="single" w:color="auto" w:sz="6" w:space="0"/>
                    <w:bottom w:val="single" w:color="auto" w:sz="6" w:space="0"/>
                    <w:right w:val="single" w:color="auto" w:sz="6" w:space="0"/>
                  </w:tcBorders>
                  <w:noWrap/>
                  <w:vAlign w:val="center"/>
                </w:tcPr>
                <w:p>
                  <w:pPr>
                    <w:pStyle w:val="40"/>
                  </w:pPr>
                  <w:r>
                    <w:t>现状评价</w:t>
                  </w: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评价范围</w:t>
                  </w:r>
                </w:p>
              </w:tc>
              <w:tc>
                <w:tcPr>
                  <w:tcW w:w="7003" w:type="dxa"/>
                  <w:gridSpan w:val="12"/>
                  <w:tcBorders>
                    <w:top w:val="single" w:color="auto" w:sz="6" w:space="0"/>
                    <w:left w:val="single" w:color="auto" w:sz="6" w:space="0"/>
                    <w:bottom w:val="single" w:color="auto" w:sz="6" w:space="0"/>
                  </w:tcBorders>
                  <w:noWrap/>
                  <w:vAlign w:val="center"/>
                </w:tcPr>
                <w:p>
                  <w:pPr>
                    <w:pStyle w:val="40"/>
                  </w:pPr>
                  <w:r>
                    <w:t>河流：长度（</w:t>
                  </w:r>
                  <w:r>
                    <w:rPr>
                      <w:rFonts w:hint="eastAsia"/>
                    </w:rPr>
                    <w:t>2.5</w:t>
                  </w:r>
                  <w:r>
                    <w:t>）km；湖库、河口及近岸海域：面积（   ）km2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评价因子</w:t>
                  </w:r>
                </w:p>
              </w:tc>
              <w:tc>
                <w:tcPr>
                  <w:tcW w:w="7003" w:type="dxa"/>
                  <w:gridSpan w:val="12"/>
                  <w:tcBorders>
                    <w:top w:val="single" w:color="auto" w:sz="6" w:space="0"/>
                    <w:left w:val="single" w:color="auto" w:sz="6" w:space="0"/>
                    <w:bottom w:val="single" w:color="auto" w:sz="6" w:space="0"/>
                  </w:tcBorders>
                  <w:noWrap/>
                  <w:vAlign w:val="center"/>
                </w:tcPr>
                <w:p>
                  <w:pPr>
                    <w:pStyle w:val="40"/>
                  </w:pPr>
                  <w:r>
                    <w:t>（</w:t>
                  </w:r>
                  <w:r>
                    <w:rPr>
                      <w:rFonts w:hint="eastAsia"/>
                    </w:rPr>
                    <w:t>pH、CODcr、BOD5、NH3-N、TP</w:t>
                  </w:r>
                  <w: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评价标准</w:t>
                  </w:r>
                </w:p>
              </w:tc>
              <w:tc>
                <w:tcPr>
                  <w:tcW w:w="7003" w:type="dxa"/>
                  <w:gridSpan w:val="12"/>
                  <w:tcBorders>
                    <w:top w:val="single" w:color="auto" w:sz="6" w:space="0"/>
                    <w:left w:val="single" w:color="auto" w:sz="6" w:space="0"/>
                    <w:bottom w:val="single" w:color="auto" w:sz="6" w:space="0"/>
                  </w:tcBorders>
                  <w:noWrap/>
                  <w:vAlign w:val="center"/>
                </w:tcPr>
                <w:p>
                  <w:pPr>
                    <w:pStyle w:val="40"/>
                  </w:pPr>
                  <w:r>
                    <w:t>河流、湖库、河口：</w:t>
                  </w:r>
                  <w:r>
                    <w:rPr>
                      <w:rFonts w:hint="eastAsia"/>
                    </w:rPr>
                    <w:t>Ⅰ</w:t>
                  </w:r>
                  <w:r>
                    <w:t>类 □；</w:t>
                  </w:r>
                  <w:r>
                    <w:rPr>
                      <w:rFonts w:hint="eastAsia"/>
                    </w:rPr>
                    <w:t>Ⅱ</w:t>
                  </w:r>
                  <w:r>
                    <w:t>类口；</w:t>
                  </w:r>
                  <w:r>
                    <w:rPr>
                      <w:rFonts w:hint="eastAsia"/>
                    </w:rPr>
                    <w:t>Ⅲ</w:t>
                  </w:r>
                  <w:r>
                    <w:t xml:space="preserve">类 </w:t>
                  </w:r>
                  <w:r>
                    <w:rPr/>
                    <w:sym w:font="Wingdings 2" w:char="0052"/>
                  </w:r>
                  <w:r>
                    <w:t>；</w:t>
                  </w:r>
                  <w:r>
                    <w:rPr>
                      <w:rFonts w:hint="eastAsia"/>
                    </w:rPr>
                    <w:t>Ⅳ</w:t>
                  </w:r>
                  <w:r>
                    <w:t xml:space="preserve">类 </w:t>
                  </w:r>
                  <w:r>
                    <w:rPr/>
                    <w:sym w:font="Wingdings 2" w:char="00A3"/>
                  </w:r>
                  <w:r>
                    <w:t>；</w:t>
                  </w:r>
                  <w:r>
                    <w:rPr>
                      <w:rFonts w:hint="eastAsia"/>
                    </w:rPr>
                    <w:t>Ⅴ</w:t>
                  </w:r>
                  <w:r>
                    <w:t>类 □</w:t>
                  </w:r>
                </w:p>
                <w:p>
                  <w:pPr>
                    <w:pStyle w:val="40"/>
                  </w:pPr>
                  <w:r>
                    <w:t>近岸海域：第一类 □；第二类 □；第三类 □；第四类 □</w:t>
                  </w:r>
                </w:p>
                <w:p>
                  <w:pPr>
                    <w:pStyle w:val="40"/>
                  </w:pPr>
                  <w:r>
                    <w:t>规划年评价标准（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评价时期</w:t>
                  </w:r>
                </w:p>
              </w:tc>
              <w:tc>
                <w:tcPr>
                  <w:tcW w:w="7003" w:type="dxa"/>
                  <w:gridSpan w:val="12"/>
                  <w:tcBorders>
                    <w:top w:val="single" w:color="auto" w:sz="6" w:space="0"/>
                    <w:left w:val="single" w:color="auto" w:sz="6" w:space="0"/>
                    <w:bottom w:val="single" w:color="auto" w:sz="6" w:space="0"/>
                  </w:tcBorders>
                  <w:noWrap/>
                  <w:vAlign w:val="center"/>
                </w:tcPr>
                <w:p>
                  <w:pPr>
                    <w:pStyle w:val="40"/>
                  </w:pPr>
                  <w:r>
                    <w:t>丰水期 □；平水期 □；枯水期 □；冰封期 □</w:t>
                  </w:r>
                  <w:r>
                    <w:br w:type="textWrapping"/>
                  </w:r>
                  <w:r>
                    <w:t>春季 □；夏季 □；秋季 □；冬季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评价结论</w:t>
                  </w:r>
                </w:p>
              </w:tc>
              <w:tc>
                <w:tcPr>
                  <w:tcW w:w="5569" w:type="dxa"/>
                  <w:gridSpan w:val="11"/>
                  <w:tcBorders>
                    <w:top w:val="single" w:color="auto" w:sz="6" w:space="0"/>
                    <w:left w:val="single" w:color="auto" w:sz="6" w:space="0"/>
                    <w:bottom w:val="single" w:color="auto" w:sz="6" w:space="0"/>
                    <w:right w:val="single" w:color="auto" w:sz="6" w:space="0"/>
                  </w:tcBorders>
                  <w:noWrap/>
                  <w:vAlign w:val="center"/>
                </w:tcPr>
                <w:p>
                  <w:pPr>
                    <w:pStyle w:val="40"/>
                  </w:pPr>
                  <w:r>
                    <w:t xml:space="preserve">水环境功能区或水功能区、近岸海域环境功能区水质达标状况 □：达标 </w:t>
                  </w:r>
                  <w:r>
                    <w:rPr/>
                    <w:sym w:font="Wingdings 2" w:char="0052"/>
                  </w:r>
                  <w:r>
                    <w:t>；不达标 □</w:t>
                  </w:r>
                  <w:r>
                    <w:br w:type="textWrapping"/>
                  </w:r>
                  <w:r>
                    <w:t xml:space="preserve">水环境控制单元或断面水质达标状况 □：达标 </w:t>
                  </w:r>
                  <w:r>
                    <w:rPr/>
                    <w:sym w:font="Wingdings 2" w:char="0052"/>
                  </w:r>
                  <w:r>
                    <w:t>；不达标 □</w:t>
                  </w:r>
                  <w:r>
                    <w:br w:type="textWrapping"/>
                  </w:r>
                  <w:r>
                    <w:t xml:space="preserve">水环境保护目标质量状况 □：达标 </w:t>
                  </w:r>
                  <w:r>
                    <w:rPr/>
                    <w:sym w:font="Wingdings 2" w:char="0052"/>
                  </w:r>
                  <w:r>
                    <w:t>；不达标 □</w:t>
                  </w:r>
                  <w:r>
                    <w:br w:type="textWrapping"/>
                  </w:r>
                  <w:r>
                    <w:t>对照断面、控制断面等代表性断面的水质状况 □：达标 □；不达标 □</w:t>
                  </w:r>
                </w:p>
                <w:p>
                  <w:pPr>
                    <w:pStyle w:val="40"/>
                  </w:pPr>
                  <w:r>
                    <w:t>底泥污染评价 □</w:t>
                  </w:r>
                  <w:r>
                    <w:br w:type="textWrapping"/>
                  </w:r>
                  <w:r>
                    <w:t>水资源与开发利用程度及其水文情势评价 □</w:t>
                  </w:r>
                  <w:r>
                    <w:br w:type="textWrapping"/>
                  </w:r>
                  <w:r>
                    <w:t>水环境质量回顾评价 □</w:t>
                  </w:r>
                  <w:r>
                    <w:br w:type="textWrapping"/>
                  </w:r>
                  <w:r>
                    <w:t>流域（区域）水资源（包括水能资源）与开发利用总体状况、生态流量管理要求与现状满足程度、建设项目占用水域空间的水流状况与河湖演变状况 □</w:t>
                  </w:r>
                </w:p>
              </w:tc>
              <w:tc>
                <w:tcPr>
                  <w:tcW w:w="1434" w:type="dxa"/>
                  <w:tcBorders>
                    <w:top w:val="single" w:color="auto" w:sz="6" w:space="0"/>
                    <w:left w:val="single" w:color="auto" w:sz="6" w:space="0"/>
                    <w:bottom w:val="single" w:color="auto" w:sz="6" w:space="0"/>
                  </w:tcBorders>
                  <w:noWrap/>
                  <w:vAlign w:val="center"/>
                </w:tcPr>
                <w:p>
                  <w:pPr>
                    <w:pStyle w:val="40"/>
                  </w:pPr>
                  <w:r>
                    <w:t xml:space="preserve">达标区 </w:t>
                  </w:r>
                  <w:r>
                    <w:rPr/>
                    <w:sym w:font="Wingdings 2" w:char="0052"/>
                  </w:r>
                </w:p>
                <w:p>
                  <w:pPr>
                    <w:pStyle w:val="40"/>
                  </w:pPr>
                  <w:r>
                    <w:t xml:space="preserve">不达标区 </w:t>
                  </w:r>
                  <w:r>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restart"/>
                  <w:tcBorders>
                    <w:top w:val="single" w:color="auto" w:sz="6" w:space="0"/>
                    <w:bottom w:val="single" w:color="auto" w:sz="6" w:space="0"/>
                    <w:right w:val="single" w:color="auto" w:sz="6" w:space="0"/>
                  </w:tcBorders>
                  <w:noWrap/>
                  <w:vAlign w:val="center"/>
                </w:tcPr>
                <w:p>
                  <w:pPr>
                    <w:pStyle w:val="40"/>
                  </w:pPr>
                  <w:r>
                    <w:t>影响预测</w:t>
                  </w: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预测范围</w:t>
                  </w:r>
                </w:p>
              </w:tc>
              <w:tc>
                <w:tcPr>
                  <w:tcW w:w="7003" w:type="dxa"/>
                  <w:gridSpan w:val="12"/>
                  <w:tcBorders>
                    <w:top w:val="single" w:color="auto" w:sz="6" w:space="0"/>
                    <w:left w:val="single" w:color="auto" w:sz="6" w:space="0"/>
                    <w:bottom w:val="single" w:color="auto" w:sz="6" w:space="0"/>
                  </w:tcBorders>
                  <w:noWrap/>
                  <w:vAlign w:val="center"/>
                </w:tcPr>
                <w:p>
                  <w:pPr>
                    <w:pStyle w:val="40"/>
                  </w:pPr>
                  <w:r>
                    <w:t>河流：长度（   ）km；湖库、河口及近岸海域：面积（   ）km2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预测因子</w:t>
                  </w:r>
                </w:p>
              </w:tc>
              <w:tc>
                <w:tcPr>
                  <w:tcW w:w="7003" w:type="dxa"/>
                  <w:gridSpan w:val="12"/>
                  <w:tcBorders>
                    <w:top w:val="single" w:color="auto" w:sz="6" w:space="0"/>
                    <w:left w:val="single" w:color="auto" w:sz="6" w:space="0"/>
                    <w:bottom w:val="single" w:color="auto" w:sz="6" w:space="0"/>
                  </w:tcBorders>
                  <w:noWrap/>
                  <w:vAlign w:val="center"/>
                </w:tcPr>
                <w:p>
                  <w:pPr>
                    <w:pStyle w:val="40"/>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预测时期</w:t>
                  </w:r>
                </w:p>
              </w:tc>
              <w:tc>
                <w:tcPr>
                  <w:tcW w:w="7003" w:type="dxa"/>
                  <w:gridSpan w:val="12"/>
                  <w:tcBorders>
                    <w:top w:val="single" w:color="auto" w:sz="6" w:space="0"/>
                    <w:left w:val="single" w:color="auto" w:sz="6" w:space="0"/>
                    <w:bottom w:val="single" w:color="auto" w:sz="6" w:space="0"/>
                  </w:tcBorders>
                  <w:noWrap/>
                  <w:vAlign w:val="center"/>
                </w:tcPr>
                <w:p>
                  <w:pPr>
                    <w:pStyle w:val="40"/>
                  </w:pPr>
                  <w:r>
                    <w:t>丰水期 □；平水期 □；枯水期 □；冰封期 □</w:t>
                  </w:r>
                  <w:r>
                    <w:br w:type="textWrapping"/>
                  </w:r>
                  <w:r>
                    <w:t>春季 □；夏季 □；秋季 □；冬季 □</w:t>
                  </w:r>
                  <w:r>
                    <w:br w:type="textWrapping"/>
                  </w:r>
                  <w:r>
                    <w:t>设计水文条件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预测情景</w:t>
                  </w:r>
                </w:p>
              </w:tc>
              <w:tc>
                <w:tcPr>
                  <w:tcW w:w="7003" w:type="dxa"/>
                  <w:gridSpan w:val="12"/>
                  <w:tcBorders>
                    <w:top w:val="single" w:color="auto" w:sz="6" w:space="0"/>
                    <w:left w:val="single" w:color="auto" w:sz="6" w:space="0"/>
                    <w:bottom w:val="single" w:color="auto" w:sz="6" w:space="0"/>
                  </w:tcBorders>
                  <w:noWrap/>
                  <w:vAlign w:val="center"/>
                </w:tcPr>
                <w:p>
                  <w:pPr>
                    <w:pStyle w:val="40"/>
                  </w:pPr>
                  <w:r>
                    <w:t>建设期 □；生产运行期 □；服务期满后 □</w:t>
                  </w:r>
                  <w:r>
                    <w:br w:type="textWrapping"/>
                  </w:r>
                  <w:r>
                    <w:t>正常工况 □；非正常工况 □</w:t>
                  </w:r>
                  <w:r>
                    <w:br w:type="textWrapping"/>
                  </w:r>
                  <w:r>
                    <w:t>污染控制和减缓措施方案 □</w:t>
                  </w:r>
                  <w:r>
                    <w:br w:type="textWrapping"/>
                  </w:r>
                  <w:r>
                    <w:t>区（流）域环境质量改善目标要求情景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预测方法</w:t>
                  </w:r>
                </w:p>
              </w:tc>
              <w:tc>
                <w:tcPr>
                  <w:tcW w:w="7003" w:type="dxa"/>
                  <w:gridSpan w:val="12"/>
                  <w:tcBorders>
                    <w:top w:val="single" w:color="auto" w:sz="6" w:space="0"/>
                    <w:left w:val="single" w:color="auto" w:sz="6" w:space="0"/>
                    <w:bottom w:val="single" w:color="auto" w:sz="6" w:space="0"/>
                  </w:tcBorders>
                  <w:noWrap/>
                  <w:vAlign w:val="center"/>
                </w:tcPr>
                <w:p>
                  <w:pPr>
                    <w:pStyle w:val="40"/>
                  </w:pPr>
                  <w:r>
                    <w:t>数值解 □：解析解 □；其他 □</w:t>
                  </w:r>
                </w:p>
                <w:p>
                  <w:pPr>
                    <w:pStyle w:val="40"/>
                  </w:pPr>
                  <w:r>
                    <w:t>导则推荐模式 □：其他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restart"/>
                  <w:tcBorders>
                    <w:top w:val="single" w:color="auto" w:sz="6" w:space="0"/>
                    <w:bottom w:val="single" w:color="auto" w:sz="6" w:space="0"/>
                    <w:right w:val="single" w:color="auto" w:sz="6" w:space="0"/>
                  </w:tcBorders>
                  <w:noWrap/>
                  <w:vAlign w:val="center"/>
                </w:tcPr>
                <w:p>
                  <w:pPr>
                    <w:pStyle w:val="40"/>
                  </w:pPr>
                  <w:r>
                    <w:t>影响评价</w:t>
                  </w: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水污染控制和水环境影响减缓措施有效性评价</w:t>
                  </w:r>
                </w:p>
              </w:tc>
              <w:tc>
                <w:tcPr>
                  <w:tcW w:w="7003" w:type="dxa"/>
                  <w:gridSpan w:val="12"/>
                  <w:tcBorders>
                    <w:top w:val="single" w:color="auto" w:sz="6" w:space="0"/>
                    <w:left w:val="single" w:color="auto" w:sz="6" w:space="0"/>
                    <w:bottom w:val="single" w:color="auto" w:sz="6" w:space="0"/>
                  </w:tcBorders>
                  <w:noWrap/>
                  <w:vAlign w:val="center"/>
                </w:tcPr>
                <w:p>
                  <w:pPr>
                    <w:pStyle w:val="40"/>
                  </w:pPr>
                  <w:r>
                    <w:t>区（流）域水环境质量改善目标 □；替代削减源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水环境影响评价</w:t>
                  </w:r>
                </w:p>
              </w:tc>
              <w:tc>
                <w:tcPr>
                  <w:tcW w:w="7003" w:type="dxa"/>
                  <w:gridSpan w:val="12"/>
                  <w:tcBorders>
                    <w:top w:val="single" w:color="auto" w:sz="6" w:space="0"/>
                    <w:left w:val="single" w:color="auto" w:sz="6" w:space="0"/>
                    <w:bottom w:val="single" w:color="auto" w:sz="6" w:space="0"/>
                  </w:tcBorders>
                  <w:noWrap/>
                  <w:vAlign w:val="center"/>
                </w:tcPr>
                <w:p>
                  <w:pPr>
                    <w:pStyle w:val="40"/>
                  </w:pPr>
                  <w:r>
                    <w:t>排放口混合区外满足水环境管理要求 □</w:t>
                  </w:r>
                  <w:r>
                    <w:br w:type="textWrapping"/>
                  </w:r>
                  <w:r>
                    <w:t>水环境功能区或水功能区、近岸海域环境功能区水质达标 □</w:t>
                  </w:r>
                  <w:r>
                    <w:br w:type="textWrapping"/>
                  </w:r>
                  <w:r>
                    <w:t>满足水环境保护目标水域水环境质量要求 □</w:t>
                  </w:r>
                  <w:r>
                    <w:br w:type="textWrapping"/>
                  </w:r>
                  <w:r>
                    <w:t>水环境控制单元或断面水质达标 □</w:t>
                  </w:r>
                  <w:r>
                    <w:br w:type="textWrapping"/>
                  </w:r>
                  <w:r>
                    <w:t>满足重点水污染物排放总量控制指标要求，重点行业建设项目， 主要污染物排放满足等量或减量替代要求 □</w:t>
                  </w:r>
                </w:p>
                <w:p>
                  <w:pPr>
                    <w:pStyle w:val="40"/>
                  </w:pPr>
                  <w:r>
                    <w:t>满足区（流）域水环境质量改善目标要求 □</w:t>
                  </w:r>
                  <w:r>
                    <w:br w:type="textWrapping"/>
                  </w:r>
                  <w:r>
                    <w:t>水文要素影响型建设项目同时应包括水文情势变化评价、主要水文特征值影响评价、生态流量符合性评价 □</w:t>
                  </w:r>
                  <w:r>
                    <w:br w:type="textWrapping"/>
                  </w:r>
                  <w:r>
                    <w:t>对于新设或调整入河（湖库、近岸海域）排放口的建设项目，应包括排放口设置的环境合理性评价 □</w:t>
                  </w:r>
                  <w:r>
                    <w:br w:type="textWrapping"/>
                  </w:r>
                  <w:r>
                    <w:t>满足生态保护红线、水环境质量底线、资源利用上线和环境准入清单管理要求</w:t>
                  </w:r>
                  <w:r>
                    <w:rPr/>
                    <w:sym w:font="Wingdings 2" w:char="0052"/>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restart"/>
                  <w:tcBorders>
                    <w:top w:val="single" w:color="auto" w:sz="6" w:space="0"/>
                    <w:left w:val="single" w:color="auto" w:sz="6" w:space="0"/>
                    <w:bottom w:val="single" w:color="auto" w:sz="6" w:space="0"/>
                    <w:right w:val="single" w:color="auto" w:sz="6" w:space="0"/>
                  </w:tcBorders>
                  <w:noWrap/>
                  <w:vAlign w:val="center"/>
                </w:tcPr>
                <w:p>
                  <w:pPr>
                    <w:pStyle w:val="40"/>
                  </w:pPr>
                  <w:r>
                    <w:t>污染源排放量核算</w:t>
                  </w:r>
                </w:p>
              </w:tc>
              <w:tc>
                <w:tcPr>
                  <w:tcW w:w="2021" w:type="dxa"/>
                  <w:gridSpan w:val="3"/>
                  <w:tcBorders>
                    <w:top w:val="single" w:color="auto" w:sz="6" w:space="0"/>
                    <w:left w:val="single" w:color="auto" w:sz="6" w:space="0"/>
                    <w:bottom w:val="single" w:color="auto" w:sz="6" w:space="0"/>
                    <w:right w:val="single" w:color="auto" w:sz="6" w:space="0"/>
                  </w:tcBorders>
                  <w:noWrap/>
                  <w:vAlign w:val="center"/>
                </w:tcPr>
                <w:p>
                  <w:pPr>
                    <w:pStyle w:val="40"/>
                  </w:pPr>
                  <w:r>
                    <w:t>污染物名称</w:t>
                  </w:r>
                </w:p>
              </w:tc>
              <w:tc>
                <w:tcPr>
                  <w:tcW w:w="2239"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排放量/（t/a）</w:t>
                  </w:r>
                </w:p>
              </w:tc>
              <w:tc>
                <w:tcPr>
                  <w:tcW w:w="2743" w:type="dxa"/>
                  <w:gridSpan w:val="4"/>
                  <w:tcBorders>
                    <w:top w:val="single" w:color="auto" w:sz="6" w:space="0"/>
                    <w:left w:val="single" w:color="auto" w:sz="6" w:space="0"/>
                    <w:bottom w:val="single" w:color="auto" w:sz="6" w:space="0"/>
                  </w:tcBorders>
                  <w:noWrap/>
                  <w:vAlign w:val="center"/>
                </w:tcPr>
                <w:p>
                  <w:pPr>
                    <w:pStyle w:val="40"/>
                  </w:pPr>
                  <w:r>
                    <w:t>排放浓度/（mg/L）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continue"/>
                  <w:tcBorders>
                    <w:top w:val="single" w:color="auto" w:sz="6" w:space="0"/>
                    <w:left w:val="single" w:color="auto" w:sz="6" w:space="0"/>
                    <w:bottom w:val="single" w:color="auto" w:sz="6" w:space="0"/>
                    <w:right w:val="single" w:color="auto" w:sz="6" w:space="0"/>
                  </w:tcBorders>
                  <w:noWrap/>
                  <w:vAlign w:val="center"/>
                </w:tcPr>
                <w:p>
                  <w:pPr>
                    <w:pStyle w:val="40"/>
                  </w:pPr>
                </w:p>
              </w:tc>
              <w:tc>
                <w:tcPr>
                  <w:tcW w:w="2021" w:type="dxa"/>
                  <w:gridSpan w:val="3"/>
                  <w:tcBorders>
                    <w:top w:val="single" w:color="auto" w:sz="6" w:space="0"/>
                    <w:left w:val="single" w:color="auto" w:sz="6" w:space="0"/>
                    <w:bottom w:val="single" w:color="auto" w:sz="6" w:space="0"/>
                    <w:right w:val="single" w:color="auto" w:sz="6" w:space="0"/>
                  </w:tcBorders>
                  <w:noWrap/>
                  <w:vAlign w:val="center"/>
                </w:tcPr>
                <w:p>
                  <w:pPr>
                    <w:pStyle w:val="40"/>
                  </w:pPr>
                  <w:r>
                    <w:t>（COD）</w:t>
                  </w:r>
                </w:p>
                <w:p>
                  <w:pPr>
                    <w:pStyle w:val="40"/>
                  </w:pPr>
                  <w:r>
                    <w:t>（氨氮）</w:t>
                  </w:r>
                </w:p>
                <w:p>
                  <w:pPr>
                    <w:pStyle w:val="40"/>
                  </w:pPr>
                  <w:r>
                    <w:rPr>
                      <w:rFonts w:hint="eastAsia"/>
                    </w:rPr>
                    <w:t>（BOD5）</w:t>
                  </w:r>
                </w:p>
                <w:p>
                  <w:pPr>
                    <w:pStyle w:val="40"/>
                  </w:pPr>
                  <w:r>
                    <w:rPr>
                      <w:rFonts w:hint="eastAsia"/>
                    </w:rPr>
                    <w:t>（SS）</w:t>
                  </w:r>
                </w:p>
              </w:tc>
              <w:tc>
                <w:tcPr>
                  <w:tcW w:w="2239"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w:t>
                  </w:r>
                  <w:r>
                    <w:rPr>
                      <w:rFonts w:hint="eastAsia"/>
                    </w:rPr>
                    <w:t>0.0286</w:t>
                  </w:r>
                  <w:r>
                    <w:t>）</w:t>
                  </w:r>
                </w:p>
                <w:p>
                  <w:pPr>
                    <w:pStyle w:val="40"/>
                  </w:pPr>
                  <w:r>
                    <w:t>（</w:t>
                  </w:r>
                  <w:r>
                    <w:rPr>
                      <w:rFonts w:hint="eastAsia"/>
                    </w:rPr>
                    <w:t>0.00245</w:t>
                  </w:r>
                  <w:r>
                    <w:t>）</w:t>
                  </w:r>
                </w:p>
                <w:p>
                  <w:pPr>
                    <w:pStyle w:val="40"/>
                  </w:pPr>
                  <w:r>
                    <w:rPr>
                      <w:rFonts w:hint="eastAsia"/>
                    </w:rPr>
                    <w:t>（0.0143）</w:t>
                  </w:r>
                </w:p>
                <w:p>
                  <w:pPr>
                    <w:pStyle w:val="40"/>
                  </w:pPr>
                  <w:r>
                    <w:rPr>
                      <w:rFonts w:hint="eastAsia"/>
                    </w:rPr>
                    <w:t>（0.0153）</w:t>
                  </w:r>
                </w:p>
              </w:tc>
              <w:tc>
                <w:tcPr>
                  <w:tcW w:w="2743" w:type="dxa"/>
                  <w:gridSpan w:val="4"/>
                  <w:tcBorders>
                    <w:top w:val="single" w:color="auto" w:sz="6" w:space="0"/>
                    <w:left w:val="single" w:color="auto" w:sz="6" w:space="0"/>
                    <w:bottom w:val="single" w:color="auto" w:sz="6" w:space="0"/>
                  </w:tcBorders>
                  <w:noWrap/>
                  <w:vAlign w:val="center"/>
                </w:tcPr>
                <w:p>
                  <w:pPr>
                    <w:pStyle w:val="40"/>
                  </w:pPr>
                  <w:r>
                    <w:t>（</w:t>
                  </w:r>
                  <w:r>
                    <w:rPr>
                      <w:rFonts w:hint="eastAsia"/>
                    </w:rPr>
                    <w:t>280</w:t>
                  </w:r>
                  <w:r>
                    <w:t>）</w:t>
                  </w:r>
                </w:p>
                <w:p>
                  <w:pPr>
                    <w:pStyle w:val="40"/>
                  </w:pPr>
                  <w:r>
                    <w:t>（</w:t>
                  </w:r>
                  <w:r>
                    <w:rPr>
                      <w:rFonts w:hint="eastAsia"/>
                    </w:rPr>
                    <w:t>24</w:t>
                  </w:r>
                  <w:r>
                    <w:t>）</w:t>
                  </w:r>
                </w:p>
                <w:p>
                  <w:pPr>
                    <w:pStyle w:val="40"/>
                  </w:pPr>
                  <w:r>
                    <w:rPr>
                      <w:rFonts w:hint="eastAsia"/>
                    </w:rPr>
                    <w:t>（140）</w:t>
                  </w:r>
                </w:p>
                <w:p>
                  <w:pPr>
                    <w:pStyle w:val="40"/>
                  </w:pPr>
                  <w:r>
                    <w:rPr>
                      <w:rFonts w:hint="eastAsia"/>
                    </w:rPr>
                    <w:t>（150）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restart"/>
                  <w:tcBorders>
                    <w:top w:val="single" w:color="auto" w:sz="6" w:space="0"/>
                    <w:left w:val="single" w:color="auto" w:sz="6" w:space="0"/>
                    <w:bottom w:val="single" w:color="auto" w:sz="6" w:space="0"/>
                    <w:right w:val="single" w:color="auto" w:sz="6" w:space="0"/>
                  </w:tcBorders>
                  <w:noWrap/>
                  <w:vAlign w:val="center"/>
                </w:tcPr>
                <w:p>
                  <w:pPr>
                    <w:pStyle w:val="40"/>
                  </w:pPr>
                  <w:r>
                    <w:t>替代源排放情况</w:t>
                  </w:r>
                </w:p>
              </w:tc>
              <w:tc>
                <w:tcPr>
                  <w:tcW w:w="1125" w:type="dxa"/>
                  <w:tcBorders>
                    <w:top w:val="single" w:color="auto" w:sz="6" w:space="0"/>
                    <w:left w:val="single" w:color="auto" w:sz="6" w:space="0"/>
                    <w:bottom w:val="single" w:color="auto" w:sz="6" w:space="0"/>
                    <w:right w:val="single" w:color="auto" w:sz="6" w:space="0"/>
                  </w:tcBorders>
                  <w:noWrap/>
                  <w:vAlign w:val="center"/>
                </w:tcPr>
                <w:p>
                  <w:pPr>
                    <w:pStyle w:val="40"/>
                  </w:pPr>
                  <w:r>
                    <w:t>污染源名称</w:t>
                  </w:r>
                </w:p>
              </w:tc>
              <w:tc>
                <w:tcPr>
                  <w:tcW w:w="1343" w:type="dxa"/>
                  <w:gridSpan w:val="3"/>
                  <w:tcBorders>
                    <w:top w:val="single" w:color="auto" w:sz="6" w:space="0"/>
                    <w:left w:val="single" w:color="auto" w:sz="6" w:space="0"/>
                    <w:bottom w:val="single" w:color="auto" w:sz="6" w:space="0"/>
                    <w:right w:val="single" w:color="auto" w:sz="6" w:space="0"/>
                  </w:tcBorders>
                  <w:noWrap/>
                  <w:vAlign w:val="center"/>
                </w:tcPr>
                <w:p>
                  <w:pPr>
                    <w:pStyle w:val="40"/>
                  </w:pPr>
                  <w:r>
                    <w:t>排污许可证编号</w:t>
                  </w:r>
                </w:p>
              </w:tc>
              <w:tc>
                <w:tcPr>
                  <w:tcW w:w="1235" w:type="dxa"/>
                  <w:gridSpan w:val="2"/>
                  <w:tcBorders>
                    <w:top w:val="single" w:color="auto" w:sz="6" w:space="0"/>
                    <w:left w:val="single" w:color="auto" w:sz="6" w:space="0"/>
                    <w:bottom w:val="single" w:color="auto" w:sz="6" w:space="0"/>
                    <w:right w:val="single" w:color="auto" w:sz="6" w:space="0"/>
                  </w:tcBorders>
                  <w:noWrap/>
                  <w:vAlign w:val="center"/>
                </w:tcPr>
                <w:p>
                  <w:pPr>
                    <w:pStyle w:val="40"/>
                  </w:pPr>
                  <w:r>
                    <w:t>污染物名称</w:t>
                  </w:r>
                </w:p>
              </w:tc>
              <w:tc>
                <w:tcPr>
                  <w:tcW w:w="1343" w:type="dxa"/>
                  <w:gridSpan w:val="3"/>
                  <w:tcBorders>
                    <w:top w:val="single" w:color="auto" w:sz="6" w:space="0"/>
                    <w:left w:val="single" w:color="auto" w:sz="6" w:space="0"/>
                    <w:bottom w:val="single" w:color="auto" w:sz="6" w:space="0"/>
                    <w:right w:val="single" w:color="auto" w:sz="6" w:space="0"/>
                  </w:tcBorders>
                  <w:noWrap/>
                  <w:vAlign w:val="center"/>
                </w:tcPr>
                <w:p>
                  <w:pPr>
                    <w:pStyle w:val="40"/>
                  </w:pPr>
                  <w:r>
                    <w:t>排放量/（t/a）</w:t>
                  </w:r>
                </w:p>
              </w:tc>
              <w:tc>
                <w:tcPr>
                  <w:tcW w:w="1957" w:type="dxa"/>
                  <w:gridSpan w:val="3"/>
                  <w:tcBorders>
                    <w:top w:val="single" w:color="auto" w:sz="6" w:space="0"/>
                    <w:left w:val="single" w:color="auto" w:sz="6" w:space="0"/>
                    <w:bottom w:val="single" w:color="auto" w:sz="6" w:space="0"/>
                  </w:tcBorders>
                  <w:noWrap/>
                  <w:vAlign w:val="center"/>
                </w:tcPr>
                <w:p>
                  <w:pPr>
                    <w:pStyle w:val="40"/>
                  </w:pPr>
                  <w:r>
                    <w:t>排放浓度/（mg/L）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continue"/>
                  <w:tcBorders>
                    <w:top w:val="single" w:color="auto" w:sz="6" w:space="0"/>
                    <w:left w:val="single" w:color="auto" w:sz="6" w:space="0"/>
                    <w:bottom w:val="single" w:color="auto" w:sz="6" w:space="0"/>
                    <w:right w:val="single" w:color="auto" w:sz="6" w:space="0"/>
                  </w:tcBorders>
                  <w:noWrap/>
                  <w:vAlign w:val="center"/>
                </w:tcPr>
                <w:p>
                  <w:pPr>
                    <w:pStyle w:val="40"/>
                  </w:pPr>
                </w:p>
              </w:tc>
              <w:tc>
                <w:tcPr>
                  <w:tcW w:w="1125" w:type="dxa"/>
                  <w:tcBorders>
                    <w:top w:val="single" w:color="auto" w:sz="6" w:space="0"/>
                    <w:left w:val="single" w:color="auto" w:sz="6" w:space="0"/>
                    <w:bottom w:val="single" w:color="auto" w:sz="6" w:space="0"/>
                    <w:right w:val="single" w:color="auto" w:sz="6" w:space="0"/>
                  </w:tcBorders>
                  <w:noWrap/>
                  <w:vAlign w:val="center"/>
                </w:tcPr>
                <w:p>
                  <w:pPr>
                    <w:pStyle w:val="40"/>
                  </w:pPr>
                  <w:r>
                    <w:t>（   ）</w:t>
                  </w:r>
                </w:p>
              </w:tc>
              <w:tc>
                <w:tcPr>
                  <w:tcW w:w="1343" w:type="dxa"/>
                  <w:gridSpan w:val="3"/>
                  <w:tcBorders>
                    <w:top w:val="single" w:color="auto" w:sz="6" w:space="0"/>
                    <w:left w:val="single" w:color="auto" w:sz="6" w:space="0"/>
                    <w:bottom w:val="single" w:color="auto" w:sz="6" w:space="0"/>
                    <w:right w:val="single" w:color="auto" w:sz="6" w:space="0"/>
                  </w:tcBorders>
                  <w:noWrap/>
                  <w:vAlign w:val="center"/>
                </w:tcPr>
                <w:p>
                  <w:pPr>
                    <w:pStyle w:val="40"/>
                  </w:pPr>
                  <w:r>
                    <w:t>（   ）</w:t>
                  </w:r>
                </w:p>
              </w:tc>
              <w:tc>
                <w:tcPr>
                  <w:tcW w:w="1235" w:type="dxa"/>
                  <w:gridSpan w:val="2"/>
                  <w:tcBorders>
                    <w:top w:val="single" w:color="auto" w:sz="6" w:space="0"/>
                    <w:left w:val="single" w:color="auto" w:sz="6" w:space="0"/>
                    <w:bottom w:val="single" w:color="auto" w:sz="6" w:space="0"/>
                    <w:right w:val="single" w:color="auto" w:sz="6" w:space="0"/>
                  </w:tcBorders>
                  <w:noWrap/>
                  <w:vAlign w:val="center"/>
                </w:tcPr>
                <w:p>
                  <w:pPr>
                    <w:pStyle w:val="40"/>
                  </w:pPr>
                  <w:r>
                    <w:t>（   ）</w:t>
                  </w:r>
                </w:p>
              </w:tc>
              <w:tc>
                <w:tcPr>
                  <w:tcW w:w="1343" w:type="dxa"/>
                  <w:gridSpan w:val="3"/>
                  <w:tcBorders>
                    <w:top w:val="single" w:color="auto" w:sz="6" w:space="0"/>
                    <w:left w:val="single" w:color="auto" w:sz="6" w:space="0"/>
                    <w:bottom w:val="single" w:color="auto" w:sz="6" w:space="0"/>
                    <w:right w:val="single" w:color="auto" w:sz="6" w:space="0"/>
                  </w:tcBorders>
                  <w:noWrap/>
                  <w:vAlign w:val="center"/>
                </w:tcPr>
                <w:p>
                  <w:pPr>
                    <w:pStyle w:val="40"/>
                  </w:pPr>
                  <w:r>
                    <w:t>（   ）</w:t>
                  </w:r>
                </w:p>
              </w:tc>
              <w:tc>
                <w:tcPr>
                  <w:tcW w:w="1957" w:type="dxa"/>
                  <w:gridSpan w:val="3"/>
                  <w:tcBorders>
                    <w:top w:val="single" w:color="auto" w:sz="6" w:space="0"/>
                    <w:left w:val="single" w:color="auto" w:sz="6" w:space="0"/>
                    <w:bottom w:val="single" w:color="auto" w:sz="6" w:space="0"/>
                  </w:tcBorders>
                  <w:noWrap/>
                  <w:vAlign w:val="center"/>
                </w:tcPr>
                <w:p>
                  <w:pPr>
                    <w:pStyle w:val="40"/>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生态流量确定</w:t>
                  </w:r>
                </w:p>
              </w:tc>
              <w:tc>
                <w:tcPr>
                  <w:tcW w:w="7003" w:type="dxa"/>
                  <w:gridSpan w:val="12"/>
                  <w:tcBorders>
                    <w:top w:val="single" w:color="auto" w:sz="6" w:space="0"/>
                    <w:left w:val="single" w:color="auto" w:sz="6" w:space="0"/>
                    <w:bottom w:val="single" w:color="auto" w:sz="6" w:space="0"/>
                  </w:tcBorders>
                  <w:noWrap/>
                  <w:vAlign w:val="center"/>
                </w:tcPr>
                <w:p>
                  <w:pPr>
                    <w:pStyle w:val="40"/>
                  </w:pPr>
                  <w:r>
                    <w:t>生态流量：一般水期（   ）m3/s；鱼类繁殖期（   ）m3/s；其他（   ）m3/s</w:t>
                  </w:r>
                </w:p>
                <w:p>
                  <w:pPr>
                    <w:pStyle w:val="40"/>
                  </w:pPr>
                  <w:r>
                    <w:t>生态水位：一般水期（   ）m；鱼类繁殖期（   ）m；其他（   ）m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restart"/>
                  <w:tcBorders>
                    <w:top w:val="single" w:color="auto" w:sz="6" w:space="0"/>
                    <w:bottom w:val="single" w:color="auto" w:sz="6" w:space="0"/>
                    <w:right w:val="single" w:color="auto" w:sz="6" w:space="0"/>
                  </w:tcBorders>
                  <w:noWrap/>
                  <w:vAlign w:val="center"/>
                </w:tcPr>
                <w:p>
                  <w:pPr>
                    <w:pStyle w:val="40"/>
                  </w:pPr>
                  <w:r>
                    <w:t>防治措施</w:t>
                  </w: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环保措施</w:t>
                  </w:r>
                </w:p>
              </w:tc>
              <w:tc>
                <w:tcPr>
                  <w:tcW w:w="7003" w:type="dxa"/>
                  <w:gridSpan w:val="12"/>
                  <w:tcBorders>
                    <w:top w:val="single" w:color="auto" w:sz="6" w:space="0"/>
                    <w:left w:val="single" w:color="auto" w:sz="6" w:space="0"/>
                    <w:bottom w:val="single" w:color="auto" w:sz="6" w:space="0"/>
                  </w:tcBorders>
                  <w:noWrap/>
                  <w:vAlign w:val="center"/>
                </w:tcPr>
                <w:p>
                  <w:pPr>
                    <w:pStyle w:val="40"/>
                  </w:pPr>
                  <w:r>
                    <w:t xml:space="preserve">污水处理设施 </w:t>
                  </w:r>
                  <w:r>
                    <w:rPr/>
                    <w:sym w:font="Wingdings 2" w:char="00A3"/>
                  </w:r>
                  <w:r>
                    <w:t xml:space="preserve">；水文减缓设施 □；生态流量保障设施 □；区域削减 □；依托其他工程措施 </w:t>
                  </w:r>
                  <w:r>
                    <w:rPr/>
                    <w:sym w:font="Wingdings 2" w:char="0052"/>
                  </w:r>
                  <w:r>
                    <w:t>；其他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restart"/>
                  <w:tcBorders>
                    <w:top w:val="single" w:color="auto" w:sz="6" w:space="0"/>
                    <w:left w:val="single" w:color="auto" w:sz="6" w:space="0"/>
                    <w:bottom w:val="single" w:color="auto" w:sz="6" w:space="0"/>
                    <w:right w:val="single" w:color="auto" w:sz="6" w:space="0"/>
                  </w:tcBorders>
                  <w:noWrap/>
                  <w:vAlign w:val="center"/>
                </w:tcPr>
                <w:p>
                  <w:pPr>
                    <w:pStyle w:val="40"/>
                  </w:pPr>
                  <w:r>
                    <w:t>监测计划</w:t>
                  </w:r>
                </w:p>
              </w:tc>
              <w:tc>
                <w:tcPr>
                  <w:tcW w:w="1488" w:type="dxa"/>
                  <w:gridSpan w:val="2"/>
                  <w:tcBorders>
                    <w:top w:val="single" w:color="auto" w:sz="6" w:space="0"/>
                    <w:left w:val="single" w:color="auto" w:sz="6" w:space="0"/>
                    <w:bottom w:val="single" w:color="auto" w:sz="6" w:space="0"/>
                    <w:right w:val="single" w:color="auto" w:sz="6" w:space="0"/>
                  </w:tcBorders>
                  <w:noWrap/>
                  <w:vAlign w:val="center"/>
                </w:tcPr>
                <w:p>
                  <w:pPr>
                    <w:pStyle w:val="40"/>
                  </w:pPr>
                </w:p>
              </w:tc>
              <w:tc>
                <w:tcPr>
                  <w:tcW w:w="2699"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环境质量</w:t>
                  </w:r>
                </w:p>
              </w:tc>
              <w:tc>
                <w:tcPr>
                  <w:tcW w:w="2816" w:type="dxa"/>
                  <w:gridSpan w:val="5"/>
                  <w:tcBorders>
                    <w:top w:val="single" w:color="auto" w:sz="6" w:space="0"/>
                    <w:left w:val="single" w:color="auto" w:sz="6" w:space="0"/>
                    <w:bottom w:val="single" w:color="auto" w:sz="6" w:space="0"/>
                  </w:tcBorders>
                  <w:noWrap/>
                  <w:vAlign w:val="center"/>
                </w:tcPr>
                <w:p>
                  <w:pPr>
                    <w:pStyle w:val="40"/>
                  </w:pPr>
                  <w:r>
                    <w:t>污染源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continue"/>
                  <w:tcBorders>
                    <w:top w:val="single" w:color="auto" w:sz="6" w:space="0"/>
                    <w:left w:val="single" w:color="auto" w:sz="6" w:space="0"/>
                    <w:bottom w:val="single" w:color="auto" w:sz="6" w:space="0"/>
                    <w:right w:val="single" w:color="auto" w:sz="6" w:space="0"/>
                  </w:tcBorders>
                  <w:noWrap/>
                  <w:vAlign w:val="center"/>
                </w:tcPr>
                <w:p>
                  <w:pPr>
                    <w:pStyle w:val="40"/>
                  </w:pPr>
                </w:p>
              </w:tc>
              <w:tc>
                <w:tcPr>
                  <w:tcW w:w="1488" w:type="dxa"/>
                  <w:gridSpan w:val="2"/>
                  <w:tcBorders>
                    <w:top w:val="single" w:color="auto" w:sz="6" w:space="0"/>
                    <w:left w:val="single" w:color="auto" w:sz="6" w:space="0"/>
                    <w:bottom w:val="single" w:color="auto" w:sz="6" w:space="0"/>
                    <w:right w:val="single" w:color="auto" w:sz="6" w:space="0"/>
                  </w:tcBorders>
                  <w:noWrap/>
                  <w:vAlign w:val="center"/>
                </w:tcPr>
                <w:p>
                  <w:pPr>
                    <w:pStyle w:val="40"/>
                  </w:pPr>
                  <w:r>
                    <w:t>监测方式</w:t>
                  </w:r>
                </w:p>
              </w:tc>
              <w:tc>
                <w:tcPr>
                  <w:tcW w:w="2699"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手动 □；自动 □；无监测 □</w:t>
                  </w:r>
                </w:p>
              </w:tc>
              <w:tc>
                <w:tcPr>
                  <w:tcW w:w="2816" w:type="dxa"/>
                  <w:gridSpan w:val="5"/>
                  <w:tcBorders>
                    <w:top w:val="single" w:color="auto" w:sz="6" w:space="0"/>
                    <w:left w:val="single" w:color="auto" w:sz="6" w:space="0"/>
                    <w:bottom w:val="single" w:color="auto" w:sz="6" w:space="0"/>
                  </w:tcBorders>
                  <w:noWrap/>
                  <w:vAlign w:val="center"/>
                </w:tcPr>
                <w:p>
                  <w:pPr>
                    <w:pStyle w:val="40"/>
                  </w:pPr>
                  <w:r>
                    <w:t xml:space="preserve">手动 </w:t>
                  </w:r>
                  <w:r>
                    <w:rPr/>
                    <w:sym w:font="Wingdings 2" w:char="00A3"/>
                  </w:r>
                  <w:r>
                    <w:t>；自动 □；无监测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continue"/>
                  <w:tcBorders>
                    <w:top w:val="single" w:color="auto" w:sz="6" w:space="0"/>
                    <w:left w:val="single" w:color="auto" w:sz="6" w:space="0"/>
                    <w:bottom w:val="single" w:color="auto" w:sz="6" w:space="0"/>
                    <w:right w:val="single" w:color="auto" w:sz="6" w:space="0"/>
                  </w:tcBorders>
                  <w:noWrap/>
                  <w:vAlign w:val="center"/>
                </w:tcPr>
                <w:p>
                  <w:pPr>
                    <w:pStyle w:val="40"/>
                  </w:pPr>
                </w:p>
              </w:tc>
              <w:tc>
                <w:tcPr>
                  <w:tcW w:w="1488" w:type="dxa"/>
                  <w:gridSpan w:val="2"/>
                  <w:tcBorders>
                    <w:top w:val="single" w:color="auto" w:sz="6" w:space="0"/>
                    <w:left w:val="single" w:color="auto" w:sz="6" w:space="0"/>
                    <w:bottom w:val="single" w:color="auto" w:sz="6" w:space="0"/>
                    <w:right w:val="single" w:color="auto" w:sz="6" w:space="0"/>
                  </w:tcBorders>
                  <w:noWrap/>
                  <w:vAlign w:val="center"/>
                </w:tcPr>
                <w:p>
                  <w:pPr>
                    <w:pStyle w:val="40"/>
                  </w:pPr>
                  <w:r>
                    <w:t>监测点位</w:t>
                  </w:r>
                </w:p>
              </w:tc>
              <w:tc>
                <w:tcPr>
                  <w:tcW w:w="2699" w:type="dxa"/>
                  <w:gridSpan w:val="5"/>
                  <w:tcBorders>
                    <w:top w:val="single" w:color="auto" w:sz="6" w:space="0"/>
                    <w:left w:val="single" w:color="auto" w:sz="6" w:space="0"/>
                    <w:bottom w:val="single" w:color="auto" w:sz="6" w:space="0"/>
                    <w:right w:val="single" w:color="auto" w:sz="6" w:space="0"/>
                  </w:tcBorders>
                  <w:noWrap/>
                  <w:vAlign w:val="center"/>
                </w:tcPr>
                <w:p>
                  <w:pPr>
                    <w:pStyle w:val="40"/>
                  </w:pPr>
                  <w:r>
                    <w:t>（   ）</w:t>
                  </w:r>
                </w:p>
              </w:tc>
              <w:tc>
                <w:tcPr>
                  <w:tcW w:w="2816" w:type="dxa"/>
                  <w:gridSpan w:val="5"/>
                  <w:tcBorders>
                    <w:top w:val="single" w:color="auto" w:sz="6" w:space="0"/>
                    <w:left w:val="single" w:color="auto" w:sz="6" w:space="0"/>
                    <w:bottom w:val="single" w:color="auto" w:sz="6" w:space="0"/>
                  </w:tcBorders>
                  <w:noWrap/>
                  <w:vAlign w:val="center"/>
                </w:tcPr>
                <w:p>
                  <w:pPr>
                    <w:pStyle w:val="40"/>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vMerge w:val="continue"/>
                  <w:tcBorders>
                    <w:top w:val="single" w:color="auto" w:sz="6" w:space="0"/>
                    <w:left w:val="single" w:color="auto" w:sz="6" w:space="0"/>
                    <w:bottom w:val="single" w:color="auto" w:sz="6" w:space="0"/>
                    <w:right w:val="single" w:color="auto" w:sz="6" w:space="0"/>
                  </w:tcBorders>
                  <w:noWrap/>
                  <w:vAlign w:val="center"/>
                </w:tcPr>
                <w:p>
                  <w:pPr>
                    <w:pStyle w:val="40"/>
                  </w:pPr>
                </w:p>
              </w:tc>
              <w:tc>
                <w:tcPr>
                  <w:tcW w:w="1488" w:type="dxa"/>
                  <w:gridSpan w:val="2"/>
                  <w:tcBorders>
                    <w:top w:val="single" w:color="auto" w:sz="6" w:space="0"/>
                    <w:left w:val="single" w:color="auto" w:sz="6" w:space="0"/>
                    <w:bottom w:val="single" w:color="auto" w:sz="6" w:space="0"/>
                    <w:right w:val="single" w:color="auto" w:sz="6" w:space="0"/>
                  </w:tcBorders>
                  <w:noWrap/>
                  <w:vAlign w:val="center"/>
                </w:tcPr>
                <w:p>
                  <w:pPr>
                    <w:pStyle w:val="40"/>
                  </w:pPr>
                  <w:r>
                    <w:t>监测因子</w:t>
                  </w:r>
                </w:p>
              </w:tc>
              <w:tc>
                <w:tcPr>
                  <w:tcW w:w="2699" w:type="dxa"/>
                  <w:gridSpan w:val="5"/>
                  <w:tcBorders>
                    <w:top w:val="single" w:color="auto" w:sz="6" w:space="0"/>
                    <w:left w:val="single" w:color="auto" w:sz="6" w:space="0"/>
                    <w:bottom w:val="single" w:color="auto" w:sz="6" w:space="0"/>
                    <w:right w:val="single" w:color="auto" w:sz="6" w:space="0"/>
                  </w:tcBorders>
                  <w:noWrap/>
                </w:tcPr>
                <w:p>
                  <w:pPr>
                    <w:pStyle w:val="40"/>
                  </w:pPr>
                  <w:r>
                    <w:t>（   ）</w:t>
                  </w:r>
                </w:p>
              </w:tc>
              <w:tc>
                <w:tcPr>
                  <w:tcW w:w="2816" w:type="dxa"/>
                  <w:gridSpan w:val="5"/>
                  <w:tcBorders>
                    <w:top w:val="single" w:color="auto" w:sz="6" w:space="0"/>
                    <w:left w:val="single" w:color="auto" w:sz="6" w:space="0"/>
                    <w:bottom w:val="single" w:color="auto" w:sz="6" w:space="0"/>
                  </w:tcBorders>
                  <w:noWrap/>
                </w:tcPr>
                <w:p>
                  <w:pPr>
                    <w:pStyle w:val="40"/>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7" w:type="dxa"/>
                  <w:vMerge w:val="continue"/>
                  <w:tcBorders>
                    <w:top w:val="single" w:color="auto" w:sz="6" w:space="0"/>
                    <w:bottom w:val="single" w:color="auto" w:sz="6" w:space="0"/>
                    <w:right w:val="single" w:color="auto" w:sz="6" w:space="0"/>
                  </w:tcBorders>
                  <w:noWrap/>
                  <w:vAlign w:val="center"/>
                </w:tcPr>
                <w:p>
                  <w:pPr>
                    <w:pStyle w:val="40"/>
                  </w:pPr>
                </w:p>
              </w:tc>
              <w:tc>
                <w:tcPr>
                  <w:tcW w:w="1520" w:type="dxa"/>
                  <w:tcBorders>
                    <w:top w:val="single" w:color="auto" w:sz="6" w:space="0"/>
                    <w:left w:val="single" w:color="auto" w:sz="6" w:space="0"/>
                    <w:bottom w:val="single" w:color="auto" w:sz="6" w:space="0"/>
                    <w:right w:val="single" w:color="auto" w:sz="6" w:space="0"/>
                  </w:tcBorders>
                  <w:noWrap/>
                  <w:vAlign w:val="center"/>
                </w:tcPr>
                <w:p>
                  <w:pPr>
                    <w:pStyle w:val="40"/>
                  </w:pPr>
                  <w:r>
                    <w:t>污染物排放清单</w:t>
                  </w:r>
                </w:p>
              </w:tc>
              <w:tc>
                <w:tcPr>
                  <w:tcW w:w="7003" w:type="dxa"/>
                  <w:gridSpan w:val="12"/>
                  <w:tcBorders>
                    <w:top w:val="single" w:color="auto" w:sz="6" w:space="0"/>
                    <w:left w:val="single" w:color="auto" w:sz="6" w:space="0"/>
                    <w:bottom w:val="single" w:color="auto" w:sz="6" w:space="0"/>
                  </w:tcBorders>
                  <w:noWrap/>
                  <w:vAlign w:val="center"/>
                </w:tcPr>
                <w:p>
                  <w:pPr>
                    <w:pStyle w:val="40"/>
                  </w:pPr>
                  <w:r>
                    <w:rPr/>
                    <w:sym w:font="Wingdings 2" w:char="0052"/>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237" w:type="dxa"/>
                  <w:gridSpan w:val="2"/>
                  <w:tcBorders>
                    <w:top w:val="single" w:color="auto" w:sz="6" w:space="0"/>
                    <w:bottom w:val="single" w:color="auto" w:sz="12" w:space="0"/>
                    <w:right w:val="single" w:color="auto" w:sz="6" w:space="0"/>
                  </w:tcBorders>
                  <w:noWrap/>
                  <w:vAlign w:val="center"/>
                </w:tcPr>
                <w:p>
                  <w:pPr>
                    <w:pStyle w:val="40"/>
                  </w:pPr>
                  <w:r>
                    <w:t>评价结论</w:t>
                  </w:r>
                </w:p>
              </w:tc>
              <w:tc>
                <w:tcPr>
                  <w:tcW w:w="7003" w:type="dxa"/>
                  <w:gridSpan w:val="12"/>
                  <w:tcBorders>
                    <w:top w:val="single" w:color="auto" w:sz="6" w:space="0"/>
                    <w:left w:val="single" w:color="auto" w:sz="6" w:space="0"/>
                    <w:bottom w:val="single" w:color="auto" w:sz="12" w:space="0"/>
                  </w:tcBorders>
                  <w:noWrap/>
                  <w:vAlign w:val="center"/>
                </w:tcPr>
                <w:p>
                  <w:pPr>
                    <w:pStyle w:val="40"/>
                  </w:pPr>
                  <w:r>
                    <w:t xml:space="preserve">可以接受 </w:t>
                  </w:r>
                  <w:r>
                    <w:rPr/>
                    <w:sym w:font="Wingdings 2" w:char="0052"/>
                  </w:r>
                  <w:r>
                    <w:t>；不可以接受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240" w:type="dxa"/>
                  <w:gridSpan w:val="14"/>
                  <w:tcBorders>
                    <w:top w:val="single" w:color="auto" w:sz="12" w:space="0"/>
                  </w:tcBorders>
                  <w:noWrap/>
                  <w:vAlign w:val="center"/>
                </w:tcPr>
                <w:p>
                  <w:pPr>
                    <w:pStyle w:val="40"/>
                  </w:pPr>
                  <w:r>
                    <w:t>注：“□”为勾选项，可√；“（   ）”为内容填写项；“备注”为其他补充内容。</w:t>
                  </w:r>
                </w:p>
              </w:tc>
            </w:tr>
          </w:tbl>
          <w:p>
            <w:pPr>
              <w:pStyle w:val="5"/>
            </w:pPr>
            <w:r>
              <w:rPr>
                <w:rFonts w:hint="eastAsia"/>
              </w:rPr>
              <w:t>三、噪声影响分析</w:t>
            </w:r>
          </w:p>
          <w:p>
            <w:pPr>
              <w:pStyle w:val="5"/>
            </w:pPr>
            <w:r>
              <w:rPr>
                <w:rFonts w:hint="eastAsia"/>
              </w:rPr>
              <w:t>本项目</w:t>
            </w:r>
            <w:r>
              <w:t>噪声源</w:t>
            </w:r>
            <w:r>
              <w:rPr>
                <w:rFonts w:hint="eastAsia"/>
              </w:rPr>
              <w:t>主要为</w:t>
            </w:r>
            <w:r>
              <w:t>生产设备及配套设备的运行噪声</w:t>
            </w:r>
            <w:r>
              <w:rPr>
                <w:rFonts w:hint="eastAsia"/>
              </w:rPr>
              <w:t>产生的噪声。</w:t>
            </w:r>
            <w:r>
              <w:t>生产设备及配套设备</w:t>
            </w:r>
            <w:r>
              <w:rPr>
                <w:rFonts w:hint="eastAsia"/>
              </w:rPr>
              <w:t>均安置在室内，</w:t>
            </w:r>
            <w:r>
              <w:t>噪声值约在</w:t>
            </w:r>
            <w:r>
              <w:rPr>
                <w:rFonts w:hint="eastAsia"/>
              </w:rPr>
              <w:t>70</w:t>
            </w:r>
            <w:r>
              <w:t>～</w:t>
            </w:r>
            <w:r>
              <w:rPr>
                <w:rFonts w:hint="eastAsia"/>
              </w:rPr>
              <w:t>85</w:t>
            </w:r>
            <w:r>
              <w:t>dB(A)，</w:t>
            </w:r>
            <w:r>
              <w:rPr>
                <w:rFonts w:hint="eastAsia"/>
              </w:rPr>
              <w:t>经采取相应的降噪措施后，噪声削减约25</w:t>
            </w:r>
            <w:r>
              <w:t>dB</w:t>
            </w:r>
            <w:r>
              <w:rPr>
                <w:rFonts w:hint="eastAsia"/>
              </w:rPr>
              <w:t>。</w:t>
            </w:r>
          </w:p>
          <w:p>
            <w:pPr>
              <w:pStyle w:val="5"/>
            </w:pPr>
            <w:r>
              <w:t>根据项目设备声源特征和声学环境的特点，视设备声源为点源，声场为半自由声场，依据HJ2.4-</w:t>
            </w:r>
            <w:r>
              <w:rPr>
                <w:rFonts w:hint="eastAsia"/>
              </w:rPr>
              <w:t>2008</w:t>
            </w:r>
            <w:r>
              <w:t>《环境影响评价技术导则—声环境》，选用无指向性声源几何发散衰减预测模式预测厂界噪声。</w:t>
            </w:r>
          </w:p>
          <w:p>
            <w:pPr>
              <w:pStyle w:val="5"/>
            </w:pPr>
            <w:r>
              <w:t>（1）噪声预测模式</w:t>
            </w:r>
            <w:r>
              <w:tab/>
            </w:r>
          </w:p>
          <w:p>
            <w:pPr>
              <w:pStyle w:val="5"/>
            </w:pPr>
            <w:r>
              <w:rPr>
                <w:rFonts w:hint="eastAsia"/>
              </w:rPr>
              <w:t>①</w:t>
            </w:r>
            <w:r>
              <w:t>声环境影响预测模式</w:t>
            </w:r>
            <w:r>
              <w:tab/>
            </w:r>
          </w:p>
          <w:p>
            <w:pPr>
              <w:pStyle w:val="5"/>
            </w:pPr>
            <w:r>
              <w:drawing>
                <wp:inline distT="0" distB="0" distL="114300" distR="114300">
                  <wp:extent cx="1388110" cy="272415"/>
                  <wp:effectExtent l="0" t="0" r="2540" b="1333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4"/>
                          <a:srcRect b="12152"/>
                          <a:stretch>
                            <a:fillRect/>
                          </a:stretch>
                        </pic:blipFill>
                        <pic:spPr>
                          <a:xfrm>
                            <a:off x="0" y="0"/>
                            <a:ext cx="1388110" cy="272415"/>
                          </a:xfrm>
                          <a:prstGeom prst="rect">
                            <a:avLst/>
                          </a:prstGeom>
                          <a:noFill/>
                          <a:ln>
                            <a:noFill/>
                          </a:ln>
                        </pic:spPr>
                      </pic:pic>
                    </a:graphicData>
                  </a:graphic>
                </wp:inline>
              </w:drawing>
            </w:r>
          </w:p>
          <w:p>
            <w:pPr>
              <w:pStyle w:val="5"/>
            </w:pPr>
            <w:r>
              <w:t>式中：LA（r）——预测点r处A声级，dB(A)；</w:t>
            </w:r>
          </w:p>
          <w:p>
            <w:pPr>
              <w:pStyle w:val="5"/>
            </w:pPr>
            <w:r>
              <w:t>LA（r0）——r0处A声级，dB(A)；A — 倍频带衰减，dB（A）；</w:t>
            </w:r>
          </w:p>
          <w:p>
            <w:pPr>
              <w:pStyle w:val="5"/>
            </w:pPr>
            <w:r>
              <w:rPr>
                <w:rFonts w:hint="eastAsia"/>
              </w:rPr>
              <w:t>②</w:t>
            </w:r>
            <w:r>
              <w:t>声源在预测点产生的等效声级贡献值(Leqg)计算公式：</w:t>
            </w:r>
          </w:p>
          <w:p>
            <w:pPr>
              <w:pStyle w:val="5"/>
            </w:pPr>
            <w:r>
              <w:drawing>
                <wp:inline distT="0" distB="0" distL="114300" distR="114300">
                  <wp:extent cx="2188845" cy="383540"/>
                  <wp:effectExtent l="0" t="0" r="1905" b="1651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5"/>
                          <a:srcRect t="8707" b="11516"/>
                          <a:stretch>
                            <a:fillRect/>
                          </a:stretch>
                        </pic:blipFill>
                        <pic:spPr>
                          <a:xfrm>
                            <a:off x="0" y="0"/>
                            <a:ext cx="2188845" cy="383540"/>
                          </a:xfrm>
                          <a:prstGeom prst="rect">
                            <a:avLst/>
                          </a:prstGeom>
                          <a:noFill/>
                          <a:ln>
                            <a:noFill/>
                          </a:ln>
                        </pic:spPr>
                      </pic:pic>
                    </a:graphicData>
                  </a:graphic>
                </wp:inline>
              </w:drawing>
            </w:r>
          </w:p>
          <w:p>
            <w:pPr>
              <w:pStyle w:val="5"/>
            </w:pPr>
            <w:r>
              <w:t>式中：Leqg—项目声源在预测点的等效声级贡献值，dB(A)；</w:t>
            </w:r>
          </w:p>
          <w:p>
            <w:pPr>
              <w:pStyle w:val="5"/>
            </w:pPr>
            <w:r>
              <w:t>LAi—i声源在预测点产生的A 声级，dB(A)；T— 预测计算的时间段，s；</w:t>
            </w:r>
          </w:p>
          <w:p>
            <w:pPr>
              <w:pStyle w:val="5"/>
            </w:pPr>
            <w:r>
              <w:t>ti—i声源在T 时段内的运行时间，s。</w:t>
            </w:r>
          </w:p>
          <w:p>
            <w:pPr>
              <w:pStyle w:val="5"/>
            </w:pPr>
            <w:r>
              <w:rPr>
                <w:rFonts w:hint="eastAsia"/>
              </w:rPr>
              <w:t>③</w:t>
            </w:r>
            <w:r>
              <w:t>预测点的预测等效声级(Leq)计算公式：</w:t>
            </w:r>
          </w:p>
          <w:p>
            <w:pPr>
              <w:pStyle w:val="5"/>
            </w:pPr>
            <w:r>
              <w:drawing>
                <wp:inline distT="0" distB="0" distL="114300" distR="114300">
                  <wp:extent cx="2110105" cy="329565"/>
                  <wp:effectExtent l="0" t="0" r="4445" b="1333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6"/>
                          <a:srcRect b="22112"/>
                          <a:stretch>
                            <a:fillRect/>
                          </a:stretch>
                        </pic:blipFill>
                        <pic:spPr>
                          <a:xfrm>
                            <a:off x="0" y="0"/>
                            <a:ext cx="2110105" cy="329565"/>
                          </a:xfrm>
                          <a:prstGeom prst="rect">
                            <a:avLst/>
                          </a:prstGeom>
                          <a:noFill/>
                          <a:ln>
                            <a:noFill/>
                          </a:ln>
                        </pic:spPr>
                      </pic:pic>
                    </a:graphicData>
                  </a:graphic>
                </wp:inline>
              </w:drawing>
            </w:r>
          </w:p>
          <w:p>
            <w:pPr>
              <w:pStyle w:val="5"/>
            </w:pPr>
            <w:r>
              <w:t>式中：Leqg—项目声源在预测点的等效声级贡献值，dB(A)；</w:t>
            </w:r>
          </w:p>
          <w:p>
            <w:pPr>
              <w:pStyle w:val="5"/>
            </w:pPr>
            <w:r>
              <w:t>Leqb— 预测点的背景值，dB(A)；</w:t>
            </w:r>
          </w:p>
          <w:p>
            <w:pPr>
              <w:pStyle w:val="5"/>
            </w:pPr>
            <w:r>
              <w:rPr>
                <w:rFonts w:hint="eastAsia"/>
              </w:rPr>
              <w:t>④</w:t>
            </w:r>
            <w:r>
              <w:t>在环境噪声预测中各噪声源作为点声源处理，故几何发散衰减：</w:t>
            </w:r>
          </w:p>
          <w:p>
            <w:pPr>
              <w:pStyle w:val="5"/>
            </w:pPr>
            <w:r>
              <w:drawing>
                <wp:inline distT="0" distB="0" distL="114300" distR="114300">
                  <wp:extent cx="1297305" cy="307340"/>
                  <wp:effectExtent l="0" t="0" r="17145" b="1651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7"/>
                          <a:stretch>
                            <a:fillRect/>
                          </a:stretch>
                        </pic:blipFill>
                        <pic:spPr>
                          <a:xfrm>
                            <a:off x="0" y="0"/>
                            <a:ext cx="1297305" cy="307340"/>
                          </a:xfrm>
                          <a:prstGeom prst="rect">
                            <a:avLst/>
                          </a:prstGeom>
                          <a:noFill/>
                          <a:ln>
                            <a:noFill/>
                          </a:ln>
                        </pic:spPr>
                      </pic:pic>
                    </a:graphicData>
                  </a:graphic>
                </wp:inline>
              </w:drawing>
            </w:r>
          </w:p>
          <w:p>
            <w:pPr>
              <w:pStyle w:val="5"/>
            </w:pPr>
            <w:r>
              <w:t>式中：Adiv——几何发散衰减；r0——噪声合成点与噪声源的距离，m；</w:t>
            </w:r>
          </w:p>
          <w:p>
            <w:pPr>
              <w:pStyle w:val="5"/>
            </w:pPr>
            <w:r>
              <w:t>r——预测点与噪声源的距离，m。</w:t>
            </w:r>
          </w:p>
          <w:p>
            <w:pPr>
              <w:pStyle w:val="5"/>
              <w:numPr>
                <w:ilvl w:val="0"/>
                <w:numId w:val="12"/>
              </w:numPr>
            </w:pPr>
            <w:r>
              <w:rPr>
                <w:rFonts w:hint="eastAsia"/>
              </w:rPr>
              <w:t>项目设备噪声源强</w:t>
            </w:r>
          </w:p>
          <w:p>
            <w:pPr>
              <w:pStyle w:val="29"/>
              <w:spacing w:before="65" w:after="65"/>
            </w:pPr>
            <w:r>
              <w:rPr>
                <w:rFonts w:hint="eastAsia"/>
              </w:rPr>
              <w:t>表7-18 项目设备噪声源强</w:t>
            </w:r>
          </w:p>
          <w:tbl>
            <w:tblPr>
              <w:tblStyle w:val="23"/>
              <w:tblW w:w="9286"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950"/>
              <w:gridCol w:w="1358"/>
              <w:gridCol w:w="815"/>
              <w:gridCol w:w="1339"/>
              <w:gridCol w:w="1978"/>
              <w:gridCol w:w="1846"/>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950" w:type="dxa"/>
                  <w:tcBorders>
                    <w:top w:val="single" w:color="auto" w:sz="4" w:space="0"/>
                    <w:left w:val="single" w:color="000000" w:sz="4" w:space="0"/>
                    <w:bottom w:val="single" w:color="000000" w:sz="4" w:space="0"/>
                    <w:right w:val="single" w:color="000000" w:sz="4" w:space="0"/>
                  </w:tcBorders>
                  <w:noWrap/>
                  <w:vAlign w:val="center"/>
                </w:tcPr>
                <w:p>
                  <w:pPr>
                    <w:pStyle w:val="40"/>
                  </w:pPr>
                  <w:r>
                    <w:rPr>
                      <w:rFonts w:hint="eastAsia"/>
                    </w:rPr>
                    <w:t>噪声源</w:t>
                  </w:r>
                </w:p>
              </w:tc>
              <w:tc>
                <w:tcPr>
                  <w:tcW w:w="1358" w:type="dxa"/>
                  <w:tcBorders>
                    <w:top w:val="single" w:color="auto" w:sz="4" w:space="0"/>
                    <w:left w:val="single" w:color="000000" w:sz="4" w:space="0"/>
                    <w:bottom w:val="single" w:color="000000" w:sz="4" w:space="0"/>
                    <w:right w:val="single" w:color="000000" w:sz="4" w:space="0"/>
                  </w:tcBorders>
                  <w:noWrap/>
                  <w:vAlign w:val="center"/>
                </w:tcPr>
                <w:p>
                  <w:pPr>
                    <w:pStyle w:val="40"/>
                  </w:pPr>
                  <w:r>
                    <w:rPr>
                      <w:rFonts w:hint="eastAsia"/>
                    </w:rPr>
                    <w:t>降噪效果</w:t>
                  </w:r>
                </w:p>
              </w:tc>
              <w:tc>
                <w:tcPr>
                  <w:tcW w:w="815" w:type="dxa"/>
                  <w:tcBorders>
                    <w:top w:val="single" w:color="auto" w:sz="4" w:space="0"/>
                    <w:left w:val="single" w:color="000000" w:sz="4" w:space="0"/>
                    <w:bottom w:val="single" w:color="000000" w:sz="4" w:space="0"/>
                    <w:right w:val="single" w:color="000000" w:sz="4" w:space="0"/>
                  </w:tcBorders>
                  <w:noWrap/>
                  <w:vAlign w:val="center"/>
                </w:tcPr>
                <w:p>
                  <w:pPr>
                    <w:pStyle w:val="40"/>
                  </w:pPr>
                  <w:r>
                    <w:rPr>
                      <w:rFonts w:hint="eastAsia"/>
                    </w:rPr>
                    <w:t>数量</w:t>
                  </w:r>
                </w:p>
              </w:tc>
              <w:tc>
                <w:tcPr>
                  <w:tcW w:w="1339" w:type="dxa"/>
                  <w:tcBorders>
                    <w:top w:val="single" w:color="auto" w:sz="4" w:space="0"/>
                    <w:left w:val="single" w:color="000000" w:sz="4" w:space="0"/>
                    <w:bottom w:val="single" w:color="000000" w:sz="4" w:space="0"/>
                    <w:right w:val="single" w:color="000000" w:sz="4" w:space="0"/>
                  </w:tcBorders>
                  <w:noWrap/>
                  <w:vAlign w:val="center"/>
                </w:tcPr>
                <w:p>
                  <w:pPr>
                    <w:pStyle w:val="40"/>
                  </w:pPr>
                  <w:r>
                    <w:rPr>
                      <w:rFonts w:hint="eastAsia"/>
                    </w:rPr>
                    <w:t>噪声源强[dB(A)]</w:t>
                  </w:r>
                </w:p>
              </w:tc>
              <w:tc>
                <w:tcPr>
                  <w:tcW w:w="1978" w:type="dxa"/>
                  <w:tcBorders>
                    <w:top w:val="single" w:color="auto" w:sz="4" w:space="0"/>
                    <w:left w:val="single" w:color="000000" w:sz="4" w:space="0"/>
                    <w:bottom w:val="single" w:color="000000" w:sz="4" w:space="0"/>
                    <w:right w:val="single" w:color="000000" w:sz="4" w:space="0"/>
                  </w:tcBorders>
                  <w:noWrap/>
                  <w:vAlign w:val="center"/>
                </w:tcPr>
                <w:p>
                  <w:pPr>
                    <w:pStyle w:val="40"/>
                  </w:pPr>
                  <w:r>
                    <w:rPr>
                      <w:rFonts w:hint="eastAsia"/>
                    </w:rPr>
                    <w:t>主要降噪措施</w:t>
                  </w:r>
                </w:p>
              </w:tc>
              <w:tc>
                <w:tcPr>
                  <w:tcW w:w="1846" w:type="dxa"/>
                  <w:tcBorders>
                    <w:top w:val="single" w:color="auto" w:sz="4" w:space="0"/>
                    <w:left w:val="single" w:color="000000" w:sz="4" w:space="0"/>
                    <w:bottom w:val="single" w:color="000000" w:sz="4" w:space="0"/>
                    <w:right w:val="single" w:color="auto" w:sz="4" w:space="0"/>
                  </w:tcBorders>
                  <w:noWrap/>
                  <w:vAlign w:val="center"/>
                </w:tcPr>
                <w:p>
                  <w:pPr>
                    <w:pStyle w:val="40"/>
                  </w:pPr>
                  <w:r>
                    <w:rPr>
                      <w:rFonts w:hint="eastAsia"/>
                    </w:rPr>
                    <w:t>执行标准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950" w:type="dxa"/>
                  <w:tcBorders>
                    <w:top w:val="single" w:color="000000" w:sz="4" w:space="0"/>
                    <w:left w:val="single" w:color="000000" w:sz="4" w:space="0"/>
                    <w:bottom w:val="single" w:color="000000" w:sz="4" w:space="0"/>
                    <w:right w:val="single" w:color="000000" w:sz="4" w:space="0"/>
                  </w:tcBorders>
                  <w:noWrap/>
                  <w:vAlign w:val="center"/>
                </w:tcPr>
                <w:p>
                  <w:pPr>
                    <w:pStyle w:val="40"/>
                  </w:pPr>
                  <w:r>
                    <w:rPr>
                      <w:rFonts w:hint="eastAsia"/>
                    </w:rPr>
                    <w:t>全自动粘合机</w:t>
                  </w:r>
                </w:p>
              </w:tc>
              <w:tc>
                <w:tcPr>
                  <w:tcW w:w="1358" w:type="dxa"/>
                  <w:tcBorders>
                    <w:top w:val="single" w:color="000000" w:sz="4" w:space="0"/>
                    <w:left w:val="single" w:color="000000" w:sz="4" w:space="0"/>
                    <w:bottom w:val="single" w:color="000000" w:sz="4" w:space="0"/>
                    <w:right w:val="single" w:color="000000" w:sz="4" w:space="0"/>
                  </w:tcBorders>
                  <w:noWrap/>
                  <w:vAlign w:val="center"/>
                </w:tcPr>
                <w:p>
                  <w:pPr>
                    <w:pStyle w:val="40"/>
                  </w:pPr>
                  <w:r>
                    <w:rPr>
                      <w:rFonts w:hint="eastAsia"/>
                    </w:rPr>
                    <w:t>≥</w:t>
                  </w:r>
                  <w:r>
                    <w:t>25dB(A)</w:t>
                  </w:r>
                </w:p>
              </w:tc>
              <w:tc>
                <w:tcPr>
                  <w:tcW w:w="815" w:type="dxa"/>
                  <w:tcBorders>
                    <w:top w:val="single" w:color="000000" w:sz="4" w:space="0"/>
                    <w:left w:val="single" w:color="000000" w:sz="4" w:space="0"/>
                    <w:bottom w:val="single" w:color="000000" w:sz="4" w:space="0"/>
                    <w:right w:val="single" w:color="000000" w:sz="4" w:space="0"/>
                  </w:tcBorders>
                  <w:noWrap/>
                  <w:vAlign w:val="center"/>
                </w:tcPr>
                <w:p>
                  <w:pPr>
                    <w:pStyle w:val="40"/>
                  </w:pPr>
                  <w:r>
                    <w:rPr>
                      <w:rFonts w:hint="eastAsia"/>
                    </w:rPr>
                    <w:t>1</w:t>
                  </w:r>
                </w:p>
              </w:tc>
              <w:tc>
                <w:tcPr>
                  <w:tcW w:w="1339" w:type="dxa"/>
                  <w:tcBorders>
                    <w:top w:val="single" w:color="000000" w:sz="4" w:space="0"/>
                    <w:left w:val="single" w:color="000000" w:sz="4" w:space="0"/>
                    <w:bottom w:val="single" w:color="000000" w:sz="4" w:space="0"/>
                    <w:right w:val="single" w:color="000000" w:sz="4" w:space="0"/>
                  </w:tcBorders>
                  <w:noWrap/>
                  <w:vAlign w:val="center"/>
                </w:tcPr>
                <w:p>
                  <w:pPr>
                    <w:pStyle w:val="40"/>
                  </w:pPr>
                  <w:r>
                    <w:t>75</w:t>
                  </w:r>
                </w:p>
              </w:tc>
              <w:tc>
                <w:tcPr>
                  <w:tcW w:w="1978" w:type="dxa"/>
                  <w:vMerge w:val="restart"/>
                  <w:tcBorders>
                    <w:top w:val="single" w:color="000000" w:sz="4" w:space="0"/>
                    <w:left w:val="single" w:color="000000" w:sz="4" w:space="0"/>
                    <w:right w:val="single" w:color="000000" w:sz="4" w:space="0"/>
                  </w:tcBorders>
                  <w:noWrap/>
                  <w:vAlign w:val="center"/>
                </w:tcPr>
                <w:p>
                  <w:pPr>
                    <w:pStyle w:val="40"/>
                  </w:pPr>
                  <w:r>
                    <w:rPr>
                      <w:rFonts w:hint="eastAsia"/>
                    </w:rPr>
                    <w:t>采用低噪声设备，安装减震垫减震，厂房隔声等措施</w:t>
                  </w:r>
                </w:p>
              </w:tc>
              <w:tc>
                <w:tcPr>
                  <w:tcW w:w="1846" w:type="dxa"/>
                  <w:vMerge w:val="restart"/>
                  <w:tcBorders>
                    <w:top w:val="single" w:color="000000" w:sz="4" w:space="0"/>
                    <w:left w:val="single" w:color="000000" w:sz="4" w:space="0"/>
                    <w:right w:val="single" w:color="auto" w:sz="4" w:space="0"/>
                  </w:tcBorders>
                  <w:noWrap/>
                  <w:vAlign w:val="center"/>
                </w:tcPr>
                <w:p>
                  <w:pPr>
                    <w:pStyle w:val="40"/>
                  </w:pPr>
                  <w:r>
                    <w:rPr>
                      <w:rFonts w:hint="eastAsia"/>
                    </w:rPr>
                    <w:t>《工业企业厂界环境噪声排放标准》（GB12348-2008）3类标准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950" w:type="dxa"/>
                  <w:tcBorders>
                    <w:top w:val="single" w:color="000000" w:sz="4" w:space="0"/>
                    <w:left w:val="single" w:color="000000" w:sz="4" w:space="0"/>
                    <w:bottom w:val="single" w:color="000000" w:sz="4" w:space="0"/>
                    <w:right w:val="single" w:color="000000" w:sz="4" w:space="0"/>
                  </w:tcBorders>
                  <w:noWrap/>
                  <w:vAlign w:val="center"/>
                </w:tcPr>
                <w:p>
                  <w:pPr>
                    <w:pStyle w:val="40"/>
                    <w:rPr>
                      <w:rFonts w:hint="default"/>
                      <w:lang w:val="en-US" w:eastAsia="zh-CN"/>
                    </w:rPr>
                  </w:pPr>
                  <w:r>
                    <w:rPr>
                      <w:rFonts w:hint="eastAsia"/>
                      <w:lang w:val="en-US" w:eastAsia="zh-CN"/>
                    </w:rPr>
                    <w:t>模切印刷一体机</w:t>
                  </w:r>
                </w:p>
              </w:tc>
              <w:tc>
                <w:tcPr>
                  <w:tcW w:w="1358" w:type="dxa"/>
                  <w:tcBorders>
                    <w:top w:val="single" w:color="000000" w:sz="4" w:space="0"/>
                    <w:left w:val="single" w:color="000000" w:sz="4" w:space="0"/>
                    <w:bottom w:val="single" w:color="000000" w:sz="4" w:space="0"/>
                    <w:right w:val="single" w:color="000000" w:sz="4" w:space="0"/>
                  </w:tcBorders>
                  <w:noWrap/>
                  <w:vAlign w:val="center"/>
                </w:tcPr>
                <w:p>
                  <w:pPr>
                    <w:pStyle w:val="40"/>
                  </w:pPr>
                  <w:r>
                    <w:rPr>
                      <w:rFonts w:hint="eastAsia"/>
                    </w:rPr>
                    <w:t>≥</w:t>
                  </w:r>
                  <w:r>
                    <w:t>25dB(A)</w:t>
                  </w:r>
                </w:p>
              </w:tc>
              <w:tc>
                <w:tcPr>
                  <w:tcW w:w="815" w:type="dxa"/>
                  <w:tcBorders>
                    <w:top w:val="single" w:color="000000" w:sz="4" w:space="0"/>
                    <w:left w:val="single" w:color="000000" w:sz="4" w:space="0"/>
                    <w:bottom w:val="single" w:color="000000" w:sz="4" w:space="0"/>
                    <w:right w:val="single" w:color="000000" w:sz="4" w:space="0"/>
                  </w:tcBorders>
                  <w:noWrap/>
                  <w:vAlign w:val="center"/>
                </w:tcPr>
                <w:p>
                  <w:pPr>
                    <w:pStyle w:val="40"/>
                    <w:rPr>
                      <w:rFonts w:hint="eastAsia"/>
                      <w:lang w:eastAsia="zh-CN"/>
                    </w:rPr>
                  </w:pPr>
                  <w:r>
                    <w:rPr>
                      <w:rFonts w:hint="eastAsia"/>
                      <w:lang w:val="en-US" w:eastAsia="zh-CN"/>
                    </w:rPr>
                    <w:t>2</w:t>
                  </w:r>
                </w:p>
              </w:tc>
              <w:tc>
                <w:tcPr>
                  <w:tcW w:w="1339" w:type="dxa"/>
                  <w:tcBorders>
                    <w:top w:val="single" w:color="000000" w:sz="4" w:space="0"/>
                    <w:left w:val="single" w:color="000000" w:sz="4" w:space="0"/>
                    <w:bottom w:val="single" w:color="000000" w:sz="4" w:space="0"/>
                    <w:right w:val="single" w:color="000000" w:sz="4" w:space="0"/>
                  </w:tcBorders>
                  <w:noWrap/>
                  <w:vAlign w:val="center"/>
                </w:tcPr>
                <w:p>
                  <w:pPr>
                    <w:pStyle w:val="40"/>
                  </w:pPr>
                  <w:r>
                    <w:t>70</w:t>
                  </w:r>
                </w:p>
              </w:tc>
              <w:tc>
                <w:tcPr>
                  <w:tcW w:w="1978" w:type="dxa"/>
                  <w:vMerge w:val="continue"/>
                  <w:tcBorders>
                    <w:left w:val="single" w:color="000000" w:sz="4" w:space="0"/>
                    <w:right w:val="single" w:color="000000" w:sz="4" w:space="0"/>
                  </w:tcBorders>
                  <w:noWrap/>
                  <w:vAlign w:val="center"/>
                </w:tcPr>
                <w:p>
                  <w:pPr>
                    <w:pStyle w:val="40"/>
                  </w:pPr>
                </w:p>
              </w:tc>
              <w:tc>
                <w:tcPr>
                  <w:tcW w:w="1846" w:type="dxa"/>
                  <w:vMerge w:val="continue"/>
                  <w:tcBorders>
                    <w:left w:val="single" w:color="000000" w:sz="4" w:space="0"/>
                    <w:right w:val="single" w:color="auto" w:sz="4" w:space="0"/>
                  </w:tcBorders>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950" w:type="dxa"/>
                  <w:tcBorders>
                    <w:top w:val="single" w:color="000000" w:sz="4" w:space="0"/>
                    <w:left w:val="single" w:color="000000" w:sz="4" w:space="0"/>
                    <w:bottom w:val="single" w:color="000000" w:sz="4" w:space="0"/>
                    <w:right w:val="single" w:color="000000" w:sz="4" w:space="0"/>
                  </w:tcBorders>
                  <w:noWrap/>
                  <w:vAlign w:val="center"/>
                </w:tcPr>
                <w:p>
                  <w:pPr>
                    <w:pStyle w:val="40"/>
                  </w:pPr>
                  <w:r>
                    <w:rPr>
                      <w:rFonts w:hint="eastAsia"/>
                    </w:rPr>
                    <w:t>钉针机</w:t>
                  </w:r>
                </w:p>
              </w:tc>
              <w:tc>
                <w:tcPr>
                  <w:tcW w:w="1358" w:type="dxa"/>
                  <w:tcBorders>
                    <w:top w:val="single" w:color="000000" w:sz="4" w:space="0"/>
                    <w:left w:val="single" w:color="000000" w:sz="4" w:space="0"/>
                    <w:bottom w:val="single" w:color="000000" w:sz="4" w:space="0"/>
                    <w:right w:val="single" w:color="000000" w:sz="4" w:space="0"/>
                  </w:tcBorders>
                  <w:noWrap/>
                  <w:vAlign w:val="center"/>
                </w:tcPr>
                <w:p>
                  <w:pPr>
                    <w:pStyle w:val="40"/>
                  </w:pPr>
                  <w:r>
                    <w:rPr>
                      <w:rFonts w:hint="eastAsia"/>
                    </w:rPr>
                    <w:t>≥</w:t>
                  </w:r>
                  <w:r>
                    <w:t>25dB(A)</w:t>
                  </w:r>
                </w:p>
              </w:tc>
              <w:tc>
                <w:tcPr>
                  <w:tcW w:w="815" w:type="dxa"/>
                  <w:tcBorders>
                    <w:top w:val="single" w:color="000000" w:sz="4" w:space="0"/>
                    <w:left w:val="single" w:color="000000" w:sz="4" w:space="0"/>
                    <w:bottom w:val="single" w:color="000000" w:sz="4" w:space="0"/>
                    <w:right w:val="single" w:color="000000" w:sz="4" w:space="0"/>
                  </w:tcBorders>
                  <w:noWrap/>
                  <w:vAlign w:val="center"/>
                </w:tcPr>
                <w:p>
                  <w:pPr>
                    <w:pStyle w:val="40"/>
                    <w:rPr>
                      <w:rFonts w:hint="eastAsia"/>
                      <w:lang w:eastAsia="zh-CN"/>
                    </w:rPr>
                  </w:pPr>
                  <w:r>
                    <w:rPr>
                      <w:rFonts w:hint="eastAsia"/>
                      <w:lang w:val="en-US" w:eastAsia="zh-CN"/>
                    </w:rPr>
                    <w:t>1</w:t>
                  </w:r>
                </w:p>
              </w:tc>
              <w:tc>
                <w:tcPr>
                  <w:tcW w:w="1339" w:type="dxa"/>
                  <w:tcBorders>
                    <w:top w:val="single" w:color="000000" w:sz="4" w:space="0"/>
                    <w:left w:val="single" w:color="000000" w:sz="4" w:space="0"/>
                    <w:bottom w:val="single" w:color="000000" w:sz="4" w:space="0"/>
                    <w:right w:val="single" w:color="000000" w:sz="4" w:space="0"/>
                  </w:tcBorders>
                  <w:noWrap/>
                  <w:vAlign w:val="center"/>
                </w:tcPr>
                <w:p>
                  <w:pPr>
                    <w:pStyle w:val="40"/>
                  </w:pPr>
                  <w:r>
                    <w:t>7</w:t>
                  </w:r>
                  <w:r>
                    <w:rPr>
                      <w:rFonts w:hint="eastAsia"/>
                    </w:rPr>
                    <w:t>8</w:t>
                  </w:r>
                </w:p>
              </w:tc>
              <w:tc>
                <w:tcPr>
                  <w:tcW w:w="1978" w:type="dxa"/>
                  <w:vMerge w:val="continue"/>
                  <w:tcBorders>
                    <w:left w:val="single" w:color="000000" w:sz="4" w:space="0"/>
                    <w:right w:val="single" w:color="000000" w:sz="4" w:space="0"/>
                  </w:tcBorders>
                  <w:noWrap/>
                  <w:vAlign w:val="center"/>
                </w:tcPr>
                <w:p>
                  <w:pPr>
                    <w:pStyle w:val="40"/>
                  </w:pPr>
                </w:p>
              </w:tc>
              <w:tc>
                <w:tcPr>
                  <w:tcW w:w="1846" w:type="dxa"/>
                  <w:vMerge w:val="continue"/>
                  <w:tcBorders>
                    <w:left w:val="single" w:color="000000" w:sz="4" w:space="0"/>
                    <w:right w:val="single" w:color="auto" w:sz="4" w:space="0"/>
                  </w:tcBorders>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950" w:type="dxa"/>
                  <w:tcBorders>
                    <w:top w:val="single" w:color="000000" w:sz="4" w:space="0"/>
                    <w:left w:val="single" w:color="000000" w:sz="4" w:space="0"/>
                    <w:bottom w:val="single" w:color="000000" w:sz="4" w:space="0"/>
                    <w:right w:val="single" w:color="000000" w:sz="4" w:space="0"/>
                  </w:tcBorders>
                  <w:noWrap/>
                  <w:vAlign w:val="center"/>
                </w:tcPr>
                <w:p>
                  <w:pPr>
                    <w:pStyle w:val="40"/>
                  </w:pPr>
                  <w:r>
                    <w:rPr>
                      <w:rFonts w:hint="eastAsia"/>
                    </w:rPr>
                    <w:t>分纸机</w:t>
                  </w:r>
                </w:p>
              </w:tc>
              <w:tc>
                <w:tcPr>
                  <w:tcW w:w="1358" w:type="dxa"/>
                  <w:tcBorders>
                    <w:top w:val="single" w:color="000000" w:sz="4" w:space="0"/>
                    <w:left w:val="single" w:color="000000" w:sz="4" w:space="0"/>
                    <w:bottom w:val="single" w:color="000000" w:sz="4" w:space="0"/>
                    <w:right w:val="single" w:color="000000" w:sz="4" w:space="0"/>
                  </w:tcBorders>
                  <w:noWrap/>
                  <w:vAlign w:val="center"/>
                </w:tcPr>
                <w:p>
                  <w:pPr>
                    <w:pStyle w:val="40"/>
                  </w:pPr>
                  <w:r>
                    <w:rPr>
                      <w:rFonts w:hint="eastAsia"/>
                    </w:rPr>
                    <w:t>≥</w:t>
                  </w:r>
                  <w:r>
                    <w:t>25dB(A)</w:t>
                  </w:r>
                </w:p>
              </w:tc>
              <w:tc>
                <w:tcPr>
                  <w:tcW w:w="815" w:type="dxa"/>
                  <w:tcBorders>
                    <w:top w:val="single" w:color="000000" w:sz="4" w:space="0"/>
                    <w:left w:val="single" w:color="000000" w:sz="4" w:space="0"/>
                    <w:bottom w:val="single" w:color="000000" w:sz="4" w:space="0"/>
                    <w:right w:val="single" w:color="000000" w:sz="4" w:space="0"/>
                  </w:tcBorders>
                  <w:noWrap/>
                  <w:vAlign w:val="center"/>
                </w:tcPr>
                <w:p>
                  <w:pPr>
                    <w:pStyle w:val="40"/>
                  </w:pPr>
                  <w:r>
                    <w:rPr>
                      <w:rFonts w:hint="eastAsia"/>
                    </w:rPr>
                    <w:t>1</w:t>
                  </w:r>
                </w:p>
              </w:tc>
              <w:tc>
                <w:tcPr>
                  <w:tcW w:w="1339" w:type="dxa"/>
                  <w:tcBorders>
                    <w:top w:val="single" w:color="000000" w:sz="4" w:space="0"/>
                    <w:left w:val="single" w:color="000000" w:sz="4" w:space="0"/>
                    <w:bottom w:val="single" w:color="000000" w:sz="4" w:space="0"/>
                    <w:right w:val="single" w:color="000000" w:sz="4" w:space="0"/>
                  </w:tcBorders>
                  <w:noWrap/>
                  <w:vAlign w:val="center"/>
                </w:tcPr>
                <w:p>
                  <w:pPr>
                    <w:pStyle w:val="40"/>
                  </w:pPr>
                  <w:r>
                    <w:t>75</w:t>
                  </w:r>
                </w:p>
              </w:tc>
              <w:tc>
                <w:tcPr>
                  <w:tcW w:w="1978" w:type="dxa"/>
                  <w:vMerge w:val="continue"/>
                  <w:tcBorders>
                    <w:left w:val="single" w:color="000000" w:sz="4" w:space="0"/>
                    <w:right w:val="single" w:color="000000" w:sz="4" w:space="0"/>
                  </w:tcBorders>
                  <w:noWrap/>
                  <w:vAlign w:val="center"/>
                </w:tcPr>
                <w:p>
                  <w:pPr>
                    <w:pStyle w:val="40"/>
                  </w:pPr>
                </w:p>
              </w:tc>
              <w:tc>
                <w:tcPr>
                  <w:tcW w:w="1846" w:type="dxa"/>
                  <w:vMerge w:val="continue"/>
                  <w:tcBorders>
                    <w:left w:val="single" w:color="000000" w:sz="4" w:space="0"/>
                    <w:right w:val="single" w:color="auto" w:sz="4" w:space="0"/>
                  </w:tcBorders>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950" w:type="dxa"/>
                  <w:tcBorders>
                    <w:top w:val="single" w:color="000000" w:sz="4" w:space="0"/>
                    <w:left w:val="single" w:color="000000" w:sz="4" w:space="0"/>
                    <w:bottom w:val="single" w:color="000000" w:sz="4" w:space="0"/>
                    <w:right w:val="single" w:color="000000" w:sz="4" w:space="0"/>
                  </w:tcBorders>
                  <w:noWrap/>
                  <w:vAlign w:val="center"/>
                </w:tcPr>
                <w:p>
                  <w:pPr>
                    <w:pStyle w:val="40"/>
                  </w:pPr>
                  <w:r>
                    <w:rPr>
                      <w:rFonts w:hint="eastAsia"/>
                    </w:rPr>
                    <w:t>打包机</w:t>
                  </w:r>
                </w:p>
              </w:tc>
              <w:tc>
                <w:tcPr>
                  <w:tcW w:w="1358" w:type="dxa"/>
                  <w:tcBorders>
                    <w:top w:val="single" w:color="000000" w:sz="4" w:space="0"/>
                    <w:left w:val="single" w:color="000000" w:sz="4" w:space="0"/>
                    <w:bottom w:val="single" w:color="000000" w:sz="4" w:space="0"/>
                    <w:right w:val="single" w:color="000000" w:sz="4" w:space="0"/>
                  </w:tcBorders>
                  <w:noWrap/>
                  <w:vAlign w:val="center"/>
                </w:tcPr>
                <w:p>
                  <w:pPr>
                    <w:pStyle w:val="40"/>
                  </w:pPr>
                  <w:r>
                    <w:rPr>
                      <w:rFonts w:hint="eastAsia"/>
                    </w:rPr>
                    <w:t>≥</w:t>
                  </w:r>
                  <w:r>
                    <w:t>25dB(A)</w:t>
                  </w:r>
                </w:p>
              </w:tc>
              <w:tc>
                <w:tcPr>
                  <w:tcW w:w="815" w:type="dxa"/>
                  <w:tcBorders>
                    <w:top w:val="single" w:color="000000" w:sz="4" w:space="0"/>
                    <w:left w:val="single" w:color="000000" w:sz="4" w:space="0"/>
                    <w:bottom w:val="single" w:color="000000" w:sz="4" w:space="0"/>
                    <w:right w:val="single" w:color="000000" w:sz="4" w:space="0"/>
                  </w:tcBorders>
                  <w:noWrap/>
                  <w:vAlign w:val="center"/>
                </w:tcPr>
                <w:p>
                  <w:pPr>
                    <w:pStyle w:val="40"/>
                  </w:pPr>
                  <w:r>
                    <w:rPr>
                      <w:rFonts w:hint="eastAsia"/>
                    </w:rPr>
                    <w:t>1</w:t>
                  </w:r>
                </w:p>
              </w:tc>
              <w:tc>
                <w:tcPr>
                  <w:tcW w:w="1339" w:type="dxa"/>
                  <w:tcBorders>
                    <w:top w:val="single" w:color="000000" w:sz="4" w:space="0"/>
                    <w:left w:val="single" w:color="000000" w:sz="4" w:space="0"/>
                    <w:bottom w:val="single" w:color="000000" w:sz="4" w:space="0"/>
                    <w:right w:val="single" w:color="000000" w:sz="4" w:space="0"/>
                  </w:tcBorders>
                  <w:noWrap/>
                  <w:vAlign w:val="center"/>
                </w:tcPr>
                <w:p>
                  <w:pPr>
                    <w:pStyle w:val="40"/>
                  </w:pPr>
                  <w:r>
                    <w:t>7</w:t>
                  </w:r>
                  <w:r>
                    <w:rPr>
                      <w:rFonts w:hint="eastAsia"/>
                    </w:rPr>
                    <w:t>8</w:t>
                  </w:r>
                </w:p>
              </w:tc>
              <w:tc>
                <w:tcPr>
                  <w:tcW w:w="1978" w:type="dxa"/>
                  <w:vMerge w:val="continue"/>
                  <w:tcBorders>
                    <w:left w:val="single" w:color="000000" w:sz="4" w:space="0"/>
                    <w:right w:val="single" w:color="000000" w:sz="4" w:space="0"/>
                  </w:tcBorders>
                  <w:noWrap/>
                  <w:vAlign w:val="center"/>
                </w:tcPr>
                <w:p>
                  <w:pPr>
                    <w:pStyle w:val="40"/>
                  </w:pPr>
                </w:p>
              </w:tc>
              <w:tc>
                <w:tcPr>
                  <w:tcW w:w="1846" w:type="dxa"/>
                  <w:vMerge w:val="continue"/>
                  <w:tcBorders>
                    <w:left w:val="single" w:color="000000" w:sz="4" w:space="0"/>
                    <w:right w:val="single" w:color="auto" w:sz="4" w:space="0"/>
                  </w:tcBorders>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950" w:type="dxa"/>
                  <w:tcBorders>
                    <w:top w:val="single" w:color="000000" w:sz="4" w:space="0"/>
                    <w:left w:val="single" w:color="000000" w:sz="4" w:space="0"/>
                    <w:bottom w:val="single" w:color="auto" w:sz="4" w:space="0"/>
                    <w:right w:val="single" w:color="000000" w:sz="4" w:space="0"/>
                  </w:tcBorders>
                  <w:noWrap/>
                  <w:vAlign w:val="center"/>
                </w:tcPr>
                <w:p>
                  <w:pPr>
                    <w:pStyle w:val="40"/>
                  </w:pPr>
                  <w:r>
                    <w:rPr>
                      <w:rFonts w:hint="eastAsia"/>
                    </w:rPr>
                    <w:t>风机</w:t>
                  </w:r>
                </w:p>
              </w:tc>
              <w:tc>
                <w:tcPr>
                  <w:tcW w:w="1358" w:type="dxa"/>
                  <w:tcBorders>
                    <w:top w:val="single" w:color="000000" w:sz="4" w:space="0"/>
                    <w:left w:val="single" w:color="000000" w:sz="4" w:space="0"/>
                    <w:bottom w:val="single" w:color="auto" w:sz="4" w:space="0"/>
                    <w:right w:val="single" w:color="000000" w:sz="4" w:space="0"/>
                  </w:tcBorders>
                  <w:noWrap/>
                  <w:vAlign w:val="center"/>
                </w:tcPr>
                <w:p>
                  <w:pPr>
                    <w:pStyle w:val="40"/>
                  </w:pPr>
                  <w:r>
                    <w:rPr>
                      <w:rFonts w:hint="eastAsia"/>
                    </w:rPr>
                    <w:t>≥</w:t>
                  </w:r>
                  <w:r>
                    <w:t>25dB(A)</w:t>
                  </w:r>
                </w:p>
              </w:tc>
              <w:tc>
                <w:tcPr>
                  <w:tcW w:w="815" w:type="dxa"/>
                  <w:tcBorders>
                    <w:top w:val="single" w:color="000000" w:sz="4" w:space="0"/>
                    <w:left w:val="single" w:color="000000" w:sz="4" w:space="0"/>
                    <w:bottom w:val="single" w:color="auto" w:sz="4" w:space="0"/>
                    <w:right w:val="single" w:color="000000" w:sz="4" w:space="0"/>
                  </w:tcBorders>
                  <w:noWrap/>
                  <w:vAlign w:val="center"/>
                </w:tcPr>
                <w:p>
                  <w:pPr>
                    <w:pStyle w:val="40"/>
                  </w:pPr>
                  <w:r>
                    <w:rPr>
                      <w:rFonts w:hint="eastAsia"/>
                    </w:rPr>
                    <w:t>1</w:t>
                  </w:r>
                </w:p>
              </w:tc>
              <w:tc>
                <w:tcPr>
                  <w:tcW w:w="1339" w:type="dxa"/>
                  <w:tcBorders>
                    <w:top w:val="single" w:color="000000" w:sz="4" w:space="0"/>
                    <w:left w:val="single" w:color="000000" w:sz="4" w:space="0"/>
                    <w:bottom w:val="single" w:color="auto" w:sz="4" w:space="0"/>
                    <w:right w:val="single" w:color="000000" w:sz="4" w:space="0"/>
                  </w:tcBorders>
                  <w:noWrap/>
                  <w:vAlign w:val="center"/>
                </w:tcPr>
                <w:p>
                  <w:pPr>
                    <w:pStyle w:val="40"/>
                  </w:pPr>
                  <w:r>
                    <w:rPr>
                      <w:rFonts w:hint="eastAsia"/>
                    </w:rPr>
                    <w:t>80</w:t>
                  </w:r>
                </w:p>
              </w:tc>
              <w:tc>
                <w:tcPr>
                  <w:tcW w:w="1978" w:type="dxa"/>
                  <w:vMerge w:val="continue"/>
                  <w:tcBorders>
                    <w:left w:val="single" w:color="000000" w:sz="4" w:space="0"/>
                    <w:bottom w:val="single" w:color="auto" w:sz="4" w:space="0"/>
                    <w:right w:val="single" w:color="000000" w:sz="4" w:space="0"/>
                  </w:tcBorders>
                  <w:noWrap/>
                  <w:vAlign w:val="center"/>
                </w:tcPr>
                <w:p>
                  <w:pPr>
                    <w:pStyle w:val="40"/>
                  </w:pPr>
                </w:p>
              </w:tc>
              <w:tc>
                <w:tcPr>
                  <w:tcW w:w="1846" w:type="dxa"/>
                  <w:vMerge w:val="continue"/>
                  <w:tcBorders>
                    <w:left w:val="single" w:color="000000" w:sz="4" w:space="0"/>
                    <w:bottom w:val="single" w:color="auto" w:sz="4" w:space="0"/>
                    <w:right w:val="single" w:color="auto" w:sz="4" w:space="0"/>
                  </w:tcBorders>
                  <w:noWrap/>
                  <w:vAlign w:val="center"/>
                </w:tcPr>
                <w:p>
                  <w:pPr>
                    <w:pStyle w:val="40"/>
                  </w:pPr>
                </w:p>
              </w:tc>
            </w:tr>
          </w:tbl>
          <w:p>
            <w:pPr>
              <w:pStyle w:val="5"/>
            </w:pPr>
            <w:bookmarkStart w:id="14" w:name="_Toc499853379"/>
            <w:bookmarkStart w:id="15" w:name="_Toc499863573"/>
            <w:r>
              <w:rPr>
                <w:rFonts w:hint="eastAsia"/>
              </w:rPr>
              <w:t>（3）评价标准</w:t>
            </w:r>
            <w:bookmarkEnd w:id="14"/>
            <w:bookmarkEnd w:id="15"/>
          </w:p>
          <w:p>
            <w:pPr>
              <w:pStyle w:val="5"/>
              <w:rPr>
                <w:lang w:val="zh-CN"/>
              </w:rPr>
            </w:pPr>
            <w:r>
              <w:rPr>
                <w:rFonts w:hint="eastAsia"/>
                <w:lang w:val="zh-CN"/>
              </w:rPr>
              <w:t>项目厂区声环境执行《声环境质量标准》（GB3096-2008）</w:t>
            </w:r>
            <w:r>
              <w:rPr>
                <w:lang w:val="zh-CN"/>
              </w:rPr>
              <w:t>3</w:t>
            </w:r>
            <w:r>
              <w:rPr>
                <w:rFonts w:hint="eastAsia"/>
                <w:lang w:val="zh-CN"/>
              </w:rPr>
              <w:t>类标准，即昼间6</w:t>
            </w:r>
            <w:r>
              <w:rPr>
                <w:lang w:val="zh-CN"/>
              </w:rPr>
              <w:t>5dB(A)</w:t>
            </w:r>
            <w:r>
              <w:rPr>
                <w:rFonts w:hint="eastAsia"/>
                <w:lang w:val="zh-CN"/>
              </w:rPr>
              <w:t>，夜间5</w:t>
            </w:r>
            <w:r>
              <w:rPr>
                <w:lang w:val="zh-CN"/>
              </w:rPr>
              <w:t>5dB(A)</w:t>
            </w:r>
            <w:r>
              <w:rPr>
                <w:rFonts w:hint="eastAsia"/>
                <w:lang w:val="zh-CN"/>
              </w:rPr>
              <w:t>。</w:t>
            </w:r>
          </w:p>
          <w:p>
            <w:pPr>
              <w:pStyle w:val="5"/>
            </w:pPr>
            <w:r>
              <w:rPr>
                <w:rFonts w:hint="eastAsia"/>
                <w:lang w:val="zh-CN"/>
              </w:rPr>
              <w:t>（</w:t>
            </w:r>
            <w:r>
              <w:rPr>
                <w:rFonts w:hint="eastAsia"/>
              </w:rPr>
              <w:t>4</w:t>
            </w:r>
            <w:r>
              <w:rPr>
                <w:rFonts w:hint="eastAsia"/>
                <w:lang w:val="zh-CN"/>
              </w:rPr>
              <w:t>）</w:t>
            </w:r>
            <w:r>
              <w:rPr>
                <w:rFonts w:hint="eastAsia"/>
              </w:rPr>
              <w:t>预测结果</w:t>
            </w:r>
          </w:p>
          <w:p>
            <w:pPr>
              <w:pStyle w:val="5"/>
            </w:pPr>
            <w:r>
              <w:t>根据建设项目高噪声设备声级所处位置，利用工业企业噪声预测模式和方法，对厂界外的声环境进行预测计算，得到项目建成后各场界处的噪声级，</w:t>
            </w:r>
            <w:r>
              <w:rPr>
                <w:rFonts w:hint="eastAsia"/>
              </w:rPr>
              <w:t>本项目仅昼间生产，夜间不生产，根据导则要求，新建项目厂界噪声预测时不需叠加背景值，以贡献值作为厂界噪声预测值。</w:t>
            </w:r>
            <w:r>
              <w:t>建设项目噪声预测结果见表</w:t>
            </w:r>
            <w:r>
              <w:rPr>
                <w:rFonts w:hint="eastAsia"/>
              </w:rPr>
              <w:t>7-15</w:t>
            </w:r>
            <w:r>
              <w:t>。</w:t>
            </w:r>
          </w:p>
          <w:p>
            <w:pPr>
              <w:pStyle w:val="29"/>
              <w:spacing w:before="65" w:after="65"/>
            </w:pPr>
            <w:r>
              <w:rPr>
                <w:rFonts w:hint="eastAsia"/>
              </w:rPr>
              <w:t xml:space="preserve">表7-29 </w:t>
            </w:r>
            <w:r>
              <w:t>项目噪声预测结果统计表     单位：dB(A)</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28"/>
              <w:gridCol w:w="3515"/>
              <w:gridCol w:w="2401"/>
              <w:gridCol w:w="17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8" w:type="dxa"/>
                  <w:noWrap/>
                  <w:vAlign w:val="center"/>
                </w:tcPr>
                <w:p>
                  <w:pPr>
                    <w:pStyle w:val="40"/>
                  </w:pPr>
                  <w:r>
                    <w:t>测点编号</w:t>
                  </w:r>
                </w:p>
              </w:tc>
              <w:tc>
                <w:tcPr>
                  <w:tcW w:w="3515" w:type="dxa"/>
                  <w:noWrap/>
                  <w:vAlign w:val="center"/>
                </w:tcPr>
                <w:p>
                  <w:pPr>
                    <w:pStyle w:val="40"/>
                  </w:pPr>
                  <w:r>
                    <w:t>测点位置</w:t>
                  </w:r>
                </w:p>
              </w:tc>
              <w:tc>
                <w:tcPr>
                  <w:tcW w:w="2401" w:type="dxa"/>
                  <w:tcBorders>
                    <w:right w:val="single" w:color="auto" w:sz="4" w:space="0"/>
                  </w:tcBorders>
                  <w:noWrap/>
                  <w:vAlign w:val="center"/>
                </w:tcPr>
                <w:p>
                  <w:pPr>
                    <w:pStyle w:val="40"/>
                  </w:pPr>
                  <w:r>
                    <w:rPr>
                      <w:rFonts w:hint="eastAsia"/>
                    </w:rPr>
                    <w:t>预测值</w:t>
                  </w:r>
                </w:p>
              </w:tc>
              <w:tc>
                <w:tcPr>
                  <w:tcW w:w="1770" w:type="dxa"/>
                  <w:tcBorders>
                    <w:left w:val="single" w:color="auto" w:sz="4" w:space="0"/>
                  </w:tcBorders>
                  <w:noWrap/>
                  <w:vAlign w:val="center"/>
                </w:tcPr>
                <w:p>
                  <w:pPr>
                    <w:pStyle w:val="40"/>
                  </w:pPr>
                  <w:r>
                    <w:rPr>
                      <w:rFonts w:hint="eastAsia"/>
                    </w:rPr>
                    <w:t>标准值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8" w:type="dxa"/>
                  <w:noWrap/>
                  <w:vAlign w:val="center"/>
                </w:tcPr>
                <w:p>
                  <w:pPr>
                    <w:pStyle w:val="40"/>
                  </w:pPr>
                  <w:r>
                    <w:t>1</w:t>
                  </w:r>
                </w:p>
              </w:tc>
              <w:tc>
                <w:tcPr>
                  <w:tcW w:w="3515" w:type="dxa"/>
                  <w:noWrap/>
                  <w:vAlign w:val="center"/>
                </w:tcPr>
                <w:p>
                  <w:pPr>
                    <w:pStyle w:val="40"/>
                  </w:pPr>
                  <w:r>
                    <w:t>厂界</w:t>
                  </w:r>
                  <w:r>
                    <w:rPr>
                      <w:rFonts w:hint="eastAsia"/>
                    </w:rPr>
                    <w:t>东</w:t>
                  </w:r>
                  <w:r>
                    <w:t>1m处</w:t>
                  </w:r>
                </w:p>
              </w:tc>
              <w:tc>
                <w:tcPr>
                  <w:tcW w:w="2401" w:type="dxa"/>
                  <w:tcBorders>
                    <w:right w:val="single" w:color="auto" w:sz="4" w:space="0"/>
                  </w:tcBorders>
                  <w:noWrap/>
                  <w:vAlign w:val="center"/>
                </w:tcPr>
                <w:p>
                  <w:pPr>
                    <w:pStyle w:val="40"/>
                  </w:pPr>
                  <w:r>
                    <w:rPr>
                      <w:rFonts w:hint="eastAsia"/>
                    </w:rPr>
                    <w:t>41.9</w:t>
                  </w:r>
                </w:p>
              </w:tc>
              <w:tc>
                <w:tcPr>
                  <w:tcW w:w="1770" w:type="dxa"/>
                  <w:vMerge w:val="restart"/>
                  <w:tcBorders>
                    <w:left w:val="single" w:color="auto" w:sz="4" w:space="0"/>
                  </w:tcBorders>
                  <w:noWrap/>
                  <w:vAlign w:val="center"/>
                </w:tcPr>
                <w:p>
                  <w:pPr>
                    <w:pStyle w:val="40"/>
                  </w:pPr>
                  <w:r>
                    <w:rPr>
                      <w:rFonts w:hint="eastAsia"/>
                    </w:rPr>
                    <w:t>昼间：65dB（A）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8" w:type="dxa"/>
                  <w:noWrap/>
                  <w:vAlign w:val="center"/>
                </w:tcPr>
                <w:p>
                  <w:pPr>
                    <w:pStyle w:val="40"/>
                  </w:pPr>
                  <w:r>
                    <w:t>2</w:t>
                  </w:r>
                </w:p>
              </w:tc>
              <w:tc>
                <w:tcPr>
                  <w:tcW w:w="3515" w:type="dxa"/>
                  <w:noWrap/>
                  <w:vAlign w:val="center"/>
                </w:tcPr>
                <w:p>
                  <w:pPr>
                    <w:pStyle w:val="40"/>
                  </w:pPr>
                  <w:r>
                    <w:t>厂界南1m处</w:t>
                  </w:r>
                </w:p>
              </w:tc>
              <w:tc>
                <w:tcPr>
                  <w:tcW w:w="2401" w:type="dxa"/>
                  <w:tcBorders>
                    <w:right w:val="single" w:color="auto" w:sz="4" w:space="0"/>
                  </w:tcBorders>
                  <w:noWrap/>
                  <w:vAlign w:val="center"/>
                </w:tcPr>
                <w:p>
                  <w:pPr>
                    <w:pStyle w:val="40"/>
                  </w:pPr>
                  <w:r>
                    <w:rPr>
                      <w:rFonts w:hint="eastAsia"/>
                    </w:rPr>
                    <w:t>46.9</w:t>
                  </w:r>
                </w:p>
              </w:tc>
              <w:tc>
                <w:tcPr>
                  <w:tcW w:w="1770" w:type="dxa"/>
                  <w:vMerge w:val="continue"/>
                  <w:tcBorders>
                    <w:left w:val="single" w:color="auto" w:sz="4" w:space="0"/>
                  </w:tcBorders>
                  <w:noWrap/>
                  <w:vAlign w:val="center"/>
                </w:tcPr>
                <w:p>
                  <w:pPr>
                    <w:pStyle w:val="4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8" w:type="dxa"/>
                  <w:noWrap/>
                  <w:vAlign w:val="center"/>
                </w:tcPr>
                <w:p>
                  <w:pPr>
                    <w:pStyle w:val="40"/>
                  </w:pPr>
                  <w:r>
                    <w:t>3</w:t>
                  </w:r>
                </w:p>
              </w:tc>
              <w:tc>
                <w:tcPr>
                  <w:tcW w:w="3515" w:type="dxa"/>
                  <w:noWrap/>
                  <w:vAlign w:val="center"/>
                </w:tcPr>
                <w:p>
                  <w:pPr>
                    <w:pStyle w:val="40"/>
                  </w:pPr>
                  <w:r>
                    <w:t>厂界</w:t>
                  </w:r>
                  <w:r>
                    <w:rPr>
                      <w:rFonts w:hint="eastAsia"/>
                    </w:rPr>
                    <w:t>西</w:t>
                  </w:r>
                  <w:r>
                    <w:t>1m处</w:t>
                  </w:r>
                </w:p>
              </w:tc>
              <w:tc>
                <w:tcPr>
                  <w:tcW w:w="2401" w:type="dxa"/>
                  <w:tcBorders>
                    <w:right w:val="single" w:color="auto" w:sz="4" w:space="0"/>
                  </w:tcBorders>
                  <w:noWrap/>
                  <w:vAlign w:val="center"/>
                </w:tcPr>
                <w:p>
                  <w:pPr>
                    <w:pStyle w:val="40"/>
                  </w:pPr>
                  <w:r>
                    <w:rPr>
                      <w:rFonts w:hint="eastAsia"/>
                    </w:rPr>
                    <w:t>54.0</w:t>
                  </w:r>
                </w:p>
              </w:tc>
              <w:tc>
                <w:tcPr>
                  <w:tcW w:w="1770" w:type="dxa"/>
                  <w:vMerge w:val="continue"/>
                  <w:tcBorders>
                    <w:left w:val="single" w:color="auto" w:sz="4" w:space="0"/>
                  </w:tcBorders>
                  <w:noWrap/>
                  <w:vAlign w:val="center"/>
                </w:tcPr>
                <w:p>
                  <w:pPr>
                    <w:pStyle w:val="4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8" w:type="dxa"/>
                  <w:noWrap/>
                  <w:vAlign w:val="center"/>
                </w:tcPr>
                <w:p>
                  <w:pPr>
                    <w:pStyle w:val="40"/>
                  </w:pPr>
                  <w:r>
                    <w:t>4</w:t>
                  </w:r>
                </w:p>
              </w:tc>
              <w:tc>
                <w:tcPr>
                  <w:tcW w:w="3515" w:type="dxa"/>
                  <w:noWrap/>
                  <w:vAlign w:val="center"/>
                </w:tcPr>
                <w:p>
                  <w:pPr>
                    <w:pStyle w:val="40"/>
                  </w:pPr>
                  <w:r>
                    <w:t>厂界</w:t>
                  </w:r>
                  <w:r>
                    <w:rPr>
                      <w:rFonts w:hint="eastAsia"/>
                    </w:rPr>
                    <w:t>北</w:t>
                  </w:r>
                  <w:r>
                    <w:t>1m处</w:t>
                  </w:r>
                </w:p>
              </w:tc>
              <w:tc>
                <w:tcPr>
                  <w:tcW w:w="2401" w:type="dxa"/>
                  <w:tcBorders>
                    <w:right w:val="single" w:color="auto" w:sz="4" w:space="0"/>
                  </w:tcBorders>
                  <w:noWrap/>
                  <w:vAlign w:val="center"/>
                </w:tcPr>
                <w:p>
                  <w:pPr>
                    <w:pStyle w:val="40"/>
                  </w:pPr>
                  <w:r>
                    <w:rPr>
                      <w:rFonts w:hint="eastAsia"/>
                    </w:rPr>
                    <w:t>59.2</w:t>
                  </w:r>
                </w:p>
              </w:tc>
              <w:tc>
                <w:tcPr>
                  <w:tcW w:w="1770" w:type="dxa"/>
                  <w:vMerge w:val="continue"/>
                  <w:tcBorders>
                    <w:left w:val="single" w:color="auto" w:sz="4" w:space="0"/>
                  </w:tcBorders>
                  <w:noWrap/>
                  <w:vAlign w:val="center"/>
                </w:tcPr>
                <w:p>
                  <w:pPr>
                    <w:pStyle w:val="40"/>
                  </w:pPr>
                </w:p>
              </w:tc>
            </w:tr>
          </w:tbl>
          <w:p>
            <w:pPr>
              <w:pStyle w:val="5"/>
            </w:pPr>
            <w:r>
              <w:t>从表</w:t>
            </w:r>
            <w:r>
              <w:rPr>
                <w:rFonts w:hint="eastAsia"/>
              </w:rPr>
              <w:t>7-15</w:t>
            </w:r>
            <w:r>
              <w:t>可知，建设项目厂界各预测点的噪声</w:t>
            </w:r>
            <w:r>
              <w:rPr>
                <w:rFonts w:hint="eastAsia"/>
              </w:rPr>
              <w:t>贡献</w:t>
            </w:r>
            <w:r>
              <w:t>值均可达到《工业企业厂界环境噪声排放标准》（GB12348-2008）中</w:t>
            </w:r>
            <w:r>
              <w:rPr>
                <w:rFonts w:hint="eastAsia"/>
              </w:rPr>
              <w:t>3</w:t>
            </w:r>
            <w:r>
              <w:t>类区标准</w:t>
            </w:r>
            <w:r>
              <w:rPr>
                <w:rFonts w:hint="eastAsia"/>
              </w:rPr>
              <w:t>（昼间：65</w:t>
            </w:r>
            <w:r>
              <w:t>dB(A)</w:t>
            </w:r>
            <w:r>
              <w:rPr>
                <w:rFonts w:hint="eastAsia"/>
              </w:rPr>
              <w:t>）。本项目夜间不进行生产，夜间噪声贡献值也达标。</w:t>
            </w:r>
          </w:p>
          <w:p>
            <w:pPr>
              <w:pStyle w:val="5"/>
            </w:pPr>
            <w:r>
              <w:rPr>
                <w:rFonts w:hint="eastAsia"/>
              </w:rPr>
              <w:t>四</w:t>
            </w:r>
            <w:r>
              <w:t>、固体废物分析</w:t>
            </w:r>
          </w:p>
          <w:p>
            <w:pPr>
              <w:pStyle w:val="5"/>
            </w:pPr>
            <w:r>
              <w:t>项目产生的固废主要是</w:t>
            </w:r>
            <w:r>
              <w:rPr>
                <w:rFonts w:hint="eastAsia"/>
              </w:rPr>
              <w:t>一般工业固废、危险废物和</w:t>
            </w:r>
            <w:r>
              <w:t>生活垃圾。</w:t>
            </w:r>
          </w:p>
          <w:p>
            <w:pPr>
              <w:pStyle w:val="5"/>
            </w:pPr>
            <w:r>
              <w:rPr>
                <w:rFonts w:hint="eastAsia"/>
              </w:rPr>
              <w:t>（1）一般工业固废</w:t>
            </w:r>
          </w:p>
          <w:p>
            <w:pPr>
              <w:pStyle w:val="5"/>
            </w:pPr>
            <w:r>
              <w:rPr>
                <w:rFonts w:hint="eastAsia"/>
              </w:rPr>
              <w:t>项目在生产过程中产生的一般固废为纸箱边角料，集中收集暂存于一般固废堆场后，纸边角料定期进行外售处理。</w:t>
            </w:r>
          </w:p>
          <w:p>
            <w:pPr>
              <w:pStyle w:val="5"/>
            </w:pPr>
            <w:r>
              <w:rPr>
                <w:rFonts w:hint="eastAsia"/>
              </w:rPr>
              <w:t>（2）生活垃圾</w:t>
            </w:r>
          </w:p>
          <w:p>
            <w:pPr>
              <w:pStyle w:val="5"/>
            </w:pPr>
            <w:r>
              <w:rPr>
                <w:rFonts w:hint="eastAsia"/>
              </w:rPr>
              <w:t>生活垃圾收集后</w:t>
            </w:r>
            <w:r>
              <w:t>交由环卫部门进行处理，</w:t>
            </w:r>
            <w:r>
              <w:rPr>
                <w:rFonts w:hint="eastAsia"/>
              </w:rPr>
              <w:t>厂内设有垃圾收集桶。</w:t>
            </w:r>
          </w:p>
          <w:p>
            <w:pPr>
              <w:pStyle w:val="5"/>
            </w:pPr>
            <w:r>
              <w:rPr>
                <w:rFonts w:hint="eastAsia"/>
              </w:rPr>
              <w:t>（3）危险废物</w:t>
            </w:r>
          </w:p>
          <w:p>
            <w:pPr>
              <w:pStyle w:val="5"/>
            </w:pPr>
            <w:r>
              <w:rPr>
                <w:rFonts w:hint="eastAsia"/>
              </w:rPr>
              <w:t>①危险废物收集措施</w:t>
            </w:r>
          </w:p>
          <w:p>
            <w:pPr>
              <w:pStyle w:val="5"/>
            </w:pPr>
            <w:r>
              <w:rPr>
                <w:rFonts w:hint="eastAsia"/>
              </w:rPr>
              <w:t>项目产生的危险废物为</w:t>
            </w:r>
            <w:r>
              <w:t>废活性炭、</w:t>
            </w:r>
            <w:r>
              <w:rPr>
                <w:rFonts w:hint="eastAsia"/>
              </w:rPr>
              <w:t>废UV灯管、废含油墨抹布、</w:t>
            </w:r>
            <w:r>
              <w:rPr>
                <w:rFonts w:hint="eastAsia"/>
                <w:lang w:eastAsia="zh-CN"/>
              </w:rPr>
              <w:t>废油墨桶、废胶桶</w:t>
            </w:r>
            <w:r>
              <w:rPr>
                <w:rFonts w:hint="eastAsia"/>
              </w:rPr>
              <w:t>、废印刷板</w:t>
            </w:r>
            <w:r>
              <w:rPr>
                <w:rFonts w:hint="eastAsia"/>
                <w:lang w:eastAsia="zh-CN"/>
              </w:rPr>
              <w:t>、</w:t>
            </w:r>
            <w:r>
              <w:rPr>
                <w:rFonts w:hint="eastAsia"/>
                <w:lang w:val="en-US" w:eastAsia="zh-CN"/>
              </w:rPr>
              <w:t>印刷清洗废水等；</w:t>
            </w:r>
            <w:r>
              <w:rPr>
                <w:rFonts w:hint="eastAsia"/>
              </w:rPr>
              <w:t>废活性炭采用密封编织袋进行收集存放于危废库。废UV灯管采用塑料桶收集，废含油抹布采用编织袋存放于危废库，定期交由有资质单位处理。废印刷板暂存于危废库，定期由交由有资质单位处理。</w:t>
            </w:r>
          </w:p>
          <w:p>
            <w:pPr>
              <w:pStyle w:val="5"/>
              <w:ind w:left="0" w:leftChars="0" w:firstLine="480" w:firstLineChars="200"/>
            </w:pPr>
            <w:r>
              <w:rPr>
                <w:rFonts w:hint="eastAsia"/>
              </w:rPr>
              <w:t>项目危险废物收集措施及产生处置情况见下表：</w:t>
            </w:r>
          </w:p>
          <w:p>
            <w:pPr>
              <w:pStyle w:val="29"/>
              <w:spacing w:before="65" w:after="65"/>
            </w:pPr>
            <w:r>
              <w:rPr>
                <w:rFonts w:hint="eastAsia"/>
              </w:rPr>
              <w:t>表7-20 项目危险废物收集措施及处置情况</w:t>
            </w:r>
          </w:p>
          <w:tbl>
            <w:tblPr>
              <w:tblStyle w:val="23"/>
              <w:tblW w:w="9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1080"/>
              <w:gridCol w:w="1260"/>
              <w:gridCol w:w="720"/>
              <w:gridCol w:w="1260"/>
              <w:gridCol w:w="1337"/>
              <w:gridCol w:w="802"/>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0" w:type="dxa"/>
                  <w:noWrap/>
                  <w:vAlign w:val="center"/>
                </w:tcPr>
                <w:p>
                  <w:pPr>
                    <w:pStyle w:val="40"/>
                  </w:pPr>
                  <w:r>
                    <w:rPr>
                      <w:rFonts w:hint="eastAsia"/>
                    </w:rPr>
                    <w:t>固废名称</w:t>
                  </w:r>
                </w:p>
              </w:tc>
              <w:tc>
                <w:tcPr>
                  <w:tcW w:w="1080" w:type="dxa"/>
                  <w:noWrap/>
                  <w:vAlign w:val="center"/>
                </w:tcPr>
                <w:p>
                  <w:pPr>
                    <w:pStyle w:val="40"/>
                  </w:pPr>
                  <w:r>
                    <w:rPr>
                      <w:rFonts w:hint="eastAsia"/>
                    </w:rPr>
                    <w:t>危废</w:t>
                  </w:r>
                </w:p>
                <w:p>
                  <w:pPr>
                    <w:pStyle w:val="40"/>
                  </w:pPr>
                  <w:r>
                    <w:rPr>
                      <w:rFonts w:hint="eastAsia"/>
                    </w:rPr>
                    <w:t>类型</w:t>
                  </w:r>
                </w:p>
              </w:tc>
              <w:tc>
                <w:tcPr>
                  <w:tcW w:w="1260" w:type="dxa"/>
                  <w:noWrap/>
                  <w:vAlign w:val="center"/>
                </w:tcPr>
                <w:p>
                  <w:pPr>
                    <w:pStyle w:val="40"/>
                  </w:pPr>
                  <w:r>
                    <w:rPr>
                      <w:rFonts w:hint="eastAsia"/>
                    </w:rPr>
                    <w:t>危废代码</w:t>
                  </w:r>
                </w:p>
              </w:tc>
              <w:tc>
                <w:tcPr>
                  <w:tcW w:w="720" w:type="dxa"/>
                  <w:noWrap/>
                  <w:vAlign w:val="center"/>
                </w:tcPr>
                <w:p>
                  <w:pPr>
                    <w:pStyle w:val="40"/>
                  </w:pPr>
                  <w:r>
                    <w:rPr>
                      <w:rFonts w:hint="eastAsia"/>
                    </w:rPr>
                    <w:t>状态</w:t>
                  </w:r>
                </w:p>
              </w:tc>
              <w:tc>
                <w:tcPr>
                  <w:tcW w:w="1260" w:type="dxa"/>
                  <w:noWrap/>
                  <w:vAlign w:val="center"/>
                </w:tcPr>
                <w:p>
                  <w:pPr>
                    <w:pStyle w:val="40"/>
                  </w:pPr>
                  <w:r>
                    <w:rPr>
                      <w:rFonts w:hint="eastAsia"/>
                    </w:rPr>
                    <w:t>收集措施</w:t>
                  </w:r>
                </w:p>
              </w:tc>
              <w:tc>
                <w:tcPr>
                  <w:tcW w:w="1337" w:type="dxa"/>
                  <w:noWrap/>
                  <w:vAlign w:val="center"/>
                </w:tcPr>
                <w:p>
                  <w:pPr>
                    <w:pStyle w:val="40"/>
                  </w:pPr>
                  <w:r>
                    <w:rPr>
                      <w:rFonts w:hint="eastAsia"/>
                    </w:rPr>
                    <w:t>储存</w:t>
                  </w:r>
                </w:p>
                <w:p>
                  <w:pPr>
                    <w:pStyle w:val="40"/>
                  </w:pPr>
                  <w:r>
                    <w:rPr>
                      <w:rFonts w:hint="eastAsia"/>
                    </w:rPr>
                    <w:t>地点</w:t>
                  </w:r>
                </w:p>
              </w:tc>
              <w:tc>
                <w:tcPr>
                  <w:tcW w:w="802" w:type="dxa"/>
                  <w:noWrap/>
                  <w:vAlign w:val="center"/>
                </w:tcPr>
                <w:p>
                  <w:pPr>
                    <w:pStyle w:val="40"/>
                  </w:pPr>
                  <w:r>
                    <w:rPr>
                      <w:rFonts w:hint="eastAsia"/>
                    </w:rPr>
                    <w:t>产生量t/a</w:t>
                  </w:r>
                </w:p>
              </w:tc>
              <w:tc>
                <w:tcPr>
                  <w:tcW w:w="1275" w:type="dxa"/>
                  <w:noWrap/>
                  <w:vAlign w:val="center"/>
                </w:tcPr>
                <w:p>
                  <w:pPr>
                    <w:pStyle w:val="40"/>
                  </w:pPr>
                  <w:r>
                    <w:rPr>
                      <w:rFonts w:hint="eastAsia"/>
                    </w:rPr>
                    <w:t>处置</w:t>
                  </w:r>
                </w:p>
                <w:p>
                  <w:pPr>
                    <w:pStyle w:val="40"/>
                  </w:pPr>
                  <w:r>
                    <w:rPr>
                      <w:rFonts w:hint="eastAsia"/>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10" w:type="dxa"/>
                  <w:noWrap/>
                  <w:vAlign w:val="center"/>
                </w:tcPr>
                <w:p>
                  <w:pPr>
                    <w:pStyle w:val="40"/>
                  </w:pPr>
                  <w:r>
                    <w:t>废活性炭</w:t>
                  </w:r>
                </w:p>
              </w:tc>
              <w:tc>
                <w:tcPr>
                  <w:tcW w:w="1080" w:type="dxa"/>
                  <w:noWrap/>
                  <w:vAlign w:val="center"/>
                </w:tcPr>
                <w:p>
                  <w:pPr>
                    <w:pStyle w:val="40"/>
                  </w:pPr>
                  <w:r>
                    <w:rPr>
                      <w:rFonts w:hint="eastAsia"/>
                    </w:rPr>
                    <w:t>HW49</w:t>
                  </w:r>
                </w:p>
                <w:p>
                  <w:pPr>
                    <w:pStyle w:val="40"/>
                  </w:pPr>
                  <w:r>
                    <w:rPr>
                      <w:rFonts w:hint="eastAsia"/>
                    </w:rPr>
                    <w:t>其他废物</w:t>
                  </w:r>
                </w:p>
              </w:tc>
              <w:tc>
                <w:tcPr>
                  <w:tcW w:w="1260" w:type="dxa"/>
                  <w:noWrap/>
                  <w:vAlign w:val="center"/>
                </w:tcPr>
                <w:p>
                  <w:pPr>
                    <w:pStyle w:val="40"/>
                  </w:pPr>
                  <w:r>
                    <w:t>900-041-49</w:t>
                  </w:r>
                </w:p>
              </w:tc>
              <w:tc>
                <w:tcPr>
                  <w:tcW w:w="720" w:type="dxa"/>
                  <w:noWrap/>
                  <w:vAlign w:val="center"/>
                </w:tcPr>
                <w:p>
                  <w:pPr>
                    <w:pStyle w:val="40"/>
                  </w:pPr>
                  <w:r>
                    <w:rPr>
                      <w:rFonts w:hint="eastAsia"/>
                    </w:rPr>
                    <w:t>固态</w:t>
                  </w:r>
                </w:p>
              </w:tc>
              <w:tc>
                <w:tcPr>
                  <w:tcW w:w="1260" w:type="dxa"/>
                  <w:noWrap/>
                  <w:vAlign w:val="center"/>
                </w:tcPr>
                <w:p>
                  <w:pPr>
                    <w:pStyle w:val="40"/>
                  </w:pPr>
                  <w:r>
                    <w:rPr>
                      <w:rFonts w:hint="eastAsia"/>
                    </w:rPr>
                    <w:t>密封编织袋收集</w:t>
                  </w:r>
                </w:p>
              </w:tc>
              <w:tc>
                <w:tcPr>
                  <w:tcW w:w="1337" w:type="dxa"/>
                  <w:vMerge w:val="restart"/>
                  <w:noWrap/>
                  <w:vAlign w:val="center"/>
                </w:tcPr>
                <w:p>
                  <w:pPr>
                    <w:pStyle w:val="40"/>
                  </w:pPr>
                  <w:r>
                    <w:rPr>
                      <w:rFonts w:hint="eastAsia"/>
                    </w:rPr>
                    <w:t>危废暂存间位于车间东北角，面积15m</w:t>
                  </w:r>
                  <w:r>
                    <w:rPr>
                      <w:rFonts w:hint="eastAsia"/>
                      <w:vertAlign w:val="superscript"/>
                    </w:rPr>
                    <w:t>2</w:t>
                  </w:r>
                </w:p>
              </w:tc>
              <w:tc>
                <w:tcPr>
                  <w:tcW w:w="802" w:type="dxa"/>
                  <w:noWrap/>
                  <w:vAlign w:val="center"/>
                </w:tcPr>
                <w:p>
                  <w:pPr>
                    <w:pStyle w:val="40"/>
                  </w:pPr>
                </w:p>
              </w:tc>
              <w:tc>
                <w:tcPr>
                  <w:tcW w:w="1275" w:type="dxa"/>
                  <w:vMerge w:val="restart"/>
                  <w:noWrap/>
                  <w:vAlign w:val="center"/>
                </w:tcPr>
                <w:p>
                  <w:pPr>
                    <w:pStyle w:val="40"/>
                  </w:pPr>
                  <w:r>
                    <w:rPr>
                      <w:rFonts w:hint="eastAsia"/>
                    </w:rPr>
                    <w:t>委托有危废处置资质的单位进行处理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0" w:type="dxa"/>
                  <w:noWrap/>
                  <w:vAlign w:val="center"/>
                </w:tcPr>
                <w:p>
                  <w:pPr>
                    <w:pStyle w:val="40"/>
                  </w:pPr>
                  <w:r>
                    <w:t>废UV光管</w:t>
                  </w:r>
                </w:p>
              </w:tc>
              <w:tc>
                <w:tcPr>
                  <w:tcW w:w="1080" w:type="dxa"/>
                  <w:noWrap/>
                  <w:vAlign w:val="center"/>
                </w:tcPr>
                <w:p>
                  <w:pPr>
                    <w:pStyle w:val="40"/>
                  </w:pPr>
                  <w:r>
                    <w:rPr>
                      <w:rFonts w:hint="eastAsia"/>
                    </w:rPr>
                    <w:t>HW29</w:t>
                  </w:r>
                </w:p>
                <w:p>
                  <w:pPr>
                    <w:pStyle w:val="40"/>
                  </w:pPr>
                  <w:r>
                    <w:rPr>
                      <w:rFonts w:hint="eastAsia"/>
                    </w:rPr>
                    <w:t>含汞废物</w:t>
                  </w:r>
                </w:p>
              </w:tc>
              <w:tc>
                <w:tcPr>
                  <w:tcW w:w="1260" w:type="dxa"/>
                  <w:noWrap/>
                  <w:vAlign w:val="center"/>
                </w:tcPr>
                <w:p>
                  <w:pPr>
                    <w:pStyle w:val="40"/>
                  </w:pPr>
                  <w:r>
                    <w:t>900-023-29</w:t>
                  </w:r>
                </w:p>
              </w:tc>
              <w:tc>
                <w:tcPr>
                  <w:tcW w:w="720" w:type="dxa"/>
                  <w:noWrap/>
                  <w:vAlign w:val="center"/>
                </w:tcPr>
                <w:p>
                  <w:pPr>
                    <w:pStyle w:val="40"/>
                  </w:pPr>
                  <w:r>
                    <w:rPr>
                      <w:rFonts w:hint="eastAsia"/>
                    </w:rPr>
                    <w:t>固态</w:t>
                  </w:r>
                </w:p>
              </w:tc>
              <w:tc>
                <w:tcPr>
                  <w:tcW w:w="1260" w:type="dxa"/>
                  <w:noWrap/>
                  <w:vAlign w:val="center"/>
                </w:tcPr>
                <w:p>
                  <w:pPr>
                    <w:pStyle w:val="40"/>
                  </w:pPr>
                  <w:r>
                    <w:rPr>
                      <w:rFonts w:hint="eastAsia"/>
                    </w:rPr>
                    <w:t>塑料桶收集</w:t>
                  </w:r>
                </w:p>
              </w:tc>
              <w:tc>
                <w:tcPr>
                  <w:tcW w:w="1337" w:type="dxa"/>
                  <w:vMerge w:val="continue"/>
                  <w:noWrap/>
                  <w:vAlign w:val="center"/>
                </w:tcPr>
                <w:p>
                  <w:pPr>
                    <w:pStyle w:val="40"/>
                  </w:pPr>
                </w:p>
              </w:tc>
              <w:tc>
                <w:tcPr>
                  <w:tcW w:w="802" w:type="dxa"/>
                  <w:noWrap/>
                  <w:vAlign w:val="center"/>
                </w:tcPr>
                <w:p>
                  <w:pPr>
                    <w:pStyle w:val="40"/>
                  </w:pPr>
                  <w:r>
                    <w:rPr>
                      <w:rFonts w:hint="eastAsia"/>
                    </w:rPr>
                    <w:t>0.064</w:t>
                  </w:r>
                </w:p>
              </w:tc>
              <w:tc>
                <w:tcPr>
                  <w:tcW w:w="1275" w:type="dxa"/>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0" w:type="dxa"/>
                  <w:noWrap/>
                  <w:vAlign w:val="center"/>
                </w:tcPr>
                <w:p>
                  <w:pPr>
                    <w:pStyle w:val="40"/>
                    <w:rPr>
                      <w:rFonts w:hint="eastAsia" w:eastAsia="新宋体"/>
                      <w:lang w:eastAsia="zh-CN"/>
                    </w:rPr>
                  </w:pPr>
                  <w:r>
                    <w:rPr>
                      <w:rFonts w:hint="eastAsia"/>
                      <w:lang w:eastAsia="zh-CN"/>
                    </w:rPr>
                    <w:t>废油墨桶、废胶桶</w:t>
                  </w:r>
                </w:p>
              </w:tc>
              <w:tc>
                <w:tcPr>
                  <w:tcW w:w="1080" w:type="dxa"/>
                  <w:noWrap/>
                  <w:vAlign w:val="center"/>
                </w:tcPr>
                <w:p>
                  <w:pPr>
                    <w:pStyle w:val="40"/>
                  </w:pPr>
                  <w:r>
                    <w:rPr>
                      <w:rFonts w:hint="eastAsia"/>
                    </w:rPr>
                    <w:t>HW49</w:t>
                  </w:r>
                </w:p>
                <w:p>
                  <w:pPr>
                    <w:pStyle w:val="40"/>
                  </w:pPr>
                  <w:r>
                    <w:rPr>
                      <w:rFonts w:hint="eastAsia"/>
                    </w:rPr>
                    <w:t>其他废物</w:t>
                  </w:r>
                </w:p>
              </w:tc>
              <w:tc>
                <w:tcPr>
                  <w:tcW w:w="1260" w:type="dxa"/>
                  <w:noWrap/>
                  <w:vAlign w:val="center"/>
                </w:tcPr>
                <w:p>
                  <w:pPr>
                    <w:pStyle w:val="40"/>
                  </w:pPr>
                  <w:r>
                    <w:t>900-041-49</w:t>
                  </w:r>
                </w:p>
              </w:tc>
              <w:tc>
                <w:tcPr>
                  <w:tcW w:w="720" w:type="dxa"/>
                  <w:noWrap/>
                  <w:vAlign w:val="center"/>
                </w:tcPr>
                <w:p>
                  <w:pPr>
                    <w:pStyle w:val="40"/>
                  </w:pPr>
                  <w:r>
                    <w:rPr>
                      <w:rFonts w:hint="eastAsia"/>
                    </w:rPr>
                    <w:t>固态</w:t>
                  </w:r>
                </w:p>
              </w:tc>
              <w:tc>
                <w:tcPr>
                  <w:tcW w:w="1260" w:type="dxa"/>
                  <w:noWrap/>
                  <w:vAlign w:val="center"/>
                </w:tcPr>
                <w:p>
                  <w:pPr>
                    <w:pStyle w:val="40"/>
                  </w:pPr>
                  <w:r>
                    <w:rPr>
                      <w:rFonts w:hint="eastAsia"/>
                    </w:rPr>
                    <w:t>桶装收集</w:t>
                  </w:r>
                </w:p>
              </w:tc>
              <w:tc>
                <w:tcPr>
                  <w:tcW w:w="1337" w:type="dxa"/>
                  <w:vMerge w:val="continue"/>
                  <w:noWrap/>
                  <w:vAlign w:val="center"/>
                </w:tcPr>
                <w:p>
                  <w:pPr>
                    <w:pStyle w:val="40"/>
                  </w:pPr>
                </w:p>
              </w:tc>
              <w:tc>
                <w:tcPr>
                  <w:tcW w:w="802" w:type="dxa"/>
                  <w:noWrap/>
                  <w:vAlign w:val="center"/>
                </w:tcPr>
                <w:p>
                  <w:pPr>
                    <w:pStyle w:val="40"/>
                  </w:pPr>
                  <w:r>
                    <w:rPr>
                      <w:rFonts w:hint="eastAsia"/>
                    </w:rPr>
                    <w:t>0.1</w:t>
                  </w:r>
                </w:p>
              </w:tc>
              <w:tc>
                <w:tcPr>
                  <w:tcW w:w="1275" w:type="dxa"/>
                  <w:vMerge w:val="restart"/>
                  <w:noWrap/>
                  <w:vAlign w:val="center"/>
                </w:tcPr>
                <w:p>
                  <w:pPr>
                    <w:pStyle w:val="40"/>
                  </w:pPr>
                  <w:r>
                    <w:rPr>
                      <w:rFonts w:hint="eastAsia"/>
                    </w:rPr>
                    <w:t>交由有资质单位进行处理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0" w:type="dxa"/>
                  <w:noWrap/>
                  <w:vAlign w:val="center"/>
                </w:tcPr>
                <w:p>
                  <w:pPr>
                    <w:pStyle w:val="40"/>
                  </w:pPr>
                  <w:r>
                    <w:rPr>
                      <w:rFonts w:hint="eastAsia"/>
                    </w:rPr>
                    <w:t>废印刷板</w:t>
                  </w:r>
                </w:p>
              </w:tc>
              <w:tc>
                <w:tcPr>
                  <w:tcW w:w="1080" w:type="dxa"/>
                  <w:noWrap/>
                  <w:vAlign w:val="center"/>
                </w:tcPr>
                <w:p>
                  <w:pPr>
                    <w:pStyle w:val="40"/>
                  </w:pPr>
                  <w:r>
                    <w:rPr>
                      <w:rFonts w:hint="eastAsia"/>
                    </w:rPr>
                    <w:t>HW12</w:t>
                  </w:r>
                </w:p>
                <w:p>
                  <w:pPr>
                    <w:pStyle w:val="40"/>
                  </w:pPr>
                  <w:r>
                    <w:rPr>
                      <w:rFonts w:hint="eastAsia"/>
                    </w:rPr>
                    <w:t>危废</w:t>
                  </w:r>
                </w:p>
              </w:tc>
              <w:tc>
                <w:tcPr>
                  <w:tcW w:w="1260" w:type="dxa"/>
                  <w:noWrap/>
                  <w:vAlign w:val="center"/>
                </w:tcPr>
                <w:p>
                  <w:pPr>
                    <w:pStyle w:val="40"/>
                  </w:pPr>
                  <w:r>
                    <w:rPr>
                      <w:rFonts w:hint="eastAsia"/>
                    </w:rPr>
                    <w:t>900-253-12</w:t>
                  </w:r>
                </w:p>
              </w:tc>
              <w:tc>
                <w:tcPr>
                  <w:tcW w:w="720" w:type="dxa"/>
                  <w:noWrap/>
                  <w:vAlign w:val="center"/>
                </w:tcPr>
                <w:p>
                  <w:pPr>
                    <w:pStyle w:val="40"/>
                  </w:pPr>
                  <w:r>
                    <w:rPr>
                      <w:rFonts w:hint="eastAsia"/>
                    </w:rPr>
                    <w:t>固态</w:t>
                  </w:r>
                </w:p>
              </w:tc>
              <w:tc>
                <w:tcPr>
                  <w:tcW w:w="1260" w:type="dxa"/>
                  <w:noWrap/>
                  <w:vAlign w:val="center"/>
                </w:tcPr>
                <w:p>
                  <w:pPr>
                    <w:pStyle w:val="40"/>
                  </w:pPr>
                  <w:r>
                    <w:rPr>
                      <w:rFonts w:hint="eastAsia"/>
                    </w:rPr>
                    <w:t>桶装收集</w:t>
                  </w:r>
                </w:p>
              </w:tc>
              <w:tc>
                <w:tcPr>
                  <w:tcW w:w="1337" w:type="dxa"/>
                  <w:vMerge w:val="continue"/>
                  <w:noWrap/>
                  <w:vAlign w:val="center"/>
                </w:tcPr>
                <w:p>
                  <w:pPr>
                    <w:pStyle w:val="40"/>
                  </w:pPr>
                </w:p>
              </w:tc>
              <w:tc>
                <w:tcPr>
                  <w:tcW w:w="802" w:type="dxa"/>
                  <w:noWrap/>
                  <w:vAlign w:val="center"/>
                </w:tcPr>
                <w:p>
                  <w:pPr>
                    <w:pStyle w:val="40"/>
                  </w:pPr>
                  <w:r>
                    <w:rPr>
                      <w:rFonts w:hint="eastAsia"/>
                    </w:rPr>
                    <w:t>0.06t</w:t>
                  </w:r>
                </w:p>
              </w:tc>
              <w:tc>
                <w:tcPr>
                  <w:tcW w:w="1275" w:type="dxa"/>
                  <w:vMerge w:val="continue"/>
                  <w:noWrap/>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0" w:type="dxa"/>
                  <w:noWrap/>
                  <w:vAlign w:val="center"/>
                </w:tcPr>
                <w:p>
                  <w:pPr>
                    <w:pStyle w:val="40"/>
                    <w:rPr>
                      <w:rFonts w:hint="default" w:eastAsia="新宋体"/>
                      <w:lang w:val="en-US" w:eastAsia="zh-CN"/>
                    </w:rPr>
                  </w:pPr>
                  <w:r>
                    <w:rPr>
                      <w:rFonts w:hint="eastAsia"/>
                      <w:lang w:val="en-US" w:eastAsia="zh-CN"/>
                    </w:rPr>
                    <w:t>印刷清洗废水</w:t>
                  </w:r>
                </w:p>
              </w:tc>
              <w:tc>
                <w:tcPr>
                  <w:tcW w:w="1080" w:type="dxa"/>
                  <w:noWrap/>
                  <w:vAlign w:val="center"/>
                </w:tcPr>
                <w:p>
                  <w:pPr>
                    <w:pStyle w:val="40"/>
                  </w:pPr>
                  <w:r>
                    <w:rPr>
                      <w:rFonts w:hint="eastAsia"/>
                    </w:rPr>
                    <w:t>HW49</w:t>
                  </w:r>
                </w:p>
                <w:p>
                  <w:pPr>
                    <w:pStyle w:val="40"/>
                    <w:rPr>
                      <w:rFonts w:hint="eastAsia" w:eastAsia="新宋体"/>
                      <w:lang w:val="en-US" w:eastAsia="zh-CN"/>
                    </w:rPr>
                  </w:pPr>
                  <w:r>
                    <w:rPr>
                      <w:rFonts w:hint="eastAsia"/>
                      <w:lang w:val="en-US" w:eastAsia="zh-CN"/>
                    </w:rPr>
                    <w:t>其他废物</w:t>
                  </w:r>
                </w:p>
              </w:tc>
              <w:tc>
                <w:tcPr>
                  <w:tcW w:w="1260" w:type="dxa"/>
                  <w:noWrap/>
                  <w:vAlign w:val="center"/>
                </w:tcPr>
                <w:p>
                  <w:pPr>
                    <w:pStyle w:val="40"/>
                    <w:rPr>
                      <w:rFonts w:hint="eastAsia" w:eastAsia="新宋体"/>
                      <w:lang w:val="en-US" w:eastAsia="zh-CN"/>
                    </w:rPr>
                  </w:pPr>
                  <w:r>
                    <w:t>900-041-49</w:t>
                  </w:r>
                </w:p>
              </w:tc>
              <w:tc>
                <w:tcPr>
                  <w:tcW w:w="720" w:type="dxa"/>
                  <w:noWrap/>
                  <w:vAlign w:val="center"/>
                </w:tcPr>
                <w:p>
                  <w:pPr>
                    <w:pStyle w:val="40"/>
                    <w:rPr>
                      <w:rFonts w:hint="eastAsia" w:eastAsia="新宋体"/>
                      <w:lang w:val="en-US" w:eastAsia="zh-CN"/>
                    </w:rPr>
                  </w:pPr>
                  <w:r>
                    <w:rPr>
                      <w:rFonts w:hint="eastAsia"/>
                      <w:lang w:val="en-US" w:eastAsia="zh-CN"/>
                    </w:rPr>
                    <w:t>液态</w:t>
                  </w:r>
                </w:p>
              </w:tc>
              <w:tc>
                <w:tcPr>
                  <w:tcW w:w="1260" w:type="dxa"/>
                  <w:noWrap/>
                  <w:vAlign w:val="center"/>
                </w:tcPr>
                <w:p>
                  <w:pPr>
                    <w:pStyle w:val="40"/>
                    <w:rPr>
                      <w:rFonts w:hint="eastAsia"/>
                    </w:rPr>
                  </w:pPr>
                  <w:r>
                    <w:rPr>
                      <w:rFonts w:hint="eastAsia"/>
                    </w:rPr>
                    <w:t>桶装收集</w:t>
                  </w:r>
                </w:p>
              </w:tc>
              <w:tc>
                <w:tcPr>
                  <w:tcW w:w="1337" w:type="dxa"/>
                  <w:vMerge w:val="continue"/>
                  <w:noWrap/>
                  <w:vAlign w:val="center"/>
                </w:tcPr>
                <w:p>
                  <w:pPr>
                    <w:pStyle w:val="40"/>
                  </w:pPr>
                </w:p>
              </w:tc>
              <w:tc>
                <w:tcPr>
                  <w:tcW w:w="802" w:type="dxa"/>
                  <w:noWrap/>
                  <w:vAlign w:val="center"/>
                </w:tcPr>
                <w:p>
                  <w:pPr>
                    <w:pStyle w:val="40"/>
                    <w:rPr>
                      <w:rFonts w:hint="eastAsia" w:eastAsia="新宋体"/>
                      <w:lang w:val="en-US" w:eastAsia="zh-CN"/>
                    </w:rPr>
                  </w:pPr>
                  <w:r>
                    <w:rPr>
                      <w:rFonts w:hint="eastAsia"/>
                      <w:lang w:val="en-US" w:eastAsia="zh-CN"/>
                    </w:rPr>
                    <w:t>3</w:t>
                  </w:r>
                </w:p>
              </w:tc>
              <w:tc>
                <w:tcPr>
                  <w:tcW w:w="1275" w:type="dxa"/>
                  <w:vMerge w:val="continue"/>
                  <w:noWrap/>
                  <w:vAlign w:val="center"/>
                </w:tcPr>
                <w:p>
                  <w:pPr>
                    <w:pStyle w:val="40"/>
                  </w:pPr>
                </w:p>
              </w:tc>
            </w:tr>
          </w:tbl>
          <w:p>
            <w:pPr>
              <w:pStyle w:val="5"/>
            </w:pPr>
            <w:r>
              <w:rPr>
                <w:rFonts w:hint="eastAsia"/>
              </w:rPr>
              <w:t>②危险废物暂存、处置要求</w:t>
            </w:r>
          </w:p>
          <w:p>
            <w:pPr>
              <w:pStyle w:val="5"/>
            </w:pPr>
            <w:r>
              <w:rPr>
                <w:rFonts w:hint="eastAsia"/>
              </w:rPr>
              <w:t>本项目拟建设危废暂存间一座，危废库设置在厂房内东北角，面积约15㎡，贮存能力30t，危险废物拟6个月委托处置一次。项目危废于暂存间密封暂存后，定期送具有危险废物处置资质单位进行处理，危废库设有防腐、防渗、防雨等措施。</w:t>
            </w:r>
          </w:p>
          <w:p>
            <w:pPr>
              <w:pStyle w:val="5"/>
            </w:pPr>
            <w:r>
              <w:rPr>
                <w:rFonts w:hint="eastAsia"/>
              </w:rPr>
              <w:t>按照危险废物管理要求，厂内对危险废物进行临时贮存，转移和最终处置严格按照《危险废物收集、贮存、运输技术规范》（HJ2025-2012）中相关规定，危险废物临时贮存期间应满足</w:t>
            </w:r>
            <w:r>
              <w:t>《</w:t>
            </w:r>
            <w:r>
              <w:rPr>
                <w:rFonts w:hint="eastAsia"/>
              </w:rPr>
              <w:t>危险</w:t>
            </w:r>
            <w:r>
              <w:t>废物贮存污染控制标准》（GB1859</w:t>
            </w:r>
            <w:r>
              <w:rPr>
                <w:rFonts w:hint="eastAsia"/>
              </w:rPr>
              <w:t>7</w:t>
            </w:r>
            <w:r>
              <w:t>-2001）</w:t>
            </w:r>
            <w:r>
              <w:rPr>
                <w:rFonts w:hint="eastAsia"/>
              </w:rPr>
              <w:t>及修改单中对危险废物贮存设施的要求，严禁将危险废物混入非危险废物中。</w:t>
            </w:r>
          </w:p>
          <w:p>
            <w:pPr>
              <w:pStyle w:val="5"/>
            </w:pPr>
            <w:r>
              <w:rPr>
                <w:rFonts w:hint="eastAsia"/>
              </w:rPr>
              <w:t>危险废物的贮存设施应满足以下要求：</w:t>
            </w:r>
          </w:p>
          <w:p>
            <w:pPr>
              <w:pStyle w:val="5"/>
            </w:pPr>
            <w:r>
              <w:rPr>
                <w:rFonts w:hint="eastAsia"/>
              </w:rPr>
              <w:t>a、应建有堵截泄漏的裙脚，地面与裙脚要用坚固防渗的材料建造。应有隔离设施、报警装置和防风、防晒、防雨设施；</w:t>
            </w:r>
          </w:p>
          <w:p>
            <w:pPr>
              <w:pStyle w:val="5"/>
            </w:pPr>
            <w:r>
              <w:rPr>
                <w:rFonts w:hint="eastAsia"/>
              </w:rPr>
              <w:t>b、基础必须防渗，防渗层为至少1m厚粘土层，渗透系数≤1.0×10-7cm/s，或2mm厚高密度聚乙烯，或至少2mm厚的其它人工材料，渗透系数≤1.0×10-10cm/s；</w:t>
            </w:r>
          </w:p>
          <w:p>
            <w:pPr>
              <w:pStyle w:val="5"/>
            </w:pPr>
            <w:r>
              <w:rPr>
                <w:rFonts w:hint="eastAsia"/>
              </w:rPr>
              <w:t>c、须有泄漏液体收集装置及气体导出口和气体净化装置；</w:t>
            </w:r>
          </w:p>
          <w:p>
            <w:pPr>
              <w:pStyle w:val="5"/>
            </w:pPr>
            <w:r>
              <w:rPr>
                <w:rFonts w:hint="eastAsia"/>
              </w:rPr>
              <w:t>d、用于存放液体、半固体危险废物的地方，还须有耐腐蚀的硬化地面，地面无裂隙；</w:t>
            </w:r>
          </w:p>
          <w:p>
            <w:pPr>
              <w:pStyle w:val="5"/>
            </w:pPr>
            <w:r>
              <w:rPr>
                <w:rFonts w:hint="eastAsia"/>
              </w:rPr>
              <w:t>e、危险废物的贮存场所需设置警示牌，对不相容的危险废物堆放区必须有隔离间隔断；</w:t>
            </w:r>
          </w:p>
          <w:p>
            <w:pPr>
              <w:pStyle w:val="5"/>
            </w:pPr>
            <w:r>
              <w:rPr>
                <w:rFonts w:hint="eastAsia"/>
              </w:rPr>
              <w:t>f、衬层上需建有渗滤液收集清除系统、径流疏导系统。</w:t>
            </w:r>
          </w:p>
          <w:p>
            <w:pPr>
              <w:pStyle w:val="5"/>
            </w:pPr>
            <w:r>
              <w:rPr>
                <w:rFonts w:hint="eastAsia"/>
              </w:rPr>
              <w:t>g、危险废物的贮存设施的选址与设计、运行与管理、安全防护、环境监测及应急措施、以及关闭等须遵循《危险废物贮存污染控制标准》的规定。</w:t>
            </w:r>
          </w:p>
          <w:p>
            <w:pPr>
              <w:pStyle w:val="5"/>
            </w:pPr>
            <w:r>
              <w:rPr>
                <w:rFonts w:hint="eastAsia"/>
              </w:rPr>
              <w:t>h、企业按照《危险废物管理计划（大纲）（试行）》的要求做好危险废物计划和危险废物台帐。</w:t>
            </w:r>
          </w:p>
          <w:p>
            <w:pPr>
              <w:pStyle w:val="5"/>
            </w:pPr>
            <w:r>
              <w:rPr>
                <w:rFonts w:hint="eastAsia"/>
              </w:rPr>
              <w:t>③</w:t>
            </w:r>
            <w:r>
              <w:t>危险废物</w:t>
            </w:r>
            <w:bookmarkStart w:id="16" w:name="_Toc499767944"/>
            <w:r>
              <w:rPr>
                <w:rFonts w:hint="eastAsia"/>
              </w:rPr>
              <w:t>包装、运输</w:t>
            </w:r>
            <w:bookmarkEnd w:id="16"/>
            <w:r>
              <w:rPr>
                <w:rFonts w:hint="eastAsia"/>
              </w:rPr>
              <w:t>要求</w:t>
            </w:r>
          </w:p>
          <w:p>
            <w:pPr>
              <w:pStyle w:val="5"/>
            </w:pPr>
            <w:r>
              <w:rPr>
                <w:rFonts w:hint="eastAsia"/>
              </w:rPr>
              <w:t>项目各固废均按照相应的包装要求进行包装，经本次固废论证后，企业将危废委托有资质单位进行处置。企业危废外运委托有资质的单位进行运输，严格执行《危险废物收集贮存运输技术规范》（</w:t>
            </w:r>
            <w:r>
              <w:t>HJ 2025-2012</w:t>
            </w:r>
            <w:r>
              <w:rPr>
                <w:rFonts w:hint="eastAsia"/>
              </w:rPr>
              <w:t>）和《危险废物转移联单管理办法》，并制定好危险废物转移运输途中的污染防范及事故应急措施，严格按照要求办理有关手续。</w:t>
            </w:r>
          </w:p>
          <w:p>
            <w:pPr>
              <w:pStyle w:val="5"/>
            </w:pPr>
            <w:r>
              <w:rPr>
                <w:rFonts w:hint="eastAsia"/>
              </w:rPr>
              <w:t>运输单位在运输本项目危险废物过程中应严格做好相应的防范措施，防止危险废物的泄露，或发生重大交通事故，具体措施如下：</w:t>
            </w:r>
          </w:p>
          <w:p>
            <w:pPr>
              <w:pStyle w:val="5"/>
            </w:pPr>
            <w:r>
              <w:t>A</w:t>
            </w:r>
            <w:r>
              <w:rPr>
                <w:rFonts w:hint="eastAsia"/>
              </w:rPr>
              <w:t>、采用专用车辆直接从企业将危险废物运送至处理处置单位厂内，运输过程严格遵守《中华人民共和国固体废物污染环境防治法》、《危险废物收集、贮存、运输技术规范》（</w:t>
            </w:r>
            <w:r>
              <w:t>HJ2025-2012</w:t>
            </w:r>
            <w:r>
              <w:rPr>
                <w:rFonts w:hint="eastAsia"/>
              </w:rPr>
              <w:t>）等相关规定。</w:t>
            </w:r>
          </w:p>
          <w:p>
            <w:pPr>
              <w:pStyle w:val="5"/>
            </w:pPr>
            <w:r>
              <w:t>B</w:t>
            </w:r>
            <w:r>
              <w:rPr>
                <w:rFonts w:hint="eastAsia"/>
              </w:rPr>
              <w:t>、运输途中不设中转站临时贮存，避免危险废物在中转站卸载和装载时发生二次污染的风险，及时由危险废物的产生地直接运送到处理处置单位厂内。</w:t>
            </w:r>
          </w:p>
          <w:p>
            <w:pPr>
              <w:pStyle w:val="5"/>
            </w:pPr>
            <w:r>
              <w:t>C</w:t>
            </w:r>
            <w:r>
              <w:rPr>
                <w:rFonts w:hint="eastAsia"/>
              </w:rPr>
              <w:t>、危险废物运输车辆必须在车辆前部和后部、车厢两侧设置专用警示标识。</w:t>
            </w:r>
          </w:p>
          <w:p>
            <w:pPr>
              <w:pStyle w:val="5"/>
            </w:pPr>
            <w:r>
              <w:t>D</w:t>
            </w:r>
            <w:r>
              <w:rPr>
                <w:rFonts w:hint="eastAsia"/>
              </w:rPr>
              <w:t>、应当根据危险废物总体处置方案，配备足够数量的运输车辆，合理地备用应急车辆。</w:t>
            </w:r>
          </w:p>
          <w:p>
            <w:pPr>
              <w:pStyle w:val="5"/>
            </w:pPr>
            <w:r>
              <w:t>E</w:t>
            </w:r>
            <w:r>
              <w:rPr>
                <w:rFonts w:hint="eastAsia"/>
              </w:rPr>
              <w:t>、每辆运输车应制定负责人，对危险废物运输过程负责，从事危险废物运输的司机等人员应经过合格的培训并通过考核。</w:t>
            </w:r>
          </w:p>
          <w:p>
            <w:pPr>
              <w:pStyle w:val="5"/>
            </w:pPr>
            <w:r>
              <w:t>F</w:t>
            </w:r>
            <w:r>
              <w:rPr>
                <w:rFonts w:hint="eastAsia"/>
              </w:rPr>
              <w:t>、在运输前应事先作出周密的运输计划，安排好运输车辆经过各路段的时间，尽量避免运输车辆在交通高峰期间通过市区。</w:t>
            </w:r>
          </w:p>
          <w:p>
            <w:pPr>
              <w:pStyle w:val="5"/>
            </w:pPr>
            <w:r>
              <w:t>G</w:t>
            </w:r>
            <w:r>
              <w:rPr>
                <w:rFonts w:hint="eastAsia"/>
              </w:rPr>
              <w:t>、危险废物运输者应制定事故应急和防止运输过程中发生泄漏、丢失、扬散的保障措施和配备必要的设备，在危险废物发生泄漏时可以及时将危险废物收集，减少散失。</w:t>
            </w:r>
          </w:p>
          <w:p>
            <w:pPr>
              <w:pStyle w:val="5"/>
            </w:pPr>
            <w:r>
              <w:t>H</w:t>
            </w:r>
            <w:r>
              <w:rPr>
                <w:rFonts w:hint="eastAsia"/>
              </w:rPr>
              <w:t>、运输车辆在每次运输前都必须对每辆运输车辆的车况进行检查，确保车况良好后方可出车，运输车辆负责人应对每辆运输车必须配备的辅助物品进行检查，确保完备，定期对运输车辆进行全面检查，减少和防止危险废物发生泄漏和交通事故的发生。</w:t>
            </w:r>
          </w:p>
          <w:p>
            <w:pPr>
              <w:pStyle w:val="5"/>
            </w:pPr>
            <w:r>
              <w:t>I</w:t>
            </w:r>
            <w:r>
              <w:rPr>
                <w:rFonts w:hint="eastAsia"/>
              </w:rPr>
              <w:t>、禁止混合运输性质不相容而未经安全性处置的危险废物，运输车辆不得搭乘其他无关人员。</w:t>
            </w:r>
          </w:p>
          <w:p>
            <w:pPr>
              <w:pStyle w:val="5"/>
            </w:pPr>
            <w:r>
              <w:t>J</w:t>
            </w:r>
            <w:r>
              <w:rPr>
                <w:rFonts w:hint="eastAsia"/>
              </w:rPr>
              <w:t>、车辆行驶时应锁闭车厢门，确保安全，不得丢失、遗撒和打开包装取出危险废物。</w:t>
            </w:r>
          </w:p>
          <w:p>
            <w:pPr>
              <w:pStyle w:val="5"/>
            </w:pPr>
            <w:r>
              <w:t>K</w:t>
            </w:r>
            <w:r>
              <w:rPr>
                <w:rFonts w:hint="eastAsia"/>
              </w:rPr>
              <w:t>、合理安排运输频次，在气象条件不好的天气，不能运输危险废物，可先贮藏，等天气好转时再进行运输，小雨天可运输，但应小心驾驶并加强安全措施。</w:t>
            </w:r>
          </w:p>
          <w:p>
            <w:pPr>
              <w:pStyle w:val="5"/>
            </w:pPr>
            <w:r>
              <w:t>L</w:t>
            </w:r>
            <w:r>
              <w:rPr>
                <w:rFonts w:hint="eastAsia"/>
              </w:rPr>
              <w:t>、运输车辆应该限速行驶，避免交通事故的发生，在不好的路段及沿线有敏感水体的区域应小心驾驶，防止发生事故或泄露性事故而污染水体。</w:t>
            </w:r>
          </w:p>
          <w:p>
            <w:pPr>
              <w:pStyle w:val="5"/>
            </w:pPr>
            <w:r>
              <w:t>M</w:t>
            </w:r>
            <w:r>
              <w:rPr>
                <w:rFonts w:hint="eastAsia"/>
              </w:rPr>
              <w:t>、危险废物运输者在转移过程中发生意外事故，应立即向当地环境保护主管部门和交通管理部门报告，并采取相应措施，防止环境污染事故扩大。</w:t>
            </w:r>
          </w:p>
          <w:p>
            <w:pPr>
              <w:pStyle w:val="5"/>
            </w:pPr>
            <w:r>
              <w:t>N</w:t>
            </w:r>
            <w:r>
              <w:rPr>
                <w:rFonts w:hint="eastAsia"/>
              </w:rPr>
              <w:t>、应制定事故应急计划，在事故发生时及发生后做好相应的环境保护措施。</w:t>
            </w:r>
          </w:p>
          <w:p>
            <w:pPr>
              <w:pStyle w:val="5"/>
            </w:pPr>
            <w:r>
              <w:rPr>
                <w:rFonts w:hint="eastAsia"/>
              </w:rPr>
              <w:t>应急计划包括：应急组织及其职责，及市、县环境保护主管部门和交通管理部门，应按区设立区域应急中心，应急设施、设备与器材；应急通讯联络，运输路线经过区环境保护主管部门和交通管理部门的联络方式；应急措施，事故后果评价；应急监测；应急安全、保卫、应急救援等。</w:t>
            </w:r>
          </w:p>
          <w:p>
            <w:pPr>
              <w:pStyle w:val="5"/>
            </w:pPr>
            <w:r>
              <w:rPr>
                <w:rFonts w:hint="eastAsia"/>
              </w:rPr>
              <w:t>通过上述分析可知，项目危险废物运输过程中在严格做好相应的防范措施后，对环境的影响较小。</w:t>
            </w:r>
          </w:p>
          <w:p>
            <w:pPr>
              <w:pStyle w:val="5"/>
            </w:pPr>
            <w:bookmarkStart w:id="17" w:name="_Toc499767945"/>
            <w:r>
              <w:rPr>
                <w:rFonts w:hint="eastAsia"/>
              </w:rPr>
              <w:t>④项目固废处理处置的影响分析</w:t>
            </w:r>
            <w:bookmarkEnd w:id="17"/>
          </w:p>
          <w:p>
            <w:pPr>
              <w:pStyle w:val="5"/>
            </w:pPr>
            <w:r>
              <w:rPr>
                <w:rFonts w:hint="eastAsia"/>
              </w:rPr>
              <w:t>固体废物进行了分类收集、贮存，防止危险废物与生活垃圾混放后引发危险废物的二次污染，减轻了对环境的影响。</w:t>
            </w:r>
          </w:p>
          <w:p>
            <w:pPr>
              <w:pStyle w:val="5"/>
            </w:pPr>
            <w:r>
              <w:rPr>
                <w:rFonts w:hint="eastAsia"/>
              </w:rPr>
              <w:t>同时对固体废物在厂内的堆放区采取了相应的防护措施，所有危险废物能妥善在厂区内存放，不会对土壤、地下水等造成影响。</w:t>
            </w:r>
          </w:p>
          <w:p>
            <w:pPr>
              <w:pStyle w:val="5"/>
            </w:pPr>
            <w:r>
              <w:rPr>
                <w:rFonts w:hint="eastAsia"/>
              </w:rPr>
              <w:t>企业将危废委托有资质单位进行处置，生活垃圾委托环卫部门清运处理。</w:t>
            </w:r>
          </w:p>
          <w:p>
            <w:pPr>
              <w:pStyle w:val="5"/>
            </w:pPr>
            <w:r>
              <w:rPr>
                <w:rFonts w:hint="eastAsia"/>
              </w:rPr>
              <w:t>危废的转移和运输均交由具备有资质的危险固废运输单位和处置单位执行，运输单位对运输路线进行规划，尽量避开人口密集区域、水源保护以及交通拥堵道路等区域，不得超载，并配有押运员，以防止在运输过程中发生散落、泄露以及因交通事故造成的污染事件。接受处置单位对到厂的危废须按规定进行存放、处置，并做到达标排放。在做好安全运输、合法处置，达标排放的情况下，危废的运输和转移过程中不会对环境造成严重污染。</w:t>
            </w:r>
          </w:p>
          <w:p>
            <w:pPr>
              <w:pStyle w:val="5"/>
            </w:pPr>
            <w:r>
              <w:rPr>
                <w:rFonts w:hint="eastAsia"/>
              </w:rPr>
              <w:t>综上所述，企业需按照上述要求，采取相应的防护措施，所有措施实施后可知后对环境的影响较小。</w:t>
            </w:r>
          </w:p>
          <w:p>
            <w:pPr>
              <w:pStyle w:val="5"/>
            </w:pPr>
            <w:r>
              <w:rPr>
                <w:rFonts w:hint="eastAsia"/>
              </w:rPr>
              <w:t>五</w:t>
            </w:r>
            <w:r>
              <w:t>、</w:t>
            </w:r>
            <w:r>
              <w:rPr>
                <w:rFonts w:hint="eastAsia"/>
              </w:rPr>
              <w:t>地下水影响分析及防范措施</w:t>
            </w:r>
          </w:p>
          <w:p>
            <w:pPr>
              <w:pStyle w:val="5"/>
            </w:pPr>
            <w:r>
              <w:rPr>
                <w:rFonts w:hint="eastAsia"/>
              </w:rPr>
              <w:t>（1）地下水评价等级</w:t>
            </w:r>
          </w:p>
          <w:p>
            <w:pPr>
              <w:pStyle w:val="5"/>
            </w:pPr>
            <w:r>
              <w:rPr>
                <w:rFonts w:hint="eastAsia"/>
              </w:rPr>
              <w:t>根据《环境影响评价技术导则地下水环境》（</w:t>
            </w:r>
            <w:r>
              <w:t>HJ610</w:t>
            </w:r>
            <w:r>
              <w:rPr>
                <w:rFonts w:hint="eastAsia"/>
              </w:rPr>
              <w:t>－</w:t>
            </w:r>
            <w:r>
              <w:t>2016</w:t>
            </w:r>
            <w:r>
              <w:rPr>
                <w:rFonts w:hint="eastAsia"/>
              </w:rPr>
              <w:t>）附录</w:t>
            </w:r>
            <w:r>
              <w:t>A</w:t>
            </w:r>
            <w:r>
              <w:rPr>
                <w:rFonts w:hint="eastAsia"/>
              </w:rPr>
              <w:t>中的有关规定，本项目为</w:t>
            </w:r>
            <w:r>
              <w:t>“</w:t>
            </w:r>
            <w:r>
              <w:rPr>
                <w:rFonts w:hint="eastAsia"/>
              </w:rPr>
              <w:t>N</w:t>
            </w:r>
            <w:r>
              <w:t>、</w:t>
            </w:r>
            <w:r>
              <w:rPr>
                <w:rFonts w:hint="eastAsia"/>
              </w:rPr>
              <w:t>轻工——113、纸制品</w:t>
            </w:r>
            <w:r>
              <w:t>”</w:t>
            </w:r>
            <w:r>
              <w:rPr>
                <w:rFonts w:hint="eastAsia"/>
              </w:rPr>
              <w:t>中报告表项目，属于Ⅳ类建设项目；根据《环境影响评价技术导则地下水环境》（</w:t>
            </w:r>
            <w:r>
              <w:t>HJ610</w:t>
            </w:r>
            <w:r>
              <w:rPr>
                <w:rFonts w:hint="eastAsia"/>
              </w:rPr>
              <w:t>－</w:t>
            </w:r>
            <w:r>
              <w:t>2016</w:t>
            </w:r>
            <w:r>
              <w:rPr>
                <w:rFonts w:hint="eastAsia"/>
              </w:rPr>
              <w:t>）4.1节，Ⅳ类建设项目不开展地下水环境影响评价。</w:t>
            </w:r>
          </w:p>
          <w:p>
            <w:pPr>
              <w:pStyle w:val="5"/>
            </w:pPr>
            <w:r>
              <w:rPr>
                <w:rFonts w:hint="eastAsia"/>
              </w:rPr>
              <w:t>（2）地下水污染防治措施</w:t>
            </w:r>
          </w:p>
          <w:p>
            <w:pPr>
              <w:spacing w:line="360" w:lineRule="auto"/>
              <w:ind w:firstLine="480" w:firstLineChars="200"/>
              <w:rPr>
                <w:rFonts w:hint="default"/>
              </w:rPr>
            </w:pPr>
            <w:r>
              <w:rPr>
                <w:rFonts w:hint="eastAsia"/>
              </w:rPr>
              <w:t>根据环境影响评价技术导则 地下水环境（HJ610-2016）相关内容，</w:t>
            </w:r>
            <w:r>
              <w:t>本项目为</w:t>
            </w:r>
            <w:r>
              <w:rPr>
                <w:rFonts w:hint="eastAsia"/>
                <w:lang w:val="en-US" w:eastAsia="zh-CN"/>
              </w:rPr>
              <w:t>印刷行业</w:t>
            </w:r>
            <w:r>
              <w:t>，</w:t>
            </w:r>
            <w:r>
              <w:rPr>
                <w:rFonts w:hint="eastAsia"/>
              </w:rPr>
              <w:t>主要考虑生产工艺中</w:t>
            </w:r>
            <w:r>
              <w:rPr>
                <w:rFonts w:hint="eastAsia"/>
                <w:lang w:val="en-US" w:eastAsia="zh-CN"/>
              </w:rPr>
              <w:t>水性油墨、胶水、机器中机油等泄漏</w:t>
            </w:r>
            <w:r>
              <w:rPr>
                <w:rFonts w:hint="eastAsia"/>
              </w:rPr>
              <w:t>对地下水的影响，为了更全面的反映本项目污染因子对地下水的影响程度，参照地下水环境（HJ610-2016），对本项目防渗区进行划分，划分依据见下表。</w:t>
            </w:r>
          </w:p>
          <w:p>
            <w:pPr>
              <w:pStyle w:val="29"/>
              <w:spacing w:before="65" w:after="65"/>
              <w:rPr>
                <w:rFonts w:hint="eastAsia"/>
                <w:lang w:val="en-US" w:eastAsia="zh-CN"/>
              </w:rPr>
            </w:pPr>
            <w:r>
              <w:rPr>
                <w:rFonts w:hint="eastAsia"/>
              </w:rPr>
              <w:t>表</w:t>
            </w:r>
            <w:r>
              <w:t>7-</w:t>
            </w:r>
            <w:r>
              <w:rPr>
                <w:rFonts w:hint="eastAsia"/>
              </w:rPr>
              <w:t>21 项目防渗分区</w:t>
            </w:r>
            <w:r>
              <w:rPr>
                <w:rFonts w:hint="eastAsia"/>
                <w:lang w:val="en-US" w:eastAsia="zh-CN"/>
              </w:rPr>
              <w:t>参照表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0" w:author="Administrator" w:date="2020-09-11T12:05:00Z">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1035"/>
              <w:gridCol w:w="1528"/>
              <w:gridCol w:w="1355"/>
              <w:gridCol w:w="1762"/>
              <w:gridCol w:w="3510"/>
              <w:tblGridChange w:id="1">
                <w:tblGrid>
                  <w:gridCol w:w="563"/>
                  <w:gridCol w:w="831"/>
                  <w:gridCol w:w="737"/>
                  <w:gridCol w:w="958"/>
                  <w:gridCol w:w="1909"/>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 w:author="Administrator" w:date="2020-09-11T12:05: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
              <w:tc>
                <w:tcPr>
                  <w:tcW w:w="563" w:type="pct"/>
                  <w:tcBorders>
                    <w:tl2br w:val="nil"/>
                    <w:tr2bl w:val="nil"/>
                  </w:tcBorders>
                  <w:noWrap w:val="0"/>
                  <w:vAlign w:val="center"/>
                  <w:tcPrChange w:id="3" w:author="Administrator" w:date="2020-09-11T12:05:00Z">
                    <w:tcPr>
                      <w:tcW w:w="563" w:type="pct"/>
                      <w:tcBorders>
                        <w:tl2br w:val="nil"/>
                        <w:tr2bl w:val="nil"/>
                      </w:tcBorders>
                      <w:noWrap w:val="0"/>
                      <w:vAlign w:val="center"/>
                    </w:tcPr>
                  </w:tcPrChange>
                </w:tcPr>
                <w:p>
                  <w:pPr>
                    <w:pStyle w:val="40"/>
                    <w:bidi w:val="0"/>
                  </w:pPr>
                  <w:r>
                    <w:t>防渗分区</w:t>
                  </w:r>
                </w:p>
              </w:tc>
              <w:tc>
                <w:tcPr>
                  <w:tcW w:w="831" w:type="pct"/>
                  <w:tcBorders>
                    <w:tl2br w:val="nil"/>
                    <w:tr2bl w:val="nil"/>
                  </w:tcBorders>
                  <w:noWrap w:val="0"/>
                  <w:vAlign w:val="center"/>
                  <w:tcPrChange w:id="4" w:author="Administrator" w:date="2020-09-11T12:05:00Z">
                    <w:tcPr>
                      <w:tcW w:w="831" w:type="pct"/>
                      <w:tcBorders>
                        <w:tl2br w:val="nil"/>
                        <w:tr2bl w:val="nil"/>
                      </w:tcBorders>
                      <w:noWrap w:val="0"/>
                      <w:vAlign w:val="center"/>
                    </w:tcPr>
                  </w:tcPrChange>
                </w:tcPr>
                <w:p>
                  <w:pPr>
                    <w:pStyle w:val="40"/>
                    <w:bidi w:val="0"/>
                  </w:pPr>
                  <w:r>
                    <w:t>天然包气带防污性能</w:t>
                  </w:r>
                </w:p>
              </w:tc>
              <w:tc>
                <w:tcPr>
                  <w:tcW w:w="737" w:type="pct"/>
                  <w:tcBorders>
                    <w:tl2br w:val="nil"/>
                    <w:tr2bl w:val="nil"/>
                  </w:tcBorders>
                  <w:noWrap w:val="0"/>
                  <w:vAlign w:val="center"/>
                  <w:tcPrChange w:id="5" w:author="Administrator" w:date="2020-09-11T12:05:00Z">
                    <w:tcPr>
                      <w:tcW w:w="737" w:type="pct"/>
                      <w:tcBorders>
                        <w:tl2br w:val="nil"/>
                        <w:tr2bl w:val="nil"/>
                      </w:tcBorders>
                      <w:noWrap w:val="0"/>
                      <w:vAlign w:val="center"/>
                    </w:tcPr>
                  </w:tcPrChange>
                </w:tcPr>
                <w:p>
                  <w:pPr>
                    <w:pStyle w:val="40"/>
                    <w:bidi w:val="0"/>
                  </w:pPr>
                  <w:r>
                    <w:t>污染控制难易程度</w:t>
                  </w:r>
                </w:p>
              </w:tc>
              <w:tc>
                <w:tcPr>
                  <w:tcW w:w="958" w:type="pct"/>
                  <w:tcBorders>
                    <w:tl2br w:val="nil"/>
                    <w:tr2bl w:val="nil"/>
                  </w:tcBorders>
                  <w:noWrap w:val="0"/>
                  <w:vAlign w:val="center"/>
                  <w:tcPrChange w:id="6" w:author="Administrator" w:date="2020-09-11T12:05:00Z">
                    <w:tcPr>
                      <w:tcW w:w="958" w:type="pct"/>
                      <w:tcBorders>
                        <w:tl2br w:val="nil"/>
                        <w:tr2bl w:val="nil"/>
                      </w:tcBorders>
                      <w:noWrap w:val="0"/>
                      <w:vAlign w:val="center"/>
                    </w:tcPr>
                  </w:tcPrChange>
                </w:tcPr>
                <w:p>
                  <w:pPr>
                    <w:pStyle w:val="40"/>
                    <w:bidi w:val="0"/>
                  </w:pPr>
                  <w:r>
                    <w:t>污染物类型</w:t>
                  </w:r>
                </w:p>
              </w:tc>
              <w:tc>
                <w:tcPr>
                  <w:tcW w:w="1909" w:type="pct"/>
                  <w:tcBorders>
                    <w:tl2br w:val="nil"/>
                    <w:tr2bl w:val="nil"/>
                  </w:tcBorders>
                  <w:noWrap w:val="0"/>
                  <w:vAlign w:val="center"/>
                  <w:tcPrChange w:id="7" w:author="Administrator" w:date="2020-09-11T12:05:00Z">
                    <w:tcPr>
                      <w:tcW w:w="1909" w:type="pct"/>
                      <w:tcBorders>
                        <w:tl2br w:val="nil"/>
                        <w:tr2bl w:val="nil"/>
                      </w:tcBorders>
                      <w:noWrap w:val="0"/>
                      <w:vAlign w:val="center"/>
                    </w:tcPr>
                  </w:tcPrChange>
                </w:tcPr>
                <w:p>
                  <w:pPr>
                    <w:pStyle w:val="40"/>
                    <w:bidi w:val="0"/>
                  </w:pPr>
                  <w: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 w:author="Administrator" w:date="2020-09-11T12:05: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
              <w:tc>
                <w:tcPr>
                  <w:tcW w:w="563" w:type="pct"/>
                  <w:vMerge w:val="restart"/>
                  <w:tcBorders>
                    <w:tl2br w:val="nil"/>
                    <w:tr2bl w:val="nil"/>
                  </w:tcBorders>
                  <w:noWrap w:val="0"/>
                  <w:vAlign w:val="center"/>
                  <w:tcPrChange w:id="9" w:author="Administrator" w:date="2020-09-11T12:05:00Z">
                    <w:tcPr>
                      <w:tcW w:w="563" w:type="pct"/>
                      <w:vMerge w:val="restart"/>
                      <w:tcBorders>
                        <w:tl2br w:val="nil"/>
                        <w:tr2bl w:val="nil"/>
                      </w:tcBorders>
                      <w:noWrap w:val="0"/>
                      <w:vAlign w:val="center"/>
                    </w:tcPr>
                  </w:tcPrChange>
                </w:tcPr>
                <w:p>
                  <w:pPr>
                    <w:pStyle w:val="40"/>
                    <w:bidi w:val="0"/>
                  </w:pPr>
                  <w:r>
                    <w:t>重点防渗区</w:t>
                  </w:r>
                </w:p>
              </w:tc>
              <w:tc>
                <w:tcPr>
                  <w:tcW w:w="831" w:type="pct"/>
                  <w:tcBorders>
                    <w:tl2br w:val="nil"/>
                    <w:tr2bl w:val="nil"/>
                  </w:tcBorders>
                  <w:noWrap w:val="0"/>
                  <w:vAlign w:val="center"/>
                  <w:tcPrChange w:id="10" w:author="Administrator" w:date="2020-09-11T12:05:00Z">
                    <w:tcPr>
                      <w:tcW w:w="831" w:type="pct"/>
                      <w:tcBorders>
                        <w:tl2br w:val="nil"/>
                        <w:tr2bl w:val="nil"/>
                      </w:tcBorders>
                      <w:noWrap w:val="0"/>
                      <w:vAlign w:val="center"/>
                    </w:tcPr>
                  </w:tcPrChange>
                </w:tcPr>
                <w:p>
                  <w:pPr>
                    <w:pStyle w:val="40"/>
                    <w:bidi w:val="0"/>
                  </w:pPr>
                  <w:r>
                    <w:t>弱</w:t>
                  </w:r>
                </w:p>
              </w:tc>
              <w:tc>
                <w:tcPr>
                  <w:tcW w:w="737" w:type="pct"/>
                  <w:tcBorders>
                    <w:tl2br w:val="nil"/>
                    <w:tr2bl w:val="nil"/>
                  </w:tcBorders>
                  <w:noWrap w:val="0"/>
                  <w:vAlign w:val="center"/>
                  <w:tcPrChange w:id="11" w:author="Administrator" w:date="2020-09-11T12:05:00Z">
                    <w:tcPr>
                      <w:tcW w:w="737" w:type="pct"/>
                      <w:tcBorders>
                        <w:tl2br w:val="nil"/>
                        <w:tr2bl w:val="nil"/>
                      </w:tcBorders>
                      <w:noWrap w:val="0"/>
                      <w:vAlign w:val="center"/>
                    </w:tcPr>
                  </w:tcPrChange>
                </w:tcPr>
                <w:p>
                  <w:pPr>
                    <w:pStyle w:val="40"/>
                    <w:bidi w:val="0"/>
                  </w:pPr>
                  <w:r>
                    <w:t>难</w:t>
                  </w:r>
                </w:p>
              </w:tc>
              <w:tc>
                <w:tcPr>
                  <w:tcW w:w="958" w:type="pct"/>
                  <w:vMerge w:val="restart"/>
                  <w:tcBorders>
                    <w:tl2br w:val="nil"/>
                    <w:tr2bl w:val="nil"/>
                  </w:tcBorders>
                  <w:noWrap w:val="0"/>
                  <w:vAlign w:val="center"/>
                  <w:tcPrChange w:id="12" w:author="Administrator" w:date="2020-09-11T12:05:00Z">
                    <w:tcPr>
                      <w:tcW w:w="958" w:type="pct"/>
                      <w:vMerge w:val="restart"/>
                      <w:tcBorders>
                        <w:tl2br w:val="nil"/>
                        <w:tr2bl w:val="nil"/>
                      </w:tcBorders>
                      <w:noWrap w:val="0"/>
                      <w:vAlign w:val="center"/>
                    </w:tcPr>
                  </w:tcPrChange>
                </w:tcPr>
                <w:p>
                  <w:pPr>
                    <w:pStyle w:val="40"/>
                    <w:bidi w:val="0"/>
                  </w:pPr>
                  <w:r>
                    <w:t>重金属、持久性有机物污染物</w:t>
                  </w:r>
                </w:p>
              </w:tc>
              <w:tc>
                <w:tcPr>
                  <w:tcW w:w="1909" w:type="pct"/>
                  <w:vMerge w:val="restart"/>
                  <w:tcBorders>
                    <w:tl2br w:val="nil"/>
                    <w:tr2bl w:val="nil"/>
                  </w:tcBorders>
                  <w:noWrap w:val="0"/>
                  <w:vAlign w:val="center"/>
                  <w:tcPrChange w:id="13" w:author="Administrator" w:date="2020-09-11T12:05:00Z">
                    <w:tcPr>
                      <w:tcW w:w="1909" w:type="pct"/>
                      <w:vMerge w:val="restart"/>
                      <w:tcBorders>
                        <w:tl2br w:val="nil"/>
                        <w:tr2bl w:val="nil"/>
                      </w:tcBorders>
                      <w:noWrap w:val="0"/>
                      <w:vAlign w:val="center"/>
                    </w:tcPr>
                  </w:tcPrChange>
                </w:tcPr>
                <w:p>
                  <w:pPr>
                    <w:pStyle w:val="40"/>
                    <w:bidi w:val="0"/>
                  </w:pPr>
                  <w:r>
                    <w:t>等效黏土防渗层Mb≧6.0m，K≦1×10-</w:t>
                  </w:r>
                  <w:r>
                    <w:rPr>
                      <w:rFonts w:hint="eastAsia"/>
                      <w:lang w:val="en-US" w:eastAsia="zh-CN"/>
                    </w:rPr>
                    <w:t>10</w:t>
                  </w:r>
                  <w: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 w:author="Administrator" w:date="2020-09-11T12:05: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
              <w:tc>
                <w:tcPr>
                  <w:tcW w:w="563" w:type="pct"/>
                  <w:vMerge w:val="continue"/>
                  <w:tcBorders>
                    <w:tl2br w:val="nil"/>
                    <w:tr2bl w:val="nil"/>
                  </w:tcBorders>
                  <w:noWrap w:val="0"/>
                  <w:vAlign w:val="center"/>
                  <w:tcPrChange w:id="15" w:author="Administrator" w:date="2020-09-11T12:05:00Z">
                    <w:tcPr>
                      <w:tcW w:w="563" w:type="pct"/>
                      <w:vMerge w:val="continue"/>
                      <w:tcBorders>
                        <w:tl2br w:val="nil"/>
                        <w:tr2bl w:val="nil"/>
                      </w:tcBorders>
                      <w:noWrap w:val="0"/>
                      <w:vAlign w:val="center"/>
                    </w:tcPr>
                  </w:tcPrChange>
                </w:tcPr>
                <w:p>
                  <w:pPr>
                    <w:pStyle w:val="40"/>
                    <w:bidi w:val="0"/>
                  </w:pPr>
                </w:p>
              </w:tc>
              <w:tc>
                <w:tcPr>
                  <w:tcW w:w="831" w:type="pct"/>
                  <w:tcBorders>
                    <w:tl2br w:val="nil"/>
                    <w:tr2bl w:val="nil"/>
                  </w:tcBorders>
                  <w:noWrap w:val="0"/>
                  <w:vAlign w:val="center"/>
                  <w:tcPrChange w:id="16" w:author="Administrator" w:date="2020-09-11T12:05:00Z">
                    <w:tcPr>
                      <w:tcW w:w="831" w:type="pct"/>
                      <w:tcBorders>
                        <w:tl2br w:val="nil"/>
                        <w:tr2bl w:val="nil"/>
                      </w:tcBorders>
                      <w:noWrap w:val="0"/>
                      <w:vAlign w:val="center"/>
                    </w:tcPr>
                  </w:tcPrChange>
                </w:tcPr>
                <w:p>
                  <w:pPr>
                    <w:pStyle w:val="40"/>
                    <w:bidi w:val="0"/>
                  </w:pPr>
                  <w:r>
                    <w:t>中-强</w:t>
                  </w:r>
                </w:p>
              </w:tc>
              <w:tc>
                <w:tcPr>
                  <w:tcW w:w="737" w:type="pct"/>
                  <w:tcBorders>
                    <w:tl2br w:val="nil"/>
                    <w:tr2bl w:val="nil"/>
                  </w:tcBorders>
                  <w:noWrap w:val="0"/>
                  <w:vAlign w:val="center"/>
                  <w:tcPrChange w:id="17" w:author="Administrator" w:date="2020-09-11T12:05:00Z">
                    <w:tcPr>
                      <w:tcW w:w="737" w:type="pct"/>
                      <w:tcBorders>
                        <w:tl2br w:val="nil"/>
                        <w:tr2bl w:val="nil"/>
                      </w:tcBorders>
                      <w:noWrap w:val="0"/>
                      <w:vAlign w:val="center"/>
                    </w:tcPr>
                  </w:tcPrChange>
                </w:tcPr>
                <w:p>
                  <w:pPr>
                    <w:pStyle w:val="40"/>
                    <w:bidi w:val="0"/>
                  </w:pPr>
                  <w:r>
                    <w:t>难</w:t>
                  </w:r>
                </w:p>
              </w:tc>
              <w:tc>
                <w:tcPr>
                  <w:tcW w:w="958" w:type="pct"/>
                  <w:vMerge w:val="continue"/>
                  <w:tcBorders>
                    <w:tl2br w:val="nil"/>
                    <w:tr2bl w:val="nil"/>
                  </w:tcBorders>
                  <w:noWrap w:val="0"/>
                  <w:vAlign w:val="center"/>
                  <w:tcPrChange w:id="18" w:author="Administrator" w:date="2020-09-11T12:05:00Z">
                    <w:tcPr>
                      <w:tcW w:w="958" w:type="pct"/>
                      <w:vMerge w:val="continue"/>
                      <w:tcBorders>
                        <w:tl2br w:val="nil"/>
                        <w:tr2bl w:val="nil"/>
                      </w:tcBorders>
                      <w:noWrap w:val="0"/>
                      <w:vAlign w:val="center"/>
                    </w:tcPr>
                  </w:tcPrChange>
                </w:tcPr>
                <w:p>
                  <w:pPr>
                    <w:pStyle w:val="40"/>
                    <w:bidi w:val="0"/>
                  </w:pPr>
                </w:p>
              </w:tc>
              <w:tc>
                <w:tcPr>
                  <w:tcW w:w="1909" w:type="pct"/>
                  <w:vMerge w:val="continue"/>
                  <w:tcBorders>
                    <w:tl2br w:val="nil"/>
                    <w:tr2bl w:val="nil"/>
                  </w:tcBorders>
                  <w:noWrap w:val="0"/>
                  <w:vAlign w:val="center"/>
                  <w:tcPrChange w:id="19" w:author="Administrator" w:date="2020-09-11T12:05:00Z">
                    <w:tcPr>
                      <w:tcW w:w="1909" w:type="pct"/>
                      <w:vMerge w:val="continue"/>
                      <w:tcBorders>
                        <w:tl2br w:val="nil"/>
                        <w:tr2bl w:val="nil"/>
                      </w:tcBorders>
                      <w:noWrap w:val="0"/>
                      <w:vAlign w:val="center"/>
                    </w:tcPr>
                  </w:tcPrChange>
                </w:tcPr>
                <w:p>
                  <w:pPr>
                    <w:pStyle w:val="4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0" w:author="Administrator" w:date="2020-09-11T12:05: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
              <w:tc>
                <w:tcPr>
                  <w:tcW w:w="563" w:type="pct"/>
                  <w:vMerge w:val="continue"/>
                  <w:tcBorders>
                    <w:tl2br w:val="nil"/>
                    <w:tr2bl w:val="nil"/>
                  </w:tcBorders>
                  <w:noWrap w:val="0"/>
                  <w:vAlign w:val="center"/>
                  <w:tcPrChange w:id="21" w:author="Administrator" w:date="2020-09-11T12:05:00Z">
                    <w:tcPr>
                      <w:tcW w:w="563" w:type="pct"/>
                      <w:vMerge w:val="continue"/>
                      <w:tcBorders>
                        <w:tl2br w:val="nil"/>
                        <w:tr2bl w:val="nil"/>
                      </w:tcBorders>
                      <w:noWrap w:val="0"/>
                      <w:vAlign w:val="center"/>
                    </w:tcPr>
                  </w:tcPrChange>
                </w:tcPr>
                <w:p>
                  <w:pPr>
                    <w:pStyle w:val="40"/>
                    <w:bidi w:val="0"/>
                  </w:pPr>
                </w:p>
              </w:tc>
              <w:tc>
                <w:tcPr>
                  <w:tcW w:w="831" w:type="pct"/>
                  <w:tcBorders>
                    <w:tl2br w:val="nil"/>
                    <w:tr2bl w:val="nil"/>
                  </w:tcBorders>
                  <w:noWrap w:val="0"/>
                  <w:vAlign w:val="center"/>
                  <w:tcPrChange w:id="22" w:author="Administrator" w:date="2020-09-11T12:05:00Z">
                    <w:tcPr>
                      <w:tcW w:w="831" w:type="pct"/>
                      <w:tcBorders>
                        <w:tl2br w:val="nil"/>
                        <w:tr2bl w:val="nil"/>
                      </w:tcBorders>
                      <w:noWrap w:val="0"/>
                      <w:vAlign w:val="center"/>
                    </w:tcPr>
                  </w:tcPrChange>
                </w:tcPr>
                <w:p>
                  <w:pPr>
                    <w:pStyle w:val="40"/>
                    <w:bidi w:val="0"/>
                  </w:pPr>
                  <w:r>
                    <w:t>弱</w:t>
                  </w:r>
                </w:p>
              </w:tc>
              <w:tc>
                <w:tcPr>
                  <w:tcW w:w="737" w:type="pct"/>
                  <w:tcBorders>
                    <w:tl2br w:val="nil"/>
                    <w:tr2bl w:val="nil"/>
                  </w:tcBorders>
                  <w:noWrap w:val="0"/>
                  <w:vAlign w:val="center"/>
                  <w:tcPrChange w:id="23" w:author="Administrator" w:date="2020-09-11T12:05:00Z">
                    <w:tcPr>
                      <w:tcW w:w="737" w:type="pct"/>
                      <w:tcBorders>
                        <w:tl2br w:val="nil"/>
                        <w:tr2bl w:val="nil"/>
                      </w:tcBorders>
                      <w:noWrap w:val="0"/>
                      <w:vAlign w:val="center"/>
                    </w:tcPr>
                  </w:tcPrChange>
                </w:tcPr>
                <w:p>
                  <w:pPr>
                    <w:pStyle w:val="40"/>
                    <w:bidi w:val="0"/>
                  </w:pPr>
                  <w:r>
                    <w:t>难</w:t>
                  </w:r>
                </w:p>
              </w:tc>
              <w:tc>
                <w:tcPr>
                  <w:tcW w:w="958" w:type="pct"/>
                  <w:vMerge w:val="continue"/>
                  <w:tcBorders>
                    <w:tl2br w:val="nil"/>
                    <w:tr2bl w:val="nil"/>
                  </w:tcBorders>
                  <w:noWrap w:val="0"/>
                  <w:vAlign w:val="center"/>
                  <w:tcPrChange w:id="24" w:author="Administrator" w:date="2020-09-11T12:05:00Z">
                    <w:tcPr>
                      <w:tcW w:w="958" w:type="pct"/>
                      <w:vMerge w:val="continue"/>
                      <w:tcBorders>
                        <w:tl2br w:val="nil"/>
                        <w:tr2bl w:val="nil"/>
                      </w:tcBorders>
                      <w:noWrap w:val="0"/>
                      <w:vAlign w:val="center"/>
                    </w:tcPr>
                  </w:tcPrChange>
                </w:tcPr>
                <w:p>
                  <w:pPr>
                    <w:pStyle w:val="40"/>
                    <w:bidi w:val="0"/>
                  </w:pPr>
                </w:p>
              </w:tc>
              <w:tc>
                <w:tcPr>
                  <w:tcW w:w="1909" w:type="pct"/>
                  <w:vMerge w:val="continue"/>
                  <w:tcBorders>
                    <w:tl2br w:val="nil"/>
                    <w:tr2bl w:val="nil"/>
                  </w:tcBorders>
                  <w:noWrap w:val="0"/>
                  <w:vAlign w:val="center"/>
                  <w:tcPrChange w:id="25" w:author="Administrator" w:date="2020-09-11T12:05:00Z">
                    <w:tcPr>
                      <w:tcW w:w="1909" w:type="pct"/>
                      <w:vMerge w:val="continue"/>
                      <w:tcBorders>
                        <w:tl2br w:val="nil"/>
                        <w:tr2bl w:val="nil"/>
                      </w:tcBorders>
                      <w:noWrap w:val="0"/>
                      <w:vAlign w:val="center"/>
                    </w:tcPr>
                  </w:tcPrChange>
                </w:tcPr>
                <w:p>
                  <w:pPr>
                    <w:pStyle w:val="4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 w:author="Administrator" w:date="2020-09-11T12:05: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
              <w:tc>
                <w:tcPr>
                  <w:tcW w:w="563" w:type="pct"/>
                  <w:vMerge w:val="restart"/>
                  <w:tcBorders>
                    <w:tl2br w:val="nil"/>
                    <w:tr2bl w:val="nil"/>
                  </w:tcBorders>
                  <w:noWrap w:val="0"/>
                  <w:vAlign w:val="center"/>
                  <w:tcPrChange w:id="27" w:author="Administrator" w:date="2020-09-11T12:05:00Z">
                    <w:tcPr>
                      <w:tcW w:w="563" w:type="pct"/>
                      <w:vMerge w:val="restart"/>
                      <w:tcBorders>
                        <w:tl2br w:val="nil"/>
                        <w:tr2bl w:val="nil"/>
                      </w:tcBorders>
                      <w:noWrap w:val="0"/>
                      <w:vAlign w:val="center"/>
                    </w:tcPr>
                  </w:tcPrChange>
                </w:tcPr>
                <w:p>
                  <w:pPr>
                    <w:pStyle w:val="40"/>
                    <w:bidi w:val="0"/>
                  </w:pPr>
                  <w:r>
                    <w:t>一般防渗区</w:t>
                  </w:r>
                </w:p>
              </w:tc>
              <w:tc>
                <w:tcPr>
                  <w:tcW w:w="831" w:type="pct"/>
                  <w:tcBorders>
                    <w:tl2br w:val="nil"/>
                    <w:tr2bl w:val="nil"/>
                  </w:tcBorders>
                  <w:noWrap w:val="0"/>
                  <w:vAlign w:val="center"/>
                  <w:tcPrChange w:id="28" w:author="Administrator" w:date="2020-09-11T12:05:00Z">
                    <w:tcPr>
                      <w:tcW w:w="831" w:type="pct"/>
                      <w:tcBorders>
                        <w:tl2br w:val="nil"/>
                        <w:tr2bl w:val="nil"/>
                      </w:tcBorders>
                      <w:noWrap w:val="0"/>
                      <w:vAlign w:val="center"/>
                    </w:tcPr>
                  </w:tcPrChange>
                </w:tcPr>
                <w:p>
                  <w:pPr>
                    <w:pStyle w:val="40"/>
                    <w:bidi w:val="0"/>
                  </w:pPr>
                  <w:r>
                    <w:t>弱</w:t>
                  </w:r>
                </w:p>
              </w:tc>
              <w:tc>
                <w:tcPr>
                  <w:tcW w:w="737" w:type="pct"/>
                  <w:tcBorders>
                    <w:tl2br w:val="nil"/>
                    <w:tr2bl w:val="nil"/>
                  </w:tcBorders>
                  <w:noWrap w:val="0"/>
                  <w:vAlign w:val="center"/>
                  <w:tcPrChange w:id="29" w:author="Administrator" w:date="2020-09-11T12:05:00Z">
                    <w:tcPr>
                      <w:tcW w:w="737" w:type="pct"/>
                      <w:tcBorders>
                        <w:tl2br w:val="nil"/>
                        <w:tr2bl w:val="nil"/>
                      </w:tcBorders>
                      <w:noWrap w:val="0"/>
                      <w:vAlign w:val="center"/>
                    </w:tcPr>
                  </w:tcPrChange>
                </w:tcPr>
                <w:p>
                  <w:pPr>
                    <w:pStyle w:val="40"/>
                    <w:bidi w:val="0"/>
                  </w:pPr>
                  <w:r>
                    <w:t>易</w:t>
                  </w:r>
                </w:p>
              </w:tc>
              <w:tc>
                <w:tcPr>
                  <w:tcW w:w="958" w:type="pct"/>
                  <w:vMerge w:val="restart"/>
                  <w:tcBorders>
                    <w:tl2br w:val="nil"/>
                    <w:tr2bl w:val="nil"/>
                  </w:tcBorders>
                  <w:noWrap w:val="0"/>
                  <w:vAlign w:val="center"/>
                  <w:tcPrChange w:id="30" w:author="Administrator" w:date="2020-09-11T12:05:00Z">
                    <w:tcPr>
                      <w:tcW w:w="958" w:type="pct"/>
                      <w:vMerge w:val="restart"/>
                      <w:tcBorders>
                        <w:tl2br w:val="nil"/>
                        <w:tr2bl w:val="nil"/>
                      </w:tcBorders>
                      <w:noWrap w:val="0"/>
                      <w:vAlign w:val="center"/>
                    </w:tcPr>
                  </w:tcPrChange>
                </w:tcPr>
                <w:p>
                  <w:pPr>
                    <w:pStyle w:val="40"/>
                    <w:bidi w:val="0"/>
                  </w:pPr>
                  <w:r>
                    <w:t>其他类型</w:t>
                  </w:r>
                </w:p>
              </w:tc>
              <w:tc>
                <w:tcPr>
                  <w:tcW w:w="1909" w:type="pct"/>
                  <w:vMerge w:val="restart"/>
                  <w:tcBorders>
                    <w:tl2br w:val="nil"/>
                    <w:tr2bl w:val="nil"/>
                  </w:tcBorders>
                  <w:noWrap w:val="0"/>
                  <w:vAlign w:val="center"/>
                  <w:tcPrChange w:id="31" w:author="Administrator" w:date="2020-09-11T12:05:00Z">
                    <w:tcPr>
                      <w:tcW w:w="1909" w:type="pct"/>
                      <w:vMerge w:val="restart"/>
                      <w:tcBorders>
                        <w:tl2br w:val="nil"/>
                        <w:tr2bl w:val="nil"/>
                      </w:tcBorders>
                      <w:noWrap w:val="0"/>
                      <w:vAlign w:val="center"/>
                    </w:tcPr>
                  </w:tcPrChange>
                </w:tcPr>
                <w:p>
                  <w:pPr>
                    <w:pStyle w:val="40"/>
                    <w:bidi w:val="0"/>
                  </w:pPr>
                  <w:r>
                    <w:t>等效黏土防渗层Mb≧1.5m，K≦1×10-7cm/s；或参照GB16889执行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2" w:author="Administrator" w:date="2020-09-11T12:05: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
              <w:tc>
                <w:tcPr>
                  <w:tcW w:w="563" w:type="pct"/>
                  <w:vMerge w:val="continue"/>
                  <w:tcBorders>
                    <w:tl2br w:val="nil"/>
                    <w:tr2bl w:val="nil"/>
                  </w:tcBorders>
                  <w:noWrap w:val="0"/>
                  <w:vAlign w:val="center"/>
                  <w:tcPrChange w:id="33" w:author="Administrator" w:date="2020-09-11T12:05:00Z">
                    <w:tcPr>
                      <w:tcW w:w="563" w:type="pct"/>
                      <w:vMerge w:val="continue"/>
                      <w:tcBorders>
                        <w:tl2br w:val="nil"/>
                        <w:tr2bl w:val="nil"/>
                      </w:tcBorders>
                      <w:noWrap w:val="0"/>
                      <w:vAlign w:val="center"/>
                    </w:tcPr>
                  </w:tcPrChange>
                </w:tcPr>
                <w:p>
                  <w:pPr>
                    <w:pStyle w:val="40"/>
                    <w:bidi w:val="0"/>
                  </w:pPr>
                </w:p>
              </w:tc>
              <w:tc>
                <w:tcPr>
                  <w:tcW w:w="831" w:type="pct"/>
                  <w:tcBorders>
                    <w:tl2br w:val="nil"/>
                    <w:tr2bl w:val="nil"/>
                  </w:tcBorders>
                  <w:noWrap w:val="0"/>
                  <w:vAlign w:val="center"/>
                  <w:tcPrChange w:id="34" w:author="Administrator" w:date="2020-09-11T12:05:00Z">
                    <w:tcPr>
                      <w:tcW w:w="831" w:type="pct"/>
                      <w:tcBorders>
                        <w:tl2br w:val="nil"/>
                        <w:tr2bl w:val="nil"/>
                      </w:tcBorders>
                      <w:noWrap w:val="0"/>
                      <w:vAlign w:val="center"/>
                    </w:tcPr>
                  </w:tcPrChange>
                </w:tcPr>
                <w:p>
                  <w:pPr>
                    <w:pStyle w:val="40"/>
                    <w:bidi w:val="0"/>
                  </w:pPr>
                  <w:r>
                    <w:t>中-强</w:t>
                  </w:r>
                </w:p>
              </w:tc>
              <w:tc>
                <w:tcPr>
                  <w:tcW w:w="737" w:type="pct"/>
                  <w:tcBorders>
                    <w:tl2br w:val="nil"/>
                    <w:tr2bl w:val="nil"/>
                  </w:tcBorders>
                  <w:noWrap w:val="0"/>
                  <w:vAlign w:val="center"/>
                  <w:tcPrChange w:id="35" w:author="Administrator" w:date="2020-09-11T12:05:00Z">
                    <w:tcPr>
                      <w:tcW w:w="737" w:type="pct"/>
                      <w:tcBorders>
                        <w:tl2br w:val="nil"/>
                        <w:tr2bl w:val="nil"/>
                      </w:tcBorders>
                      <w:noWrap w:val="0"/>
                      <w:vAlign w:val="center"/>
                    </w:tcPr>
                  </w:tcPrChange>
                </w:tcPr>
                <w:p>
                  <w:pPr>
                    <w:pStyle w:val="40"/>
                    <w:bidi w:val="0"/>
                  </w:pPr>
                  <w:r>
                    <w:t>难</w:t>
                  </w:r>
                </w:p>
              </w:tc>
              <w:tc>
                <w:tcPr>
                  <w:tcW w:w="958" w:type="pct"/>
                  <w:vMerge w:val="continue"/>
                  <w:tcBorders>
                    <w:tl2br w:val="nil"/>
                    <w:tr2bl w:val="nil"/>
                  </w:tcBorders>
                  <w:noWrap w:val="0"/>
                  <w:vAlign w:val="center"/>
                  <w:tcPrChange w:id="36" w:author="Administrator" w:date="2020-09-11T12:05:00Z">
                    <w:tcPr>
                      <w:tcW w:w="958" w:type="pct"/>
                      <w:vMerge w:val="continue"/>
                      <w:tcBorders>
                        <w:tl2br w:val="nil"/>
                        <w:tr2bl w:val="nil"/>
                      </w:tcBorders>
                      <w:noWrap w:val="0"/>
                      <w:vAlign w:val="center"/>
                    </w:tcPr>
                  </w:tcPrChange>
                </w:tcPr>
                <w:p>
                  <w:pPr>
                    <w:pStyle w:val="40"/>
                    <w:bidi w:val="0"/>
                  </w:pPr>
                </w:p>
              </w:tc>
              <w:tc>
                <w:tcPr>
                  <w:tcW w:w="1909" w:type="pct"/>
                  <w:vMerge w:val="continue"/>
                  <w:tcBorders>
                    <w:tl2br w:val="nil"/>
                    <w:tr2bl w:val="nil"/>
                  </w:tcBorders>
                  <w:noWrap w:val="0"/>
                  <w:vAlign w:val="center"/>
                  <w:tcPrChange w:id="37" w:author="Administrator" w:date="2020-09-11T12:05:00Z">
                    <w:tcPr>
                      <w:tcW w:w="1909" w:type="pct"/>
                      <w:vMerge w:val="continue"/>
                      <w:tcBorders>
                        <w:tl2br w:val="nil"/>
                        <w:tr2bl w:val="nil"/>
                      </w:tcBorders>
                      <w:noWrap w:val="0"/>
                      <w:vAlign w:val="center"/>
                    </w:tcPr>
                  </w:tcPrChange>
                </w:tcPr>
                <w:p>
                  <w:pPr>
                    <w:pStyle w:val="4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8" w:author="Administrator" w:date="2020-09-11T12:05: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
              <w:tc>
                <w:tcPr>
                  <w:tcW w:w="563" w:type="pct"/>
                  <w:vMerge w:val="continue"/>
                  <w:tcBorders>
                    <w:tl2br w:val="nil"/>
                    <w:tr2bl w:val="nil"/>
                  </w:tcBorders>
                  <w:noWrap w:val="0"/>
                  <w:vAlign w:val="center"/>
                  <w:tcPrChange w:id="39" w:author="Administrator" w:date="2020-09-11T12:05:00Z">
                    <w:tcPr>
                      <w:tcW w:w="563" w:type="pct"/>
                      <w:vMerge w:val="continue"/>
                      <w:tcBorders>
                        <w:tl2br w:val="nil"/>
                        <w:tr2bl w:val="nil"/>
                      </w:tcBorders>
                      <w:noWrap w:val="0"/>
                      <w:vAlign w:val="center"/>
                    </w:tcPr>
                  </w:tcPrChange>
                </w:tcPr>
                <w:p>
                  <w:pPr>
                    <w:pStyle w:val="40"/>
                    <w:bidi w:val="0"/>
                  </w:pPr>
                </w:p>
              </w:tc>
              <w:tc>
                <w:tcPr>
                  <w:tcW w:w="831" w:type="pct"/>
                  <w:tcBorders>
                    <w:tl2br w:val="nil"/>
                    <w:tr2bl w:val="nil"/>
                  </w:tcBorders>
                  <w:noWrap w:val="0"/>
                  <w:vAlign w:val="center"/>
                  <w:tcPrChange w:id="40" w:author="Administrator" w:date="2020-09-11T12:05:00Z">
                    <w:tcPr>
                      <w:tcW w:w="831" w:type="pct"/>
                      <w:tcBorders>
                        <w:tl2br w:val="nil"/>
                        <w:tr2bl w:val="nil"/>
                      </w:tcBorders>
                      <w:noWrap w:val="0"/>
                      <w:vAlign w:val="center"/>
                    </w:tcPr>
                  </w:tcPrChange>
                </w:tcPr>
                <w:p>
                  <w:pPr>
                    <w:pStyle w:val="40"/>
                    <w:bidi w:val="0"/>
                  </w:pPr>
                  <w:r>
                    <w:t>中</w:t>
                  </w:r>
                </w:p>
              </w:tc>
              <w:tc>
                <w:tcPr>
                  <w:tcW w:w="737" w:type="pct"/>
                  <w:tcBorders>
                    <w:tl2br w:val="nil"/>
                    <w:tr2bl w:val="nil"/>
                  </w:tcBorders>
                  <w:noWrap w:val="0"/>
                  <w:vAlign w:val="center"/>
                  <w:tcPrChange w:id="41" w:author="Administrator" w:date="2020-09-11T12:05:00Z">
                    <w:tcPr>
                      <w:tcW w:w="737" w:type="pct"/>
                      <w:tcBorders>
                        <w:tl2br w:val="nil"/>
                        <w:tr2bl w:val="nil"/>
                      </w:tcBorders>
                      <w:noWrap w:val="0"/>
                      <w:vAlign w:val="center"/>
                    </w:tcPr>
                  </w:tcPrChange>
                </w:tcPr>
                <w:p>
                  <w:pPr>
                    <w:pStyle w:val="40"/>
                    <w:bidi w:val="0"/>
                  </w:pPr>
                  <w:r>
                    <w:t>易</w:t>
                  </w:r>
                </w:p>
              </w:tc>
              <w:tc>
                <w:tcPr>
                  <w:tcW w:w="958" w:type="pct"/>
                  <w:vMerge w:val="restart"/>
                  <w:tcBorders>
                    <w:tl2br w:val="nil"/>
                    <w:tr2bl w:val="nil"/>
                  </w:tcBorders>
                  <w:noWrap w:val="0"/>
                  <w:vAlign w:val="center"/>
                  <w:tcPrChange w:id="42" w:author="Administrator" w:date="2020-09-11T12:05:00Z">
                    <w:tcPr>
                      <w:tcW w:w="958" w:type="pct"/>
                      <w:vMerge w:val="restart"/>
                      <w:tcBorders>
                        <w:tl2br w:val="nil"/>
                        <w:tr2bl w:val="nil"/>
                      </w:tcBorders>
                      <w:noWrap w:val="0"/>
                      <w:vAlign w:val="center"/>
                    </w:tcPr>
                  </w:tcPrChange>
                </w:tcPr>
                <w:p>
                  <w:pPr>
                    <w:pStyle w:val="40"/>
                    <w:bidi w:val="0"/>
                  </w:pPr>
                  <w:r>
                    <w:t>重金属、持久性有机物污染物</w:t>
                  </w:r>
                </w:p>
              </w:tc>
              <w:tc>
                <w:tcPr>
                  <w:tcW w:w="1909" w:type="pct"/>
                  <w:vMerge w:val="continue"/>
                  <w:tcBorders>
                    <w:tl2br w:val="nil"/>
                    <w:tr2bl w:val="nil"/>
                  </w:tcBorders>
                  <w:noWrap w:val="0"/>
                  <w:vAlign w:val="center"/>
                  <w:tcPrChange w:id="43" w:author="Administrator" w:date="2020-09-11T12:05:00Z">
                    <w:tcPr>
                      <w:tcW w:w="1909" w:type="pct"/>
                      <w:vMerge w:val="continue"/>
                      <w:tcBorders>
                        <w:tl2br w:val="nil"/>
                        <w:tr2bl w:val="nil"/>
                      </w:tcBorders>
                      <w:noWrap w:val="0"/>
                      <w:vAlign w:val="center"/>
                    </w:tcPr>
                  </w:tcPrChange>
                </w:tcPr>
                <w:p>
                  <w:pPr>
                    <w:pStyle w:val="4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4" w:author="Administrator" w:date="2020-09-11T12:05: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
              <w:tc>
                <w:tcPr>
                  <w:tcW w:w="563" w:type="pct"/>
                  <w:vMerge w:val="continue"/>
                  <w:tcBorders>
                    <w:tl2br w:val="nil"/>
                    <w:tr2bl w:val="nil"/>
                  </w:tcBorders>
                  <w:noWrap w:val="0"/>
                  <w:vAlign w:val="center"/>
                  <w:tcPrChange w:id="45" w:author="Administrator" w:date="2020-09-11T12:05:00Z">
                    <w:tcPr>
                      <w:tcW w:w="563" w:type="pct"/>
                      <w:vMerge w:val="continue"/>
                      <w:tcBorders>
                        <w:tl2br w:val="nil"/>
                        <w:tr2bl w:val="nil"/>
                      </w:tcBorders>
                      <w:noWrap w:val="0"/>
                      <w:vAlign w:val="center"/>
                    </w:tcPr>
                  </w:tcPrChange>
                </w:tcPr>
                <w:p>
                  <w:pPr>
                    <w:pStyle w:val="40"/>
                    <w:bidi w:val="0"/>
                  </w:pPr>
                </w:p>
              </w:tc>
              <w:tc>
                <w:tcPr>
                  <w:tcW w:w="831" w:type="pct"/>
                  <w:tcBorders>
                    <w:tl2br w:val="nil"/>
                    <w:tr2bl w:val="nil"/>
                  </w:tcBorders>
                  <w:noWrap w:val="0"/>
                  <w:vAlign w:val="center"/>
                  <w:tcPrChange w:id="46" w:author="Administrator" w:date="2020-09-11T12:05:00Z">
                    <w:tcPr>
                      <w:tcW w:w="831" w:type="pct"/>
                      <w:tcBorders>
                        <w:tl2br w:val="nil"/>
                        <w:tr2bl w:val="nil"/>
                      </w:tcBorders>
                      <w:noWrap w:val="0"/>
                      <w:vAlign w:val="center"/>
                    </w:tcPr>
                  </w:tcPrChange>
                </w:tcPr>
                <w:p>
                  <w:pPr>
                    <w:pStyle w:val="40"/>
                    <w:bidi w:val="0"/>
                  </w:pPr>
                  <w:r>
                    <w:t>强</w:t>
                  </w:r>
                </w:p>
              </w:tc>
              <w:tc>
                <w:tcPr>
                  <w:tcW w:w="737" w:type="pct"/>
                  <w:tcBorders>
                    <w:tl2br w:val="nil"/>
                    <w:tr2bl w:val="nil"/>
                  </w:tcBorders>
                  <w:noWrap w:val="0"/>
                  <w:vAlign w:val="center"/>
                  <w:tcPrChange w:id="47" w:author="Administrator" w:date="2020-09-11T12:05:00Z">
                    <w:tcPr>
                      <w:tcW w:w="737" w:type="pct"/>
                      <w:tcBorders>
                        <w:tl2br w:val="nil"/>
                        <w:tr2bl w:val="nil"/>
                      </w:tcBorders>
                      <w:noWrap w:val="0"/>
                      <w:vAlign w:val="center"/>
                    </w:tcPr>
                  </w:tcPrChange>
                </w:tcPr>
                <w:p>
                  <w:pPr>
                    <w:pStyle w:val="40"/>
                    <w:bidi w:val="0"/>
                  </w:pPr>
                  <w:r>
                    <w:t>易</w:t>
                  </w:r>
                </w:p>
              </w:tc>
              <w:tc>
                <w:tcPr>
                  <w:tcW w:w="958" w:type="pct"/>
                  <w:vMerge w:val="continue"/>
                  <w:tcBorders>
                    <w:tl2br w:val="nil"/>
                    <w:tr2bl w:val="nil"/>
                  </w:tcBorders>
                  <w:noWrap w:val="0"/>
                  <w:vAlign w:val="center"/>
                  <w:tcPrChange w:id="48" w:author="Administrator" w:date="2020-09-11T12:05:00Z">
                    <w:tcPr>
                      <w:tcW w:w="958" w:type="pct"/>
                      <w:vMerge w:val="continue"/>
                      <w:tcBorders>
                        <w:tl2br w:val="nil"/>
                        <w:tr2bl w:val="nil"/>
                      </w:tcBorders>
                      <w:noWrap w:val="0"/>
                      <w:vAlign w:val="center"/>
                    </w:tcPr>
                  </w:tcPrChange>
                </w:tcPr>
                <w:p>
                  <w:pPr>
                    <w:pStyle w:val="40"/>
                    <w:bidi w:val="0"/>
                  </w:pPr>
                </w:p>
              </w:tc>
              <w:tc>
                <w:tcPr>
                  <w:tcW w:w="1909" w:type="pct"/>
                  <w:vMerge w:val="continue"/>
                  <w:tcBorders>
                    <w:tl2br w:val="nil"/>
                    <w:tr2bl w:val="nil"/>
                  </w:tcBorders>
                  <w:noWrap w:val="0"/>
                  <w:vAlign w:val="center"/>
                  <w:tcPrChange w:id="49" w:author="Administrator" w:date="2020-09-11T12:05:00Z">
                    <w:tcPr>
                      <w:tcW w:w="1909" w:type="pct"/>
                      <w:vMerge w:val="continue"/>
                      <w:tcBorders>
                        <w:tl2br w:val="nil"/>
                        <w:tr2bl w:val="nil"/>
                      </w:tcBorders>
                      <w:noWrap w:val="0"/>
                      <w:vAlign w:val="center"/>
                    </w:tcPr>
                  </w:tcPrChange>
                </w:tcPr>
                <w:p>
                  <w:pPr>
                    <w:pStyle w:val="4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0" w:author="Administrator" w:date="2020-09-11T12:05: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
              <w:tc>
                <w:tcPr>
                  <w:tcW w:w="563" w:type="pct"/>
                  <w:tcBorders>
                    <w:tl2br w:val="nil"/>
                    <w:tr2bl w:val="nil"/>
                  </w:tcBorders>
                  <w:noWrap w:val="0"/>
                  <w:vAlign w:val="center"/>
                  <w:tcPrChange w:id="51" w:author="Administrator" w:date="2020-09-11T12:05:00Z">
                    <w:tcPr>
                      <w:tcW w:w="563" w:type="pct"/>
                      <w:tcBorders>
                        <w:tl2br w:val="nil"/>
                        <w:tr2bl w:val="nil"/>
                      </w:tcBorders>
                      <w:noWrap w:val="0"/>
                      <w:vAlign w:val="center"/>
                    </w:tcPr>
                  </w:tcPrChange>
                </w:tcPr>
                <w:p>
                  <w:pPr>
                    <w:pStyle w:val="40"/>
                    <w:bidi w:val="0"/>
                  </w:pPr>
                  <w:r>
                    <w:t>简单防渗区</w:t>
                  </w:r>
                </w:p>
              </w:tc>
              <w:tc>
                <w:tcPr>
                  <w:tcW w:w="831" w:type="pct"/>
                  <w:tcBorders>
                    <w:tl2br w:val="nil"/>
                    <w:tr2bl w:val="nil"/>
                  </w:tcBorders>
                  <w:noWrap w:val="0"/>
                  <w:vAlign w:val="center"/>
                  <w:tcPrChange w:id="52" w:author="Administrator" w:date="2020-09-11T12:05:00Z">
                    <w:tcPr>
                      <w:tcW w:w="831" w:type="pct"/>
                      <w:tcBorders>
                        <w:tl2br w:val="nil"/>
                        <w:tr2bl w:val="nil"/>
                      </w:tcBorders>
                      <w:noWrap w:val="0"/>
                      <w:vAlign w:val="center"/>
                    </w:tcPr>
                  </w:tcPrChange>
                </w:tcPr>
                <w:p>
                  <w:pPr>
                    <w:pStyle w:val="40"/>
                    <w:bidi w:val="0"/>
                  </w:pPr>
                  <w:r>
                    <w:t>中-强</w:t>
                  </w:r>
                </w:p>
              </w:tc>
              <w:tc>
                <w:tcPr>
                  <w:tcW w:w="737" w:type="pct"/>
                  <w:tcBorders>
                    <w:tl2br w:val="nil"/>
                    <w:tr2bl w:val="nil"/>
                  </w:tcBorders>
                  <w:noWrap w:val="0"/>
                  <w:vAlign w:val="center"/>
                  <w:tcPrChange w:id="53" w:author="Administrator" w:date="2020-09-11T12:05:00Z">
                    <w:tcPr>
                      <w:tcW w:w="737" w:type="pct"/>
                      <w:tcBorders>
                        <w:tl2br w:val="nil"/>
                        <w:tr2bl w:val="nil"/>
                      </w:tcBorders>
                      <w:noWrap w:val="0"/>
                      <w:vAlign w:val="center"/>
                    </w:tcPr>
                  </w:tcPrChange>
                </w:tcPr>
                <w:p>
                  <w:pPr>
                    <w:pStyle w:val="40"/>
                    <w:bidi w:val="0"/>
                  </w:pPr>
                  <w:r>
                    <w:t>易</w:t>
                  </w:r>
                </w:p>
              </w:tc>
              <w:tc>
                <w:tcPr>
                  <w:tcW w:w="958" w:type="pct"/>
                  <w:tcBorders>
                    <w:tl2br w:val="nil"/>
                    <w:tr2bl w:val="nil"/>
                  </w:tcBorders>
                  <w:noWrap w:val="0"/>
                  <w:vAlign w:val="center"/>
                  <w:tcPrChange w:id="54" w:author="Administrator" w:date="2020-09-11T12:05:00Z">
                    <w:tcPr>
                      <w:tcW w:w="958" w:type="pct"/>
                      <w:tcBorders>
                        <w:tl2br w:val="nil"/>
                        <w:tr2bl w:val="nil"/>
                      </w:tcBorders>
                      <w:noWrap w:val="0"/>
                      <w:vAlign w:val="center"/>
                    </w:tcPr>
                  </w:tcPrChange>
                </w:tcPr>
                <w:p>
                  <w:pPr>
                    <w:pStyle w:val="40"/>
                    <w:bidi w:val="0"/>
                  </w:pPr>
                  <w:r>
                    <w:t>其他类型</w:t>
                  </w:r>
                </w:p>
              </w:tc>
              <w:tc>
                <w:tcPr>
                  <w:tcW w:w="1909" w:type="pct"/>
                  <w:tcBorders>
                    <w:tl2br w:val="nil"/>
                    <w:tr2bl w:val="nil"/>
                  </w:tcBorders>
                  <w:noWrap w:val="0"/>
                  <w:vAlign w:val="center"/>
                  <w:tcPrChange w:id="55" w:author="Administrator" w:date="2020-09-11T12:05:00Z">
                    <w:tcPr>
                      <w:tcW w:w="1909" w:type="pct"/>
                      <w:tcBorders>
                        <w:tl2br w:val="nil"/>
                        <w:tr2bl w:val="nil"/>
                      </w:tcBorders>
                      <w:noWrap w:val="0"/>
                      <w:vAlign w:val="center"/>
                    </w:tcPr>
                  </w:tcPrChange>
                </w:tcPr>
                <w:p>
                  <w:pPr>
                    <w:pStyle w:val="40"/>
                    <w:bidi w:val="0"/>
                  </w:pPr>
                  <w:r>
                    <w:t>一般地面硬化</w:t>
                  </w:r>
                </w:p>
              </w:tc>
            </w:tr>
          </w:tbl>
          <w:p>
            <w:pPr>
              <w:pStyle w:val="37"/>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80" w:firstLineChars="200"/>
              <w:textAlignment w:val="auto"/>
              <w:rPr>
                <w:rFonts w:hint="default"/>
                <w:lang w:eastAsia="zh-CN"/>
              </w:rPr>
            </w:pPr>
            <w:r>
              <w:rPr>
                <w:rFonts w:hint="default"/>
                <w:lang w:val="en-US" w:eastAsia="zh-CN"/>
              </w:rPr>
              <w:t>参照上表，</w:t>
            </w:r>
            <w:r>
              <w:rPr>
                <w:rFonts w:hint="default"/>
              </w:rPr>
              <w:t>对地下水环境影响及污染防治措施由于该项目</w:t>
            </w:r>
            <w:r>
              <w:rPr>
                <w:rFonts w:hint="eastAsia"/>
                <w:lang w:val="en-US" w:eastAsia="zh-CN"/>
              </w:rPr>
              <w:t>水性</w:t>
            </w:r>
            <w:r>
              <w:rPr>
                <w:rFonts w:hint="default"/>
              </w:rPr>
              <w:t>油</w:t>
            </w:r>
            <w:r>
              <w:rPr>
                <w:rFonts w:hint="eastAsia"/>
                <w:lang w:val="en-US" w:eastAsia="zh-CN"/>
              </w:rPr>
              <w:t>墨、胶水</w:t>
            </w:r>
            <w:r>
              <w:rPr>
                <w:rFonts w:hint="default"/>
              </w:rPr>
              <w:t>储存仓库发生泄露时存在对地下水环境的潜在影响，因此，本评价提出对地下水的污染防治措施。针对可能发生的地下水污染，本项目地下水污染防治措施将按照</w:t>
            </w:r>
            <w:r>
              <w:rPr>
                <w:rFonts w:hint="eastAsia"/>
                <w:lang w:eastAsia="zh-CN"/>
              </w:rPr>
              <w:t>“</w:t>
            </w:r>
            <w:r>
              <w:rPr>
                <w:rFonts w:hint="default"/>
              </w:rPr>
              <w:t>源头控制、分区防治、污染监控、应急响应</w:t>
            </w:r>
            <w:r>
              <w:rPr>
                <w:rFonts w:hint="eastAsia"/>
                <w:lang w:eastAsia="zh-CN"/>
              </w:rPr>
              <w:t>”</w:t>
            </w:r>
            <w:r>
              <w:rPr>
                <w:rFonts w:hint="default"/>
              </w:rPr>
              <w:t>相结合的原则，从污染物的产生、入渗、扩散、应急响应全方位进行防控。从源头控制，对项目油</w:t>
            </w:r>
            <w:r>
              <w:rPr>
                <w:rFonts w:hint="eastAsia"/>
                <w:lang w:val="en-US" w:eastAsia="zh-CN"/>
              </w:rPr>
              <w:t>墨、胶水</w:t>
            </w:r>
            <w:r>
              <w:rPr>
                <w:rFonts w:hint="default"/>
              </w:rPr>
              <w:t>存放区、危废</w:t>
            </w:r>
            <w:r>
              <w:rPr>
                <w:rFonts w:hint="eastAsia"/>
                <w:lang w:val="en-US" w:eastAsia="zh-CN"/>
              </w:rPr>
              <w:t>房</w:t>
            </w:r>
            <w:r>
              <w:rPr>
                <w:rFonts w:hint="default"/>
              </w:rPr>
              <w:t>等构筑物采取防渗措施防止和降低污染物跑、冒、滴、漏，将污染物泄漏的环境风险事故降到最低程度</w:t>
            </w:r>
            <w:r>
              <w:rPr>
                <w:rFonts w:hint="default"/>
                <w:lang w:eastAsia="zh-CN"/>
              </w:rPr>
              <w:t>。</w:t>
            </w:r>
          </w:p>
          <w:p>
            <w:pPr>
              <w:pStyle w:val="29"/>
              <w:bidi w:val="0"/>
              <w:rPr>
                <w:rFonts w:hint="eastAsia"/>
                <w:lang w:val="en-US" w:eastAsia="zh-CN"/>
              </w:rPr>
            </w:pPr>
            <w:r>
              <w:rPr>
                <w:rFonts w:hint="eastAsia"/>
                <w:lang w:val="en-US" w:eastAsia="zh-CN"/>
              </w:rPr>
              <w:t>表7-22 本项目防腐防渗分区</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56" w:author="Administrator" w:date="2020-09-11T12:05:00Z">
                <w:tblPr>
                  <w:tblStyle w:val="23"/>
                  <w:tblW w:w="4998" w:type="pct"/>
                  <w:tblInd w:w="7"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PrChange>
            </w:tblPr>
            <w:tblGrid>
              <w:gridCol w:w="750"/>
              <w:gridCol w:w="2702"/>
              <w:gridCol w:w="2115"/>
              <w:gridCol w:w="13"/>
              <w:gridCol w:w="3608"/>
              <w:tblGridChange w:id="57">
                <w:tblGrid>
                  <w:gridCol w:w="408"/>
                  <w:gridCol w:w="1470"/>
                  <w:gridCol w:w="1150"/>
                  <w:gridCol w:w="4"/>
                  <w:gridCol w:w="1966"/>
                  <w:gridCol w:w="1603"/>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8" w:author="Administrator" w:date="2020-09-11T12:05:00Z">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blPrExChange>
              </w:tblPrEx>
              <w:trPr>
                <w:wAfter w:w="0" w:type="auto"/>
                <w:trHeight w:val="454" w:hRule="atLeast"/>
                <w:jc w:val="center"/>
                <w:trPrChange w:id="58" w:author="Administrator" w:date="2020-09-11T12:05:00Z">
                  <w:trPr>
                    <w:gridAfter w:val="1"/>
                    <w:wAfter w:w="1603" w:type="dxa"/>
                    <w:trHeight w:val="313" w:hRule="atLeast"/>
                  </w:trPr>
                </w:trPrChange>
              </w:trPr>
              <w:tc>
                <w:tcPr>
                  <w:tcW w:w="408" w:type="pct"/>
                  <w:tcBorders>
                    <w:tl2br w:val="nil"/>
                    <w:tr2bl w:val="nil"/>
                  </w:tcBorders>
                  <w:noWrap w:val="0"/>
                  <w:vAlign w:val="center"/>
                  <w:tcPrChange w:id="59" w:author="Administrator" w:date="2020-09-11T12:05:00Z">
                    <w:tcPr>
                      <w:tcW w:w="408" w:type="pct"/>
                      <w:tcBorders>
                        <w:tl2br w:val="nil"/>
                        <w:tr2bl w:val="nil"/>
                      </w:tcBorders>
                      <w:noWrap w:val="0"/>
                      <w:vAlign w:val="top"/>
                    </w:tcPr>
                  </w:tcPrChange>
                </w:tcPr>
                <w:p>
                  <w:pPr>
                    <w:pStyle w:val="40"/>
                    <w:bidi w:val="0"/>
                  </w:pPr>
                  <w:r>
                    <w:rPr>
                      <w:rFonts w:hint="eastAsia"/>
                    </w:rPr>
                    <w:t>序号</w:t>
                  </w:r>
                </w:p>
              </w:tc>
              <w:tc>
                <w:tcPr>
                  <w:tcW w:w="1470" w:type="pct"/>
                  <w:tcBorders>
                    <w:tl2br w:val="nil"/>
                    <w:tr2bl w:val="nil"/>
                  </w:tcBorders>
                  <w:noWrap w:val="0"/>
                  <w:vAlign w:val="center"/>
                  <w:tcPrChange w:id="60" w:author="Administrator" w:date="2020-09-11T12:05:00Z">
                    <w:tcPr>
                      <w:tcW w:w="1470" w:type="pct"/>
                      <w:tcBorders>
                        <w:tl2br w:val="nil"/>
                        <w:tr2bl w:val="nil"/>
                      </w:tcBorders>
                      <w:noWrap w:val="0"/>
                      <w:vAlign w:val="top"/>
                    </w:tcPr>
                  </w:tcPrChange>
                </w:tcPr>
                <w:p>
                  <w:pPr>
                    <w:pStyle w:val="40"/>
                    <w:bidi w:val="0"/>
                  </w:pPr>
                  <w:r>
                    <w:t>防渗分区</w:t>
                  </w:r>
                </w:p>
              </w:tc>
              <w:tc>
                <w:tcPr>
                  <w:tcW w:w="1158" w:type="pct"/>
                  <w:gridSpan w:val="2"/>
                  <w:tcBorders>
                    <w:tl2br w:val="nil"/>
                    <w:tr2bl w:val="nil"/>
                  </w:tcBorders>
                  <w:noWrap w:val="0"/>
                  <w:vAlign w:val="center"/>
                  <w:tcPrChange w:id="61" w:author="Administrator" w:date="2020-09-11T12:05:00Z">
                    <w:tcPr>
                      <w:tcW w:w="1154" w:type="pct"/>
                      <w:gridSpan w:val="2"/>
                      <w:tcBorders>
                        <w:tl2br w:val="nil"/>
                        <w:tr2bl w:val="nil"/>
                      </w:tcBorders>
                      <w:noWrap w:val="0"/>
                      <w:vAlign w:val="top"/>
                    </w:tcPr>
                  </w:tcPrChange>
                </w:tcPr>
                <w:p>
                  <w:pPr>
                    <w:pStyle w:val="40"/>
                    <w:bidi w:val="0"/>
                  </w:pPr>
                  <w:r>
                    <w:rPr>
                      <w:rFonts w:hint="eastAsia"/>
                    </w:rPr>
                    <w:t>环保设施</w:t>
                  </w:r>
                </w:p>
              </w:tc>
              <w:tc>
                <w:tcPr>
                  <w:tcW w:w="1963" w:type="pct"/>
                  <w:tcBorders>
                    <w:tl2br w:val="nil"/>
                    <w:tr2bl w:val="nil"/>
                  </w:tcBorders>
                  <w:noWrap w:val="0"/>
                  <w:vAlign w:val="center"/>
                  <w:tcPrChange w:id="62" w:author="Administrator" w:date="2020-09-11T12:05:00Z">
                    <w:tcPr>
                      <w:tcW w:w="1966" w:type="pct"/>
                      <w:tcBorders>
                        <w:tl2br w:val="nil"/>
                        <w:tr2bl w:val="nil"/>
                      </w:tcBorders>
                      <w:noWrap w:val="0"/>
                      <w:vAlign w:val="top"/>
                    </w:tcPr>
                  </w:tcPrChange>
                </w:tcPr>
                <w:p>
                  <w:pPr>
                    <w:pStyle w:val="40"/>
                    <w:bidi w:val="0"/>
                    <w:rPr>
                      <w:rFonts w:hint="default"/>
                      <w:lang w:val="en-US" w:eastAsia="zh-CN"/>
                    </w:rPr>
                  </w:pPr>
                  <w:r>
                    <w:rPr>
                      <w:rFonts w:hint="eastAsia"/>
                      <w:lang w:val="en-US" w:eastAsia="zh-CN"/>
                    </w:rPr>
                    <w:t>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3" w:author="Administrator" w:date="2020-09-11T12:05:00Z">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blPrExChange>
              </w:tblPrEx>
              <w:trPr>
                <w:trHeight w:val="454" w:hRule="atLeast"/>
                <w:jc w:val="center"/>
                <w:trPrChange w:id="63" w:author="Administrator" w:date="2020-09-11T12:05:00Z">
                  <w:trPr>
                    <w:trHeight w:val="556" w:hRule="atLeast"/>
                  </w:trPr>
                </w:trPrChange>
              </w:trPr>
              <w:tc>
                <w:tcPr>
                  <w:tcW w:w="408" w:type="pct"/>
                  <w:tcBorders>
                    <w:tl2br w:val="nil"/>
                    <w:tr2bl w:val="nil"/>
                  </w:tcBorders>
                  <w:noWrap w:val="0"/>
                  <w:vAlign w:val="center"/>
                  <w:tcPrChange w:id="64" w:author="Administrator" w:date="2020-09-11T12:05:00Z">
                    <w:tcPr>
                      <w:tcW w:w="408" w:type="pct"/>
                      <w:tcBorders>
                        <w:tl2br w:val="nil"/>
                        <w:tr2bl w:val="nil"/>
                      </w:tcBorders>
                      <w:noWrap w:val="0"/>
                      <w:vAlign w:val="center"/>
                    </w:tcPr>
                  </w:tcPrChange>
                </w:tcPr>
                <w:p>
                  <w:pPr>
                    <w:pStyle w:val="40"/>
                    <w:bidi w:val="0"/>
                    <w:rPr>
                      <w:rFonts w:hint="eastAsia"/>
                      <w:lang w:val="en-US" w:eastAsia="zh-CN"/>
                    </w:rPr>
                  </w:pPr>
                  <w:r>
                    <w:rPr>
                      <w:rFonts w:hint="eastAsia"/>
                      <w:lang w:val="en-US" w:eastAsia="zh-CN"/>
                    </w:rPr>
                    <w:t>2</w:t>
                  </w:r>
                </w:p>
              </w:tc>
              <w:tc>
                <w:tcPr>
                  <w:tcW w:w="1470" w:type="pct"/>
                  <w:tcBorders>
                    <w:tl2br w:val="nil"/>
                    <w:tr2bl w:val="nil"/>
                  </w:tcBorders>
                  <w:noWrap w:val="0"/>
                  <w:vAlign w:val="center"/>
                  <w:tcPrChange w:id="65" w:author="Administrator" w:date="2020-09-11T12:05:00Z">
                    <w:tcPr>
                      <w:tcW w:w="1470" w:type="pct"/>
                      <w:tcBorders>
                        <w:tl2br w:val="nil"/>
                        <w:tr2bl w:val="nil"/>
                      </w:tcBorders>
                      <w:noWrap w:val="0"/>
                      <w:vAlign w:val="center"/>
                    </w:tcPr>
                  </w:tcPrChange>
                </w:tcPr>
                <w:p>
                  <w:pPr>
                    <w:pStyle w:val="40"/>
                    <w:bidi w:val="0"/>
                  </w:pPr>
                  <w:r>
                    <w:t>一般防渗区</w:t>
                  </w:r>
                </w:p>
              </w:tc>
              <w:tc>
                <w:tcPr>
                  <w:tcW w:w="1150" w:type="pct"/>
                  <w:tcBorders>
                    <w:tl2br w:val="nil"/>
                    <w:tr2bl w:val="nil"/>
                  </w:tcBorders>
                  <w:noWrap w:val="0"/>
                  <w:vAlign w:val="center"/>
                  <w:tcPrChange w:id="66" w:author="Administrator" w:date="2020-09-11T12:05:00Z">
                    <w:tcPr>
                      <w:tcW w:w="1150" w:type="pct"/>
                      <w:tcBorders>
                        <w:tl2br w:val="nil"/>
                        <w:tr2bl w:val="nil"/>
                      </w:tcBorders>
                      <w:noWrap w:val="0"/>
                      <w:vAlign w:val="center"/>
                    </w:tcPr>
                  </w:tcPrChange>
                </w:tcPr>
                <w:p>
                  <w:pPr>
                    <w:pStyle w:val="40"/>
                    <w:bidi w:val="0"/>
                    <w:rPr>
                      <w:rFonts w:hint="default"/>
                      <w:lang w:val="en-US" w:eastAsia="zh-CN"/>
                    </w:rPr>
                  </w:pPr>
                  <w:r>
                    <w:rPr>
                      <w:rFonts w:hint="eastAsia"/>
                      <w:lang w:val="en-US" w:eastAsia="zh-CN"/>
                    </w:rPr>
                    <w:t>油墨、胶水仓库</w:t>
                  </w:r>
                  <w:r>
                    <w:rPr>
                      <w:rFonts w:hint="default"/>
                    </w:rPr>
                    <w:t>、危废</w:t>
                  </w:r>
                  <w:r>
                    <w:rPr>
                      <w:rFonts w:hint="eastAsia"/>
                      <w:lang w:val="en-US" w:eastAsia="zh-CN"/>
                    </w:rPr>
                    <w:t>房</w:t>
                  </w:r>
                </w:p>
              </w:tc>
              <w:tc>
                <w:tcPr>
                  <w:tcW w:w="1970" w:type="pct"/>
                  <w:gridSpan w:val="2"/>
                  <w:tcBorders>
                    <w:tl2br w:val="nil"/>
                    <w:tr2bl w:val="nil"/>
                  </w:tcBorders>
                  <w:noWrap w:val="0"/>
                  <w:vAlign w:val="center"/>
                  <w:tcPrChange w:id="67" w:author="Administrator" w:date="2020-09-11T12:05:00Z">
                    <w:tcPr>
                      <w:tcW w:w="3573" w:type="dxa"/>
                      <w:gridSpan w:val="3"/>
                      <w:tcBorders>
                        <w:tl2br w:val="nil"/>
                        <w:tr2bl w:val="nil"/>
                      </w:tcBorders>
                      <w:noWrap w:val="0"/>
                      <w:vAlign w:val="center"/>
                    </w:tcPr>
                  </w:tcPrChange>
                </w:tcPr>
                <w:p>
                  <w:pPr>
                    <w:pStyle w:val="40"/>
                    <w:bidi w:val="0"/>
                    <w:rPr>
                      <w:rFonts w:hint="eastAsia"/>
                    </w:rPr>
                  </w:pPr>
                  <w:r>
                    <w:t>等效黏土防渗层Mb≧1.5m，K≦1×10-7cm/s；或参照GB16889执行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8" w:author="Administrator" w:date="2020-09-11T12:05:00Z">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blPrExChange>
              </w:tblPrEx>
              <w:trPr>
                <w:trHeight w:val="454" w:hRule="atLeast"/>
                <w:jc w:val="center"/>
                <w:trPrChange w:id="68" w:author="Administrator" w:date="2020-09-11T12:05:00Z">
                  <w:trPr>
                    <w:trHeight w:val="556" w:hRule="atLeast"/>
                  </w:trPr>
                </w:trPrChange>
              </w:trPr>
              <w:tc>
                <w:tcPr>
                  <w:tcW w:w="408" w:type="pct"/>
                  <w:tcBorders>
                    <w:tl2br w:val="nil"/>
                    <w:tr2bl w:val="nil"/>
                  </w:tcBorders>
                  <w:noWrap w:val="0"/>
                  <w:vAlign w:val="center"/>
                  <w:tcPrChange w:id="69" w:author="Administrator" w:date="2020-09-11T12:05:00Z">
                    <w:tcPr>
                      <w:tcW w:w="408" w:type="pct"/>
                      <w:tcBorders>
                        <w:tl2br w:val="nil"/>
                        <w:tr2bl w:val="nil"/>
                      </w:tcBorders>
                      <w:noWrap w:val="0"/>
                      <w:vAlign w:val="center"/>
                    </w:tcPr>
                  </w:tcPrChange>
                </w:tcPr>
                <w:p>
                  <w:pPr>
                    <w:pStyle w:val="40"/>
                    <w:bidi w:val="0"/>
                    <w:rPr>
                      <w:rFonts w:hint="default"/>
                      <w:lang w:val="en-US" w:eastAsia="zh-CN"/>
                    </w:rPr>
                  </w:pPr>
                  <w:r>
                    <w:rPr>
                      <w:rFonts w:hint="eastAsia"/>
                      <w:lang w:val="en-US" w:eastAsia="zh-CN"/>
                    </w:rPr>
                    <w:t>3</w:t>
                  </w:r>
                </w:p>
              </w:tc>
              <w:tc>
                <w:tcPr>
                  <w:tcW w:w="1470" w:type="pct"/>
                  <w:tcBorders>
                    <w:tl2br w:val="nil"/>
                    <w:tr2bl w:val="nil"/>
                  </w:tcBorders>
                  <w:noWrap w:val="0"/>
                  <w:vAlign w:val="center"/>
                  <w:tcPrChange w:id="70" w:author="Administrator" w:date="2020-09-11T12:05:00Z">
                    <w:tcPr>
                      <w:tcW w:w="1470" w:type="pct"/>
                      <w:tcBorders>
                        <w:tl2br w:val="nil"/>
                        <w:tr2bl w:val="nil"/>
                      </w:tcBorders>
                      <w:noWrap w:val="0"/>
                      <w:vAlign w:val="center"/>
                    </w:tcPr>
                  </w:tcPrChange>
                </w:tcPr>
                <w:p>
                  <w:pPr>
                    <w:pStyle w:val="40"/>
                    <w:bidi w:val="0"/>
                  </w:pPr>
                  <w:r>
                    <w:t>简单防渗区</w:t>
                  </w:r>
                </w:p>
              </w:tc>
              <w:tc>
                <w:tcPr>
                  <w:tcW w:w="1150" w:type="pct"/>
                  <w:tcBorders>
                    <w:tl2br w:val="nil"/>
                    <w:tr2bl w:val="nil"/>
                  </w:tcBorders>
                  <w:noWrap w:val="0"/>
                  <w:vAlign w:val="center"/>
                  <w:tcPrChange w:id="71" w:author="Administrator" w:date="2020-09-11T12:05:00Z">
                    <w:tcPr>
                      <w:tcW w:w="1150" w:type="pct"/>
                      <w:tcBorders>
                        <w:tl2br w:val="nil"/>
                        <w:tr2bl w:val="nil"/>
                      </w:tcBorders>
                      <w:noWrap w:val="0"/>
                      <w:vAlign w:val="center"/>
                    </w:tcPr>
                  </w:tcPrChange>
                </w:tcPr>
                <w:p>
                  <w:pPr>
                    <w:pStyle w:val="40"/>
                    <w:bidi w:val="0"/>
                    <w:rPr>
                      <w:rFonts w:hint="default"/>
                      <w:lang w:val="en-US" w:eastAsia="zh-CN"/>
                    </w:rPr>
                  </w:pPr>
                  <w:r>
                    <w:rPr>
                      <w:rFonts w:hint="eastAsia"/>
                      <w:lang w:val="en-US" w:eastAsia="zh-CN"/>
                    </w:rPr>
                    <w:t>车间地面</w:t>
                  </w:r>
                </w:p>
              </w:tc>
              <w:tc>
                <w:tcPr>
                  <w:tcW w:w="1970" w:type="pct"/>
                  <w:gridSpan w:val="2"/>
                  <w:tcBorders>
                    <w:tl2br w:val="nil"/>
                    <w:tr2bl w:val="nil"/>
                  </w:tcBorders>
                  <w:noWrap w:val="0"/>
                  <w:vAlign w:val="center"/>
                  <w:tcPrChange w:id="72" w:author="Administrator" w:date="2020-09-11T12:05:00Z">
                    <w:tcPr>
                      <w:tcW w:w="3573" w:type="dxa"/>
                      <w:gridSpan w:val="3"/>
                      <w:tcBorders>
                        <w:tl2br w:val="nil"/>
                        <w:tr2bl w:val="nil"/>
                      </w:tcBorders>
                      <w:noWrap w:val="0"/>
                      <w:vAlign w:val="center"/>
                    </w:tcPr>
                  </w:tcPrChange>
                </w:tcPr>
                <w:p>
                  <w:pPr>
                    <w:pStyle w:val="40"/>
                    <w:bidi w:val="0"/>
                    <w:rPr>
                      <w:rFonts w:hint="eastAsia"/>
                    </w:rPr>
                  </w:pPr>
                  <w:r>
                    <w:t>一般地面硬化</w:t>
                  </w:r>
                </w:p>
              </w:tc>
            </w:tr>
          </w:tbl>
          <w:p>
            <w:pPr>
              <w:pStyle w:val="5"/>
              <w:ind w:left="0" w:leftChars="0" w:firstLine="480" w:firstLineChars="200"/>
            </w:pPr>
            <w:r>
              <w:rPr>
                <w:rFonts w:hint="eastAsia"/>
              </w:rPr>
              <w:t>六、土壤环境影响评价</w:t>
            </w:r>
          </w:p>
          <w:p>
            <w:pPr>
              <w:pStyle w:val="5"/>
            </w:pPr>
            <w:r>
              <w:rPr>
                <w:rFonts w:hint="eastAsia"/>
              </w:rPr>
              <w:t>（1）土壤环境影响类型及途径</w:t>
            </w:r>
          </w:p>
          <w:p>
            <w:pPr>
              <w:pStyle w:val="5"/>
              <w:rPr>
                <w:rFonts w:hint="eastAsia"/>
              </w:rPr>
            </w:pPr>
            <w:r>
              <w:rPr>
                <w:rFonts w:hint="eastAsia"/>
              </w:rPr>
              <w:t>本项目属于纸和纸板容器制造；根据《环境影响评价技术导则 土壤环境（试行）》（HJ 964-2018），项目属于污染影响型项目，根据附录A 中的相关内容，项目属于“制造业——造纸和纸制品”中“其他类）”，为Ⅲ类项目</w:t>
            </w:r>
          </w:p>
          <w:p>
            <w:pPr>
              <w:pStyle w:val="5"/>
            </w:pPr>
            <w:r>
              <w:rPr>
                <w:rFonts w:hint="eastAsia"/>
              </w:rPr>
              <w:t>（2）土壤环境评价等级</w:t>
            </w:r>
          </w:p>
          <w:p>
            <w:pPr>
              <w:pStyle w:val="5"/>
            </w:pPr>
            <w:r>
              <w:rPr>
                <w:rFonts w:hint="eastAsia"/>
              </w:rPr>
              <w:t>项目位于淮南市经济开发区，项目租赁已建厂房进行建设；根据现场踏勘，项目周边均为工业用地，不存在耕地居民点等土壤环境敏感目标，也不存在其他土壤环境敏感目标，土壤敏感程度为“不敏感”类型。</w:t>
            </w:r>
          </w:p>
          <w:p>
            <w:pPr>
              <w:pStyle w:val="5"/>
            </w:pPr>
            <w:r>
              <w:rPr>
                <w:rFonts w:hint="eastAsia"/>
              </w:rPr>
              <w:t>污染影响型项目土壤环境敏感程度分级详见下表：</w:t>
            </w:r>
          </w:p>
          <w:p>
            <w:pPr>
              <w:pStyle w:val="29"/>
              <w:spacing w:before="65" w:after="65"/>
            </w:pPr>
            <w:r>
              <w:rPr>
                <w:rFonts w:hint="eastAsia"/>
              </w:rPr>
              <w:t>表7-2</w:t>
            </w:r>
            <w:r>
              <w:rPr>
                <w:rFonts w:hint="eastAsia"/>
                <w:lang w:val="en-US" w:eastAsia="zh-CN"/>
              </w:rPr>
              <w:t>4</w:t>
            </w:r>
            <w:r>
              <w:rPr>
                <w:rFonts w:hint="eastAsia"/>
              </w:rPr>
              <w:t xml:space="preserve"> 污染影响型敏感程度分级表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7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noWrap/>
                  <w:vAlign w:val="center"/>
                </w:tcPr>
                <w:p>
                  <w:pPr>
                    <w:pStyle w:val="40"/>
                  </w:pPr>
                  <w:r>
                    <w:rPr>
                      <w:rFonts w:hint="eastAsia"/>
                    </w:rPr>
                    <w:t>敏感程度</w:t>
                  </w:r>
                </w:p>
              </w:tc>
              <w:tc>
                <w:tcPr>
                  <w:tcW w:w="7347" w:type="dxa"/>
                  <w:noWrap/>
                  <w:vAlign w:val="center"/>
                </w:tcPr>
                <w:p>
                  <w:pPr>
                    <w:pStyle w:val="40"/>
                  </w:pPr>
                  <w:r>
                    <w:rPr>
                      <w:rFonts w:hint="eastAsia"/>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noWrap/>
                  <w:vAlign w:val="center"/>
                </w:tcPr>
                <w:p>
                  <w:pPr>
                    <w:pStyle w:val="40"/>
                  </w:pPr>
                  <w:r>
                    <w:rPr>
                      <w:rFonts w:hint="eastAsia"/>
                    </w:rPr>
                    <w:t>敏感</w:t>
                  </w:r>
                </w:p>
              </w:tc>
              <w:tc>
                <w:tcPr>
                  <w:tcW w:w="7347" w:type="dxa"/>
                  <w:noWrap/>
                  <w:vAlign w:val="center"/>
                </w:tcPr>
                <w:p>
                  <w:pPr>
                    <w:pStyle w:val="40"/>
                  </w:pPr>
                  <w:r>
                    <w:rPr>
                      <w:rFonts w:hint="eastAsia"/>
                    </w:rPr>
                    <w:t>建设项目周边存在耕地、园地、牧草地、饮用水源地或居民区、学校、医院、疗养院、养老院等土壤环境敏感目标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noWrap/>
                  <w:vAlign w:val="center"/>
                </w:tcPr>
                <w:p>
                  <w:pPr>
                    <w:pStyle w:val="40"/>
                  </w:pPr>
                  <w:r>
                    <w:rPr>
                      <w:rFonts w:hint="eastAsia"/>
                    </w:rPr>
                    <w:t>较敏感</w:t>
                  </w:r>
                </w:p>
              </w:tc>
              <w:tc>
                <w:tcPr>
                  <w:tcW w:w="7347" w:type="dxa"/>
                  <w:noWrap/>
                  <w:vAlign w:val="center"/>
                </w:tcPr>
                <w:p>
                  <w:pPr>
                    <w:pStyle w:val="40"/>
                  </w:pPr>
                  <w:r>
                    <w:rPr>
                      <w:rFonts w:hint="eastAsia"/>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noWrap/>
                  <w:vAlign w:val="center"/>
                </w:tcPr>
                <w:p>
                  <w:pPr>
                    <w:pStyle w:val="40"/>
                  </w:pPr>
                  <w:r>
                    <w:rPr>
                      <w:rFonts w:hint="eastAsia"/>
                    </w:rPr>
                    <w:t>不敏感</w:t>
                  </w:r>
                </w:p>
              </w:tc>
              <w:tc>
                <w:tcPr>
                  <w:tcW w:w="7347" w:type="dxa"/>
                  <w:noWrap/>
                  <w:vAlign w:val="center"/>
                </w:tcPr>
                <w:p>
                  <w:pPr>
                    <w:pStyle w:val="40"/>
                  </w:pPr>
                  <w:r>
                    <w:rPr>
                      <w:rFonts w:hint="eastAsia"/>
                    </w:rPr>
                    <w:t>其他情况</w:t>
                  </w:r>
                </w:p>
              </w:tc>
            </w:tr>
          </w:tbl>
          <w:p>
            <w:pPr>
              <w:pStyle w:val="5"/>
            </w:pPr>
            <w:r>
              <w:rPr>
                <w:rFonts w:hint="eastAsia"/>
              </w:rPr>
              <w:t>项目租赁厂房</w:t>
            </w:r>
            <w:r>
              <w:t>面积为</w:t>
            </w:r>
            <w:r>
              <w:rPr>
                <w:rFonts w:hint="eastAsia"/>
              </w:rPr>
              <w:t>1324.36㎡</w:t>
            </w:r>
            <w:r>
              <w:t>＜5h</w:t>
            </w:r>
            <w:r>
              <w:rPr>
                <w:rFonts w:hint="eastAsia"/>
              </w:rPr>
              <w:t>㎡</w:t>
            </w:r>
            <w:r>
              <w:t>，为小型规模，</w:t>
            </w:r>
            <w:r>
              <w:rPr>
                <w:rFonts w:hint="eastAsia"/>
              </w:rPr>
              <w:t>厂房</w:t>
            </w:r>
            <w:r>
              <w:t>占地为永久占用。</w:t>
            </w:r>
            <w:r>
              <w:rPr>
                <w:rFonts w:hint="eastAsia"/>
              </w:rPr>
              <w:t>根据土壤导则中的污染影响型评价工作等级划分表可知，项目可不开展土壤环境影响评价工作。土壤环境影响评价分级依据详见下表7-21。</w:t>
            </w:r>
          </w:p>
          <w:p>
            <w:pPr>
              <w:pStyle w:val="29"/>
              <w:spacing w:before="65" w:after="65"/>
            </w:pPr>
            <w:r>
              <w:rPr>
                <w:rFonts w:hint="eastAsia"/>
              </w:rPr>
              <w:t>表7-2</w:t>
            </w:r>
            <w:r>
              <w:rPr>
                <w:rFonts w:hint="eastAsia"/>
                <w:lang w:val="en-US" w:eastAsia="zh-CN"/>
              </w:rPr>
              <w:t>5</w:t>
            </w:r>
            <w:r>
              <w:rPr>
                <w:rFonts w:hint="eastAsia"/>
              </w:rPr>
              <w:t xml:space="preserve"> 土壤环境影响评价分级依据表</w:t>
            </w:r>
          </w:p>
          <w:tbl>
            <w:tblPr>
              <w:tblStyle w:val="23"/>
              <w:tblpPr w:leftFromText="180" w:rightFromText="180" w:vertAnchor="text" w:horzAnchor="page" w:tblpX="74" w:tblpY="380"/>
              <w:tblOverlap w:val="never"/>
              <w:tblW w:w="9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757"/>
              <w:gridCol w:w="803"/>
              <w:gridCol w:w="798"/>
              <w:gridCol w:w="924"/>
              <w:gridCol w:w="880"/>
              <w:gridCol w:w="927"/>
              <w:gridCol w:w="737"/>
              <w:gridCol w:w="929"/>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627" w:type="dxa"/>
                  <w:vMerge w:val="restart"/>
                  <w:noWrap/>
                  <w:vAlign w:val="center"/>
                </w:tcPr>
                <w:p>
                  <w:pPr>
                    <w:pStyle w:val="40"/>
                  </w:pPr>
                  <w:r>
                    <mc:AlternateContent>
                      <mc:Choice Requires="wps">
                        <w:drawing>
                          <wp:anchor distT="0" distB="0" distL="114300" distR="114300" simplePos="0" relativeHeight="251662336" behindDoc="0" locked="0" layoutInCell="1" allowOverlap="1">
                            <wp:simplePos x="0" y="0"/>
                            <wp:positionH relativeFrom="column">
                              <wp:posOffset>-102870</wp:posOffset>
                            </wp:positionH>
                            <wp:positionV relativeFrom="paragraph">
                              <wp:posOffset>5080</wp:posOffset>
                            </wp:positionV>
                            <wp:extent cx="720725" cy="53149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720725" cy="531495"/>
                                    </a:xfrm>
                                    <a:prstGeom prst="rect">
                                      <a:avLst/>
                                    </a:prstGeom>
                                    <a:noFill/>
                                    <a:ln w="6350">
                                      <a:noFill/>
                                    </a:ln>
                                    <a:effectLst/>
                                  </wps:spPr>
                                  <wps:txbx>
                                    <w:txbxContent>
                                      <w:p>
                                        <w:pPr>
                                          <w:jc w:val="left"/>
                                          <w:rPr>
                                            <w:rFonts w:ascii="仿宋" w:hAnsi="仿宋" w:eastAsia="仿宋" w:cs="仿宋"/>
                                          </w:rPr>
                                        </w:pPr>
                                        <w:r>
                                          <w:rPr>
                                            <w:rFonts w:hint="eastAsia" w:ascii="仿宋" w:hAnsi="仿宋" w:eastAsia="仿宋" w:cs="仿宋"/>
                                          </w:rPr>
                                          <w:t>评价工</w:t>
                                        </w:r>
                                      </w:p>
                                      <w:p>
                                        <w:pPr>
                                          <w:jc w:val="left"/>
                                          <w:rPr>
                                            <w:rFonts w:ascii="仿宋" w:hAnsi="仿宋" w:eastAsia="仿宋" w:cs="仿宋"/>
                                          </w:rPr>
                                        </w:pPr>
                                        <w:r>
                                          <w:rPr>
                                            <w:rFonts w:hint="eastAsia" w:ascii="仿宋" w:hAnsi="仿宋" w:eastAsia="仿宋" w:cs="仿宋"/>
                                          </w:rPr>
                                          <w:t>作等级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pt;margin-top:0.4pt;height:41.85pt;width:56.75pt;z-index:251662336;mso-width-relative:page;mso-height-relative:page;" filled="f" stroked="f" coordsize="21600,21600" o:gfxdata="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jHjPF2AAAAAYBAAAPAAAAAAAAAAEAIAAAACIA&#10;AABkcnMvZG93bnJldi54bWxQSwECFAAUAAAACACHTuJARXqnF0ICAAB1BAAADgAAAAAAAAABACAA&#10;AAAnAQAAZHJzL2Uyb0RvYy54bWxQSwUGAAAAAAYABgBZAQAA2wUAAAAA&#10;">
                            <v:fill on="f" focussize="0,0"/>
                            <v:stroke on="f" weight="0.5pt"/>
                            <v:imagedata o:title=""/>
                            <o:lock v:ext="edit" aspectratio="f"/>
                            <v:textbox>
                              <w:txbxContent>
                                <w:p>
                                  <w:pPr>
                                    <w:jc w:val="left"/>
                                    <w:rPr>
                                      <w:rFonts w:ascii="仿宋" w:hAnsi="仿宋" w:eastAsia="仿宋" w:cs="仿宋"/>
                                    </w:rPr>
                                  </w:pPr>
                                  <w:r>
                                    <w:rPr>
                                      <w:rFonts w:hint="eastAsia" w:ascii="仿宋" w:hAnsi="仿宋" w:eastAsia="仿宋" w:cs="仿宋"/>
                                    </w:rPr>
                                    <w:t>评价工</w:t>
                                  </w:r>
                                </w:p>
                                <w:p>
                                  <w:pPr>
                                    <w:jc w:val="left"/>
                                    <w:rPr>
                                      <w:rFonts w:ascii="仿宋" w:hAnsi="仿宋" w:eastAsia="仿宋" w:cs="仿宋"/>
                                    </w:rPr>
                                  </w:pPr>
                                  <w:r>
                                    <w:rPr>
                                      <w:rFonts w:hint="eastAsia" w:ascii="仿宋" w:hAnsi="仿宋" w:eastAsia="仿宋" w:cs="仿宋"/>
                                    </w:rPr>
                                    <w:t>作等级</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-151765</wp:posOffset>
                            </wp:positionH>
                            <wp:positionV relativeFrom="paragraph">
                              <wp:posOffset>546735</wp:posOffset>
                            </wp:positionV>
                            <wp:extent cx="812800" cy="28892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812800" cy="288925"/>
                                    </a:xfrm>
                                    <a:prstGeom prst="rect">
                                      <a:avLst/>
                                    </a:prstGeom>
                                    <a:noFill/>
                                    <a:ln w="6350">
                                      <a:noFill/>
                                    </a:ln>
                                    <a:effectLst/>
                                  </wps:spPr>
                                  <wps:txbx>
                                    <w:txbxContent>
                                      <w:p>
                                        <w:pPr>
                                          <w:rPr>
                                            <w:rFonts w:ascii="仿宋" w:hAnsi="仿宋" w:eastAsia="仿宋" w:cs="仿宋"/>
                                          </w:rPr>
                                        </w:pPr>
                                        <w:r>
                                          <w:rPr>
                                            <w:rFonts w:hint="eastAsia" w:ascii="仿宋" w:hAnsi="仿宋" w:eastAsia="仿宋" w:cs="仿宋"/>
                                          </w:rPr>
                                          <w:t>敏感程度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5pt;margin-top:43.05pt;height:22.75pt;width:64pt;z-index:251663360;mso-width-relative:page;mso-height-relative:page;" filled="f" stroked="f" coordsize="21600,21600" o:gfxdata="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n6cNoAAAAKAQAADwAAAAAAAAABACAAAAAi&#10;AAAAZHJzL2Rvd25yZXYueG1sUEsBAhQAFAAAAAgAh07iQFe0tBxBAgAAdQQAAA4AAAAAAAAAAQAg&#10;AAAAKQEAAGRycy9lMm9Eb2MueG1sUEsFBgAAAAAGAAYAWQEAANwFAAAAAA==&#10;">
                            <v:fill on="f" focussize="0,0"/>
                            <v:stroke on="f" weight="0.5pt"/>
                            <v:imagedata o:title=""/>
                            <o:lock v:ext="edit" aspectratio="f"/>
                            <v:textbox>
                              <w:txbxContent>
                                <w:p>
                                  <w:pPr>
                                    <w:rPr>
                                      <w:rFonts w:ascii="仿宋" w:hAnsi="仿宋" w:eastAsia="仿宋" w:cs="仿宋"/>
                                    </w:rPr>
                                  </w:pPr>
                                  <w:r>
                                    <w:rPr>
                                      <w:rFonts w:hint="eastAsia" w:ascii="仿宋" w:hAnsi="仿宋" w:eastAsia="仿宋" w:cs="仿宋"/>
                                    </w:rPr>
                                    <w:t>敏感程度</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-57785</wp:posOffset>
                            </wp:positionH>
                            <wp:positionV relativeFrom="paragraph">
                              <wp:posOffset>384175</wp:posOffset>
                            </wp:positionV>
                            <wp:extent cx="1026795" cy="450850"/>
                            <wp:effectExtent l="1905" t="4445" r="19050" b="20955"/>
                            <wp:wrapNone/>
                            <wp:docPr id="88" name="直接连接符 88"/>
                            <wp:cNvGraphicFramePr/>
                            <a:graphic xmlns:a="http://schemas.openxmlformats.org/drawingml/2006/main">
                              <a:graphicData uri="http://schemas.microsoft.com/office/word/2010/wordprocessingShape">
                                <wps:wsp>
                                  <wps:cNvCnPr/>
                                  <wps:spPr>
                                    <a:xfrm flipH="1" flipV="1">
                                      <a:off x="0" y="0"/>
                                      <a:ext cx="1026795" cy="45085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4.55pt;margin-top:30.25pt;height:35.5pt;width:80.85pt;z-index:251661312;mso-width-relative:page;mso-height-relative:page;" filled="f" stroked="t" coordsize="21600,21600" o:gfxdata="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9l2ZtgAAAAJAQAADwAAAAAAAAABACAAAAAiAAAAZHJzL2Rvd25yZXYu&#10;eG1sUEsBAhQAFAAAAAgAh07iQNbmyZD7AQAA2gMAAA4AAAAAAAAAAQAgAAAAJwEAAGRycy9lMm9E&#10;b2MueG1sUEsFBgAAAAAGAAYAWQEAAJQ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339090</wp:posOffset>
                            </wp:positionH>
                            <wp:positionV relativeFrom="paragraph">
                              <wp:posOffset>13335</wp:posOffset>
                            </wp:positionV>
                            <wp:extent cx="620395" cy="821690"/>
                            <wp:effectExtent l="3810" t="3175" r="4445" b="13335"/>
                            <wp:wrapNone/>
                            <wp:docPr id="87" name="直接连接符 87"/>
                            <wp:cNvGraphicFramePr/>
                            <a:graphic xmlns:a="http://schemas.openxmlformats.org/drawingml/2006/main">
                              <a:graphicData uri="http://schemas.microsoft.com/office/word/2010/wordprocessingShape">
                                <wps:wsp>
                                  <wps:cNvCnPr/>
                                  <wps:spPr>
                                    <a:xfrm flipH="1" flipV="1">
                                      <a:off x="0" y="0"/>
                                      <a:ext cx="620395" cy="82169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6.7pt;margin-top:1.05pt;height:64.7pt;width:48.85pt;z-index:251660288;mso-width-relative:page;mso-height-relative:page;" filled="f" stroked="t" coordsize="21600,21600" o:gfxdata="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4eLnG1wAAAAgBAAAPAAAAAAAAAAEAIAAAACIAAABkcnMvZG93bnJldi54&#10;bWxQSwECFAAUAAAACACHTuJAVf2CDfsBAADZAwAADgAAAAAAAAABACAAAAAmAQAAZHJzL2Uyb0Rv&#10;Yy54bWxQSwUGAAAAAAYABgBZAQAAkwUAAAAA&#10;">
                            <v:fill on="f" focussize="0,0"/>
                            <v:stroke weight="0.5pt" color="#000000" miterlimit="8" joinstyle="miter"/>
                            <v:imagedata o:title=""/>
                            <o:lock v:ext="edit" aspectratio="f"/>
                          </v:line>
                        </w:pict>
                      </mc:Fallback>
                    </mc:AlternateContent>
                  </w:r>
                </w:p>
              </w:tc>
              <w:tc>
                <w:tcPr>
                  <w:tcW w:w="2358" w:type="dxa"/>
                  <w:gridSpan w:val="3"/>
                  <w:noWrap/>
                  <w:vAlign w:val="center"/>
                </w:tcPr>
                <w:p>
                  <w:pPr>
                    <w:pStyle w:val="40"/>
                  </w:pPr>
                  <w:r>
                    <w:rPr>
                      <w:rFonts w:hint="eastAsia"/>
                    </w:rPr>
                    <w:fldChar w:fldCharType="begin"/>
                  </w:r>
                  <w:r>
                    <w:rPr>
                      <w:rFonts w:hint="eastAsia"/>
                    </w:rPr>
                    <w:instrText xml:space="preserve"> = 1 \* ROMAN \* MERGEFORMAT </w:instrText>
                  </w:r>
                  <w:r>
                    <w:rPr>
                      <w:rFonts w:hint="eastAsia"/>
                    </w:rPr>
                    <w:fldChar w:fldCharType="separate"/>
                  </w:r>
                  <w:r>
                    <w:rPr>
                      <w:rFonts w:hint="eastAsia"/>
                    </w:rPr>
                    <w:t>I</w:t>
                  </w:r>
                  <w:r>
                    <w:rPr>
                      <w:rFonts w:hint="eastAsia"/>
                    </w:rPr>
                    <w:fldChar w:fldCharType="end"/>
                  </w:r>
                  <w:r>
                    <w:rPr>
                      <w:rFonts w:hint="eastAsia"/>
                    </w:rPr>
                    <w:t>类</w:t>
                  </w:r>
                </w:p>
              </w:tc>
              <w:tc>
                <w:tcPr>
                  <w:tcW w:w="2731" w:type="dxa"/>
                  <w:gridSpan w:val="3"/>
                  <w:noWrap/>
                  <w:vAlign w:val="center"/>
                </w:tcPr>
                <w:p>
                  <w:pPr>
                    <w:pStyle w:val="40"/>
                  </w:pPr>
                  <w:r>
                    <w:rPr>
                      <w:rFonts w:hint="eastAsia"/>
                    </w:rPr>
                    <w:fldChar w:fldCharType="begin"/>
                  </w:r>
                  <w:r>
                    <w:rPr>
                      <w:rFonts w:hint="eastAsia"/>
                    </w:rPr>
                    <w:instrText xml:space="preserve"> = 1 \* ROMAN \* MERGEFORMAT </w:instrText>
                  </w:r>
                  <w:r>
                    <w:rPr>
                      <w:rFonts w:hint="eastAsia"/>
                    </w:rPr>
                    <w:fldChar w:fldCharType="separate"/>
                  </w:r>
                  <w:r>
                    <w:rPr>
                      <w:rFonts w:hint="eastAsia"/>
                    </w:rPr>
                    <w:t>I</w:t>
                  </w:r>
                  <w:r>
                    <w:rPr>
                      <w:rFonts w:hint="eastAsia"/>
                    </w:rPr>
                    <w:fldChar w:fldCharType="end"/>
                  </w:r>
                  <w:r>
                    <w:rPr>
                      <w:rFonts w:hint="eastAsia"/>
                    </w:rPr>
                    <w:fldChar w:fldCharType="begin"/>
                  </w:r>
                  <w:r>
                    <w:rPr>
                      <w:rFonts w:hint="eastAsia"/>
                    </w:rPr>
                    <w:instrText xml:space="preserve"> = 1 \* ROMAN \* MERGEFORMAT </w:instrText>
                  </w:r>
                  <w:r>
                    <w:rPr>
                      <w:rFonts w:hint="eastAsia"/>
                    </w:rPr>
                    <w:fldChar w:fldCharType="separate"/>
                  </w:r>
                  <w:r>
                    <w:rPr>
                      <w:rFonts w:hint="eastAsia"/>
                    </w:rPr>
                    <w:t>I</w:t>
                  </w:r>
                  <w:r>
                    <w:rPr>
                      <w:rFonts w:hint="eastAsia"/>
                    </w:rPr>
                    <w:fldChar w:fldCharType="end"/>
                  </w:r>
                  <w:r>
                    <w:rPr>
                      <w:rFonts w:hint="eastAsia"/>
                    </w:rPr>
                    <w:t>类</w:t>
                  </w:r>
                </w:p>
              </w:tc>
              <w:tc>
                <w:tcPr>
                  <w:tcW w:w="2583" w:type="dxa"/>
                  <w:gridSpan w:val="3"/>
                  <w:noWrap/>
                  <w:vAlign w:val="center"/>
                </w:tcPr>
                <w:p>
                  <w:pPr>
                    <w:pStyle w:val="40"/>
                  </w:pPr>
                  <w:r>
                    <w:rPr>
                      <w:rFonts w:hint="eastAsia"/>
                    </w:rPr>
                    <w:fldChar w:fldCharType="begin"/>
                  </w:r>
                  <w:r>
                    <w:rPr>
                      <w:rFonts w:hint="eastAsia"/>
                    </w:rPr>
                    <w:instrText xml:space="preserve"> = 1 \* ROMAN \* MERGEFORMAT </w:instrText>
                  </w:r>
                  <w:r>
                    <w:rPr>
                      <w:rFonts w:hint="eastAsia"/>
                    </w:rPr>
                    <w:fldChar w:fldCharType="separate"/>
                  </w:r>
                  <w:r>
                    <w:rPr>
                      <w:rFonts w:hint="eastAsia"/>
                    </w:rPr>
                    <w:t>I</w:t>
                  </w:r>
                  <w:r>
                    <w:rPr>
                      <w:rFonts w:hint="eastAsia"/>
                    </w:rPr>
                    <w:fldChar w:fldCharType="end"/>
                  </w:r>
                  <w:r>
                    <w:rPr>
                      <w:rFonts w:hint="eastAsia"/>
                    </w:rPr>
                    <w:fldChar w:fldCharType="begin"/>
                  </w:r>
                  <w:r>
                    <w:rPr>
                      <w:rFonts w:hint="eastAsia"/>
                    </w:rPr>
                    <w:instrText xml:space="preserve"> = 1 \* ROMAN \* MERGEFORMAT </w:instrText>
                  </w:r>
                  <w:r>
                    <w:rPr>
                      <w:rFonts w:hint="eastAsia"/>
                    </w:rPr>
                    <w:fldChar w:fldCharType="separate"/>
                  </w:r>
                  <w:r>
                    <w:rPr>
                      <w:rFonts w:hint="eastAsia"/>
                    </w:rPr>
                    <w:t>I</w:t>
                  </w:r>
                  <w:r>
                    <w:rPr>
                      <w:rFonts w:hint="eastAsia"/>
                    </w:rPr>
                    <w:fldChar w:fldCharType="end"/>
                  </w:r>
                  <w:r>
                    <w:rPr>
                      <w:rFonts w:hint="eastAsia"/>
                    </w:rPr>
                    <w:fldChar w:fldCharType="begin"/>
                  </w:r>
                  <w:r>
                    <w:rPr>
                      <w:rFonts w:hint="eastAsia"/>
                    </w:rPr>
                    <w:instrText xml:space="preserve"> = 1 \* ROMAN \* MERGEFORMAT </w:instrText>
                  </w:r>
                  <w:r>
                    <w:rPr>
                      <w:rFonts w:hint="eastAsia"/>
                    </w:rPr>
                    <w:fldChar w:fldCharType="separate"/>
                  </w:r>
                  <w:r>
                    <w:rPr>
                      <w:rFonts w:hint="eastAsia"/>
                    </w:rPr>
                    <w:t>I</w:t>
                  </w:r>
                  <w:r>
                    <w:rPr>
                      <w:rFonts w:hint="eastAsia"/>
                    </w:rPr>
                    <w:fldChar w:fldCharType="end"/>
                  </w:r>
                  <w:r>
                    <w:rPr>
                      <w:rFonts w:hint="eastAsia"/>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627" w:type="dxa"/>
                  <w:vMerge w:val="continue"/>
                  <w:noWrap/>
                  <w:vAlign w:val="center"/>
                </w:tcPr>
                <w:p>
                  <w:pPr>
                    <w:pStyle w:val="40"/>
                  </w:pPr>
                </w:p>
              </w:tc>
              <w:tc>
                <w:tcPr>
                  <w:tcW w:w="757" w:type="dxa"/>
                  <w:noWrap/>
                  <w:vAlign w:val="center"/>
                </w:tcPr>
                <w:p>
                  <w:pPr>
                    <w:pStyle w:val="40"/>
                  </w:pPr>
                  <w:r>
                    <w:rPr>
                      <w:rFonts w:hint="eastAsia"/>
                    </w:rPr>
                    <w:t>大</w:t>
                  </w:r>
                </w:p>
              </w:tc>
              <w:tc>
                <w:tcPr>
                  <w:tcW w:w="803" w:type="dxa"/>
                  <w:noWrap/>
                  <w:vAlign w:val="center"/>
                </w:tcPr>
                <w:p>
                  <w:pPr>
                    <w:pStyle w:val="40"/>
                  </w:pPr>
                  <w:r>
                    <w:rPr>
                      <w:rFonts w:hint="eastAsia"/>
                    </w:rPr>
                    <w:t>中</w:t>
                  </w:r>
                </w:p>
              </w:tc>
              <w:tc>
                <w:tcPr>
                  <w:tcW w:w="798" w:type="dxa"/>
                  <w:noWrap/>
                  <w:vAlign w:val="center"/>
                </w:tcPr>
                <w:p>
                  <w:pPr>
                    <w:pStyle w:val="40"/>
                  </w:pPr>
                  <w:r>
                    <w:rPr>
                      <w:rFonts w:hint="eastAsia"/>
                    </w:rPr>
                    <w:t>小</w:t>
                  </w:r>
                </w:p>
              </w:tc>
              <w:tc>
                <w:tcPr>
                  <w:tcW w:w="924" w:type="dxa"/>
                  <w:noWrap/>
                  <w:vAlign w:val="center"/>
                </w:tcPr>
                <w:p>
                  <w:pPr>
                    <w:pStyle w:val="40"/>
                  </w:pPr>
                  <w:r>
                    <w:rPr>
                      <w:rFonts w:hint="eastAsia"/>
                    </w:rPr>
                    <w:t>大</w:t>
                  </w:r>
                </w:p>
              </w:tc>
              <w:tc>
                <w:tcPr>
                  <w:tcW w:w="880" w:type="dxa"/>
                  <w:noWrap/>
                  <w:vAlign w:val="center"/>
                </w:tcPr>
                <w:p>
                  <w:pPr>
                    <w:pStyle w:val="40"/>
                  </w:pPr>
                  <w:r>
                    <w:rPr>
                      <w:rFonts w:hint="eastAsia"/>
                    </w:rPr>
                    <w:t>中</w:t>
                  </w:r>
                </w:p>
              </w:tc>
              <w:tc>
                <w:tcPr>
                  <w:tcW w:w="927" w:type="dxa"/>
                  <w:noWrap/>
                  <w:vAlign w:val="center"/>
                </w:tcPr>
                <w:p>
                  <w:pPr>
                    <w:pStyle w:val="40"/>
                  </w:pPr>
                  <w:r>
                    <w:rPr>
                      <w:rFonts w:hint="eastAsia"/>
                    </w:rPr>
                    <w:t>小</w:t>
                  </w:r>
                </w:p>
              </w:tc>
              <w:tc>
                <w:tcPr>
                  <w:tcW w:w="737" w:type="dxa"/>
                  <w:noWrap/>
                  <w:vAlign w:val="center"/>
                </w:tcPr>
                <w:p>
                  <w:pPr>
                    <w:pStyle w:val="40"/>
                  </w:pPr>
                  <w:r>
                    <w:rPr>
                      <w:rFonts w:hint="eastAsia"/>
                    </w:rPr>
                    <w:t>大</w:t>
                  </w:r>
                </w:p>
              </w:tc>
              <w:tc>
                <w:tcPr>
                  <w:tcW w:w="929" w:type="dxa"/>
                  <w:noWrap/>
                  <w:vAlign w:val="center"/>
                </w:tcPr>
                <w:p>
                  <w:pPr>
                    <w:pStyle w:val="40"/>
                  </w:pPr>
                  <w:r>
                    <w:rPr>
                      <w:rFonts w:hint="eastAsia"/>
                    </w:rPr>
                    <w:t>中</w:t>
                  </w:r>
                </w:p>
              </w:tc>
              <w:tc>
                <w:tcPr>
                  <w:tcW w:w="917" w:type="dxa"/>
                  <w:noWrap/>
                  <w:vAlign w:val="center"/>
                </w:tcPr>
                <w:p>
                  <w:pPr>
                    <w:pStyle w:val="40"/>
                  </w:pPr>
                  <w:r>
                    <w:rPr>
                      <w:rFonts w:hint="eastAsia"/>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7" w:type="dxa"/>
                  <w:noWrap/>
                  <w:vAlign w:val="center"/>
                </w:tcPr>
                <w:p>
                  <w:pPr>
                    <w:pStyle w:val="40"/>
                  </w:pPr>
                  <w:r>
                    <w:rPr>
                      <w:rFonts w:hint="eastAsia"/>
                    </w:rPr>
                    <w:t>敏感</w:t>
                  </w:r>
                </w:p>
              </w:tc>
              <w:tc>
                <w:tcPr>
                  <w:tcW w:w="757" w:type="dxa"/>
                  <w:noWrap/>
                  <w:vAlign w:val="center"/>
                </w:tcPr>
                <w:p>
                  <w:pPr>
                    <w:pStyle w:val="40"/>
                  </w:pPr>
                  <w:r>
                    <w:rPr>
                      <w:rFonts w:hint="eastAsia"/>
                    </w:rPr>
                    <w:t>一级</w:t>
                  </w:r>
                </w:p>
              </w:tc>
              <w:tc>
                <w:tcPr>
                  <w:tcW w:w="803" w:type="dxa"/>
                  <w:noWrap/>
                  <w:vAlign w:val="center"/>
                </w:tcPr>
                <w:p>
                  <w:pPr>
                    <w:pStyle w:val="40"/>
                  </w:pPr>
                  <w:r>
                    <w:rPr>
                      <w:rFonts w:hint="eastAsia"/>
                    </w:rPr>
                    <w:t>一级</w:t>
                  </w:r>
                </w:p>
              </w:tc>
              <w:tc>
                <w:tcPr>
                  <w:tcW w:w="798" w:type="dxa"/>
                  <w:noWrap/>
                  <w:vAlign w:val="center"/>
                </w:tcPr>
                <w:p>
                  <w:pPr>
                    <w:pStyle w:val="40"/>
                  </w:pPr>
                  <w:r>
                    <w:rPr>
                      <w:rFonts w:hint="eastAsia"/>
                    </w:rPr>
                    <w:t>一级</w:t>
                  </w:r>
                </w:p>
              </w:tc>
              <w:tc>
                <w:tcPr>
                  <w:tcW w:w="924" w:type="dxa"/>
                  <w:noWrap/>
                  <w:vAlign w:val="center"/>
                </w:tcPr>
                <w:p>
                  <w:pPr>
                    <w:pStyle w:val="40"/>
                  </w:pPr>
                  <w:r>
                    <w:rPr>
                      <w:rFonts w:hint="eastAsia"/>
                    </w:rPr>
                    <w:t>二级</w:t>
                  </w:r>
                </w:p>
              </w:tc>
              <w:tc>
                <w:tcPr>
                  <w:tcW w:w="880" w:type="dxa"/>
                  <w:noWrap/>
                  <w:vAlign w:val="center"/>
                </w:tcPr>
                <w:p>
                  <w:pPr>
                    <w:pStyle w:val="40"/>
                  </w:pPr>
                  <w:r>
                    <w:rPr>
                      <w:rFonts w:hint="eastAsia"/>
                    </w:rPr>
                    <w:t>二级</w:t>
                  </w:r>
                </w:p>
              </w:tc>
              <w:tc>
                <w:tcPr>
                  <w:tcW w:w="927" w:type="dxa"/>
                  <w:noWrap/>
                  <w:vAlign w:val="center"/>
                </w:tcPr>
                <w:p>
                  <w:pPr>
                    <w:pStyle w:val="40"/>
                  </w:pPr>
                  <w:r>
                    <w:rPr>
                      <w:rFonts w:hint="eastAsia"/>
                    </w:rPr>
                    <w:t>二级</w:t>
                  </w:r>
                </w:p>
              </w:tc>
              <w:tc>
                <w:tcPr>
                  <w:tcW w:w="737" w:type="dxa"/>
                  <w:noWrap/>
                  <w:vAlign w:val="center"/>
                </w:tcPr>
                <w:p>
                  <w:pPr>
                    <w:pStyle w:val="40"/>
                  </w:pPr>
                  <w:r>
                    <w:rPr>
                      <w:rFonts w:hint="eastAsia"/>
                    </w:rPr>
                    <w:t>三级</w:t>
                  </w:r>
                </w:p>
              </w:tc>
              <w:tc>
                <w:tcPr>
                  <w:tcW w:w="929" w:type="dxa"/>
                  <w:noWrap/>
                  <w:vAlign w:val="center"/>
                </w:tcPr>
                <w:p>
                  <w:pPr>
                    <w:pStyle w:val="40"/>
                  </w:pPr>
                  <w:r>
                    <w:rPr>
                      <w:rFonts w:hint="eastAsia"/>
                    </w:rPr>
                    <w:t>三级</w:t>
                  </w:r>
                </w:p>
              </w:tc>
              <w:tc>
                <w:tcPr>
                  <w:tcW w:w="917" w:type="dxa"/>
                  <w:noWrap/>
                  <w:vAlign w:val="center"/>
                </w:tcPr>
                <w:p>
                  <w:pPr>
                    <w:pStyle w:val="40"/>
                  </w:pPr>
                  <w:r>
                    <w:rPr>
                      <w:rFonts w:hint="eastAsia"/>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7" w:type="dxa"/>
                  <w:noWrap/>
                  <w:vAlign w:val="center"/>
                </w:tcPr>
                <w:p>
                  <w:pPr>
                    <w:pStyle w:val="40"/>
                  </w:pPr>
                  <w:r>
                    <w:rPr>
                      <w:rFonts w:hint="eastAsia"/>
                    </w:rPr>
                    <w:t>较敏感</w:t>
                  </w:r>
                </w:p>
              </w:tc>
              <w:tc>
                <w:tcPr>
                  <w:tcW w:w="757" w:type="dxa"/>
                  <w:noWrap/>
                  <w:vAlign w:val="center"/>
                </w:tcPr>
                <w:p>
                  <w:pPr>
                    <w:pStyle w:val="40"/>
                  </w:pPr>
                  <w:r>
                    <w:rPr>
                      <w:rFonts w:hint="eastAsia"/>
                    </w:rPr>
                    <w:t>一级</w:t>
                  </w:r>
                </w:p>
              </w:tc>
              <w:tc>
                <w:tcPr>
                  <w:tcW w:w="803" w:type="dxa"/>
                  <w:noWrap/>
                  <w:vAlign w:val="center"/>
                </w:tcPr>
                <w:p>
                  <w:pPr>
                    <w:pStyle w:val="40"/>
                  </w:pPr>
                  <w:r>
                    <w:rPr>
                      <w:rFonts w:hint="eastAsia"/>
                    </w:rPr>
                    <w:t>一级</w:t>
                  </w:r>
                </w:p>
              </w:tc>
              <w:tc>
                <w:tcPr>
                  <w:tcW w:w="798" w:type="dxa"/>
                  <w:noWrap/>
                  <w:vAlign w:val="center"/>
                </w:tcPr>
                <w:p>
                  <w:pPr>
                    <w:pStyle w:val="40"/>
                  </w:pPr>
                  <w:r>
                    <w:rPr>
                      <w:rFonts w:hint="eastAsia"/>
                    </w:rPr>
                    <w:t>二级</w:t>
                  </w:r>
                </w:p>
              </w:tc>
              <w:tc>
                <w:tcPr>
                  <w:tcW w:w="924" w:type="dxa"/>
                  <w:noWrap/>
                  <w:vAlign w:val="center"/>
                </w:tcPr>
                <w:p>
                  <w:pPr>
                    <w:pStyle w:val="40"/>
                  </w:pPr>
                  <w:r>
                    <w:rPr>
                      <w:rFonts w:hint="eastAsia"/>
                    </w:rPr>
                    <w:t>二级</w:t>
                  </w:r>
                </w:p>
              </w:tc>
              <w:tc>
                <w:tcPr>
                  <w:tcW w:w="880" w:type="dxa"/>
                  <w:noWrap/>
                  <w:vAlign w:val="center"/>
                </w:tcPr>
                <w:p>
                  <w:pPr>
                    <w:pStyle w:val="40"/>
                  </w:pPr>
                  <w:r>
                    <w:rPr>
                      <w:rFonts w:hint="eastAsia"/>
                    </w:rPr>
                    <w:t>二级</w:t>
                  </w:r>
                </w:p>
              </w:tc>
              <w:tc>
                <w:tcPr>
                  <w:tcW w:w="927" w:type="dxa"/>
                  <w:noWrap/>
                  <w:vAlign w:val="center"/>
                </w:tcPr>
                <w:p>
                  <w:pPr>
                    <w:pStyle w:val="40"/>
                  </w:pPr>
                  <w:r>
                    <w:rPr>
                      <w:rFonts w:hint="eastAsia"/>
                    </w:rPr>
                    <w:t>三级</w:t>
                  </w:r>
                </w:p>
              </w:tc>
              <w:tc>
                <w:tcPr>
                  <w:tcW w:w="737" w:type="dxa"/>
                  <w:noWrap/>
                  <w:vAlign w:val="center"/>
                </w:tcPr>
                <w:p>
                  <w:pPr>
                    <w:pStyle w:val="40"/>
                  </w:pPr>
                  <w:r>
                    <w:rPr>
                      <w:rFonts w:hint="eastAsia"/>
                    </w:rPr>
                    <w:t>三级</w:t>
                  </w:r>
                </w:p>
              </w:tc>
              <w:tc>
                <w:tcPr>
                  <w:tcW w:w="929" w:type="dxa"/>
                  <w:noWrap/>
                  <w:vAlign w:val="center"/>
                </w:tcPr>
                <w:p>
                  <w:pPr>
                    <w:pStyle w:val="40"/>
                  </w:pPr>
                  <w:r>
                    <w:rPr>
                      <w:rFonts w:hint="eastAsia"/>
                    </w:rPr>
                    <w:t>三级</w:t>
                  </w:r>
                </w:p>
              </w:tc>
              <w:tc>
                <w:tcPr>
                  <w:tcW w:w="917" w:type="dxa"/>
                  <w:noWrap/>
                  <w:vAlign w:val="center"/>
                </w:tcPr>
                <w:p>
                  <w:pPr>
                    <w:pStyle w:val="4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7" w:type="dxa"/>
                  <w:noWrap/>
                  <w:vAlign w:val="center"/>
                </w:tcPr>
                <w:p>
                  <w:pPr>
                    <w:pStyle w:val="40"/>
                  </w:pPr>
                  <w:r>
                    <w:rPr>
                      <w:rFonts w:hint="eastAsia"/>
                    </w:rPr>
                    <w:t>不敏感</w:t>
                  </w:r>
                </w:p>
              </w:tc>
              <w:tc>
                <w:tcPr>
                  <w:tcW w:w="757" w:type="dxa"/>
                  <w:noWrap/>
                  <w:vAlign w:val="center"/>
                </w:tcPr>
                <w:p>
                  <w:pPr>
                    <w:pStyle w:val="40"/>
                  </w:pPr>
                  <w:r>
                    <w:rPr>
                      <w:rFonts w:hint="eastAsia"/>
                    </w:rPr>
                    <w:t>一级</w:t>
                  </w:r>
                </w:p>
              </w:tc>
              <w:tc>
                <w:tcPr>
                  <w:tcW w:w="803" w:type="dxa"/>
                  <w:noWrap/>
                  <w:vAlign w:val="center"/>
                </w:tcPr>
                <w:p>
                  <w:pPr>
                    <w:pStyle w:val="40"/>
                  </w:pPr>
                  <w:r>
                    <w:rPr>
                      <w:rFonts w:hint="eastAsia"/>
                    </w:rPr>
                    <w:t>二级</w:t>
                  </w:r>
                </w:p>
              </w:tc>
              <w:tc>
                <w:tcPr>
                  <w:tcW w:w="798" w:type="dxa"/>
                  <w:noWrap/>
                  <w:vAlign w:val="center"/>
                </w:tcPr>
                <w:p>
                  <w:pPr>
                    <w:pStyle w:val="40"/>
                  </w:pPr>
                  <w:r>
                    <w:rPr>
                      <w:rFonts w:hint="eastAsia"/>
                    </w:rPr>
                    <w:t>二级</w:t>
                  </w:r>
                </w:p>
              </w:tc>
              <w:tc>
                <w:tcPr>
                  <w:tcW w:w="924" w:type="dxa"/>
                  <w:noWrap/>
                  <w:vAlign w:val="center"/>
                </w:tcPr>
                <w:p>
                  <w:pPr>
                    <w:pStyle w:val="40"/>
                  </w:pPr>
                  <w:r>
                    <w:rPr>
                      <w:rFonts w:hint="eastAsia"/>
                    </w:rPr>
                    <w:t>二级</w:t>
                  </w:r>
                </w:p>
              </w:tc>
              <w:tc>
                <w:tcPr>
                  <w:tcW w:w="880" w:type="dxa"/>
                  <w:noWrap/>
                  <w:vAlign w:val="center"/>
                </w:tcPr>
                <w:p>
                  <w:pPr>
                    <w:pStyle w:val="40"/>
                  </w:pPr>
                  <w:r>
                    <w:rPr>
                      <w:rFonts w:hint="eastAsia"/>
                    </w:rPr>
                    <w:t>三级</w:t>
                  </w:r>
                </w:p>
              </w:tc>
              <w:tc>
                <w:tcPr>
                  <w:tcW w:w="927" w:type="dxa"/>
                  <w:noWrap/>
                  <w:vAlign w:val="center"/>
                </w:tcPr>
                <w:p>
                  <w:pPr>
                    <w:pStyle w:val="40"/>
                  </w:pPr>
                  <w:r>
                    <w:rPr>
                      <w:rFonts w:hint="eastAsia"/>
                    </w:rPr>
                    <w:t>三级</w:t>
                  </w:r>
                </w:p>
              </w:tc>
              <w:tc>
                <w:tcPr>
                  <w:tcW w:w="737" w:type="dxa"/>
                  <w:noWrap/>
                  <w:vAlign w:val="center"/>
                </w:tcPr>
                <w:p>
                  <w:pPr>
                    <w:pStyle w:val="40"/>
                  </w:pPr>
                  <w:r>
                    <w:rPr>
                      <w:rFonts w:hint="eastAsia"/>
                    </w:rPr>
                    <w:t>三级</w:t>
                  </w:r>
                </w:p>
              </w:tc>
              <w:tc>
                <w:tcPr>
                  <w:tcW w:w="929" w:type="dxa"/>
                  <w:noWrap/>
                  <w:vAlign w:val="center"/>
                </w:tcPr>
                <w:p>
                  <w:pPr>
                    <w:pStyle w:val="40"/>
                  </w:pPr>
                  <w:r>
                    <w:rPr>
                      <w:rFonts w:hint="eastAsia"/>
                    </w:rPr>
                    <w:t>-</w:t>
                  </w:r>
                </w:p>
              </w:tc>
              <w:tc>
                <w:tcPr>
                  <w:tcW w:w="917" w:type="dxa"/>
                  <w:noWrap/>
                  <w:vAlign w:val="center"/>
                </w:tcPr>
                <w:p>
                  <w:pPr>
                    <w:pStyle w:val="4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99" w:type="dxa"/>
                  <w:gridSpan w:val="10"/>
                  <w:noWrap/>
                  <w:vAlign w:val="center"/>
                </w:tcPr>
                <w:p>
                  <w:pPr>
                    <w:pStyle w:val="40"/>
                    <w:jc w:val="left"/>
                  </w:pPr>
                  <w:r>
                    <w:rPr>
                      <w:rFonts w:hint="eastAsia"/>
                    </w:rPr>
                    <w:t>注：“-”表示可不开展环境影响评价工作。</w:t>
                  </w:r>
                </w:p>
              </w:tc>
            </w:tr>
          </w:tbl>
          <w:p>
            <w:pPr>
              <w:pStyle w:val="5"/>
            </w:pPr>
            <w:r>
              <w:rPr>
                <w:rFonts w:hint="eastAsia"/>
              </w:rPr>
              <w:t xml:space="preserve">七、生态环境影响分析 </w:t>
            </w:r>
          </w:p>
          <w:p>
            <w:pPr>
              <w:pStyle w:val="5"/>
              <w:bidi w:val="0"/>
              <w:rPr>
                <w:rFonts w:hint="eastAsia" w:eastAsia="宋体"/>
                <w:lang w:val="en-US" w:eastAsia="zh-CN"/>
              </w:rPr>
            </w:pPr>
            <w:r>
              <w:rPr>
                <w:rFonts w:hint="eastAsia"/>
              </w:rPr>
              <w:t>营运期项目产生的有机废气排放量较小，以无组织排放，车间加强通风，可达到</w:t>
            </w:r>
            <w:r>
              <w:t>《挥发性有机物无组织排放控制标准》（GB 37822-2019）中表A.1规定的限值</w:t>
            </w:r>
            <w:r>
              <w:rPr>
                <w:rFonts w:hint="eastAsia"/>
                <w:lang w:val="en-US" w:eastAsia="zh-CN"/>
              </w:rPr>
              <w:t>要求。</w:t>
            </w:r>
          </w:p>
          <w:p>
            <w:pPr>
              <w:pStyle w:val="5"/>
            </w:pPr>
            <w:r>
              <w:rPr>
                <w:rFonts w:hint="eastAsia"/>
              </w:rPr>
              <w:t>生活污水经三级化粪池处理后，排入园区污水管网，经淮南市</w:t>
            </w:r>
            <w:r>
              <w:rPr>
                <w:rFonts w:hint="eastAsia"/>
                <w:lang w:val="en-US" w:eastAsia="zh-CN"/>
              </w:rPr>
              <w:t>经济技术开发区</w:t>
            </w:r>
            <w:r>
              <w:rPr>
                <w:rFonts w:hint="eastAsia"/>
              </w:rPr>
              <w:t>污水处理厂进一步处理达标后排入淮河。产生的固废得到有效处理，生活垃圾经统一收集后，由环卫部门统一清运。项目营运后正常情况下产生的“三废”在经过处理后对生态环境的影响很小。项目区周边无风景名胜区、自然保护区及文化遗产等特殊保护目标。在采取以上措施后，项目对区域生态环境造成的影响较小。</w:t>
            </w:r>
          </w:p>
          <w:p>
            <w:pPr>
              <w:pStyle w:val="5"/>
            </w:pPr>
            <w:r>
              <w:rPr>
                <w:rFonts w:hint="eastAsia"/>
              </w:rPr>
              <w:t>八、排污口规范化设置</w:t>
            </w:r>
          </w:p>
          <w:p>
            <w:pPr>
              <w:pStyle w:val="5"/>
            </w:pPr>
            <w:r>
              <w:t>根据国家环保总局《关于开展排污口规范化整治试点工作的意见》、《关于加快排污口规范化整治试点工作的通知》和《安徽省污染源排放口规范化整治管理办法》精神，企业所有排放口（包括水、气、声、渣）必须按照“便于采集样品、便于计量监测、便于日常现场监督检查”的原则和规范化要求，排污口要立标管理，设立国家标准规定的标志牌，根据排污口污染物的排放特点，设置提示性或警告性环境保护图形标志牌，一般污染源设置提示性标志牌，毒性污染物设置警告性环境保护图形标志牌；绘制企业排污口分布图，对治理设施安装运行监控装置、排污口的规范化要符合有关要求。</w:t>
            </w:r>
          </w:p>
          <w:p>
            <w:pPr>
              <w:pStyle w:val="5"/>
            </w:pPr>
            <w:r>
              <w:rPr>
                <w:rFonts w:hint="eastAsia"/>
              </w:rPr>
              <w:t>（1）合理设置排污口位置，排污口应按规范设计，并按《污染源监测技术规范》设置采样点；本项目共设置1根排气筒（DA-001）和1个生活污水排放口（WS-001）。项目印刷废气经集气罩装置收集后引至有机废气处理系统处理，最终经1根15m高排气筒排放（DA-001），DA001排气筒位于厂房外西侧；项目生活污水排放口（WS-001）依托租赁公司已建排污口，该排污口位于厂区东侧，就近接入东侧永兴路污水管网。</w:t>
            </w:r>
          </w:p>
          <w:p>
            <w:pPr>
              <w:pStyle w:val="5"/>
            </w:pPr>
            <w:r>
              <w:rPr>
                <w:rFonts w:hint="eastAsia"/>
              </w:rPr>
              <w:t>（2）按照GB15562.1-1995及GB15562.2-1995</w:t>
            </w:r>
            <w:r>
              <w:t>《环境保护图形标志》</w:t>
            </w:r>
            <w:r>
              <w:rPr>
                <w:rFonts w:hint="eastAsia"/>
              </w:rPr>
              <w:t>的规定，规范化设置1根废气排气筒、1个生活污水排放口、噪声排放口、一般固废堆场、危险废物暂存间等。</w:t>
            </w:r>
          </w:p>
          <w:p>
            <w:pPr>
              <w:pStyle w:val="5"/>
            </w:pPr>
            <w:r>
              <w:t>对企业</w:t>
            </w:r>
            <w:r>
              <w:rPr>
                <w:rFonts w:hint="eastAsia"/>
              </w:rPr>
              <w:t>车间废气</w:t>
            </w:r>
            <w:r>
              <w:t>处理装置的排口分别设置平面固定式提示标志牌或树立式固定式提示标志牌，平面固定式标志牌为0.48cm×0.3cm的长方形冷轧钢板，树立式提示标志牌为0.42cm×0.42cm的正方形冷轧钢板，提示牌的背景和立柱为绿色，图案、边框、支架和</w:t>
            </w:r>
            <w:r>
              <w:rPr>
                <w:rFonts w:hint="eastAsia"/>
              </w:rPr>
              <w:t>辅助</w:t>
            </w:r>
            <w:r>
              <w:t>标志的文字为白色，文字字型为黑体，标志牌辅助标志内容包括排污单位名称、标志牌名称、排污口编号和主要污染物名称，并交付当地环保部门注明</w:t>
            </w:r>
            <w:r>
              <w:rPr>
                <w:rFonts w:hint="eastAsia"/>
              </w:rPr>
              <w:t>。</w:t>
            </w:r>
          </w:p>
          <w:p>
            <w:pPr>
              <w:pStyle w:val="29"/>
              <w:spacing w:before="65" w:after="65"/>
            </w:pPr>
            <w:r>
              <w:rPr>
                <w:rFonts w:hint="eastAsia"/>
              </w:rPr>
              <w:t>图7-2</w:t>
            </w:r>
            <w:r>
              <w:rPr>
                <w:rFonts w:hint="eastAsia"/>
                <w:lang w:val="en-US" w:eastAsia="zh-CN"/>
              </w:rPr>
              <w:t>6</w:t>
            </w:r>
            <w:r>
              <w:rPr>
                <w:rFonts w:hint="eastAsia"/>
              </w:rPr>
              <w:t>各排污口（源）标志牌设置示意图</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2"/>
              <w:gridCol w:w="2982"/>
              <w:gridCol w:w="2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Borders>
                    <w:tl2br w:val="nil"/>
                    <w:tr2bl w:val="nil"/>
                  </w:tcBorders>
                  <w:vAlign w:val="center"/>
                </w:tcPr>
                <w:p>
                  <w:pPr>
                    <w:pStyle w:val="40"/>
                  </w:pPr>
                  <w:r>
                    <w:t>雨水排放口</w:t>
                  </w:r>
                </w:p>
              </w:tc>
              <w:tc>
                <w:tcPr>
                  <w:tcW w:w="2982" w:type="dxa"/>
                  <w:tcBorders>
                    <w:tl2br w:val="nil"/>
                    <w:tr2bl w:val="nil"/>
                  </w:tcBorders>
                  <w:vAlign w:val="center"/>
                </w:tcPr>
                <w:p>
                  <w:pPr>
                    <w:pStyle w:val="40"/>
                  </w:pPr>
                  <w:r>
                    <w:t>一般工业固体废物</w:t>
                  </w:r>
                </w:p>
              </w:tc>
              <w:tc>
                <w:tcPr>
                  <w:tcW w:w="2982" w:type="dxa"/>
                  <w:tcBorders>
                    <w:tl2br w:val="nil"/>
                    <w:tr2bl w:val="nil"/>
                  </w:tcBorders>
                  <w:vAlign w:val="center"/>
                </w:tcPr>
                <w:p>
                  <w:pPr>
                    <w:pStyle w:val="40"/>
                  </w:pPr>
                  <w:r>
                    <w:t>废气排放口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Borders>
                    <w:tl2br w:val="nil"/>
                    <w:tr2bl w:val="nil"/>
                  </w:tcBorders>
                  <w:vAlign w:val="center"/>
                </w:tcPr>
                <w:p>
                  <w:pPr>
                    <w:pStyle w:val="40"/>
                  </w:pPr>
                  <w:r>
                    <w:drawing>
                      <wp:inline distT="0" distB="0" distL="114300" distR="114300">
                        <wp:extent cx="1543050" cy="952500"/>
                        <wp:effectExtent l="0" t="0" r="0" b="0"/>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18"/>
                                <a:stretch>
                                  <a:fillRect/>
                                </a:stretch>
                              </pic:blipFill>
                              <pic:spPr>
                                <a:xfrm>
                                  <a:off x="0" y="0"/>
                                  <a:ext cx="1543050" cy="952500"/>
                                </a:xfrm>
                                <a:prstGeom prst="rect">
                                  <a:avLst/>
                                </a:prstGeom>
                                <a:noFill/>
                                <a:ln>
                                  <a:noFill/>
                                </a:ln>
                              </pic:spPr>
                            </pic:pic>
                          </a:graphicData>
                        </a:graphic>
                      </wp:inline>
                    </w:drawing>
                  </w:r>
                </w:p>
              </w:tc>
              <w:tc>
                <w:tcPr>
                  <w:tcW w:w="2982" w:type="dxa"/>
                  <w:tcBorders>
                    <w:tl2br w:val="nil"/>
                    <w:tr2bl w:val="nil"/>
                  </w:tcBorders>
                  <w:vAlign w:val="center"/>
                </w:tcPr>
                <w:p>
                  <w:pPr>
                    <w:pStyle w:val="40"/>
                  </w:pPr>
                  <w:r>
                    <w:drawing>
                      <wp:inline distT="0" distB="0" distL="114300" distR="114300">
                        <wp:extent cx="1533525" cy="933450"/>
                        <wp:effectExtent l="0" t="0" r="9525" b="0"/>
                        <wp:docPr id="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19"/>
                                <a:stretch>
                                  <a:fillRect/>
                                </a:stretch>
                              </pic:blipFill>
                              <pic:spPr>
                                <a:xfrm>
                                  <a:off x="0" y="0"/>
                                  <a:ext cx="1533525" cy="933450"/>
                                </a:xfrm>
                                <a:prstGeom prst="rect">
                                  <a:avLst/>
                                </a:prstGeom>
                                <a:noFill/>
                                <a:ln>
                                  <a:noFill/>
                                </a:ln>
                              </pic:spPr>
                            </pic:pic>
                          </a:graphicData>
                        </a:graphic>
                      </wp:inline>
                    </w:drawing>
                  </w:r>
                </w:p>
              </w:tc>
              <w:tc>
                <w:tcPr>
                  <w:tcW w:w="2982" w:type="dxa"/>
                  <w:tcBorders>
                    <w:tl2br w:val="nil"/>
                    <w:tr2bl w:val="nil"/>
                  </w:tcBorders>
                  <w:vAlign w:val="center"/>
                </w:tcPr>
                <w:p>
                  <w:pPr>
                    <w:pStyle w:val="40"/>
                  </w:pPr>
                  <w:r>
                    <w:drawing>
                      <wp:inline distT="0" distB="0" distL="114300" distR="114300">
                        <wp:extent cx="1533525" cy="942975"/>
                        <wp:effectExtent l="0" t="0" r="9525" b="9525"/>
                        <wp:docPr id="1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
                                <pic:cNvPicPr>
                                  <a:picLocks noChangeAspect="1"/>
                                </pic:cNvPicPr>
                              </pic:nvPicPr>
                              <pic:blipFill>
                                <a:blip r:embed="rId20"/>
                                <a:stretch>
                                  <a:fillRect/>
                                </a:stretch>
                              </pic:blipFill>
                              <pic:spPr>
                                <a:xfrm>
                                  <a:off x="0" y="0"/>
                                  <a:ext cx="1533525" cy="942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Borders>
                    <w:tl2br w:val="nil"/>
                    <w:tr2bl w:val="nil"/>
                  </w:tcBorders>
                  <w:vAlign w:val="center"/>
                </w:tcPr>
                <w:p>
                  <w:pPr>
                    <w:pStyle w:val="40"/>
                  </w:pPr>
                  <w:r>
                    <w:t>危险废物</w:t>
                  </w:r>
                </w:p>
              </w:tc>
              <w:tc>
                <w:tcPr>
                  <w:tcW w:w="2982" w:type="dxa"/>
                  <w:tcBorders>
                    <w:tl2br w:val="nil"/>
                    <w:tr2bl w:val="nil"/>
                  </w:tcBorders>
                  <w:vAlign w:val="center"/>
                </w:tcPr>
                <w:p>
                  <w:pPr>
                    <w:pStyle w:val="40"/>
                  </w:pPr>
                  <w:r>
                    <w:t>噪声排放源</w:t>
                  </w:r>
                </w:p>
              </w:tc>
              <w:tc>
                <w:tcPr>
                  <w:tcW w:w="2982" w:type="dxa"/>
                  <w:tcBorders>
                    <w:tl2br w:val="nil"/>
                    <w:tr2bl w:val="nil"/>
                  </w:tcBorders>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Borders>
                    <w:tl2br w:val="nil"/>
                    <w:tr2bl w:val="nil"/>
                  </w:tcBorders>
                  <w:vAlign w:val="center"/>
                </w:tcPr>
                <w:p>
                  <w:pPr>
                    <w:pStyle w:val="40"/>
                    <w:jc w:val="left"/>
                    <w:rPr>
                      <w:rFonts w:hint="eastAsia" w:eastAsia="宋体"/>
                      <w:lang w:eastAsia="zh-CN"/>
                    </w:rPr>
                  </w:pPr>
                  <w:r>
                    <w:rPr>
                      <w:rFonts w:ascii="宋体" w:hAnsi="宋体" w:eastAsia="宋体" w:cs="宋体"/>
                      <w:sz w:val="24"/>
                      <w:szCs w:val="24"/>
                    </w:rPr>
                    <w:drawing>
                      <wp:inline distT="0" distB="0" distL="114300" distR="114300">
                        <wp:extent cx="304800" cy="3048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1"/>
                                <a:stretch>
                                  <a:fillRect/>
                                </a:stretch>
                              </pic:blipFill>
                              <pic:spPr>
                                <a:xfrm>
                                  <a:off x="0" y="0"/>
                                  <a:ext cx="304800" cy="304800"/>
                                </a:xfrm>
                                <a:prstGeom prst="rect">
                                  <a:avLst/>
                                </a:prstGeom>
                                <a:noFill/>
                                <a:ln w="9525">
                                  <a:noFill/>
                                </a:ln>
                              </pic:spPr>
                            </pic:pic>
                          </a:graphicData>
                        </a:graphic>
                      </wp:inline>
                    </w:drawing>
                  </w:r>
                  <w:r>
                    <w:rPr>
                      <w:rFonts w:hint="eastAsia" w:eastAsia="宋体"/>
                      <w:lang w:eastAsia="zh-CN"/>
                    </w:rPr>
                    <w:drawing>
                      <wp:inline distT="0" distB="0" distL="114300" distR="114300">
                        <wp:extent cx="1013460" cy="1013460"/>
                        <wp:effectExtent l="0" t="0" r="15240" b="15240"/>
                        <wp:docPr id="8" name="图片 8" descr="危险废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危险废物"/>
                                <pic:cNvPicPr>
                                  <a:picLocks noChangeAspect="1"/>
                                </pic:cNvPicPr>
                              </pic:nvPicPr>
                              <pic:blipFill>
                                <a:blip r:embed="rId22"/>
                                <a:stretch>
                                  <a:fillRect/>
                                </a:stretch>
                              </pic:blipFill>
                              <pic:spPr>
                                <a:xfrm>
                                  <a:off x="0" y="0"/>
                                  <a:ext cx="1013460" cy="1013460"/>
                                </a:xfrm>
                                <a:prstGeom prst="rect">
                                  <a:avLst/>
                                </a:prstGeom>
                              </pic:spPr>
                            </pic:pic>
                          </a:graphicData>
                        </a:graphic>
                      </wp:inline>
                    </w:drawing>
                  </w:r>
                </w:p>
              </w:tc>
              <w:tc>
                <w:tcPr>
                  <w:tcW w:w="2982" w:type="dxa"/>
                  <w:tcBorders>
                    <w:tl2br w:val="nil"/>
                    <w:tr2bl w:val="nil"/>
                  </w:tcBorders>
                  <w:vAlign w:val="center"/>
                </w:tcPr>
                <w:p>
                  <w:pPr>
                    <w:pStyle w:val="40"/>
                  </w:pPr>
                  <w:r>
                    <w:drawing>
                      <wp:inline distT="0" distB="0" distL="114300" distR="114300">
                        <wp:extent cx="1533525" cy="962025"/>
                        <wp:effectExtent l="0" t="0" r="9525" b="9525"/>
                        <wp:docPr id="1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
                                <pic:cNvPicPr>
                                  <a:picLocks noChangeAspect="1"/>
                                </pic:cNvPicPr>
                              </pic:nvPicPr>
                              <pic:blipFill>
                                <a:blip r:embed="rId23"/>
                                <a:stretch>
                                  <a:fillRect/>
                                </a:stretch>
                              </pic:blipFill>
                              <pic:spPr>
                                <a:xfrm>
                                  <a:off x="0" y="0"/>
                                  <a:ext cx="1533525" cy="962025"/>
                                </a:xfrm>
                                <a:prstGeom prst="rect">
                                  <a:avLst/>
                                </a:prstGeom>
                                <a:noFill/>
                                <a:ln>
                                  <a:noFill/>
                                </a:ln>
                              </pic:spPr>
                            </pic:pic>
                          </a:graphicData>
                        </a:graphic>
                      </wp:inline>
                    </w:drawing>
                  </w:r>
                </w:p>
              </w:tc>
              <w:tc>
                <w:tcPr>
                  <w:tcW w:w="2982" w:type="dxa"/>
                  <w:tcBorders>
                    <w:tl2br w:val="nil"/>
                    <w:tr2bl w:val="nil"/>
                  </w:tcBorders>
                  <w:vAlign w:val="center"/>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6" w:type="dxa"/>
                  <w:gridSpan w:val="3"/>
                  <w:tcBorders>
                    <w:tl2br w:val="nil"/>
                    <w:tr2bl w:val="nil"/>
                  </w:tcBorders>
                  <w:vAlign w:val="center"/>
                </w:tcPr>
                <w:p>
                  <w:pPr>
                    <w:pStyle w:val="40"/>
                  </w:pPr>
                  <w:r>
                    <w:t>注：背景颜色为白色，图形颜色为绿色。</w:t>
                  </w:r>
                </w:p>
              </w:tc>
            </w:tr>
          </w:tbl>
          <w:p>
            <w:pPr>
              <w:pStyle w:val="5"/>
              <w:ind w:left="0" w:leftChars="0" w:firstLine="480" w:firstLineChars="200"/>
            </w:pPr>
            <w:r>
              <w:rPr>
                <w:rFonts w:hint="eastAsia"/>
              </w:rPr>
              <w:t>（3）按照要求填写由原国家环保部统一印制的《中华人民共和国规范化排污口标志登记证》。</w:t>
            </w:r>
          </w:p>
          <w:p>
            <w:pPr>
              <w:pStyle w:val="5"/>
            </w:pPr>
            <w:r>
              <w:rPr>
                <w:rFonts w:hint="eastAsia"/>
              </w:rPr>
              <w:t>（4）规范化设置的排污口有关设置属于环境保护设施，应将其纳入本单位设备管理，并选派具有专业知识的专职或兼职人员对排污口进行管理。</w:t>
            </w:r>
          </w:p>
          <w:p>
            <w:pPr>
              <w:pStyle w:val="5"/>
            </w:pPr>
            <w:r>
              <w:rPr>
                <w:rFonts w:hint="eastAsia"/>
              </w:rPr>
              <w:t>另外，项目建成投入运行后，应向环保主管部门进行排污申报。</w:t>
            </w:r>
          </w:p>
          <w:p>
            <w:pPr>
              <w:pStyle w:val="5"/>
            </w:pPr>
            <w:r>
              <w:rPr>
                <w:rFonts w:hint="eastAsia"/>
              </w:rPr>
              <w:t>九、</w:t>
            </w:r>
            <w:r>
              <w:t>环保投资</w:t>
            </w:r>
          </w:p>
          <w:p>
            <w:pPr>
              <w:pStyle w:val="5"/>
            </w:pPr>
            <w:r>
              <w:t>该项目</w:t>
            </w:r>
            <w:r>
              <w:rPr>
                <w:rFonts w:hint="eastAsia"/>
              </w:rPr>
              <w:t>环保</w:t>
            </w:r>
            <w:r>
              <w:t>投资</w:t>
            </w:r>
            <w:r>
              <w:rPr>
                <w:rFonts w:hint="eastAsia"/>
              </w:rPr>
              <w:t>10万元</w:t>
            </w:r>
            <w:r>
              <w:t>，占</w:t>
            </w:r>
            <w:r>
              <w:rPr>
                <w:rFonts w:hint="eastAsia"/>
              </w:rPr>
              <w:t>项目</w:t>
            </w:r>
            <w:r>
              <w:t>总投资</w:t>
            </w:r>
            <w:r>
              <w:rPr>
                <w:rFonts w:hint="eastAsia"/>
              </w:rPr>
              <w:t>800万元</w:t>
            </w:r>
            <w:r>
              <w:t>的</w:t>
            </w:r>
            <w:r>
              <w:rPr>
                <w:rFonts w:hint="eastAsia"/>
              </w:rPr>
              <w:t>1.25%，具体见表：</w:t>
            </w:r>
          </w:p>
          <w:p>
            <w:pPr>
              <w:pStyle w:val="29"/>
              <w:spacing w:before="65" w:after="65"/>
            </w:pPr>
            <w:r>
              <w:t>表</w:t>
            </w:r>
            <w:r>
              <w:rPr>
                <w:rFonts w:hint="eastAsia"/>
              </w:rPr>
              <w:t>7-2</w:t>
            </w:r>
            <w:r>
              <w:rPr>
                <w:rFonts w:hint="eastAsia"/>
                <w:lang w:val="en-US" w:eastAsia="zh-CN"/>
              </w:rPr>
              <w:t>7</w:t>
            </w:r>
            <w:r>
              <w:rPr>
                <w:rFonts w:hint="eastAsia"/>
              </w:rPr>
              <w:t xml:space="preserve"> 建设项目环保措施投资一览</w:t>
            </w:r>
            <w:r>
              <w:t>表</w:t>
            </w:r>
            <w:r>
              <w:rPr>
                <w:rFonts w:hint="eastAsia"/>
              </w:rPr>
              <w:t xml:space="preserve"> 单位：万元</w:t>
            </w:r>
          </w:p>
          <w:tbl>
            <w:tblPr>
              <w:tblStyle w:val="23"/>
              <w:tblW w:w="915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94"/>
              <w:gridCol w:w="1690"/>
              <w:gridCol w:w="5495"/>
              <w:gridCol w:w="7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94" w:type="dxa"/>
                  <w:noWrap/>
                  <w:vAlign w:val="center"/>
                </w:tcPr>
                <w:p>
                  <w:pPr>
                    <w:pStyle w:val="40"/>
                  </w:pPr>
                  <w:r>
                    <w:t>类 别</w:t>
                  </w:r>
                </w:p>
              </w:tc>
              <w:tc>
                <w:tcPr>
                  <w:tcW w:w="1690" w:type="dxa"/>
                  <w:noWrap/>
                  <w:vAlign w:val="center"/>
                </w:tcPr>
                <w:p>
                  <w:pPr>
                    <w:pStyle w:val="40"/>
                  </w:pPr>
                  <w:r>
                    <w:t>治理对象</w:t>
                  </w:r>
                </w:p>
              </w:tc>
              <w:tc>
                <w:tcPr>
                  <w:tcW w:w="5495" w:type="dxa"/>
                  <w:noWrap/>
                  <w:vAlign w:val="center"/>
                </w:tcPr>
                <w:p>
                  <w:pPr>
                    <w:pStyle w:val="40"/>
                  </w:pPr>
                  <w:r>
                    <w:t>治理方案</w:t>
                  </w:r>
                </w:p>
              </w:tc>
              <w:tc>
                <w:tcPr>
                  <w:tcW w:w="780" w:type="dxa"/>
                  <w:tcBorders>
                    <w:right w:val="single" w:color="auto" w:sz="4" w:space="0"/>
                  </w:tcBorders>
                  <w:noWrap/>
                  <w:vAlign w:val="center"/>
                </w:tcPr>
                <w:p>
                  <w:pPr>
                    <w:pStyle w:val="40"/>
                  </w:pPr>
                  <w:r>
                    <w:rPr>
                      <w:rFonts w:hint="eastAsia"/>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94" w:type="dxa"/>
                  <w:noWrap/>
                  <w:vAlign w:val="center"/>
                </w:tcPr>
                <w:p>
                  <w:pPr>
                    <w:pStyle w:val="40"/>
                  </w:pPr>
                  <w:r>
                    <w:rPr>
                      <w:rFonts w:hint="eastAsia"/>
                    </w:rPr>
                    <w:t>废气防治措施</w:t>
                  </w:r>
                </w:p>
              </w:tc>
              <w:tc>
                <w:tcPr>
                  <w:tcW w:w="1690" w:type="dxa"/>
                  <w:noWrap/>
                  <w:vAlign w:val="center"/>
                </w:tcPr>
                <w:p>
                  <w:pPr>
                    <w:pStyle w:val="40"/>
                  </w:pPr>
                  <w:r>
                    <w:rPr>
                      <w:rFonts w:hint="eastAsia"/>
                    </w:rPr>
                    <w:t>印刷废气</w:t>
                  </w:r>
                </w:p>
              </w:tc>
              <w:tc>
                <w:tcPr>
                  <w:tcW w:w="5495" w:type="dxa"/>
                  <w:noWrap/>
                  <w:vAlign w:val="center"/>
                </w:tcPr>
                <w:p>
                  <w:pPr>
                    <w:pStyle w:val="40"/>
                  </w:pPr>
                  <w:r>
                    <w:rPr>
                      <w:rFonts w:hint="eastAsia"/>
                    </w:rPr>
                    <w:t>印刷废气粘合废气经收集后引至UV光氧催化+活性炭吸附装置处理，废气经处理后最终经1根15</w:t>
                  </w:r>
                  <w:r>
                    <w:t>m高排气筒</w:t>
                  </w:r>
                  <w:r>
                    <w:rPr>
                      <w:rFonts w:hint="eastAsia"/>
                    </w:rPr>
                    <w:t>排放（DA-001），排气筒内径0.4m；风机风量为5000m3/h；废气收集效率达90%以上；有机废气去除率达90%；</w:t>
                  </w:r>
                </w:p>
              </w:tc>
              <w:tc>
                <w:tcPr>
                  <w:tcW w:w="780" w:type="dxa"/>
                  <w:tcBorders>
                    <w:right w:val="single" w:color="auto" w:sz="4" w:space="0"/>
                  </w:tcBorders>
                  <w:noWrap/>
                  <w:vAlign w:val="center"/>
                </w:tcPr>
                <w:p>
                  <w:pPr>
                    <w:pStyle w:val="40"/>
                  </w:pPr>
                  <w:r>
                    <w:rPr>
                      <w:rFonts w:hint="eastAsia"/>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94" w:type="dxa"/>
                  <w:noWrap/>
                  <w:vAlign w:val="center"/>
                </w:tcPr>
                <w:p>
                  <w:pPr>
                    <w:pStyle w:val="40"/>
                  </w:pPr>
                  <w:r>
                    <w:t>废水防治措施</w:t>
                  </w:r>
                </w:p>
              </w:tc>
              <w:tc>
                <w:tcPr>
                  <w:tcW w:w="1690" w:type="dxa"/>
                  <w:noWrap/>
                  <w:vAlign w:val="center"/>
                </w:tcPr>
                <w:p>
                  <w:pPr>
                    <w:pStyle w:val="40"/>
                  </w:pPr>
                  <w:r>
                    <w:rPr>
                      <w:rFonts w:hint="eastAsia"/>
                    </w:rPr>
                    <w:t>生活污水</w:t>
                  </w:r>
                </w:p>
              </w:tc>
              <w:tc>
                <w:tcPr>
                  <w:tcW w:w="5495" w:type="dxa"/>
                  <w:noWrap/>
                  <w:vAlign w:val="center"/>
                </w:tcPr>
                <w:p>
                  <w:pPr>
                    <w:pStyle w:val="40"/>
                  </w:pPr>
                  <w:r>
                    <w:rPr>
                      <w:rFonts w:hint="eastAsia"/>
                    </w:rPr>
                    <w:t>雨污分流，依托租赁房已建化粪池；接管至当淮南市</w:t>
                  </w:r>
                  <w:r>
                    <w:rPr>
                      <w:rFonts w:hint="eastAsia"/>
                      <w:lang w:val="en-US" w:eastAsia="zh-CN"/>
                    </w:rPr>
                    <w:t>经济技术开发区</w:t>
                  </w:r>
                  <w:r>
                    <w:rPr>
                      <w:rFonts w:hint="eastAsia"/>
                    </w:rPr>
                    <w:t>污水处理厂；</w:t>
                  </w:r>
                </w:p>
              </w:tc>
              <w:tc>
                <w:tcPr>
                  <w:tcW w:w="780" w:type="dxa"/>
                  <w:tcBorders>
                    <w:right w:val="single" w:color="auto" w:sz="4" w:space="0"/>
                  </w:tcBorders>
                  <w:noWrap/>
                  <w:vAlign w:val="center"/>
                </w:tcPr>
                <w:p>
                  <w:pPr>
                    <w:pStyle w:val="40"/>
                  </w:pP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94" w:type="dxa"/>
                  <w:noWrap/>
                  <w:vAlign w:val="center"/>
                </w:tcPr>
                <w:p>
                  <w:pPr>
                    <w:pStyle w:val="40"/>
                  </w:pPr>
                  <w:r>
                    <w:t>噪声防治措施</w:t>
                  </w:r>
                </w:p>
              </w:tc>
              <w:tc>
                <w:tcPr>
                  <w:tcW w:w="1690" w:type="dxa"/>
                  <w:noWrap/>
                  <w:vAlign w:val="center"/>
                </w:tcPr>
                <w:p>
                  <w:pPr>
                    <w:pStyle w:val="40"/>
                  </w:pPr>
                  <w:r>
                    <w:t>产噪设备</w:t>
                  </w:r>
                </w:p>
              </w:tc>
              <w:tc>
                <w:tcPr>
                  <w:tcW w:w="5495" w:type="dxa"/>
                  <w:noWrap/>
                  <w:vAlign w:val="center"/>
                </w:tcPr>
                <w:p>
                  <w:pPr>
                    <w:pStyle w:val="40"/>
                  </w:pPr>
                  <w:r>
                    <w:t>设备基础安装减</w:t>
                  </w:r>
                  <w:r>
                    <w:rPr>
                      <w:rFonts w:hint="eastAsia"/>
                    </w:rPr>
                    <w:t>振</w:t>
                  </w:r>
                  <w:r>
                    <w:t>垫，厂房隔声等</w:t>
                  </w:r>
                </w:p>
              </w:tc>
              <w:tc>
                <w:tcPr>
                  <w:tcW w:w="780" w:type="dxa"/>
                  <w:tcBorders>
                    <w:right w:val="single" w:color="auto" w:sz="4" w:space="0"/>
                  </w:tcBorders>
                  <w:noWrap/>
                  <w:vAlign w:val="center"/>
                </w:tcPr>
                <w:p>
                  <w:pPr>
                    <w:pStyle w:val="40"/>
                  </w:pPr>
                  <w:r>
                    <w:rPr>
                      <w:rFonts w:hint="eastAsia"/>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94" w:type="dxa"/>
                  <w:vMerge w:val="restart"/>
                  <w:tcBorders>
                    <w:left w:val="single" w:color="auto" w:sz="4" w:space="0"/>
                  </w:tcBorders>
                  <w:noWrap/>
                  <w:vAlign w:val="center"/>
                </w:tcPr>
                <w:p>
                  <w:pPr>
                    <w:pStyle w:val="40"/>
                  </w:pPr>
                  <w:r>
                    <w:t>固废防治措施</w:t>
                  </w:r>
                </w:p>
              </w:tc>
              <w:tc>
                <w:tcPr>
                  <w:tcW w:w="1690" w:type="dxa"/>
                  <w:noWrap/>
                  <w:vAlign w:val="center"/>
                </w:tcPr>
                <w:p>
                  <w:pPr>
                    <w:pStyle w:val="40"/>
                  </w:pPr>
                  <w:r>
                    <w:t>边角料</w:t>
                  </w:r>
                </w:p>
              </w:tc>
              <w:tc>
                <w:tcPr>
                  <w:tcW w:w="5495" w:type="dxa"/>
                  <w:noWrap/>
                  <w:vAlign w:val="center"/>
                </w:tcPr>
                <w:p>
                  <w:pPr>
                    <w:pStyle w:val="40"/>
                  </w:pPr>
                  <w:r>
                    <w:t>设有一般固废堆场</w:t>
                  </w:r>
                  <w:r>
                    <w:rPr>
                      <w:rFonts w:hint="eastAsia"/>
                    </w:rPr>
                    <w:t>（20㎡）</w:t>
                  </w:r>
                  <w:r>
                    <w:t>，收集后外售</w:t>
                  </w:r>
                </w:p>
              </w:tc>
              <w:tc>
                <w:tcPr>
                  <w:tcW w:w="780" w:type="dxa"/>
                  <w:vMerge w:val="restart"/>
                  <w:tcBorders>
                    <w:right w:val="single" w:color="auto" w:sz="4" w:space="0"/>
                  </w:tcBorders>
                  <w:noWrap/>
                  <w:vAlign w:val="center"/>
                </w:tcPr>
                <w:p>
                  <w:pPr>
                    <w:pStyle w:val="40"/>
                    <w:rPr>
                      <w:rFonts w:hint="eastAsia" w:eastAsia="新宋体"/>
                      <w:lang w:eastAsia="zh-CN"/>
                    </w:rPr>
                  </w:pPr>
                  <w:r>
                    <w:rPr>
                      <w:rFonts w:hint="eastAsia"/>
                      <w:lang w:val="en-US" w:eastAsia="zh-CN"/>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94" w:type="dxa"/>
                  <w:vMerge w:val="continue"/>
                  <w:tcBorders>
                    <w:left w:val="single" w:color="auto" w:sz="4" w:space="0"/>
                  </w:tcBorders>
                  <w:noWrap/>
                  <w:vAlign w:val="center"/>
                </w:tcPr>
                <w:p>
                  <w:pPr>
                    <w:pStyle w:val="40"/>
                  </w:pPr>
                </w:p>
              </w:tc>
              <w:tc>
                <w:tcPr>
                  <w:tcW w:w="1690" w:type="dxa"/>
                  <w:noWrap/>
                  <w:vAlign w:val="center"/>
                </w:tcPr>
                <w:p>
                  <w:pPr>
                    <w:pStyle w:val="40"/>
                  </w:pPr>
                  <w:r>
                    <w:rPr>
                      <w:rFonts w:hint="eastAsia"/>
                    </w:rPr>
                    <w:t>生活垃圾</w:t>
                  </w:r>
                </w:p>
              </w:tc>
              <w:tc>
                <w:tcPr>
                  <w:tcW w:w="5495" w:type="dxa"/>
                  <w:noWrap/>
                  <w:vAlign w:val="center"/>
                </w:tcPr>
                <w:p>
                  <w:pPr>
                    <w:pStyle w:val="40"/>
                  </w:pPr>
                  <w:r>
                    <w:rPr>
                      <w:rFonts w:hint="eastAsia"/>
                    </w:rPr>
                    <w:t>厂内设置垃圾桶，用于存放员工生活垃圾，定期交由环卫部门处理。</w:t>
                  </w:r>
                </w:p>
              </w:tc>
              <w:tc>
                <w:tcPr>
                  <w:tcW w:w="780" w:type="dxa"/>
                  <w:vMerge w:val="continue"/>
                  <w:tcBorders>
                    <w:right w:val="single" w:color="auto" w:sz="4" w:space="0"/>
                  </w:tcBorders>
                  <w:noWrap/>
                  <w:vAlign w:val="center"/>
                </w:tcPr>
                <w:p>
                  <w:pPr>
                    <w:pStyle w:val="4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94" w:type="dxa"/>
                  <w:vMerge w:val="continue"/>
                  <w:tcBorders>
                    <w:left w:val="single" w:color="auto" w:sz="4" w:space="0"/>
                  </w:tcBorders>
                  <w:noWrap/>
                  <w:vAlign w:val="center"/>
                </w:tcPr>
                <w:p>
                  <w:pPr>
                    <w:pStyle w:val="40"/>
                  </w:pPr>
                </w:p>
              </w:tc>
              <w:tc>
                <w:tcPr>
                  <w:tcW w:w="1690" w:type="dxa"/>
                  <w:noWrap/>
                  <w:vAlign w:val="center"/>
                </w:tcPr>
                <w:p>
                  <w:pPr>
                    <w:pStyle w:val="40"/>
                  </w:pPr>
                  <w:r>
                    <w:rPr>
                      <w:rFonts w:hint="eastAsia"/>
                    </w:rPr>
                    <w:t>废油墨桶、废胶桶、废印刷板</w:t>
                  </w:r>
                </w:p>
              </w:tc>
              <w:tc>
                <w:tcPr>
                  <w:tcW w:w="5495" w:type="dxa"/>
                  <w:noWrap/>
                  <w:vAlign w:val="center"/>
                </w:tcPr>
                <w:p>
                  <w:pPr>
                    <w:pStyle w:val="40"/>
                  </w:pPr>
                  <w:r>
                    <w:rPr>
                      <w:rFonts w:hint="eastAsia"/>
                    </w:rPr>
                    <w:t>暂存于危废库，面积为15m</w:t>
                  </w:r>
                  <w:r>
                    <w:rPr>
                      <w:rFonts w:hint="eastAsia"/>
                      <w:vertAlign w:val="superscript"/>
                    </w:rPr>
                    <w:t>2</w:t>
                  </w:r>
                  <w:r>
                    <w:rPr>
                      <w:rFonts w:hint="eastAsia"/>
                    </w:rPr>
                    <w:t>，定期交由有资质单位处理</w:t>
                  </w:r>
                </w:p>
              </w:tc>
              <w:tc>
                <w:tcPr>
                  <w:tcW w:w="780" w:type="dxa"/>
                  <w:vMerge w:val="continue"/>
                  <w:tcBorders>
                    <w:right w:val="single" w:color="auto" w:sz="4" w:space="0"/>
                  </w:tcBorders>
                  <w:noWrap/>
                  <w:vAlign w:val="center"/>
                </w:tcPr>
                <w:p>
                  <w:pPr>
                    <w:pStyle w:val="4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94" w:type="dxa"/>
                  <w:vMerge w:val="continue"/>
                  <w:tcBorders>
                    <w:left w:val="single" w:color="auto" w:sz="4" w:space="0"/>
                  </w:tcBorders>
                  <w:noWrap/>
                  <w:vAlign w:val="center"/>
                </w:tcPr>
                <w:p>
                  <w:pPr>
                    <w:pStyle w:val="40"/>
                  </w:pPr>
                </w:p>
              </w:tc>
              <w:tc>
                <w:tcPr>
                  <w:tcW w:w="1690" w:type="dxa"/>
                  <w:noWrap/>
                  <w:vAlign w:val="center"/>
                </w:tcPr>
                <w:p>
                  <w:pPr>
                    <w:pStyle w:val="40"/>
                  </w:pPr>
                  <w:r>
                    <w:rPr>
                      <w:rFonts w:hint="eastAsia"/>
                    </w:rPr>
                    <w:t>废UV灯管、废活性炭</w:t>
                  </w:r>
                </w:p>
              </w:tc>
              <w:tc>
                <w:tcPr>
                  <w:tcW w:w="5495" w:type="dxa"/>
                  <w:noWrap/>
                  <w:vAlign w:val="center"/>
                </w:tcPr>
                <w:p>
                  <w:pPr>
                    <w:pStyle w:val="40"/>
                  </w:pPr>
                  <w:r>
                    <w:rPr>
                      <w:rFonts w:hint="eastAsia"/>
                    </w:rPr>
                    <w:t>暂存于危废库，面积为15m</w:t>
                  </w:r>
                  <w:r>
                    <w:rPr>
                      <w:rFonts w:hint="eastAsia"/>
                      <w:vertAlign w:val="superscript"/>
                    </w:rPr>
                    <w:t>2</w:t>
                  </w:r>
                  <w:r>
                    <w:rPr>
                      <w:rFonts w:hint="eastAsia"/>
                    </w:rPr>
                    <w:t>，定期交由有资质单位处理</w:t>
                  </w:r>
                </w:p>
              </w:tc>
              <w:tc>
                <w:tcPr>
                  <w:tcW w:w="780" w:type="dxa"/>
                  <w:vMerge w:val="continue"/>
                  <w:tcBorders>
                    <w:right w:val="single" w:color="auto" w:sz="4" w:space="0"/>
                  </w:tcBorders>
                  <w:noWrap/>
                  <w:vAlign w:val="center"/>
                </w:tcPr>
                <w:p>
                  <w:pPr>
                    <w:pStyle w:val="4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94" w:type="dxa"/>
                  <w:vMerge w:val="continue"/>
                  <w:tcBorders>
                    <w:left w:val="single" w:color="auto" w:sz="4" w:space="0"/>
                  </w:tcBorders>
                  <w:noWrap/>
                  <w:vAlign w:val="center"/>
                </w:tcPr>
                <w:p>
                  <w:pPr>
                    <w:pStyle w:val="40"/>
                  </w:pPr>
                </w:p>
              </w:tc>
              <w:tc>
                <w:tcPr>
                  <w:tcW w:w="1690" w:type="dxa"/>
                  <w:noWrap/>
                  <w:vAlign w:val="center"/>
                </w:tcPr>
                <w:p>
                  <w:pPr>
                    <w:pStyle w:val="40"/>
                    <w:rPr>
                      <w:rFonts w:hint="eastAsia"/>
                    </w:rPr>
                  </w:pPr>
                  <w:r>
                    <w:rPr>
                      <w:rFonts w:hint="eastAsia"/>
                    </w:rPr>
                    <w:t>印刷清洗废水</w:t>
                  </w:r>
                </w:p>
              </w:tc>
              <w:tc>
                <w:tcPr>
                  <w:tcW w:w="5495" w:type="dxa"/>
                  <w:noWrap/>
                  <w:vAlign w:val="center"/>
                </w:tcPr>
                <w:p>
                  <w:pPr>
                    <w:pStyle w:val="40"/>
                    <w:rPr>
                      <w:rFonts w:hint="eastAsia"/>
                    </w:rPr>
                  </w:pPr>
                  <w:r>
                    <w:rPr>
                      <w:rFonts w:hint="eastAsia"/>
                    </w:rPr>
                    <w:t>清洗</w:t>
                  </w:r>
                  <w:r>
                    <w:t>废</w:t>
                  </w:r>
                  <w:r>
                    <w:rPr>
                      <w:rFonts w:hint="eastAsia"/>
                      <w:lang w:val="en-US" w:eastAsia="zh-CN"/>
                    </w:rPr>
                    <w:t>水经收集后交由有资质公司进行处理。</w:t>
                  </w:r>
                </w:p>
              </w:tc>
              <w:tc>
                <w:tcPr>
                  <w:tcW w:w="780" w:type="dxa"/>
                  <w:tcBorders>
                    <w:right w:val="single" w:color="auto" w:sz="4" w:space="0"/>
                  </w:tcBorders>
                  <w:noWrap/>
                  <w:vAlign w:val="center"/>
                </w:tcPr>
                <w:p>
                  <w:pPr>
                    <w:pStyle w:val="40"/>
                  </w:pPr>
                  <w:r>
                    <w:rPr>
                      <w:rFonts w:hint="eastAsia"/>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94" w:type="dxa"/>
                  <w:tcBorders>
                    <w:left w:val="single" w:color="auto" w:sz="4" w:space="0"/>
                  </w:tcBorders>
                  <w:noWrap/>
                  <w:vAlign w:val="center"/>
                </w:tcPr>
                <w:p>
                  <w:pPr>
                    <w:pStyle w:val="40"/>
                  </w:pPr>
                </w:p>
              </w:tc>
              <w:tc>
                <w:tcPr>
                  <w:tcW w:w="1690" w:type="dxa"/>
                  <w:noWrap/>
                  <w:vAlign w:val="center"/>
                </w:tcPr>
                <w:p>
                  <w:pPr>
                    <w:pStyle w:val="40"/>
                    <w:rPr>
                      <w:rFonts w:hint="eastAsia"/>
                    </w:rPr>
                  </w:pPr>
                </w:p>
              </w:tc>
              <w:tc>
                <w:tcPr>
                  <w:tcW w:w="5495" w:type="dxa"/>
                  <w:noWrap/>
                  <w:vAlign w:val="center"/>
                </w:tcPr>
                <w:p>
                  <w:pPr>
                    <w:pStyle w:val="40"/>
                    <w:rPr>
                      <w:rFonts w:hint="eastAsia"/>
                    </w:rPr>
                  </w:pPr>
                </w:p>
              </w:tc>
              <w:tc>
                <w:tcPr>
                  <w:tcW w:w="780" w:type="dxa"/>
                  <w:tcBorders>
                    <w:right w:val="single" w:color="auto" w:sz="4" w:space="0"/>
                  </w:tcBorders>
                  <w:noWrap/>
                  <w:vAlign w:val="center"/>
                </w:tcPr>
                <w:p>
                  <w:pPr>
                    <w:pStyle w:val="40"/>
                    <w:rPr>
                      <w:rFonts w:hint="default"/>
                      <w:lang w:val="en-US" w:eastAsia="zh-CN"/>
                    </w:rPr>
                  </w:pPr>
                  <w:r>
                    <w:rPr>
                      <w:rFonts w:hint="eastAsia"/>
                      <w:lang w:val="en-US" w:eastAsia="zh-CN"/>
                    </w:rPr>
                    <w:t>10</w:t>
                  </w:r>
                </w:p>
              </w:tc>
            </w:tr>
          </w:tbl>
          <w:p>
            <w:pPr>
              <w:pStyle w:val="40"/>
            </w:pPr>
          </w:p>
          <w:p>
            <w:pPr>
              <w:pStyle w:val="5"/>
              <w:numPr>
                <w:ilvl w:val="0"/>
                <w:numId w:val="13"/>
              </w:numPr>
              <w:bidi w:val="0"/>
              <w:rPr>
                <w:rFonts w:hint="eastAsia"/>
                <w:lang w:val="en-US" w:eastAsia="zh-CN"/>
              </w:rPr>
            </w:pPr>
            <w:r>
              <w:rPr>
                <w:rFonts w:hint="eastAsia"/>
                <w:lang w:val="en-US" w:eastAsia="zh-CN"/>
              </w:rPr>
              <w:t>污染源排放清单</w:t>
            </w:r>
          </w:p>
          <w:tbl>
            <w:tblPr>
              <w:tblStyle w:val="24"/>
              <w:tblW w:w="9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2912"/>
              <w:gridCol w:w="1935"/>
              <w:gridCol w:w="2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noWrap/>
                  <w:vAlign w:val="center"/>
                </w:tcPr>
                <w:p>
                  <w:pPr>
                    <w:pStyle w:val="40"/>
                  </w:pPr>
                  <w:r>
                    <w:rPr>
                      <w:rFonts w:hint="eastAsia"/>
                    </w:rPr>
                    <w:t>类别</w:t>
                  </w:r>
                </w:p>
              </w:tc>
              <w:tc>
                <w:tcPr>
                  <w:tcW w:w="2912" w:type="dxa"/>
                  <w:noWrap/>
                  <w:vAlign w:val="center"/>
                </w:tcPr>
                <w:p>
                  <w:pPr>
                    <w:pStyle w:val="40"/>
                  </w:pPr>
                  <w:r>
                    <w:rPr>
                      <w:rFonts w:hint="eastAsia"/>
                    </w:rPr>
                    <w:t>污染物名称</w:t>
                  </w:r>
                </w:p>
              </w:tc>
              <w:tc>
                <w:tcPr>
                  <w:tcW w:w="1935" w:type="dxa"/>
                  <w:noWrap/>
                  <w:vAlign w:val="center"/>
                </w:tcPr>
                <w:p>
                  <w:pPr>
                    <w:pStyle w:val="40"/>
                    <w:rPr>
                      <w:rFonts w:hint="default" w:eastAsia="新宋体"/>
                      <w:lang w:val="en-US" w:eastAsia="zh-CN"/>
                    </w:rPr>
                  </w:pPr>
                  <w:r>
                    <w:rPr>
                      <w:rFonts w:hint="eastAsia"/>
                    </w:rPr>
                    <w:t>产生量</w:t>
                  </w:r>
                  <w:r>
                    <w:rPr>
                      <w:rFonts w:hint="eastAsia"/>
                      <w:lang w:val="en-US" w:eastAsia="zh-CN"/>
                    </w:rPr>
                    <w:t xml:space="preserve"> t/a</w:t>
                  </w:r>
                </w:p>
              </w:tc>
              <w:tc>
                <w:tcPr>
                  <w:tcW w:w="2974" w:type="dxa"/>
                  <w:noWrap/>
                  <w:vAlign w:val="center"/>
                </w:tcPr>
                <w:p>
                  <w:pPr>
                    <w:pStyle w:val="40"/>
                    <w:rPr>
                      <w:rFonts w:hint="default" w:eastAsia="新宋体"/>
                      <w:lang w:val="en-US" w:eastAsia="zh-CN"/>
                    </w:rPr>
                  </w:pPr>
                  <w:r>
                    <w:rPr>
                      <w:rFonts w:hint="eastAsia"/>
                    </w:rPr>
                    <w:t>排放量</w:t>
                  </w:r>
                  <w:r>
                    <w:rPr>
                      <w:rFonts w:hint="eastAsia"/>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243" w:type="dxa"/>
                  <w:vMerge w:val="restart"/>
                  <w:noWrap/>
                  <w:vAlign w:val="center"/>
                </w:tcPr>
                <w:p>
                  <w:pPr>
                    <w:pStyle w:val="40"/>
                  </w:pPr>
                  <w:r>
                    <w:rPr>
                      <w:rFonts w:hint="eastAsia"/>
                    </w:rPr>
                    <w:t>废气</w:t>
                  </w:r>
                </w:p>
              </w:tc>
              <w:tc>
                <w:tcPr>
                  <w:tcW w:w="2912" w:type="dxa"/>
                  <w:noWrap/>
                  <w:vAlign w:val="center"/>
                </w:tcPr>
                <w:p>
                  <w:pPr>
                    <w:pStyle w:val="40"/>
                  </w:pPr>
                  <w:r>
                    <w:rPr>
                      <w:rFonts w:hint="eastAsia"/>
                    </w:rPr>
                    <w:t>非甲烷总烃（有组织）</w:t>
                  </w:r>
                </w:p>
              </w:tc>
              <w:tc>
                <w:tcPr>
                  <w:tcW w:w="1935" w:type="dxa"/>
                  <w:noWrap/>
                  <w:vAlign w:val="center"/>
                </w:tcPr>
                <w:p>
                  <w:pPr>
                    <w:pStyle w:val="40"/>
                  </w:pPr>
                  <w:r>
                    <w:rPr>
                      <w:rFonts w:hint="eastAsia"/>
                    </w:rPr>
                    <w:t>0.261</w:t>
                  </w:r>
                </w:p>
              </w:tc>
              <w:tc>
                <w:tcPr>
                  <w:tcW w:w="2974" w:type="dxa"/>
                  <w:noWrap/>
                  <w:vAlign w:val="center"/>
                </w:tcPr>
                <w:p>
                  <w:pPr>
                    <w:pStyle w:val="40"/>
                  </w:pPr>
                  <w:r>
                    <w:rPr>
                      <w:rFonts w:hint="eastAsia"/>
                    </w:rPr>
                    <w:t>0.0261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非甲烷总烃（无组织）</w:t>
                  </w:r>
                </w:p>
              </w:tc>
              <w:tc>
                <w:tcPr>
                  <w:tcW w:w="1935" w:type="dxa"/>
                  <w:noWrap/>
                  <w:vAlign w:val="center"/>
                </w:tcPr>
                <w:p>
                  <w:pPr>
                    <w:pStyle w:val="40"/>
                  </w:pPr>
                  <w:r>
                    <w:rPr>
                      <w:rFonts w:hint="eastAsia"/>
                    </w:rPr>
                    <w:t>0.029</w:t>
                  </w:r>
                </w:p>
              </w:tc>
              <w:tc>
                <w:tcPr>
                  <w:tcW w:w="2974" w:type="dxa"/>
                  <w:noWrap/>
                  <w:vAlign w:val="center"/>
                </w:tcPr>
                <w:p>
                  <w:pPr>
                    <w:pStyle w:val="40"/>
                  </w:pPr>
                  <w:r>
                    <w:rPr>
                      <w:rFonts w:hint="eastAsia"/>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restart"/>
                  <w:noWrap/>
                  <w:vAlign w:val="center"/>
                </w:tcPr>
                <w:p>
                  <w:pPr>
                    <w:pStyle w:val="40"/>
                  </w:pPr>
                  <w:r>
                    <w:rPr>
                      <w:rFonts w:hint="eastAsia"/>
                    </w:rPr>
                    <w:t>废水</w:t>
                  </w:r>
                </w:p>
              </w:tc>
              <w:tc>
                <w:tcPr>
                  <w:tcW w:w="2912" w:type="dxa"/>
                  <w:noWrap/>
                  <w:vAlign w:val="center"/>
                </w:tcPr>
                <w:p>
                  <w:pPr>
                    <w:pStyle w:val="40"/>
                    <w:rPr>
                      <w:rFonts w:hint="eastAsia" w:eastAsia="新宋体"/>
                      <w:lang w:eastAsia="zh-CN"/>
                    </w:rPr>
                  </w:pPr>
                  <w:r>
                    <w:rPr>
                      <w:rFonts w:hint="eastAsia"/>
                    </w:rPr>
                    <w:t>废水量</w:t>
                  </w:r>
                  <w:r>
                    <w:rPr>
                      <w:rFonts w:hint="eastAsia"/>
                      <w:lang w:eastAsia="zh-CN"/>
                    </w:rPr>
                    <w:t>（</w:t>
                  </w:r>
                  <w:r>
                    <w:rPr>
                      <w:rFonts w:hint="eastAsia"/>
                      <w:lang w:val="en-US" w:eastAsia="zh-CN"/>
                    </w:rPr>
                    <w:t>生活污水</w:t>
                  </w:r>
                  <w:r>
                    <w:rPr>
                      <w:rFonts w:hint="eastAsia"/>
                      <w:lang w:eastAsia="zh-CN"/>
                    </w:rPr>
                    <w:t>）</w:t>
                  </w:r>
                </w:p>
              </w:tc>
              <w:tc>
                <w:tcPr>
                  <w:tcW w:w="1935" w:type="dxa"/>
                  <w:noWrap/>
                  <w:vAlign w:val="center"/>
                </w:tcPr>
                <w:p>
                  <w:pPr>
                    <w:pStyle w:val="40"/>
                  </w:pPr>
                  <w:r>
                    <w:rPr>
                      <w:rFonts w:hint="eastAsia"/>
                    </w:rPr>
                    <w:t>102</w:t>
                  </w:r>
                </w:p>
              </w:tc>
              <w:tc>
                <w:tcPr>
                  <w:tcW w:w="2974" w:type="dxa"/>
                  <w:noWrap/>
                  <w:vAlign w:val="center"/>
                </w:tcPr>
                <w:p>
                  <w:pPr>
                    <w:pStyle w:val="40"/>
                  </w:pPr>
                  <w:r>
                    <w:rPr>
                      <w:rFonts w:hint="eastAsia"/>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COD</w:t>
                  </w:r>
                </w:p>
              </w:tc>
              <w:tc>
                <w:tcPr>
                  <w:tcW w:w="1935" w:type="dxa"/>
                  <w:noWrap/>
                  <w:vAlign w:val="center"/>
                </w:tcPr>
                <w:p>
                  <w:pPr>
                    <w:pStyle w:val="40"/>
                  </w:pPr>
                  <w:r>
                    <w:rPr>
                      <w:rFonts w:hint="eastAsia"/>
                    </w:rPr>
                    <w:t>0.0306</w:t>
                  </w:r>
                </w:p>
              </w:tc>
              <w:tc>
                <w:tcPr>
                  <w:tcW w:w="2974" w:type="dxa"/>
                  <w:noWrap/>
                  <w:vAlign w:val="center"/>
                </w:tcPr>
                <w:p>
                  <w:pPr>
                    <w:pStyle w:val="40"/>
                  </w:pPr>
                  <w:r>
                    <w:rPr>
                      <w:rFonts w:hint="eastAsia"/>
                    </w:rPr>
                    <w:t>0.0286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BOD</w:t>
                  </w:r>
                  <w:r>
                    <w:rPr>
                      <w:rFonts w:hint="eastAsia"/>
                      <w:sz w:val="13"/>
                      <w:szCs w:val="13"/>
                    </w:rPr>
                    <w:t>5</w:t>
                  </w:r>
                </w:p>
              </w:tc>
              <w:tc>
                <w:tcPr>
                  <w:tcW w:w="1935" w:type="dxa"/>
                  <w:noWrap/>
                  <w:vAlign w:val="center"/>
                </w:tcPr>
                <w:p>
                  <w:pPr>
                    <w:pStyle w:val="40"/>
                  </w:pPr>
                  <w:r>
                    <w:rPr>
                      <w:rFonts w:hint="eastAsia"/>
                    </w:rPr>
                    <w:t>0.0153</w:t>
                  </w:r>
                </w:p>
              </w:tc>
              <w:tc>
                <w:tcPr>
                  <w:tcW w:w="2974" w:type="dxa"/>
                  <w:noWrap/>
                  <w:vAlign w:val="center"/>
                </w:tcPr>
                <w:p>
                  <w:pPr>
                    <w:pStyle w:val="40"/>
                  </w:pPr>
                  <w:r>
                    <w:rPr>
                      <w:rFonts w:hint="eastAsia"/>
                    </w:rPr>
                    <w:t>0.0143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SS</w:t>
                  </w:r>
                </w:p>
              </w:tc>
              <w:tc>
                <w:tcPr>
                  <w:tcW w:w="1935" w:type="dxa"/>
                  <w:noWrap/>
                  <w:vAlign w:val="center"/>
                </w:tcPr>
                <w:p>
                  <w:pPr>
                    <w:pStyle w:val="40"/>
                  </w:pPr>
                  <w:r>
                    <w:rPr>
                      <w:rFonts w:hint="eastAsia"/>
                    </w:rPr>
                    <w:t>0.0153</w:t>
                  </w:r>
                </w:p>
              </w:tc>
              <w:tc>
                <w:tcPr>
                  <w:tcW w:w="2974" w:type="dxa"/>
                  <w:noWrap/>
                  <w:vAlign w:val="center"/>
                </w:tcPr>
                <w:p>
                  <w:pPr>
                    <w:pStyle w:val="40"/>
                  </w:pPr>
                  <w:r>
                    <w:rPr>
                      <w:rFonts w:hint="eastAsia"/>
                    </w:rPr>
                    <w:t>0.0153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氨氮</w:t>
                  </w:r>
                </w:p>
              </w:tc>
              <w:tc>
                <w:tcPr>
                  <w:tcW w:w="1935" w:type="dxa"/>
                  <w:noWrap/>
                  <w:vAlign w:val="center"/>
                </w:tcPr>
                <w:p>
                  <w:pPr>
                    <w:pStyle w:val="40"/>
                  </w:pPr>
                  <w:r>
                    <w:rPr>
                      <w:rFonts w:hint="eastAsia"/>
                    </w:rPr>
                    <w:t>0.00306</w:t>
                  </w:r>
                </w:p>
              </w:tc>
              <w:tc>
                <w:tcPr>
                  <w:tcW w:w="2974" w:type="dxa"/>
                  <w:noWrap/>
                  <w:vAlign w:val="center"/>
                </w:tcPr>
                <w:p>
                  <w:pPr>
                    <w:pStyle w:val="40"/>
                  </w:pPr>
                  <w:r>
                    <w:rPr>
                      <w:rFonts w:hint="eastAsia"/>
                    </w:rPr>
                    <w:t>0.00245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restart"/>
                  <w:noWrap/>
                  <w:vAlign w:val="center"/>
                </w:tcPr>
                <w:p>
                  <w:pPr>
                    <w:pStyle w:val="40"/>
                  </w:pPr>
                  <w:r>
                    <w:rPr>
                      <w:rFonts w:hint="eastAsia"/>
                    </w:rPr>
                    <w:t>固体废物</w:t>
                  </w:r>
                </w:p>
              </w:tc>
              <w:tc>
                <w:tcPr>
                  <w:tcW w:w="2912" w:type="dxa"/>
                  <w:noWrap/>
                  <w:vAlign w:val="center"/>
                </w:tcPr>
                <w:p>
                  <w:pPr>
                    <w:pStyle w:val="40"/>
                  </w:pPr>
                  <w:r>
                    <w:rPr>
                      <w:rFonts w:hint="eastAsia"/>
                    </w:rPr>
                    <w:t>边角料</w:t>
                  </w:r>
                </w:p>
              </w:tc>
              <w:tc>
                <w:tcPr>
                  <w:tcW w:w="1935" w:type="dxa"/>
                  <w:noWrap/>
                  <w:vAlign w:val="center"/>
                </w:tcPr>
                <w:p>
                  <w:pPr>
                    <w:pStyle w:val="40"/>
                  </w:pPr>
                  <w:r>
                    <w:rPr>
                      <w:rFonts w:hint="eastAsia"/>
                    </w:rPr>
                    <w:t>5</w:t>
                  </w:r>
                </w:p>
              </w:tc>
              <w:tc>
                <w:tcPr>
                  <w:tcW w:w="2974" w:type="dxa"/>
                  <w:noWrap/>
                  <w:vAlign w:val="center"/>
                </w:tcPr>
                <w:p>
                  <w:pPr>
                    <w:pStyle w:val="40"/>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243" w:type="dxa"/>
                  <w:vMerge w:val="continue"/>
                  <w:noWrap/>
                  <w:vAlign w:val="center"/>
                </w:tcPr>
                <w:p>
                  <w:pPr>
                    <w:pStyle w:val="40"/>
                  </w:pPr>
                </w:p>
              </w:tc>
              <w:tc>
                <w:tcPr>
                  <w:tcW w:w="2912" w:type="dxa"/>
                  <w:noWrap/>
                  <w:vAlign w:val="center"/>
                </w:tcPr>
                <w:p>
                  <w:pPr>
                    <w:pStyle w:val="40"/>
                    <w:rPr>
                      <w:rFonts w:hint="eastAsia" w:eastAsia="新宋体"/>
                      <w:lang w:eastAsia="zh-CN"/>
                    </w:rPr>
                  </w:pPr>
                  <w:r>
                    <w:rPr>
                      <w:rFonts w:hint="eastAsia"/>
                      <w:lang w:eastAsia="zh-CN"/>
                    </w:rPr>
                    <w:t>废油墨桶、废胶桶</w:t>
                  </w:r>
                </w:p>
              </w:tc>
              <w:tc>
                <w:tcPr>
                  <w:tcW w:w="1935" w:type="dxa"/>
                  <w:noWrap/>
                  <w:vAlign w:val="center"/>
                </w:tcPr>
                <w:p>
                  <w:pPr>
                    <w:pStyle w:val="40"/>
                  </w:pPr>
                  <w:r>
                    <w:rPr>
                      <w:rFonts w:hint="eastAsia"/>
                    </w:rPr>
                    <w:t>0.1</w:t>
                  </w:r>
                </w:p>
              </w:tc>
              <w:tc>
                <w:tcPr>
                  <w:tcW w:w="2974" w:type="dxa"/>
                  <w:noWrap/>
                  <w:vAlign w:val="center"/>
                </w:tcPr>
                <w:p>
                  <w:pPr>
                    <w:pStyle w:val="40"/>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废活性炭</w:t>
                  </w:r>
                </w:p>
              </w:tc>
              <w:tc>
                <w:tcPr>
                  <w:tcW w:w="1935" w:type="dxa"/>
                  <w:noWrap/>
                  <w:vAlign w:val="center"/>
                </w:tcPr>
                <w:p>
                  <w:pPr>
                    <w:pStyle w:val="40"/>
                  </w:pPr>
                  <w:r>
                    <w:rPr>
                      <w:rFonts w:hint="eastAsia"/>
                    </w:rPr>
                    <w:t>0.33147</w:t>
                  </w:r>
                </w:p>
              </w:tc>
              <w:tc>
                <w:tcPr>
                  <w:tcW w:w="2974" w:type="dxa"/>
                  <w:noWrap/>
                  <w:vAlign w:val="center"/>
                </w:tcPr>
                <w:p>
                  <w:pPr>
                    <w:pStyle w:val="40"/>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废UV光管</w:t>
                  </w:r>
                </w:p>
              </w:tc>
              <w:tc>
                <w:tcPr>
                  <w:tcW w:w="1935" w:type="dxa"/>
                  <w:noWrap/>
                  <w:vAlign w:val="center"/>
                </w:tcPr>
                <w:p>
                  <w:pPr>
                    <w:pStyle w:val="40"/>
                  </w:pPr>
                  <w:r>
                    <w:rPr>
                      <w:rFonts w:hint="eastAsia"/>
                    </w:rPr>
                    <w:t>0.064</w:t>
                  </w:r>
                </w:p>
              </w:tc>
              <w:tc>
                <w:tcPr>
                  <w:tcW w:w="2974" w:type="dxa"/>
                  <w:noWrap/>
                  <w:vAlign w:val="center"/>
                </w:tcPr>
                <w:p>
                  <w:pPr>
                    <w:pStyle w:val="40"/>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生活垃圾</w:t>
                  </w:r>
                </w:p>
              </w:tc>
              <w:tc>
                <w:tcPr>
                  <w:tcW w:w="1935" w:type="dxa"/>
                  <w:noWrap/>
                  <w:vAlign w:val="center"/>
                </w:tcPr>
                <w:p>
                  <w:pPr>
                    <w:pStyle w:val="40"/>
                  </w:pPr>
                  <w:r>
                    <w:rPr>
                      <w:rFonts w:hint="eastAsia"/>
                    </w:rPr>
                    <w:t>2.4</w:t>
                  </w:r>
                </w:p>
              </w:tc>
              <w:tc>
                <w:tcPr>
                  <w:tcW w:w="2974" w:type="dxa"/>
                  <w:noWrap/>
                  <w:vAlign w:val="center"/>
                </w:tcPr>
                <w:p>
                  <w:pPr>
                    <w:pStyle w:val="40"/>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废含油墨抹布</w:t>
                  </w:r>
                </w:p>
              </w:tc>
              <w:tc>
                <w:tcPr>
                  <w:tcW w:w="1935" w:type="dxa"/>
                  <w:noWrap/>
                  <w:vAlign w:val="center"/>
                </w:tcPr>
                <w:p>
                  <w:pPr>
                    <w:pStyle w:val="40"/>
                  </w:pPr>
                  <w:r>
                    <w:rPr>
                      <w:rFonts w:hint="eastAsia"/>
                    </w:rPr>
                    <w:t>0.002</w:t>
                  </w:r>
                </w:p>
              </w:tc>
              <w:tc>
                <w:tcPr>
                  <w:tcW w:w="2974" w:type="dxa"/>
                  <w:noWrap/>
                  <w:vAlign w:val="center"/>
                </w:tcPr>
                <w:p>
                  <w:pPr>
                    <w:pStyle w:val="40"/>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dxa"/>
                  <w:vMerge w:val="continue"/>
                  <w:noWrap/>
                  <w:vAlign w:val="center"/>
                </w:tcPr>
                <w:p>
                  <w:pPr>
                    <w:pStyle w:val="40"/>
                  </w:pPr>
                </w:p>
              </w:tc>
              <w:tc>
                <w:tcPr>
                  <w:tcW w:w="2912" w:type="dxa"/>
                  <w:noWrap/>
                  <w:vAlign w:val="center"/>
                </w:tcPr>
                <w:p>
                  <w:pPr>
                    <w:pStyle w:val="40"/>
                  </w:pPr>
                  <w:r>
                    <w:rPr>
                      <w:rFonts w:hint="eastAsia"/>
                    </w:rPr>
                    <w:t>废印刷板</w:t>
                  </w:r>
                </w:p>
              </w:tc>
              <w:tc>
                <w:tcPr>
                  <w:tcW w:w="1935" w:type="dxa"/>
                  <w:noWrap/>
                  <w:vAlign w:val="center"/>
                </w:tcPr>
                <w:p>
                  <w:pPr>
                    <w:pStyle w:val="40"/>
                  </w:pPr>
                  <w:r>
                    <w:rPr>
                      <w:rFonts w:hint="eastAsia"/>
                    </w:rPr>
                    <w:t>0.06t/a</w:t>
                  </w:r>
                </w:p>
              </w:tc>
              <w:tc>
                <w:tcPr>
                  <w:tcW w:w="2974" w:type="dxa"/>
                  <w:noWrap/>
                  <w:vAlign w:val="center"/>
                </w:tcPr>
                <w:p>
                  <w:pPr>
                    <w:pStyle w:val="40"/>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243" w:type="dxa"/>
                  <w:vMerge w:val="continue"/>
                  <w:noWrap/>
                  <w:vAlign w:val="center"/>
                </w:tcPr>
                <w:p>
                  <w:pPr>
                    <w:pStyle w:val="40"/>
                  </w:pPr>
                </w:p>
              </w:tc>
              <w:tc>
                <w:tcPr>
                  <w:tcW w:w="2912" w:type="dxa"/>
                  <w:noWrap/>
                  <w:vAlign w:val="center"/>
                </w:tcPr>
                <w:p>
                  <w:pPr>
                    <w:pStyle w:val="40"/>
                    <w:rPr>
                      <w:rFonts w:hint="eastAsia"/>
                    </w:rPr>
                  </w:pPr>
                  <w:r>
                    <w:rPr>
                      <w:rFonts w:hint="eastAsia"/>
                      <w:lang w:val="en-US" w:eastAsia="zh-CN"/>
                    </w:rPr>
                    <w:t>印刷清洗废水</w:t>
                  </w:r>
                </w:p>
              </w:tc>
              <w:tc>
                <w:tcPr>
                  <w:tcW w:w="1935" w:type="dxa"/>
                  <w:noWrap/>
                  <w:vAlign w:val="center"/>
                </w:tcPr>
                <w:p>
                  <w:pPr>
                    <w:pStyle w:val="40"/>
                    <w:rPr>
                      <w:rFonts w:hint="eastAsia"/>
                    </w:rPr>
                  </w:pPr>
                  <w:r>
                    <w:rPr>
                      <w:rFonts w:hint="eastAsia"/>
                      <w:lang w:val="en-US" w:eastAsia="zh-CN"/>
                    </w:rPr>
                    <w:t>3</w:t>
                  </w:r>
                </w:p>
              </w:tc>
              <w:tc>
                <w:tcPr>
                  <w:tcW w:w="2974" w:type="dxa"/>
                  <w:noWrap/>
                  <w:vAlign w:val="center"/>
                </w:tcPr>
                <w:p>
                  <w:pPr>
                    <w:pStyle w:val="40"/>
                    <w:rPr>
                      <w:rFonts w:hint="eastAsia"/>
                    </w:rPr>
                  </w:pPr>
                  <w:r>
                    <w:rPr>
                      <w:rFonts w:hint="eastAsia"/>
                      <w:lang w:val="en-US" w:eastAsia="zh-CN"/>
                    </w:rPr>
                    <w:t>0</w:t>
                  </w:r>
                </w:p>
              </w:tc>
            </w:tr>
          </w:tbl>
          <w:p>
            <w:pPr>
              <w:numPr>
                <w:ilvl w:val="0"/>
                <w:numId w:val="0"/>
              </w:numP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9" w:hRule="atLeast"/>
        </w:trPr>
        <w:tc>
          <w:tcPr>
            <w:tcW w:w="9420" w:type="dxa"/>
            <w:noWrap/>
          </w:tcPr>
          <w:p>
            <w:pPr>
              <w:pStyle w:val="5"/>
            </w:pPr>
            <w:r>
              <w:rPr>
                <w:rFonts w:hint="eastAsia"/>
                <w:lang w:val="en-US" w:eastAsia="zh-CN"/>
              </w:rPr>
              <w:t>十一</w:t>
            </w:r>
            <w:r>
              <w:rPr>
                <w:rFonts w:hint="eastAsia"/>
              </w:rPr>
              <w:t xml:space="preserve">、环境监测计划 </w:t>
            </w:r>
          </w:p>
          <w:p>
            <w:pPr>
              <w:pStyle w:val="5"/>
            </w:pPr>
            <w:r>
              <w:rPr>
                <w:rFonts w:hint="eastAsia"/>
              </w:rPr>
              <w:t xml:space="preserve">（一）监测目的 </w:t>
            </w:r>
          </w:p>
          <w:p>
            <w:pPr>
              <w:pStyle w:val="5"/>
            </w:pPr>
            <w:r>
              <w:rPr>
                <w:rFonts w:hint="eastAsia"/>
              </w:rPr>
              <w:t>为有效地了解建设项目排放的污染物在国家规定范围之内，确保污水接管达标，废气排放达到相应标准，防止污染事故发生，为环境管理提供依据，应对建设项目各排放口实行监测、监督。</w:t>
            </w:r>
          </w:p>
          <w:p>
            <w:pPr>
              <w:pStyle w:val="29"/>
              <w:spacing w:before="65" w:after="65"/>
            </w:pPr>
            <w:r>
              <w:rPr>
                <w:rFonts w:hint="eastAsia"/>
              </w:rPr>
              <w:t>表7-2</w:t>
            </w:r>
            <w:r>
              <w:rPr>
                <w:rFonts w:hint="eastAsia"/>
                <w:lang w:val="en-US" w:eastAsia="zh-CN"/>
              </w:rPr>
              <w:t>8</w:t>
            </w:r>
            <w:r>
              <w:rPr>
                <w:rFonts w:hint="eastAsia"/>
              </w:rPr>
              <w:t xml:space="preserve"> 本项目运营期污染源监测计划</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308"/>
              <w:gridCol w:w="3569"/>
              <w:gridCol w:w="3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vAlign w:val="center"/>
                </w:tcPr>
                <w:p>
                  <w:pPr>
                    <w:pStyle w:val="40"/>
                  </w:pPr>
                  <w:r>
                    <w:t>序号</w:t>
                  </w:r>
                </w:p>
              </w:tc>
              <w:tc>
                <w:tcPr>
                  <w:tcW w:w="712" w:type="pct"/>
                  <w:tcBorders>
                    <w:tl2br w:val="nil"/>
                    <w:tr2bl w:val="nil"/>
                  </w:tcBorders>
                  <w:vAlign w:val="center"/>
                </w:tcPr>
                <w:p>
                  <w:pPr>
                    <w:pStyle w:val="40"/>
                  </w:pPr>
                  <w:r>
                    <w:t>监测类别</w:t>
                  </w:r>
                </w:p>
              </w:tc>
              <w:tc>
                <w:tcPr>
                  <w:tcW w:w="1941" w:type="pct"/>
                  <w:tcBorders>
                    <w:tl2br w:val="nil"/>
                    <w:tr2bl w:val="nil"/>
                  </w:tcBorders>
                  <w:vAlign w:val="center"/>
                </w:tcPr>
                <w:p>
                  <w:pPr>
                    <w:pStyle w:val="40"/>
                  </w:pPr>
                  <w:r>
                    <w:t>主要技术要求</w:t>
                  </w:r>
                </w:p>
              </w:tc>
              <w:tc>
                <w:tcPr>
                  <w:tcW w:w="1970" w:type="pct"/>
                  <w:tcBorders>
                    <w:tl2br w:val="nil"/>
                    <w:tr2bl w:val="nil"/>
                  </w:tcBorders>
                  <w:vAlign w:val="center"/>
                </w:tcPr>
                <w:p>
                  <w:pPr>
                    <w:pStyle w:val="40"/>
                  </w:pPr>
                  <w: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vAlign w:val="center"/>
                </w:tcPr>
                <w:p>
                  <w:pPr>
                    <w:pStyle w:val="40"/>
                  </w:pPr>
                  <w:r>
                    <w:t>1</w:t>
                  </w:r>
                </w:p>
              </w:tc>
              <w:tc>
                <w:tcPr>
                  <w:tcW w:w="712" w:type="pct"/>
                  <w:tcBorders>
                    <w:tl2br w:val="nil"/>
                    <w:tr2bl w:val="nil"/>
                  </w:tcBorders>
                  <w:vAlign w:val="center"/>
                </w:tcPr>
                <w:p>
                  <w:pPr>
                    <w:pStyle w:val="40"/>
                  </w:pPr>
                  <w:r>
                    <w:t>废水</w:t>
                  </w:r>
                </w:p>
              </w:tc>
              <w:tc>
                <w:tcPr>
                  <w:tcW w:w="1941" w:type="pct"/>
                  <w:tcBorders>
                    <w:tl2br w:val="nil"/>
                    <w:tr2bl w:val="nil"/>
                  </w:tcBorders>
                  <w:vAlign w:val="center"/>
                </w:tcPr>
                <w:p>
                  <w:pPr>
                    <w:pStyle w:val="40"/>
                  </w:pPr>
                  <w:r>
                    <w:t>监测项目：pH、COD、SS、氨氮、BOD5；2、监测频次：1次/年；3、监测点位：污水总排放口</w:t>
                  </w:r>
                </w:p>
              </w:tc>
              <w:tc>
                <w:tcPr>
                  <w:tcW w:w="1970" w:type="pct"/>
                  <w:tcBorders>
                    <w:tl2br w:val="nil"/>
                    <w:tr2bl w:val="nil"/>
                  </w:tcBorders>
                  <w:vAlign w:val="center"/>
                </w:tcPr>
                <w:p>
                  <w:pPr>
                    <w:pStyle w:val="40"/>
                  </w:pPr>
                  <w:r>
                    <w:rPr>
                      <w:rFonts w:hint="eastAsia"/>
                    </w:rPr>
                    <w:t>《污水排入城镇下水道水质标准》（GB/T 31962-2015）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75" w:type="pct"/>
                  <w:vMerge w:val="restart"/>
                  <w:tcBorders>
                    <w:tl2br w:val="nil"/>
                    <w:tr2bl w:val="nil"/>
                  </w:tcBorders>
                  <w:vAlign w:val="center"/>
                </w:tcPr>
                <w:p>
                  <w:pPr>
                    <w:pStyle w:val="40"/>
                  </w:pPr>
                  <w:r>
                    <w:t>2</w:t>
                  </w:r>
                </w:p>
              </w:tc>
              <w:tc>
                <w:tcPr>
                  <w:tcW w:w="712" w:type="pct"/>
                  <w:vMerge w:val="restart"/>
                  <w:tcBorders>
                    <w:tl2br w:val="nil"/>
                    <w:tr2bl w:val="nil"/>
                  </w:tcBorders>
                  <w:vAlign w:val="center"/>
                </w:tcPr>
                <w:p>
                  <w:pPr>
                    <w:pStyle w:val="40"/>
                  </w:pPr>
                  <w:r>
                    <w:t>废气</w:t>
                  </w:r>
                </w:p>
              </w:tc>
              <w:tc>
                <w:tcPr>
                  <w:tcW w:w="1941" w:type="pct"/>
                  <w:tcBorders>
                    <w:tl2br w:val="nil"/>
                    <w:tr2bl w:val="nil"/>
                  </w:tcBorders>
                  <w:vAlign w:val="center"/>
                </w:tcPr>
                <w:p>
                  <w:pPr>
                    <w:pStyle w:val="40"/>
                  </w:pPr>
                  <w:r>
                    <w:t>无组织监测项目：</w:t>
                  </w:r>
                  <w:r>
                    <w:rPr>
                      <w:rFonts w:hint="eastAsia"/>
                    </w:rPr>
                    <w:t>非甲烷总烃</w:t>
                  </w:r>
                  <w:r>
                    <w:t>；监测频次：1次/年；监测点位：上风向1个，下风向3个；</w:t>
                  </w:r>
                </w:p>
              </w:tc>
              <w:tc>
                <w:tcPr>
                  <w:tcW w:w="1970" w:type="pct"/>
                  <w:tcBorders>
                    <w:tl2br w:val="nil"/>
                    <w:tr2bl w:val="nil"/>
                  </w:tcBorders>
                  <w:vAlign w:val="center"/>
                </w:tcPr>
                <w:p>
                  <w:pPr>
                    <w:pStyle w:val="40"/>
                    <w:bidi w:val="0"/>
                    <w:rPr>
                      <w:rFonts w:hint="default"/>
                      <w:lang w:val="en-US"/>
                    </w:rPr>
                  </w:pPr>
                  <w:r>
                    <w:rPr>
                      <w:rFonts w:hint="eastAsia"/>
                      <w:lang w:val="en-US" w:eastAsia="zh-CN"/>
                    </w:rPr>
                    <w:t>参照执行</w:t>
                  </w:r>
                  <w:r>
                    <w:t>《挥发性有机物无组织排放控制标准》（GB 37822-2019）中表A.1规定的</w:t>
                  </w:r>
                  <w:r>
                    <w:rPr>
                      <w:rFonts w:hint="eastAsia"/>
                      <w:lang w:val="en-US" w:eastAsia="zh-CN"/>
                    </w:rPr>
                    <w:t>标准</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75" w:type="pct"/>
                  <w:vMerge w:val="continue"/>
                  <w:tcBorders>
                    <w:tl2br w:val="nil"/>
                    <w:tr2bl w:val="nil"/>
                  </w:tcBorders>
                  <w:vAlign w:val="center"/>
                </w:tcPr>
                <w:p>
                  <w:pPr>
                    <w:pStyle w:val="40"/>
                  </w:pPr>
                </w:p>
              </w:tc>
              <w:tc>
                <w:tcPr>
                  <w:tcW w:w="712" w:type="pct"/>
                  <w:vMerge w:val="continue"/>
                  <w:tcBorders>
                    <w:tl2br w:val="nil"/>
                    <w:tr2bl w:val="nil"/>
                  </w:tcBorders>
                  <w:vAlign w:val="center"/>
                </w:tcPr>
                <w:p>
                  <w:pPr>
                    <w:pStyle w:val="40"/>
                  </w:pPr>
                </w:p>
              </w:tc>
              <w:tc>
                <w:tcPr>
                  <w:tcW w:w="1941" w:type="pct"/>
                  <w:tcBorders>
                    <w:tl2br w:val="nil"/>
                    <w:tr2bl w:val="nil"/>
                  </w:tcBorders>
                  <w:vAlign w:val="center"/>
                </w:tcPr>
                <w:p>
                  <w:pPr>
                    <w:pStyle w:val="40"/>
                  </w:pPr>
                  <w:r>
                    <w:t>有组织排气筒</w:t>
                  </w:r>
                  <w:r>
                    <w:rPr>
                      <w:rFonts w:hint="eastAsia"/>
                    </w:rPr>
                    <w:t>DA001</w:t>
                  </w:r>
                  <w:r>
                    <w:t>，监测项目：</w:t>
                  </w:r>
                  <w:r>
                    <w:rPr>
                      <w:rFonts w:hint="eastAsia"/>
                    </w:rPr>
                    <w:t>非甲烷总烃</w:t>
                  </w:r>
                  <w:r>
                    <w:t>，监测频次：1次/年</w:t>
                  </w:r>
                </w:p>
              </w:tc>
              <w:tc>
                <w:tcPr>
                  <w:tcW w:w="1970" w:type="pct"/>
                  <w:tcBorders>
                    <w:tl2br w:val="nil"/>
                    <w:tr2bl w:val="nil"/>
                  </w:tcBorders>
                  <w:vAlign w:val="center"/>
                </w:tcPr>
                <w:p>
                  <w:pPr>
                    <w:pStyle w:val="40"/>
                  </w:pPr>
                  <w:r>
                    <w:t>参照执行</w:t>
                  </w:r>
                  <w:r>
                    <w:rPr>
                      <w:rFonts w:hint="eastAsia"/>
                    </w:rPr>
                    <w:t>《</w:t>
                  </w:r>
                  <w:r>
                    <w:rPr>
                      <w:rFonts w:hint="eastAsia"/>
                      <w:lang w:val="en-US" w:eastAsia="zh-CN"/>
                    </w:rPr>
                    <w:t>上海市地方标准大气污染物综合排放标准</w:t>
                  </w:r>
                  <w:r>
                    <w:rPr>
                      <w:rFonts w:hint="eastAsia"/>
                    </w:rPr>
                    <w:t>》</w:t>
                  </w:r>
                  <w:r>
                    <w:rPr>
                      <w:rFonts w:hint="eastAsia"/>
                      <w:lang w:val="en-US" w:eastAsia="zh-CN"/>
                    </w:rPr>
                    <w:t>DB31/933-2015中排放标准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vAlign w:val="center"/>
                </w:tcPr>
                <w:p>
                  <w:pPr>
                    <w:pStyle w:val="40"/>
                  </w:pPr>
                  <w:r>
                    <w:t>3</w:t>
                  </w:r>
                </w:p>
              </w:tc>
              <w:tc>
                <w:tcPr>
                  <w:tcW w:w="712" w:type="pct"/>
                  <w:tcBorders>
                    <w:tl2br w:val="nil"/>
                    <w:tr2bl w:val="nil"/>
                  </w:tcBorders>
                  <w:vAlign w:val="center"/>
                </w:tcPr>
                <w:p>
                  <w:pPr>
                    <w:pStyle w:val="40"/>
                  </w:pPr>
                  <w:r>
                    <w:t>噪声</w:t>
                  </w:r>
                </w:p>
              </w:tc>
              <w:tc>
                <w:tcPr>
                  <w:tcW w:w="1941" w:type="pct"/>
                  <w:tcBorders>
                    <w:tl2br w:val="nil"/>
                    <w:tr2bl w:val="nil"/>
                  </w:tcBorders>
                  <w:vAlign w:val="center"/>
                </w:tcPr>
                <w:p>
                  <w:pPr>
                    <w:pStyle w:val="40"/>
                  </w:pPr>
                  <w:r>
                    <w:t>厂界噪声，1年1次</w:t>
                  </w:r>
                </w:p>
              </w:tc>
              <w:tc>
                <w:tcPr>
                  <w:tcW w:w="1970" w:type="pct"/>
                  <w:tcBorders>
                    <w:tl2br w:val="nil"/>
                    <w:tr2bl w:val="nil"/>
                  </w:tcBorders>
                  <w:vAlign w:val="center"/>
                </w:tcPr>
                <w:p>
                  <w:pPr>
                    <w:pStyle w:val="40"/>
                  </w:pPr>
                  <w:r>
                    <w:t>《工业企业厂界环境噪声排放标准》（GB12348-2008）中</w:t>
                  </w:r>
                  <w:r>
                    <w:rPr>
                      <w:rFonts w:hint="eastAsia"/>
                    </w:rPr>
                    <w:t>3</w:t>
                  </w:r>
                  <w:r>
                    <w:t>类标准要求。即：</w:t>
                  </w:r>
                  <w:r>
                    <w:rPr>
                      <w:rFonts w:hint="eastAsia"/>
                    </w:rPr>
                    <w:t>3</w:t>
                  </w:r>
                  <w:r>
                    <w:t>类昼间噪声值≤</w:t>
                  </w:r>
                  <w:r>
                    <w:rPr>
                      <w:rFonts w:hint="eastAsia"/>
                    </w:rPr>
                    <w:t>65</w:t>
                  </w:r>
                  <w:r>
                    <w:t>dB</w:t>
                  </w:r>
                  <w:r>
                    <w:rPr>
                      <w:highlight w:val="none"/>
                    </w:rPr>
                    <w:t>(</w:t>
                  </w:r>
                  <w:r>
                    <w:t>A</w:t>
                  </w:r>
                  <w:r>
                    <w:rPr>
                      <w:highlight w:val="none"/>
                    </w:rPr>
                    <w:t>)</w:t>
                  </w:r>
                  <w:r>
                    <w:t>、</w:t>
                  </w:r>
                  <w:r>
                    <w:rPr>
                      <w:rFonts w:hint="eastAsia"/>
                    </w:rPr>
                    <w:t>3</w:t>
                  </w:r>
                  <w:r>
                    <w:t>类夜间≤5</w:t>
                  </w:r>
                  <w:r>
                    <w:rPr>
                      <w:rFonts w:hint="eastAsia"/>
                    </w:rPr>
                    <w:t>5</w:t>
                  </w:r>
                  <w:r>
                    <w:t>dB</w:t>
                  </w:r>
                  <w:r>
                    <w:rPr>
                      <w:highlight w:val="none"/>
                    </w:rPr>
                    <w:t>(</w:t>
                  </w:r>
                  <w:r>
                    <w:t>A</w:t>
                  </w:r>
                  <w:r>
                    <w:rPr>
                      <w:highlight w:val="none"/>
                    </w:rPr>
                    <w:t>)</w:t>
                  </w:r>
                </w:p>
              </w:tc>
            </w:tr>
          </w:tbl>
          <w:p>
            <w:pPr>
              <w:pStyle w:val="5"/>
            </w:pPr>
            <w:r>
              <w:rPr>
                <w:rFonts w:hint="eastAsia"/>
              </w:rPr>
              <w:t>十</w:t>
            </w:r>
            <w:r>
              <w:rPr>
                <w:rFonts w:hint="eastAsia"/>
                <w:lang w:val="en-US" w:eastAsia="zh-CN"/>
              </w:rPr>
              <w:t>二</w:t>
            </w:r>
            <w:r>
              <w:rPr>
                <w:rFonts w:hint="eastAsia"/>
              </w:rPr>
              <w:t>、项目“三同时”验收要求</w:t>
            </w:r>
          </w:p>
          <w:p>
            <w:pPr>
              <w:pStyle w:val="5"/>
            </w:pPr>
            <w:r>
              <w:rPr>
                <w:rFonts w:hint="eastAsia"/>
              </w:rPr>
              <w:t>环境保护投资及“三同时验收”一览表详见下表：</w:t>
            </w:r>
          </w:p>
          <w:p>
            <w:pPr>
              <w:pStyle w:val="29"/>
              <w:spacing w:before="65" w:after="65"/>
            </w:pPr>
            <w:r>
              <w:rPr>
                <w:rFonts w:hint="eastAsia"/>
              </w:rPr>
              <w:t>表7-2</w:t>
            </w:r>
            <w:r>
              <w:rPr>
                <w:rFonts w:hint="eastAsia"/>
                <w:lang w:val="en-US" w:eastAsia="zh-CN"/>
              </w:rPr>
              <w:t>9</w:t>
            </w:r>
            <w:r>
              <w:rPr>
                <w:rFonts w:hint="eastAsia"/>
              </w:rPr>
              <w:t xml:space="preserve"> 本项目“三同时”验收一览表</w:t>
            </w:r>
          </w:p>
          <w:tbl>
            <w:tblPr>
              <w:tblStyle w:val="23"/>
              <w:tblW w:w="9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1308"/>
              <w:gridCol w:w="1437"/>
              <w:gridCol w:w="2542"/>
              <w:gridCol w:w="3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序号</w:t>
                  </w:r>
                </w:p>
              </w:tc>
              <w:tc>
                <w:tcPr>
                  <w:tcW w:w="1308"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污染防治措施类别</w:t>
                  </w:r>
                </w:p>
              </w:tc>
              <w:tc>
                <w:tcPr>
                  <w:tcW w:w="1437"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污染源</w:t>
                  </w:r>
                </w:p>
              </w:tc>
              <w:tc>
                <w:tcPr>
                  <w:tcW w:w="2542"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环保设施、设备及措施</w:t>
                  </w:r>
                </w:p>
              </w:tc>
              <w:tc>
                <w:tcPr>
                  <w:tcW w:w="3440"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 w:type="dxa"/>
                  <w:vMerge w:val="restart"/>
                  <w:tcBorders>
                    <w:top w:val="single" w:color="auto" w:sz="4" w:space="0"/>
                    <w:left w:val="single" w:color="auto" w:sz="4" w:space="0"/>
                    <w:right w:val="single" w:color="auto" w:sz="4" w:space="0"/>
                  </w:tcBorders>
                  <w:noWrap/>
                  <w:vAlign w:val="center"/>
                </w:tcPr>
                <w:p>
                  <w:pPr>
                    <w:pStyle w:val="40"/>
                  </w:pPr>
                  <w:r>
                    <w:rPr>
                      <w:rFonts w:hint="eastAsia"/>
                    </w:rPr>
                    <w:t>1</w:t>
                  </w:r>
                </w:p>
              </w:tc>
              <w:tc>
                <w:tcPr>
                  <w:tcW w:w="1308" w:type="dxa"/>
                  <w:vMerge w:val="restart"/>
                  <w:tcBorders>
                    <w:top w:val="single" w:color="auto" w:sz="4" w:space="0"/>
                    <w:left w:val="single" w:color="auto" w:sz="4" w:space="0"/>
                    <w:right w:val="single" w:color="auto" w:sz="4" w:space="0"/>
                  </w:tcBorders>
                  <w:noWrap/>
                  <w:vAlign w:val="center"/>
                </w:tcPr>
                <w:p>
                  <w:pPr>
                    <w:pStyle w:val="40"/>
                  </w:pPr>
                  <w:r>
                    <w:rPr>
                      <w:rFonts w:hint="eastAsia"/>
                    </w:rPr>
                    <w:t>废气治理</w:t>
                  </w:r>
                </w:p>
              </w:tc>
              <w:tc>
                <w:tcPr>
                  <w:tcW w:w="1437" w:type="dxa"/>
                  <w:vMerge w:val="restart"/>
                  <w:tcBorders>
                    <w:top w:val="single" w:color="auto" w:sz="4" w:space="0"/>
                    <w:left w:val="single" w:color="auto" w:sz="4" w:space="0"/>
                    <w:right w:val="single" w:color="auto" w:sz="4" w:space="0"/>
                  </w:tcBorders>
                  <w:noWrap/>
                  <w:vAlign w:val="center"/>
                </w:tcPr>
                <w:p>
                  <w:pPr>
                    <w:pStyle w:val="40"/>
                  </w:pPr>
                  <w:r>
                    <w:rPr>
                      <w:rFonts w:hint="eastAsia"/>
                    </w:rPr>
                    <w:t>印刷废气/</w:t>
                  </w:r>
                  <w:r>
                    <w:rPr>
                      <w:rFonts w:hint="eastAsia"/>
                      <w:highlight w:val="none"/>
                    </w:rPr>
                    <w:t>粘合</w:t>
                  </w:r>
                  <w:r>
                    <w:rPr>
                      <w:rFonts w:hint="eastAsia"/>
                    </w:rPr>
                    <w:t>废气</w:t>
                  </w:r>
                </w:p>
              </w:tc>
              <w:tc>
                <w:tcPr>
                  <w:tcW w:w="2542" w:type="dxa"/>
                  <w:vMerge w:val="restart"/>
                  <w:tcBorders>
                    <w:top w:val="single" w:color="auto" w:sz="4" w:space="0"/>
                    <w:left w:val="single" w:color="auto" w:sz="4" w:space="0"/>
                    <w:right w:val="single" w:color="auto" w:sz="4" w:space="0"/>
                  </w:tcBorders>
                  <w:noWrap/>
                  <w:vAlign w:val="center"/>
                </w:tcPr>
                <w:p>
                  <w:pPr>
                    <w:pStyle w:val="40"/>
                  </w:pPr>
                  <w:r>
                    <w:rPr>
                      <w:rFonts w:hint="eastAsia"/>
                    </w:rPr>
                    <w:t>UV光氧催化+活性炭吸附设备、一根15米排气筒</w:t>
                  </w:r>
                </w:p>
              </w:tc>
              <w:tc>
                <w:tcPr>
                  <w:tcW w:w="3440" w:type="dxa"/>
                  <w:tcBorders>
                    <w:top w:val="single" w:color="auto" w:sz="4" w:space="0"/>
                    <w:left w:val="single" w:color="auto" w:sz="4" w:space="0"/>
                    <w:right w:val="single" w:color="auto" w:sz="4" w:space="0"/>
                  </w:tcBorders>
                  <w:noWrap/>
                  <w:vAlign w:val="center"/>
                </w:tcPr>
                <w:p>
                  <w:pPr>
                    <w:pStyle w:val="40"/>
                  </w:pPr>
                  <w:r>
                    <w:t>参照执行</w:t>
                  </w:r>
                  <w:r>
                    <w:rPr>
                      <w:rFonts w:hint="eastAsia"/>
                    </w:rPr>
                    <w:t>《</w:t>
                  </w:r>
                  <w:r>
                    <w:rPr>
                      <w:rFonts w:hint="eastAsia"/>
                      <w:lang w:val="en-US" w:eastAsia="zh-CN"/>
                    </w:rPr>
                    <w:t>上海市地方标准大气污染物综合排放标准</w:t>
                  </w:r>
                  <w:r>
                    <w:rPr>
                      <w:rFonts w:hint="eastAsia"/>
                    </w:rPr>
                    <w:t>》</w:t>
                  </w:r>
                  <w:r>
                    <w:rPr>
                      <w:rFonts w:hint="eastAsia"/>
                      <w:lang w:val="en-US" w:eastAsia="zh-CN"/>
                    </w:rPr>
                    <w:t>DB31/933-2015中排放标准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 w:type="dxa"/>
                  <w:vMerge w:val="continue"/>
                  <w:tcBorders>
                    <w:left w:val="single" w:color="auto" w:sz="4" w:space="0"/>
                    <w:right w:val="single" w:color="auto" w:sz="4" w:space="0"/>
                  </w:tcBorders>
                  <w:noWrap/>
                  <w:vAlign w:val="center"/>
                </w:tcPr>
                <w:p>
                  <w:pPr>
                    <w:pStyle w:val="40"/>
                  </w:pPr>
                </w:p>
              </w:tc>
              <w:tc>
                <w:tcPr>
                  <w:tcW w:w="1308" w:type="dxa"/>
                  <w:vMerge w:val="continue"/>
                  <w:tcBorders>
                    <w:left w:val="single" w:color="auto" w:sz="4" w:space="0"/>
                    <w:right w:val="single" w:color="auto" w:sz="4" w:space="0"/>
                  </w:tcBorders>
                  <w:noWrap/>
                  <w:vAlign w:val="center"/>
                </w:tcPr>
                <w:p>
                  <w:pPr>
                    <w:pStyle w:val="40"/>
                  </w:pPr>
                </w:p>
              </w:tc>
              <w:tc>
                <w:tcPr>
                  <w:tcW w:w="1437" w:type="dxa"/>
                  <w:vMerge w:val="continue"/>
                  <w:tcBorders>
                    <w:left w:val="single" w:color="auto" w:sz="4" w:space="0"/>
                    <w:right w:val="single" w:color="auto" w:sz="4" w:space="0"/>
                  </w:tcBorders>
                  <w:noWrap/>
                  <w:vAlign w:val="center"/>
                </w:tcPr>
                <w:p>
                  <w:pPr>
                    <w:pStyle w:val="40"/>
                  </w:pPr>
                </w:p>
              </w:tc>
              <w:tc>
                <w:tcPr>
                  <w:tcW w:w="2542" w:type="dxa"/>
                  <w:vMerge w:val="continue"/>
                  <w:tcBorders>
                    <w:left w:val="single" w:color="auto" w:sz="4" w:space="0"/>
                    <w:right w:val="single" w:color="auto" w:sz="4" w:space="0"/>
                  </w:tcBorders>
                  <w:noWrap/>
                  <w:vAlign w:val="center"/>
                </w:tcPr>
                <w:p>
                  <w:pPr>
                    <w:pStyle w:val="40"/>
                  </w:pPr>
                </w:p>
              </w:tc>
              <w:tc>
                <w:tcPr>
                  <w:tcW w:w="3440" w:type="dxa"/>
                  <w:tcBorders>
                    <w:left w:val="single" w:color="auto" w:sz="4" w:space="0"/>
                    <w:right w:val="single" w:color="auto" w:sz="4" w:space="0"/>
                  </w:tcBorders>
                  <w:noWrap/>
                  <w:vAlign w:val="center"/>
                </w:tcPr>
                <w:p>
                  <w:pPr>
                    <w:pStyle w:val="40"/>
                  </w:pPr>
                  <w:r>
                    <w:rPr>
                      <w:rFonts w:hint="eastAsia"/>
                      <w:lang w:val="en-US" w:eastAsia="zh-CN"/>
                    </w:rPr>
                    <w:t>参照执行</w:t>
                  </w:r>
                  <w:r>
                    <w:t>《挥发性有机物无组织排放控制标准》（GB 37822-2019）中表A.1规定的</w:t>
                  </w:r>
                  <w:r>
                    <w:rPr>
                      <w:rFonts w:hint="eastAsia"/>
                      <w:lang w:val="en-US" w:eastAsia="zh-CN"/>
                    </w:rPr>
                    <w:t>标准</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 w:type="dxa"/>
                  <w:tcBorders>
                    <w:top w:val="single" w:color="auto" w:sz="4" w:space="0"/>
                    <w:left w:val="single" w:color="auto" w:sz="4" w:space="0"/>
                    <w:right w:val="single" w:color="auto" w:sz="4" w:space="0"/>
                  </w:tcBorders>
                  <w:noWrap/>
                  <w:vAlign w:val="center"/>
                </w:tcPr>
                <w:p>
                  <w:pPr>
                    <w:pStyle w:val="40"/>
                  </w:pPr>
                  <w:r>
                    <w:rPr>
                      <w:rFonts w:hint="eastAsia"/>
                    </w:rPr>
                    <w:t>2</w:t>
                  </w:r>
                </w:p>
              </w:tc>
              <w:tc>
                <w:tcPr>
                  <w:tcW w:w="1308" w:type="dxa"/>
                  <w:tcBorders>
                    <w:top w:val="single" w:color="auto" w:sz="4" w:space="0"/>
                    <w:left w:val="single" w:color="auto" w:sz="4" w:space="0"/>
                    <w:right w:val="single" w:color="auto" w:sz="4" w:space="0"/>
                  </w:tcBorders>
                  <w:noWrap/>
                  <w:vAlign w:val="center"/>
                </w:tcPr>
                <w:p>
                  <w:pPr>
                    <w:pStyle w:val="40"/>
                  </w:pPr>
                  <w:r>
                    <w:rPr>
                      <w:rFonts w:hint="eastAsia"/>
                    </w:rPr>
                    <w:t>废水治理</w:t>
                  </w:r>
                </w:p>
              </w:tc>
              <w:tc>
                <w:tcPr>
                  <w:tcW w:w="1437"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职工生活污水</w:t>
                  </w:r>
                </w:p>
              </w:tc>
              <w:tc>
                <w:tcPr>
                  <w:tcW w:w="2542"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化粪池</w:t>
                  </w:r>
                </w:p>
              </w:tc>
              <w:tc>
                <w:tcPr>
                  <w:tcW w:w="3440"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《污水排入城镇下水道水质标准》（GB/T 31962-2015）表1中B等级标准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3</w:t>
                  </w:r>
                </w:p>
              </w:tc>
              <w:tc>
                <w:tcPr>
                  <w:tcW w:w="1308"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噪声治理</w:t>
                  </w:r>
                </w:p>
              </w:tc>
              <w:tc>
                <w:tcPr>
                  <w:tcW w:w="1437"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生产设备</w:t>
                  </w:r>
                </w:p>
              </w:tc>
              <w:tc>
                <w:tcPr>
                  <w:tcW w:w="2542"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加强生产管理，采用低噪音设备、采用减震隔声</w:t>
                  </w:r>
                </w:p>
              </w:tc>
              <w:tc>
                <w:tcPr>
                  <w:tcW w:w="3440"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满足</w:t>
                  </w:r>
                  <w:r>
                    <w:t>GB12348-2008</w:t>
                  </w:r>
                  <w:r>
                    <w:rPr>
                      <w:rFonts w:hint="eastAsia"/>
                    </w:rPr>
                    <w:t>《工业企业厂界环境噪声排放标准》中</w:t>
                  </w:r>
                  <w:r>
                    <w:t>3</w:t>
                  </w:r>
                  <w:r>
                    <w:rPr>
                      <w:rFonts w:hint="eastAsia"/>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 w:type="dxa"/>
                  <w:vMerge w:val="restart"/>
                  <w:tcBorders>
                    <w:top w:val="single" w:color="auto" w:sz="4" w:space="0"/>
                    <w:left w:val="single" w:color="auto" w:sz="4" w:space="0"/>
                    <w:right w:val="single" w:color="auto" w:sz="4" w:space="0"/>
                  </w:tcBorders>
                  <w:noWrap/>
                  <w:vAlign w:val="center"/>
                </w:tcPr>
                <w:p>
                  <w:pPr>
                    <w:pStyle w:val="40"/>
                  </w:pPr>
                  <w:r>
                    <w:rPr>
                      <w:rFonts w:hint="eastAsia"/>
                    </w:rPr>
                    <w:t>4</w:t>
                  </w:r>
                </w:p>
              </w:tc>
              <w:tc>
                <w:tcPr>
                  <w:tcW w:w="1308" w:type="dxa"/>
                  <w:vMerge w:val="restart"/>
                  <w:tcBorders>
                    <w:top w:val="single" w:color="auto" w:sz="4" w:space="0"/>
                    <w:left w:val="single" w:color="auto" w:sz="4" w:space="0"/>
                    <w:right w:val="single" w:color="auto" w:sz="4" w:space="0"/>
                  </w:tcBorders>
                  <w:noWrap/>
                  <w:vAlign w:val="center"/>
                </w:tcPr>
                <w:p>
                  <w:pPr>
                    <w:pStyle w:val="40"/>
                  </w:pPr>
                  <w:r>
                    <w:rPr>
                      <w:rFonts w:hint="eastAsia"/>
                    </w:rPr>
                    <w:t>固废治理</w:t>
                  </w:r>
                </w:p>
              </w:tc>
              <w:tc>
                <w:tcPr>
                  <w:tcW w:w="1437" w:type="dxa"/>
                  <w:tcBorders>
                    <w:top w:val="single" w:color="auto" w:sz="4" w:space="0"/>
                    <w:left w:val="single" w:color="auto" w:sz="4" w:space="0"/>
                    <w:bottom w:val="single" w:color="auto" w:sz="4" w:space="0"/>
                    <w:right w:val="single" w:color="auto" w:sz="4" w:space="0"/>
                  </w:tcBorders>
                  <w:noWrap/>
                  <w:vAlign w:val="center"/>
                </w:tcPr>
                <w:p>
                  <w:pPr>
                    <w:pStyle w:val="40"/>
                    <w:rPr>
                      <w:rFonts w:hint="default" w:eastAsia="新宋体"/>
                      <w:lang w:val="en-US" w:eastAsia="zh-CN"/>
                    </w:rPr>
                  </w:pPr>
                  <w:r>
                    <w:rPr>
                      <w:rFonts w:hint="eastAsia"/>
                    </w:rPr>
                    <w:t>生活垃圾</w:t>
                  </w:r>
                  <w:r>
                    <w:rPr>
                      <w:rFonts w:hint="eastAsia"/>
                      <w:lang w:eastAsia="zh-CN"/>
                    </w:rPr>
                    <w:t>、</w:t>
                  </w:r>
                  <w:r>
                    <w:rPr>
                      <w:rFonts w:hint="eastAsia"/>
                      <w:lang w:val="en-US" w:eastAsia="zh-CN"/>
                    </w:rPr>
                    <w:t>废含油墨抹布</w:t>
                  </w:r>
                </w:p>
              </w:tc>
              <w:tc>
                <w:tcPr>
                  <w:tcW w:w="2542"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生活垃圾由垃圾桶收集，定期由环卫部门统一处理</w:t>
                  </w:r>
                </w:p>
              </w:tc>
              <w:tc>
                <w:tcPr>
                  <w:tcW w:w="3440"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 w:type="dxa"/>
                  <w:vMerge w:val="continue"/>
                  <w:tcBorders>
                    <w:left w:val="single" w:color="auto" w:sz="4" w:space="0"/>
                    <w:right w:val="single" w:color="auto" w:sz="4" w:space="0"/>
                  </w:tcBorders>
                  <w:noWrap/>
                  <w:vAlign w:val="center"/>
                </w:tcPr>
                <w:p>
                  <w:pPr>
                    <w:pStyle w:val="40"/>
                  </w:pPr>
                </w:p>
              </w:tc>
              <w:tc>
                <w:tcPr>
                  <w:tcW w:w="1308" w:type="dxa"/>
                  <w:vMerge w:val="continue"/>
                  <w:tcBorders>
                    <w:left w:val="single" w:color="auto" w:sz="4" w:space="0"/>
                    <w:right w:val="single" w:color="auto" w:sz="4" w:space="0"/>
                  </w:tcBorders>
                  <w:noWrap/>
                  <w:vAlign w:val="center"/>
                </w:tcPr>
                <w:p>
                  <w:pPr>
                    <w:pStyle w:val="40"/>
                  </w:pPr>
                </w:p>
              </w:tc>
              <w:tc>
                <w:tcPr>
                  <w:tcW w:w="1437"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边角料</w:t>
                  </w:r>
                </w:p>
              </w:tc>
              <w:tc>
                <w:tcPr>
                  <w:tcW w:w="2542"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暂存于一般固废堆场，面积为20m</w:t>
                  </w:r>
                  <w:r>
                    <w:rPr>
                      <w:rFonts w:hint="eastAsia"/>
                      <w:vertAlign w:val="superscript"/>
                    </w:rPr>
                    <w:t>2</w:t>
                  </w:r>
                  <w:r>
                    <w:rPr>
                      <w:rFonts w:hint="eastAsia"/>
                    </w:rPr>
                    <w:t>，定期外售于其他厂家</w:t>
                  </w:r>
                </w:p>
              </w:tc>
              <w:tc>
                <w:tcPr>
                  <w:tcW w:w="3440" w:type="dxa"/>
                  <w:tcBorders>
                    <w:top w:val="single" w:color="auto" w:sz="4" w:space="0"/>
                    <w:left w:val="single" w:color="auto" w:sz="4" w:space="0"/>
                    <w:bottom w:val="single" w:color="auto" w:sz="4" w:space="0"/>
                    <w:right w:val="single" w:color="auto" w:sz="4" w:space="0"/>
                  </w:tcBorders>
                  <w:noWrap/>
                  <w:vAlign w:val="center"/>
                </w:tcPr>
                <w:p>
                  <w:pPr>
                    <w:pStyle w:val="40"/>
                  </w:pPr>
                  <w:r>
                    <w:t>一般固废暂存场设置需严格执行《一般工业固体废物贮存、处置场污染控制标准》（GB18599-2001）及2013年修改单中相关规定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 w:type="dxa"/>
                  <w:vMerge w:val="continue"/>
                  <w:tcBorders>
                    <w:left w:val="single" w:color="auto" w:sz="4" w:space="0"/>
                    <w:bottom w:val="single" w:color="auto" w:sz="4" w:space="0"/>
                    <w:right w:val="single" w:color="auto" w:sz="4" w:space="0"/>
                  </w:tcBorders>
                  <w:noWrap/>
                  <w:vAlign w:val="center"/>
                </w:tcPr>
                <w:p>
                  <w:pPr>
                    <w:pStyle w:val="40"/>
                  </w:pPr>
                </w:p>
              </w:tc>
              <w:tc>
                <w:tcPr>
                  <w:tcW w:w="1308" w:type="dxa"/>
                  <w:vMerge w:val="continue"/>
                  <w:tcBorders>
                    <w:left w:val="single" w:color="auto" w:sz="4" w:space="0"/>
                    <w:bottom w:val="single" w:color="auto" w:sz="4" w:space="0"/>
                    <w:right w:val="single" w:color="auto" w:sz="4" w:space="0"/>
                  </w:tcBorders>
                  <w:noWrap/>
                  <w:vAlign w:val="center"/>
                </w:tcPr>
                <w:p>
                  <w:pPr>
                    <w:pStyle w:val="40"/>
                  </w:pPr>
                </w:p>
              </w:tc>
              <w:tc>
                <w:tcPr>
                  <w:tcW w:w="1437" w:type="dxa"/>
                  <w:tcBorders>
                    <w:top w:val="single" w:color="auto" w:sz="4" w:space="0"/>
                    <w:left w:val="single" w:color="auto" w:sz="4" w:space="0"/>
                    <w:bottom w:val="single" w:color="auto" w:sz="4" w:space="0"/>
                    <w:right w:val="single" w:color="auto" w:sz="4" w:space="0"/>
                  </w:tcBorders>
                  <w:noWrap/>
                  <w:vAlign w:val="center"/>
                </w:tcPr>
                <w:p>
                  <w:pPr>
                    <w:pStyle w:val="40"/>
                    <w:rPr>
                      <w:rFonts w:hint="default" w:eastAsia="新宋体"/>
                      <w:lang w:val="en-US" w:eastAsia="zh-CN"/>
                    </w:rPr>
                  </w:pPr>
                  <w:r>
                    <w:rPr>
                      <w:rFonts w:hint="eastAsia"/>
                    </w:rPr>
                    <w:t>废活性炭、废UV光管、废印刷板、</w:t>
                  </w:r>
                  <w:r>
                    <w:rPr>
                      <w:rFonts w:hint="eastAsia"/>
                      <w:lang w:eastAsia="zh-CN"/>
                    </w:rPr>
                    <w:t>废油墨桶、废胶桶</w:t>
                  </w:r>
                  <w:r>
                    <w:t>等</w:t>
                  </w:r>
                  <w:r>
                    <w:rPr>
                      <w:rFonts w:hint="eastAsia"/>
                      <w:lang w:eastAsia="zh-CN"/>
                    </w:rPr>
                    <w:t>、</w:t>
                  </w:r>
                  <w:r>
                    <w:rPr>
                      <w:rFonts w:hint="eastAsia"/>
                      <w:lang w:val="en-US" w:eastAsia="zh-CN"/>
                    </w:rPr>
                    <w:t>印刷清洗废水</w:t>
                  </w:r>
                </w:p>
              </w:tc>
              <w:tc>
                <w:tcPr>
                  <w:tcW w:w="2542" w:type="dxa"/>
                  <w:tcBorders>
                    <w:top w:val="single" w:color="auto" w:sz="4" w:space="0"/>
                    <w:left w:val="single" w:color="auto" w:sz="4" w:space="0"/>
                    <w:bottom w:val="single" w:color="auto" w:sz="4" w:space="0"/>
                    <w:right w:val="single" w:color="auto" w:sz="4" w:space="0"/>
                  </w:tcBorders>
                  <w:noWrap/>
                  <w:vAlign w:val="center"/>
                </w:tcPr>
                <w:p>
                  <w:pPr>
                    <w:pStyle w:val="40"/>
                  </w:pPr>
                  <w:r>
                    <w:rPr>
                      <w:rFonts w:hint="eastAsia"/>
                    </w:rPr>
                    <w:t>暂存于危废暂存间，面积为15m</w:t>
                  </w:r>
                  <w:r>
                    <w:rPr>
                      <w:rFonts w:hint="eastAsia"/>
                      <w:vertAlign w:val="superscript"/>
                    </w:rPr>
                    <w:t>2</w:t>
                  </w:r>
                  <w:r>
                    <w:rPr>
                      <w:rFonts w:hint="eastAsia"/>
                    </w:rPr>
                    <w:t>，定期交由有资质单位进行处理</w:t>
                  </w:r>
                </w:p>
              </w:tc>
              <w:tc>
                <w:tcPr>
                  <w:tcW w:w="3440" w:type="dxa"/>
                  <w:tcBorders>
                    <w:top w:val="single" w:color="auto" w:sz="4" w:space="0"/>
                    <w:left w:val="single" w:color="auto" w:sz="4" w:space="0"/>
                    <w:bottom w:val="single" w:color="auto" w:sz="4" w:space="0"/>
                    <w:right w:val="single" w:color="auto" w:sz="4" w:space="0"/>
                  </w:tcBorders>
                  <w:noWrap/>
                  <w:vAlign w:val="center"/>
                </w:tcPr>
                <w:p>
                  <w:pPr>
                    <w:pStyle w:val="40"/>
                  </w:pPr>
                  <w:r>
                    <w:t>《危险废物贮存污染控制标准》（GB18597-2001）及其2013年修改单。</w:t>
                  </w:r>
                </w:p>
              </w:tc>
            </w:tr>
          </w:tbl>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9"/>
            </w:pPr>
          </w:p>
          <w:p>
            <w:pPr>
              <w:pStyle w:val="19"/>
              <w:ind w:left="0" w:leftChars="0" w:firstLine="0" w:firstLineChars="0"/>
            </w:pPr>
          </w:p>
          <w:p>
            <w:pPr>
              <w:pStyle w:val="18"/>
            </w:pPr>
          </w:p>
        </w:tc>
      </w:tr>
    </w:tbl>
    <w:p>
      <w:pPr>
        <w:outlineLvl w:val="0"/>
      </w:pPr>
      <w:r>
        <w:rPr>
          <w:rFonts w:hint="eastAsia"/>
        </w:rPr>
        <w:br w:type="page"/>
      </w:r>
      <w:r>
        <w:rPr>
          <w:rStyle w:val="51"/>
          <w:rFonts w:hint="eastAsia"/>
        </w:rPr>
        <w:t>八、建设项目采取的防治措施及预期治理效果</w:t>
      </w:r>
    </w:p>
    <w:tbl>
      <w:tblPr>
        <w:tblStyle w:val="23"/>
        <w:tblW w:w="935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8"/>
        <w:gridCol w:w="1101"/>
        <w:gridCol w:w="1434"/>
        <w:gridCol w:w="3060"/>
        <w:gridCol w:w="29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838" w:type="dxa"/>
            <w:tcBorders>
              <w:tl2br w:val="single" w:color="auto" w:sz="4" w:space="0"/>
            </w:tcBorders>
            <w:noWrap/>
            <w:vAlign w:val="center"/>
          </w:tcPr>
          <w:p>
            <w:pPr>
              <w:pStyle w:val="40"/>
            </w:pPr>
            <w:r>
              <w:rPr>
                <w:rFonts w:hint="eastAsia"/>
              </w:rPr>
              <w:t xml:space="preserve">  内容</w:t>
            </w:r>
          </w:p>
          <w:p>
            <w:pPr>
              <w:pStyle w:val="40"/>
            </w:pPr>
            <w:r>
              <w:rPr>
                <w:rFonts w:hint="eastAsia"/>
              </w:rPr>
              <w:t>类型</w:t>
            </w:r>
          </w:p>
        </w:tc>
        <w:tc>
          <w:tcPr>
            <w:tcW w:w="1101" w:type="dxa"/>
            <w:noWrap/>
            <w:vAlign w:val="center"/>
          </w:tcPr>
          <w:p>
            <w:pPr>
              <w:pStyle w:val="40"/>
            </w:pPr>
            <w:r>
              <w:rPr>
                <w:rFonts w:hint="eastAsia"/>
              </w:rPr>
              <w:t>排放源</w:t>
            </w:r>
          </w:p>
          <w:p>
            <w:pPr>
              <w:pStyle w:val="40"/>
            </w:pPr>
            <w:r>
              <w:rPr>
                <w:rFonts w:hint="eastAsia"/>
              </w:rPr>
              <w:t>（编号）</w:t>
            </w:r>
          </w:p>
        </w:tc>
        <w:tc>
          <w:tcPr>
            <w:tcW w:w="1434" w:type="dxa"/>
            <w:noWrap/>
            <w:vAlign w:val="center"/>
          </w:tcPr>
          <w:p>
            <w:pPr>
              <w:pStyle w:val="40"/>
            </w:pPr>
            <w:r>
              <w:rPr>
                <w:rFonts w:hint="eastAsia"/>
              </w:rPr>
              <w:t>污染物名称</w:t>
            </w:r>
          </w:p>
        </w:tc>
        <w:tc>
          <w:tcPr>
            <w:tcW w:w="3060" w:type="dxa"/>
            <w:noWrap/>
            <w:vAlign w:val="center"/>
          </w:tcPr>
          <w:p>
            <w:pPr>
              <w:pStyle w:val="40"/>
            </w:pPr>
            <w:r>
              <w:rPr>
                <w:rFonts w:hint="eastAsia"/>
              </w:rPr>
              <w:t>防治措施</w:t>
            </w:r>
          </w:p>
        </w:tc>
        <w:tc>
          <w:tcPr>
            <w:tcW w:w="2919" w:type="dxa"/>
            <w:noWrap/>
            <w:vAlign w:val="center"/>
          </w:tcPr>
          <w:p>
            <w:pPr>
              <w:pStyle w:val="40"/>
            </w:pPr>
            <w:r>
              <w:rPr>
                <w:rFonts w:hint="eastAsia"/>
              </w:rPr>
              <w:t>预期治理效果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82" w:hRule="atLeast"/>
          <w:jc w:val="center"/>
        </w:trPr>
        <w:tc>
          <w:tcPr>
            <w:tcW w:w="838" w:type="dxa"/>
            <w:noWrap/>
            <w:vAlign w:val="center"/>
          </w:tcPr>
          <w:p>
            <w:pPr>
              <w:pStyle w:val="40"/>
            </w:pPr>
            <w:r>
              <w:rPr>
                <w:rFonts w:hint="eastAsia"/>
              </w:rPr>
              <w:t>大</w:t>
            </w:r>
          </w:p>
          <w:p>
            <w:pPr>
              <w:pStyle w:val="40"/>
            </w:pPr>
            <w:r>
              <w:rPr>
                <w:rFonts w:hint="eastAsia"/>
              </w:rPr>
              <w:t>气</w:t>
            </w:r>
          </w:p>
          <w:p>
            <w:pPr>
              <w:pStyle w:val="40"/>
            </w:pPr>
            <w:r>
              <w:rPr>
                <w:rFonts w:hint="eastAsia"/>
              </w:rPr>
              <w:t>污</w:t>
            </w:r>
          </w:p>
          <w:p>
            <w:pPr>
              <w:pStyle w:val="40"/>
            </w:pPr>
            <w:r>
              <w:rPr>
                <w:rFonts w:hint="eastAsia"/>
              </w:rPr>
              <w:t>染</w:t>
            </w:r>
          </w:p>
          <w:p>
            <w:pPr>
              <w:pStyle w:val="40"/>
            </w:pPr>
            <w:r>
              <w:rPr>
                <w:rFonts w:hint="eastAsia"/>
              </w:rPr>
              <w:t>物</w:t>
            </w:r>
          </w:p>
        </w:tc>
        <w:tc>
          <w:tcPr>
            <w:tcW w:w="1101" w:type="dxa"/>
            <w:noWrap/>
            <w:vAlign w:val="center"/>
          </w:tcPr>
          <w:p>
            <w:pPr>
              <w:pStyle w:val="40"/>
            </w:pPr>
            <w:r>
              <w:rPr>
                <w:rFonts w:hint="eastAsia"/>
              </w:rPr>
              <w:t>印刷机</w:t>
            </w:r>
          </w:p>
        </w:tc>
        <w:tc>
          <w:tcPr>
            <w:tcW w:w="1434" w:type="dxa"/>
            <w:noWrap/>
            <w:vAlign w:val="center"/>
          </w:tcPr>
          <w:p>
            <w:pPr>
              <w:pStyle w:val="40"/>
            </w:pPr>
            <w:r>
              <w:rPr>
                <w:rFonts w:hint="eastAsia"/>
              </w:rPr>
              <w:t>VOCs</w:t>
            </w:r>
          </w:p>
        </w:tc>
        <w:tc>
          <w:tcPr>
            <w:tcW w:w="3060" w:type="dxa"/>
            <w:noWrap/>
            <w:vAlign w:val="center"/>
          </w:tcPr>
          <w:p>
            <w:pPr>
              <w:pStyle w:val="40"/>
            </w:pPr>
            <w:r>
              <w:rPr>
                <w:rFonts w:hint="eastAsia"/>
              </w:rPr>
              <w:t>印刷机废气收集后引至UV光氧催化+活性炭吸附装置处理，废气经处理后最终经1根15</w:t>
            </w:r>
            <w:r>
              <w:t>m高排气筒</w:t>
            </w:r>
            <w:r>
              <w:rPr>
                <w:rFonts w:hint="eastAsia"/>
              </w:rPr>
              <w:t>排放（</w:t>
            </w:r>
            <w:r>
              <w:rPr>
                <w:rFonts w:hint="eastAsia"/>
                <w:lang w:val="en-US" w:eastAsia="zh-CN"/>
              </w:rPr>
              <w:t>DA</w:t>
            </w:r>
            <w:r>
              <w:rPr>
                <w:rFonts w:hint="eastAsia"/>
              </w:rPr>
              <w:t>001）</w:t>
            </w:r>
          </w:p>
        </w:tc>
        <w:tc>
          <w:tcPr>
            <w:tcW w:w="2919" w:type="dxa"/>
            <w:noWrap/>
            <w:vAlign w:val="center"/>
          </w:tcPr>
          <w:p>
            <w:pPr>
              <w:pStyle w:val="40"/>
              <w:bidi w:val="0"/>
            </w:pPr>
            <w:r>
              <w:rPr>
                <w:rFonts w:hint="eastAsia"/>
                <w:lang w:val="en-US" w:eastAsia="zh-CN"/>
              </w:rPr>
              <w:t>满足</w:t>
            </w:r>
            <w:r>
              <w:rPr>
                <w:rFonts w:hint="eastAsia"/>
              </w:rPr>
              <w:t>《</w:t>
            </w:r>
            <w:r>
              <w:rPr>
                <w:rFonts w:hint="eastAsia"/>
                <w:lang w:val="en-US" w:eastAsia="zh-CN"/>
              </w:rPr>
              <w:t>上海市地方标准大气污染物综合排放标准</w:t>
            </w:r>
            <w:r>
              <w:rPr>
                <w:rFonts w:hint="eastAsia"/>
              </w:rPr>
              <w:t>》</w:t>
            </w:r>
            <w:r>
              <w:rPr>
                <w:rFonts w:hint="eastAsia"/>
                <w:lang w:val="en-US" w:eastAsia="zh-CN"/>
              </w:rPr>
              <w:t>DB31/933-2015中排放标准；参照执行</w:t>
            </w:r>
            <w:r>
              <w:t>《挥发性有机物无组织排放控制标准》（GB 37822-2019）中表A.1规定的</w:t>
            </w:r>
            <w:r>
              <w:rPr>
                <w:rFonts w:hint="eastAsia"/>
                <w:lang w:val="en-US" w:eastAsia="zh-CN"/>
              </w:rPr>
              <w:t>标准</w:t>
            </w:r>
            <w: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48" w:hRule="atLeast"/>
          <w:jc w:val="center"/>
        </w:trPr>
        <w:tc>
          <w:tcPr>
            <w:tcW w:w="838" w:type="dxa"/>
            <w:vMerge w:val="restart"/>
            <w:noWrap/>
            <w:vAlign w:val="center"/>
          </w:tcPr>
          <w:p>
            <w:pPr>
              <w:pStyle w:val="40"/>
            </w:pPr>
            <w:r>
              <w:rPr>
                <w:rFonts w:hint="eastAsia"/>
              </w:rPr>
              <w:t>水污</w:t>
            </w:r>
          </w:p>
          <w:p>
            <w:pPr>
              <w:pStyle w:val="40"/>
            </w:pPr>
            <w:r>
              <w:rPr>
                <w:rFonts w:hint="eastAsia"/>
              </w:rPr>
              <w:t>染物</w:t>
            </w:r>
          </w:p>
        </w:tc>
        <w:tc>
          <w:tcPr>
            <w:tcW w:w="1101" w:type="dxa"/>
            <w:noWrap/>
            <w:vAlign w:val="center"/>
          </w:tcPr>
          <w:p>
            <w:pPr>
              <w:pStyle w:val="40"/>
            </w:pPr>
            <w:r>
              <w:rPr>
                <w:rFonts w:hint="eastAsia"/>
              </w:rPr>
              <w:t>生活污水</w:t>
            </w:r>
          </w:p>
        </w:tc>
        <w:tc>
          <w:tcPr>
            <w:tcW w:w="1434" w:type="dxa"/>
            <w:noWrap/>
            <w:vAlign w:val="center"/>
          </w:tcPr>
          <w:p>
            <w:pPr>
              <w:pStyle w:val="40"/>
            </w:pPr>
            <w:r>
              <w:rPr>
                <w:rFonts w:hint="eastAsia"/>
              </w:rPr>
              <w:t>COD、BOD</w:t>
            </w:r>
            <w:r>
              <w:rPr>
                <w:rFonts w:hint="eastAsia"/>
                <w:vertAlign w:val="subscript"/>
              </w:rPr>
              <w:t>5</w:t>
            </w:r>
            <w:r>
              <w:rPr>
                <w:rFonts w:hint="eastAsia"/>
              </w:rPr>
              <w:t>、氨氮</w:t>
            </w:r>
          </w:p>
        </w:tc>
        <w:tc>
          <w:tcPr>
            <w:tcW w:w="3060" w:type="dxa"/>
            <w:noWrap/>
            <w:vAlign w:val="center"/>
          </w:tcPr>
          <w:p>
            <w:pPr>
              <w:pStyle w:val="40"/>
            </w:pPr>
            <w:r>
              <w:rPr>
                <w:rFonts w:hint="eastAsia"/>
              </w:rPr>
              <w:t>雨污分流，依托租赁方已建化粪池；接管至淮南市</w:t>
            </w:r>
            <w:r>
              <w:rPr>
                <w:rFonts w:hint="eastAsia"/>
                <w:lang w:val="en-US" w:eastAsia="zh-CN"/>
              </w:rPr>
              <w:t>经济技术开发区</w:t>
            </w:r>
            <w:r>
              <w:rPr>
                <w:rFonts w:hint="eastAsia"/>
              </w:rPr>
              <w:t>污水处理厂处理</w:t>
            </w:r>
          </w:p>
        </w:tc>
        <w:tc>
          <w:tcPr>
            <w:tcW w:w="2919" w:type="dxa"/>
            <w:noWrap/>
            <w:vAlign w:val="center"/>
          </w:tcPr>
          <w:p>
            <w:pPr>
              <w:pStyle w:val="40"/>
            </w:pPr>
            <w:r>
              <w:rPr>
                <w:rFonts w:hint="eastAsia"/>
              </w:rPr>
              <w:t>符合</w:t>
            </w:r>
            <w:r>
              <w:t>《</w:t>
            </w:r>
            <w:r>
              <w:rPr>
                <w:rFonts w:hint="eastAsia"/>
              </w:rPr>
              <w:t>污水排入城镇下水道水质标准</w:t>
            </w:r>
            <w:r>
              <w:t>》（</w:t>
            </w:r>
            <w:r>
              <w:rPr>
                <w:rFonts w:hint="eastAsia"/>
              </w:rPr>
              <w:t>GB/T 31962-2015</w:t>
            </w:r>
            <w:r>
              <w:t>）</w:t>
            </w: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48" w:hRule="atLeast"/>
          <w:jc w:val="center"/>
        </w:trPr>
        <w:tc>
          <w:tcPr>
            <w:tcW w:w="838" w:type="dxa"/>
            <w:vMerge w:val="continue"/>
            <w:noWrap/>
            <w:vAlign w:val="center"/>
          </w:tcPr>
          <w:p>
            <w:pPr>
              <w:pStyle w:val="40"/>
            </w:pPr>
          </w:p>
        </w:tc>
        <w:tc>
          <w:tcPr>
            <w:tcW w:w="1101" w:type="dxa"/>
            <w:noWrap/>
            <w:vAlign w:val="center"/>
          </w:tcPr>
          <w:p>
            <w:pPr>
              <w:pStyle w:val="40"/>
            </w:pPr>
            <w:r>
              <w:rPr>
                <w:rFonts w:hint="eastAsia"/>
              </w:rPr>
              <w:t>印刷清洗废水</w:t>
            </w:r>
          </w:p>
        </w:tc>
        <w:tc>
          <w:tcPr>
            <w:tcW w:w="1434" w:type="dxa"/>
            <w:noWrap/>
            <w:vAlign w:val="center"/>
          </w:tcPr>
          <w:p>
            <w:pPr>
              <w:pStyle w:val="40"/>
            </w:pPr>
            <w:r>
              <w:rPr>
                <w:rFonts w:hint="eastAsia"/>
              </w:rPr>
              <w:t>COD、色度、SS、氨氮</w:t>
            </w:r>
          </w:p>
        </w:tc>
        <w:tc>
          <w:tcPr>
            <w:tcW w:w="3060" w:type="dxa"/>
            <w:noWrap/>
            <w:vAlign w:val="center"/>
          </w:tcPr>
          <w:p>
            <w:pPr>
              <w:pStyle w:val="40"/>
              <w:rPr>
                <w:rFonts w:hint="default" w:eastAsia="新宋体"/>
                <w:lang w:val="en-US" w:eastAsia="zh-CN"/>
              </w:rPr>
            </w:pPr>
            <w:r>
              <w:rPr>
                <w:rFonts w:hint="eastAsia"/>
              </w:rPr>
              <w:t>清洗</w:t>
            </w:r>
            <w:r>
              <w:t>废</w:t>
            </w:r>
            <w:r>
              <w:rPr>
                <w:rFonts w:hint="eastAsia"/>
                <w:lang w:val="en-US" w:eastAsia="zh-CN"/>
              </w:rPr>
              <w:t>水经收集后暂存于危废库定期交于有资质公司进行处理</w:t>
            </w:r>
          </w:p>
        </w:tc>
        <w:tc>
          <w:tcPr>
            <w:tcW w:w="2919" w:type="dxa"/>
            <w:noWrap/>
            <w:vAlign w:val="center"/>
          </w:tcPr>
          <w:p>
            <w:pPr>
              <w:pStyle w:val="40"/>
              <w:rPr>
                <w:rFonts w:hint="eastAsia" w:eastAsia="新宋体"/>
                <w:lang w:eastAsia="zh-CN"/>
              </w:rPr>
            </w:pPr>
            <w:r>
              <w:rPr>
                <w:rFonts w:hint="eastAsia"/>
              </w:rPr>
              <w:t>合理处置，不外排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6" w:hRule="atLeast"/>
          <w:jc w:val="center"/>
        </w:trPr>
        <w:tc>
          <w:tcPr>
            <w:tcW w:w="838" w:type="dxa"/>
            <w:vMerge w:val="restart"/>
            <w:noWrap/>
            <w:vAlign w:val="center"/>
          </w:tcPr>
          <w:p>
            <w:pPr>
              <w:pStyle w:val="40"/>
            </w:pPr>
            <w:r>
              <w:rPr>
                <w:rFonts w:hint="eastAsia"/>
              </w:rPr>
              <w:t>固</w:t>
            </w:r>
          </w:p>
          <w:p>
            <w:pPr>
              <w:pStyle w:val="40"/>
            </w:pPr>
            <w:r>
              <w:rPr>
                <w:rFonts w:hint="eastAsia"/>
              </w:rPr>
              <w:t>体</w:t>
            </w:r>
          </w:p>
          <w:p>
            <w:pPr>
              <w:pStyle w:val="40"/>
            </w:pPr>
            <w:r>
              <w:rPr>
                <w:rFonts w:hint="eastAsia"/>
              </w:rPr>
              <w:t>废</w:t>
            </w:r>
          </w:p>
          <w:p>
            <w:pPr>
              <w:pStyle w:val="40"/>
            </w:pPr>
            <w:r>
              <w:rPr>
                <w:rFonts w:hint="eastAsia"/>
              </w:rPr>
              <w:t>物</w:t>
            </w:r>
          </w:p>
        </w:tc>
        <w:tc>
          <w:tcPr>
            <w:tcW w:w="1101" w:type="dxa"/>
            <w:vMerge w:val="restart"/>
            <w:noWrap/>
            <w:vAlign w:val="center"/>
          </w:tcPr>
          <w:p>
            <w:pPr>
              <w:pStyle w:val="40"/>
            </w:pPr>
            <w:r>
              <w:rPr>
                <w:rFonts w:hint="eastAsia"/>
              </w:rPr>
              <w:t>生产车间</w:t>
            </w:r>
          </w:p>
        </w:tc>
        <w:tc>
          <w:tcPr>
            <w:tcW w:w="1434" w:type="dxa"/>
            <w:noWrap/>
            <w:vAlign w:val="center"/>
          </w:tcPr>
          <w:p>
            <w:pPr>
              <w:pStyle w:val="40"/>
            </w:pPr>
            <w:r>
              <w:t>边角料</w:t>
            </w:r>
          </w:p>
        </w:tc>
        <w:tc>
          <w:tcPr>
            <w:tcW w:w="3060" w:type="dxa"/>
            <w:noWrap/>
            <w:vAlign w:val="center"/>
          </w:tcPr>
          <w:p>
            <w:pPr>
              <w:pStyle w:val="40"/>
            </w:pPr>
            <w:r>
              <w:t>设有一般固废堆场，</w:t>
            </w:r>
            <w:r>
              <w:rPr>
                <w:rFonts w:hint="eastAsia"/>
              </w:rPr>
              <w:t>纸箱边角料</w:t>
            </w:r>
            <w:r>
              <w:t>由企业收集后</w:t>
            </w:r>
            <w:r>
              <w:rPr>
                <w:rFonts w:hint="eastAsia"/>
              </w:rPr>
              <w:t>外售其他厂家综合利用</w:t>
            </w:r>
          </w:p>
        </w:tc>
        <w:tc>
          <w:tcPr>
            <w:tcW w:w="2919" w:type="dxa"/>
            <w:vMerge w:val="restart"/>
            <w:noWrap/>
            <w:vAlign w:val="center"/>
          </w:tcPr>
          <w:p>
            <w:pPr>
              <w:pStyle w:val="40"/>
            </w:pPr>
            <w:r>
              <w:rPr>
                <w:rFonts w:hint="eastAsia"/>
              </w:rPr>
              <w:t>合理处置，不外排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70" w:hRule="atLeast"/>
          <w:jc w:val="center"/>
        </w:trPr>
        <w:tc>
          <w:tcPr>
            <w:tcW w:w="838" w:type="dxa"/>
            <w:vMerge w:val="continue"/>
            <w:noWrap/>
            <w:vAlign w:val="center"/>
          </w:tcPr>
          <w:p>
            <w:pPr>
              <w:pStyle w:val="40"/>
            </w:pPr>
          </w:p>
        </w:tc>
        <w:tc>
          <w:tcPr>
            <w:tcW w:w="1101" w:type="dxa"/>
            <w:vMerge w:val="continue"/>
            <w:noWrap/>
            <w:vAlign w:val="center"/>
          </w:tcPr>
          <w:p>
            <w:pPr>
              <w:pStyle w:val="40"/>
            </w:pPr>
          </w:p>
        </w:tc>
        <w:tc>
          <w:tcPr>
            <w:tcW w:w="1434" w:type="dxa"/>
            <w:noWrap/>
            <w:vAlign w:val="center"/>
          </w:tcPr>
          <w:p>
            <w:pPr>
              <w:pStyle w:val="40"/>
            </w:pPr>
            <w:r>
              <w:rPr>
                <w:rFonts w:hint="eastAsia"/>
              </w:rPr>
              <w:t>废活性炭、废UV光管、废印刷板、</w:t>
            </w:r>
            <w:r>
              <w:rPr>
                <w:rFonts w:hint="eastAsia"/>
                <w:lang w:eastAsia="zh-CN"/>
              </w:rPr>
              <w:t>废油墨桶、废胶桶</w:t>
            </w:r>
            <w:r>
              <w:t>等</w:t>
            </w:r>
          </w:p>
        </w:tc>
        <w:tc>
          <w:tcPr>
            <w:tcW w:w="3060" w:type="dxa"/>
            <w:noWrap/>
            <w:vAlign w:val="center"/>
          </w:tcPr>
          <w:p>
            <w:pPr>
              <w:pStyle w:val="40"/>
            </w:pPr>
            <w:r>
              <w:t>厂</w:t>
            </w:r>
            <w:r>
              <w:rPr>
                <w:rFonts w:hint="eastAsia"/>
              </w:rPr>
              <w:t>房内东北角，</w:t>
            </w:r>
            <w:r>
              <w:rPr>
                <w:rFonts w:hint="eastAsia"/>
                <w:highlight w:val="none"/>
              </w:rPr>
              <w:t>设危</w:t>
            </w:r>
            <w:r>
              <w:rPr>
                <w:rFonts w:hint="eastAsia"/>
              </w:rPr>
              <w:t>废暂存间15㎡。危险废物暂存场所采取防风、防雨、防腐、防渗等措施，危废</w:t>
            </w:r>
            <w:r>
              <w:t>送</w:t>
            </w:r>
            <w:r>
              <w:rPr>
                <w:rFonts w:hint="eastAsia"/>
              </w:rPr>
              <w:t>有资质的</w:t>
            </w:r>
            <w:r>
              <w:t>危险固废处置中心处置</w:t>
            </w:r>
            <w:r>
              <w:rPr>
                <w:rFonts w:hint="eastAsia"/>
              </w:rPr>
              <w:t>，并签订危废处置协议</w:t>
            </w:r>
          </w:p>
        </w:tc>
        <w:tc>
          <w:tcPr>
            <w:tcW w:w="2919" w:type="dxa"/>
            <w:vMerge w:val="continue"/>
            <w:noWrap/>
            <w:vAlign w:val="center"/>
          </w:tcPr>
          <w:p>
            <w:pPr>
              <w:pStyle w:val="4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7" w:hRule="atLeast"/>
          <w:jc w:val="center"/>
        </w:trPr>
        <w:tc>
          <w:tcPr>
            <w:tcW w:w="838" w:type="dxa"/>
            <w:vMerge w:val="continue"/>
            <w:noWrap/>
            <w:vAlign w:val="center"/>
          </w:tcPr>
          <w:p>
            <w:pPr>
              <w:pStyle w:val="40"/>
            </w:pPr>
          </w:p>
        </w:tc>
        <w:tc>
          <w:tcPr>
            <w:tcW w:w="1101" w:type="dxa"/>
            <w:tcBorders>
              <w:top w:val="single" w:color="auto" w:sz="4" w:space="0"/>
              <w:bottom w:val="single" w:color="auto" w:sz="4" w:space="0"/>
            </w:tcBorders>
            <w:noWrap/>
            <w:vAlign w:val="center"/>
          </w:tcPr>
          <w:p>
            <w:pPr>
              <w:pStyle w:val="40"/>
            </w:pPr>
            <w:r>
              <w:rPr>
                <w:rFonts w:hint="eastAsia"/>
              </w:rPr>
              <w:t>办公生活</w:t>
            </w:r>
          </w:p>
        </w:tc>
        <w:tc>
          <w:tcPr>
            <w:tcW w:w="1434" w:type="dxa"/>
            <w:tcBorders>
              <w:top w:val="single" w:color="auto" w:sz="4" w:space="0"/>
              <w:bottom w:val="single" w:color="auto" w:sz="4" w:space="0"/>
            </w:tcBorders>
            <w:noWrap/>
            <w:vAlign w:val="center"/>
          </w:tcPr>
          <w:p>
            <w:pPr>
              <w:pStyle w:val="40"/>
              <w:rPr>
                <w:rFonts w:hint="default" w:eastAsia="新宋体"/>
                <w:lang w:val="en-US" w:eastAsia="zh-CN"/>
              </w:rPr>
            </w:pPr>
            <w:r>
              <w:rPr>
                <w:rFonts w:hint="eastAsia"/>
              </w:rPr>
              <w:t>生活垃圾</w:t>
            </w:r>
            <w:r>
              <w:rPr>
                <w:rFonts w:hint="eastAsia"/>
                <w:lang w:eastAsia="zh-CN"/>
              </w:rPr>
              <w:t>、</w:t>
            </w:r>
            <w:r>
              <w:rPr>
                <w:rFonts w:hint="eastAsia"/>
                <w:lang w:val="en-US" w:eastAsia="zh-CN"/>
              </w:rPr>
              <w:t>废含油墨抹布</w:t>
            </w:r>
          </w:p>
        </w:tc>
        <w:tc>
          <w:tcPr>
            <w:tcW w:w="3060" w:type="dxa"/>
            <w:tcBorders>
              <w:bottom w:val="single" w:color="auto" w:sz="4" w:space="0"/>
            </w:tcBorders>
            <w:noWrap/>
            <w:vAlign w:val="center"/>
          </w:tcPr>
          <w:p>
            <w:pPr>
              <w:pStyle w:val="40"/>
            </w:pPr>
            <w:r>
              <w:rPr>
                <w:rFonts w:hint="eastAsia"/>
              </w:rPr>
              <w:t>垃圾收集桶，收集后委托环卫部门清运处理</w:t>
            </w:r>
          </w:p>
        </w:tc>
        <w:tc>
          <w:tcPr>
            <w:tcW w:w="2919" w:type="dxa"/>
            <w:vMerge w:val="continue"/>
            <w:noWrap/>
            <w:vAlign w:val="center"/>
          </w:tcPr>
          <w:p>
            <w:pPr>
              <w:pStyle w:val="4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739" w:hRule="atLeast"/>
          <w:jc w:val="center"/>
        </w:trPr>
        <w:tc>
          <w:tcPr>
            <w:tcW w:w="838" w:type="dxa"/>
            <w:noWrap/>
            <w:vAlign w:val="center"/>
          </w:tcPr>
          <w:p>
            <w:pPr>
              <w:pStyle w:val="40"/>
            </w:pPr>
            <w:r>
              <w:rPr>
                <w:rFonts w:hint="eastAsia"/>
              </w:rPr>
              <w:t>噪声</w:t>
            </w:r>
          </w:p>
        </w:tc>
        <w:tc>
          <w:tcPr>
            <w:tcW w:w="8514" w:type="dxa"/>
            <w:gridSpan w:val="4"/>
            <w:noWrap/>
            <w:vAlign w:val="center"/>
          </w:tcPr>
          <w:p>
            <w:pPr>
              <w:pStyle w:val="40"/>
            </w:pPr>
            <w:r>
              <w:rPr>
                <w:rFonts w:hint="eastAsia"/>
              </w:rPr>
              <w:t>经采取隔声、减振等各项降噪措施及距离衰减后，项目厂界噪声能满足</w:t>
            </w:r>
            <w:r>
              <w:t>GB12348-</w:t>
            </w:r>
            <w:r>
              <w:rPr>
                <w:rFonts w:hint="eastAsia"/>
              </w:rPr>
              <w:t>2008</w:t>
            </w:r>
            <w:r>
              <w:t>《工业企业厂界</w:t>
            </w:r>
            <w:r>
              <w:rPr>
                <w:rFonts w:hint="eastAsia"/>
              </w:rPr>
              <w:t>环境</w:t>
            </w:r>
            <w:r>
              <w:t>噪声</w:t>
            </w:r>
            <w:r>
              <w:rPr>
                <w:rFonts w:hint="eastAsia"/>
              </w:rPr>
              <w:t>排放</w:t>
            </w:r>
            <w:r>
              <w:t>标准》中的</w:t>
            </w:r>
            <w:r>
              <w:rPr>
                <w:rFonts w:hint="eastAsia"/>
              </w:rPr>
              <w:t>3</w:t>
            </w:r>
            <w:r>
              <w:fldChar w:fldCharType="begin"/>
            </w:r>
            <w:r>
              <w:instrText xml:space="preserve"> = 3 \* ROMAN </w:instrText>
            </w:r>
            <w:r>
              <w:fldChar w:fldCharType="end"/>
            </w:r>
            <w:r>
              <w:t>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352" w:type="dxa"/>
            <w:gridSpan w:val="5"/>
            <w:noWrap/>
            <w:vAlign w:val="center"/>
          </w:tcPr>
          <w:p>
            <w:pPr>
              <w:pStyle w:val="40"/>
              <w:jc w:val="left"/>
            </w:pPr>
            <w:r>
              <w:rPr>
                <w:rFonts w:hint="eastAsia"/>
              </w:rPr>
              <w:t>生态保护措施及预期效果：</w:t>
            </w:r>
          </w:p>
          <w:p>
            <w:pPr>
              <w:pStyle w:val="40"/>
              <w:jc w:val="left"/>
            </w:pPr>
          </w:p>
          <w:p>
            <w:pPr>
              <w:pStyle w:val="40"/>
              <w:jc w:val="left"/>
            </w:pPr>
            <w:r>
              <w:t>项目生产过程产生的污染物在得到</w:t>
            </w:r>
            <w:r>
              <w:rPr>
                <w:highlight w:val="none"/>
              </w:rPr>
              <w:t>很好的控制</w:t>
            </w:r>
            <w:r>
              <w:t>和处理后，项目建设对生态环境影响较小。</w:t>
            </w:r>
          </w:p>
          <w:p>
            <w:pPr>
              <w:pStyle w:val="40"/>
            </w:pPr>
          </w:p>
          <w:p>
            <w:pPr>
              <w:pStyle w:val="40"/>
            </w:pPr>
          </w:p>
          <w:p>
            <w:pPr>
              <w:pStyle w:val="40"/>
            </w:pPr>
          </w:p>
          <w:p>
            <w:pPr>
              <w:pStyle w:val="40"/>
            </w:pPr>
          </w:p>
          <w:p>
            <w:pPr>
              <w:pStyle w:val="40"/>
            </w:pPr>
          </w:p>
          <w:p>
            <w:pPr>
              <w:pStyle w:val="40"/>
            </w:pPr>
          </w:p>
          <w:p>
            <w:pPr>
              <w:pStyle w:val="40"/>
            </w:pPr>
          </w:p>
        </w:tc>
      </w:tr>
    </w:tbl>
    <w:p>
      <w:pPr>
        <w:pStyle w:val="10"/>
      </w:pPr>
      <w:r>
        <w:br w:type="page"/>
      </w:r>
    </w:p>
    <w:p>
      <w:pPr>
        <w:pStyle w:val="3"/>
      </w:pPr>
      <w:r>
        <w:rPr>
          <w:rFonts w:hint="eastAsia"/>
        </w:rPr>
        <w:t>九、结论</w:t>
      </w:r>
    </w:p>
    <w:tbl>
      <w:tblPr>
        <w:tblStyle w:val="24"/>
        <w:tblW w:w="0" w:type="auto"/>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3"/>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5" w:type="dxa"/>
            <w:gridSpan w:val="2"/>
            <w:noWrap/>
          </w:tcPr>
          <w:p>
            <w:pPr>
              <w:pStyle w:val="5"/>
            </w:pPr>
            <w:bookmarkStart w:id="18" w:name="_Toc27850"/>
            <w:r>
              <w:rPr>
                <w:rFonts w:hint="eastAsia"/>
              </w:rPr>
              <w:t>一</w:t>
            </w:r>
            <w:r>
              <w:t>、项目概述</w:t>
            </w:r>
            <w:bookmarkEnd w:id="18"/>
          </w:p>
          <w:p>
            <w:pPr>
              <w:pStyle w:val="5"/>
            </w:pPr>
            <w:bookmarkStart w:id="19" w:name="_Toc504660860"/>
            <w:bookmarkStart w:id="20" w:name="_Toc504978747"/>
            <w:bookmarkStart w:id="21" w:name="_Toc504978816"/>
            <w:r>
              <w:rPr>
                <w:rFonts w:hint="eastAsia"/>
              </w:rPr>
              <w:t>项目投资800万元，租赁淮南经济技术开发区金安包装有限公司内3号车间。项目占地1324.36平方米，</w:t>
            </w:r>
            <w:r>
              <w:t>购置主要设备</w:t>
            </w:r>
            <w:r>
              <w:rPr>
                <w:rFonts w:hint="eastAsia"/>
                <w:lang w:val="en-US" w:eastAsia="zh-CN"/>
              </w:rPr>
              <w:t>模切印刷一体机</w:t>
            </w:r>
            <w:r>
              <w:t>、</w:t>
            </w:r>
            <w:r>
              <w:rPr>
                <w:rFonts w:hint="eastAsia"/>
                <w:lang w:val="en-US" w:eastAsia="zh-CN"/>
              </w:rPr>
              <w:t>全自动粘合机</w:t>
            </w:r>
            <w:r>
              <w:t>、</w:t>
            </w:r>
            <w:r>
              <w:rPr>
                <w:rFonts w:hint="eastAsia"/>
                <w:lang w:val="en-US" w:eastAsia="zh-CN"/>
              </w:rPr>
              <w:t>分纸机</w:t>
            </w:r>
            <w:r>
              <w:t>、</w:t>
            </w:r>
            <w:r>
              <w:rPr>
                <w:rFonts w:hint="eastAsia"/>
                <w:lang w:val="en-US" w:eastAsia="zh-CN"/>
              </w:rPr>
              <w:t>钉箱机</w:t>
            </w:r>
            <w:r>
              <w:t>等14台，建设2条包装箱生产线</w:t>
            </w:r>
            <w:r>
              <w:rPr>
                <w:rFonts w:hint="eastAsia"/>
              </w:rPr>
              <w:t>，利用油墨、纸板、</w:t>
            </w:r>
            <w:r>
              <w:rPr>
                <w:rFonts w:hint="eastAsia"/>
                <w:lang w:val="en-US" w:eastAsia="zh-CN"/>
              </w:rPr>
              <w:t>胶水</w:t>
            </w:r>
            <w:r>
              <w:rPr>
                <w:rFonts w:hint="eastAsia"/>
              </w:rPr>
              <w:t>等为原料，建设年</w:t>
            </w:r>
            <w:r>
              <w:rPr>
                <w:rFonts w:hint="eastAsia"/>
                <w:lang w:val="en-US" w:eastAsia="zh-CN"/>
              </w:rPr>
              <w:t>加工150</w:t>
            </w:r>
            <w:r>
              <w:rPr>
                <w:rFonts w:hint="eastAsia"/>
              </w:rPr>
              <w:t>万平方</w:t>
            </w:r>
            <w:r>
              <w:rPr>
                <w:rFonts w:hint="eastAsia"/>
                <w:lang w:val="en-US" w:eastAsia="zh-CN"/>
              </w:rPr>
              <w:t>米纸箱项目</w:t>
            </w:r>
            <w:r>
              <w:rPr>
                <w:rFonts w:hint="eastAsia"/>
              </w:rPr>
              <w:t>，</w:t>
            </w:r>
            <w:r>
              <w:t>项目环保投资</w:t>
            </w:r>
            <w:r>
              <w:rPr>
                <w:rFonts w:hint="eastAsia"/>
              </w:rPr>
              <w:t>10</w:t>
            </w:r>
            <w:r>
              <w:t>万元，占总投资（</w:t>
            </w:r>
            <w:r>
              <w:rPr>
                <w:rFonts w:hint="eastAsia"/>
              </w:rPr>
              <w:t>800</w:t>
            </w:r>
            <w:r>
              <w:t>万元）的</w:t>
            </w:r>
            <w:r>
              <w:rPr>
                <w:rFonts w:hint="eastAsia"/>
              </w:rPr>
              <w:t>1.25</w:t>
            </w:r>
            <w:r>
              <w:t>%。</w:t>
            </w:r>
          </w:p>
          <w:p>
            <w:pPr>
              <w:pStyle w:val="5"/>
            </w:pPr>
            <w:bookmarkStart w:id="22" w:name="_Toc5744"/>
            <w:r>
              <w:rPr>
                <w:rFonts w:hint="eastAsia"/>
              </w:rPr>
              <w:t>二</w:t>
            </w:r>
            <w:r>
              <w:t>、产业政策符合性结论</w:t>
            </w:r>
            <w:bookmarkEnd w:id="19"/>
            <w:bookmarkEnd w:id="20"/>
            <w:bookmarkEnd w:id="21"/>
            <w:bookmarkEnd w:id="22"/>
          </w:p>
          <w:p>
            <w:pPr>
              <w:pStyle w:val="5"/>
            </w:pPr>
            <w:bookmarkStart w:id="23" w:name="_Toc1871"/>
            <w:bookmarkStart w:id="24" w:name="_Toc504660861"/>
            <w:bookmarkStart w:id="25" w:name="_Toc504978817"/>
            <w:bookmarkStart w:id="26" w:name="_Toc504978748"/>
            <w:r>
              <w:rPr>
                <w:rFonts w:hint="eastAsia"/>
              </w:rPr>
              <w:t>本项目属于纸和纸板容器制造，其不</w:t>
            </w:r>
            <w:r>
              <w:t>属于《产业结构调整指导目录（201</w:t>
            </w:r>
            <w:r>
              <w:rPr>
                <w:rFonts w:hint="eastAsia"/>
              </w:rPr>
              <w:t>9</w:t>
            </w:r>
            <w:r>
              <w:t>年本）》</w:t>
            </w:r>
            <w:r>
              <w:rPr>
                <w:rFonts w:hint="eastAsia"/>
              </w:rPr>
              <w:t>和《</w:t>
            </w:r>
            <w:r>
              <w:t>安徽省工业产业结构调整指导目录</w:t>
            </w:r>
            <w:r>
              <w:rPr>
                <w:rFonts w:hint="eastAsia"/>
              </w:rPr>
              <w:t>（2007年本）》的淘汰类或限制类，亦不属于其他法律法规要求淘汰和限制的产业</w:t>
            </w:r>
            <w:r>
              <w:t>。</w:t>
            </w:r>
            <w:r>
              <w:rPr>
                <w:rFonts w:hint="eastAsia"/>
              </w:rPr>
              <w:t>同时淮南经济技术开发区管理委员会备案同意项目备案，备案号2020-340461-22-03-027957。项目建设符合国家产业政策要求。</w:t>
            </w:r>
          </w:p>
          <w:p>
            <w:pPr>
              <w:pStyle w:val="5"/>
            </w:pPr>
            <w:r>
              <w:rPr>
                <w:rFonts w:hint="eastAsia"/>
              </w:rPr>
              <w:t>三</w:t>
            </w:r>
            <w:r>
              <w:t>、选址合理性结论</w:t>
            </w:r>
            <w:bookmarkEnd w:id="23"/>
            <w:bookmarkEnd w:id="24"/>
            <w:bookmarkEnd w:id="25"/>
            <w:bookmarkEnd w:id="26"/>
          </w:p>
          <w:p>
            <w:pPr>
              <w:pStyle w:val="5"/>
            </w:pPr>
            <w:bookmarkStart w:id="27" w:name="_Toc504978749"/>
            <w:bookmarkStart w:id="28" w:name="_Toc504660862"/>
            <w:bookmarkStart w:id="29" w:name="_Toc19820"/>
            <w:bookmarkStart w:id="30" w:name="_Toc504978818"/>
            <w:r>
              <w:t>项目选址位于</w:t>
            </w:r>
            <w:r>
              <w:rPr>
                <w:rFonts w:hint="eastAsia"/>
              </w:rPr>
              <w:t>淮南经济技术开发区金安包装有限公司院内3号车间</w:t>
            </w:r>
            <w:r>
              <w:t>，属于工业用地，不属于《限制用地项目目录》（2012年本）和《禁止用地项目目录》（2012年本）限制和禁止用地之列</w:t>
            </w:r>
            <w:r>
              <w:rPr>
                <w:rFonts w:hint="eastAsia"/>
              </w:rPr>
              <w:t>。</w:t>
            </w:r>
            <w:r>
              <w:t>项目</w:t>
            </w:r>
            <w:r>
              <w:rPr>
                <w:rFonts w:hint="eastAsia"/>
              </w:rPr>
              <w:t>南</w:t>
            </w:r>
            <w:r>
              <w:t>侧</w:t>
            </w:r>
            <w:r>
              <w:rPr>
                <w:rFonts w:hint="eastAsia"/>
              </w:rPr>
              <w:t>是淮南舜隆制药有限公司；东</w:t>
            </w:r>
            <w:r>
              <w:t>侧</w:t>
            </w:r>
            <w:r>
              <w:rPr>
                <w:rFonts w:hint="eastAsia"/>
              </w:rPr>
              <w:t>紧靠是空置规划用地</w:t>
            </w:r>
            <w:r>
              <w:t>；西侧</w:t>
            </w:r>
            <w:r>
              <w:rPr>
                <w:rFonts w:hint="eastAsia"/>
              </w:rPr>
              <w:t>是安徽水卫士有限公司</w:t>
            </w:r>
            <w:r>
              <w:t>；</w:t>
            </w:r>
            <w:r>
              <w:rPr>
                <w:rFonts w:hint="eastAsia"/>
              </w:rPr>
              <w:t>西南侧是安徽鑫恒玻璃有限公司。</w:t>
            </w:r>
            <w:r>
              <w:t>项目厂址地理位置优越，交通便利，配套设施正在完善，具有良好的投资和发展前景。</w:t>
            </w:r>
            <w:r>
              <w:rPr>
                <w:rFonts w:hint="eastAsia"/>
              </w:rPr>
              <w:t>项目</w:t>
            </w:r>
            <w:r>
              <w:t>选址区域环境质量现状良好，没有大的污染源存在，而且本项目的建设对周围环境的污染很小，不会对环境质量造成大的改变。因此，项目选址合理。</w:t>
            </w:r>
          </w:p>
          <w:p>
            <w:pPr>
              <w:pStyle w:val="5"/>
            </w:pPr>
            <w:r>
              <w:rPr>
                <w:rFonts w:hint="eastAsia"/>
              </w:rPr>
              <w:t>四</w:t>
            </w:r>
            <w:r>
              <w:t>、环境质量现状结论</w:t>
            </w:r>
            <w:bookmarkEnd w:id="27"/>
            <w:bookmarkEnd w:id="28"/>
            <w:bookmarkEnd w:id="29"/>
            <w:bookmarkEnd w:id="30"/>
          </w:p>
          <w:p>
            <w:pPr>
              <w:pStyle w:val="5"/>
            </w:pPr>
            <w:r>
              <w:t>1、根据《2019年淮南市环境质量状况公报》</w:t>
            </w:r>
            <w:r>
              <w:rPr>
                <w:rFonts w:hint="eastAsia"/>
                <w:lang w:val="en-US" w:eastAsia="zh-CN"/>
              </w:rPr>
              <w:t>和《淮南经济技术开发区总体发展规划环境影响跟踪评价》中淮南经开区大气现状监测数据</w:t>
            </w:r>
            <w:r>
              <w:rPr>
                <w:rFonts w:hint="eastAsia"/>
                <w:lang w:eastAsia="zh-CN"/>
              </w:rPr>
              <w:t>，</w:t>
            </w:r>
            <w:r>
              <w:rPr>
                <w:rFonts w:hint="eastAsia"/>
              </w:rPr>
              <w:t>选取大气污染指标评价因子为二氧化硫（SO</w:t>
            </w:r>
            <w:r>
              <w:rPr>
                <w:vertAlign w:val="subscript"/>
              </w:rPr>
              <w:t>2</w:t>
            </w:r>
            <w:r>
              <w:rPr>
                <w:rFonts w:hint="eastAsia"/>
              </w:rPr>
              <w:t>）、二氧化氮（NO</w:t>
            </w:r>
            <w:r>
              <w:rPr>
                <w:vertAlign w:val="subscript"/>
              </w:rPr>
              <w:t>2</w:t>
            </w:r>
            <w:r>
              <w:rPr>
                <w:rFonts w:hint="eastAsia"/>
              </w:rPr>
              <w:t>）、可吸入颗粒物（PM</w:t>
            </w:r>
            <w:r>
              <w:rPr>
                <w:vertAlign w:val="subscript"/>
              </w:rPr>
              <w:t>10</w:t>
            </w:r>
            <w:r>
              <w:rPr>
                <w:rFonts w:hint="eastAsia"/>
              </w:rPr>
              <w:t>）、细微颗粒物（</w:t>
            </w:r>
            <w:r>
              <w:t>PM</w:t>
            </w:r>
            <w:r>
              <w:rPr>
                <w:vertAlign w:val="subscript"/>
              </w:rPr>
              <w:t>2.5</w:t>
            </w:r>
            <w:r>
              <w:rPr>
                <w:rFonts w:hint="eastAsia"/>
              </w:rPr>
              <w:t>）、臭氧（O</w:t>
            </w:r>
            <w:r>
              <w:rPr>
                <w:vertAlign w:val="subscript"/>
              </w:rPr>
              <w:t>3</w:t>
            </w:r>
            <w:r>
              <w:rPr>
                <w:rFonts w:hint="eastAsia"/>
              </w:rPr>
              <w:t>）、一氧化碳（CO）。2019年，淮南市市区环境空气中的主要污染物二氧化硫（SO</w:t>
            </w:r>
            <w:r>
              <w:rPr>
                <w:rFonts w:hint="eastAsia"/>
                <w:vertAlign w:val="subscript"/>
              </w:rPr>
              <w:t>2</w:t>
            </w:r>
            <w:r>
              <w:rPr>
                <w:rFonts w:hint="eastAsia"/>
              </w:rPr>
              <w:t>）年均浓度、二氧化氮（NO</w:t>
            </w:r>
            <w:r>
              <w:rPr>
                <w:rFonts w:hint="eastAsia"/>
                <w:vertAlign w:val="subscript"/>
              </w:rPr>
              <w:t>2</w:t>
            </w:r>
            <w:r>
              <w:rPr>
                <w:rFonts w:hint="eastAsia"/>
              </w:rPr>
              <w:t>）年均浓度、可吸入颗粒物（PM</w:t>
            </w:r>
            <w:r>
              <w:rPr>
                <w:rFonts w:hint="eastAsia"/>
                <w:vertAlign w:val="subscript"/>
              </w:rPr>
              <w:t>10</w:t>
            </w:r>
            <w:r>
              <w:rPr>
                <w:rFonts w:hint="eastAsia"/>
              </w:rPr>
              <w:t>）年均浓度、细颗粒物（PM</w:t>
            </w:r>
            <w:r>
              <w:rPr>
                <w:rFonts w:hint="eastAsia"/>
                <w:vertAlign w:val="subscript"/>
              </w:rPr>
              <w:t>2.5</w:t>
            </w:r>
            <w:r>
              <w:rPr>
                <w:rFonts w:hint="eastAsia"/>
              </w:rPr>
              <w:t>）年均浓度、一氧化碳（CO）日均值第95百分位浓度、臭氧（O</w:t>
            </w:r>
            <w:r>
              <w:rPr>
                <w:rFonts w:hint="eastAsia"/>
                <w:vertAlign w:val="subscript"/>
              </w:rPr>
              <w:t>3</w:t>
            </w:r>
            <w:r>
              <w:rPr>
                <w:rFonts w:hint="eastAsia"/>
              </w:rPr>
              <w:t>）日最大8小时平均第90百分位浓度分别为14微克/立方米、28微克/立方米、91.3微克/立方米、53.4微克/立方米、1.1毫克/立方米和173微克/立方米，二氧化硫、二氧化氮、一氧化碳均符合《环境空气质量标准》（GB3095-2012）二级标准，可吸入颗粒物（PM</w:t>
            </w:r>
            <w:r>
              <w:rPr>
                <w:rFonts w:hint="eastAsia"/>
                <w:vertAlign w:val="subscript"/>
              </w:rPr>
              <w:t>10</w:t>
            </w:r>
            <w:r>
              <w:rPr>
                <w:rFonts w:hint="eastAsia"/>
              </w:rPr>
              <w:t>）年均浓度、细颗粒物（PM</w:t>
            </w:r>
            <w:r>
              <w:rPr>
                <w:rFonts w:hint="eastAsia"/>
                <w:vertAlign w:val="subscript"/>
              </w:rPr>
              <w:t>2.5</w:t>
            </w:r>
            <w:r>
              <w:rPr>
                <w:rFonts w:hint="eastAsia"/>
              </w:rPr>
              <w:t>）年均浓度和臭氧（O</w:t>
            </w:r>
            <w:r>
              <w:rPr>
                <w:rFonts w:hint="eastAsia"/>
                <w:vertAlign w:val="subscript"/>
              </w:rPr>
              <w:t>3</w:t>
            </w:r>
            <w:r>
              <w:rPr>
                <w:rFonts w:hint="eastAsia"/>
              </w:rPr>
              <w:t>）日最大8小时平均第90百分位浓度分别超过《环境空气质量标准》（GB3095-2012）及其修改单二级标准0.3倍、0.53倍和0.08倍。</w:t>
            </w:r>
          </w:p>
          <w:p>
            <w:pPr>
              <w:pStyle w:val="5"/>
            </w:pPr>
            <w:r>
              <w:rPr>
                <w:rFonts w:hint="eastAsia"/>
              </w:rPr>
              <w:t>2、水环境质量现状</w:t>
            </w:r>
          </w:p>
          <w:p>
            <w:pPr>
              <w:pStyle w:val="5"/>
            </w:pPr>
            <w:r>
              <w:rPr>
                <w:rFonts w:hint="eastAsia"/>
              </w:rPr>
              <w:t>项目的纳污水体为淮河，Ⅲ类水体，执行《地表水环境质量标准》（GB3838-2002）Ⅲ类标准。</w:t>
            </w:r>
          </w:p>
          <w:p>
            <w:pPr>
              <w:pStyle w:val="5"/>
            </w:pPr>
            <w:r>
              <w:rPr>
                <w:rFonts w:hint="eastAsia"/>
              </w:rPr>
              <w:t>3、声环境质量现状</w:t>
            </w:r>
          </w:p>
          <w:p>
            <w:pPr>
              <w:pStyle w:val="5"/>
            </w:pPr>
            <w:r>
              <w:rPr>
                <w:rFonts w:hint="eastAsia"/>
              </w:rPr>
              <w:t>本项目声环境质量现状监测点位选择厂址东、西、南、北厂界外1m处各1个，监测时间为2020年月日至月日，连续监测天。昼夜各监测一次，均满足《声环境质量标准》（GB3096-2008）中3类标准。</w:t>
            </w:r>
          </w:p>
          <w:p>
            <w:pPr>
              <w:pStyle w:val="5"/>
            </w:pPr>
            <w:bookmarkStart w:id="31" w:name="_Toc32724"/>
            <w:bookmarkStart w:id="32" w:name="_Toc504978752"/>
            <w:bookmarkStart w:id="33" w:name="_Toc504660865"/>
            <w:bookmarkStart w:id="34" w:name="_Toc504978821"/>
            <w:r>
              <w:rPr>
                <w:rFonts w:hint="eastAsia"/>
              </w:rPr>
              <w:t>4</w:t>
            </w:r>
            <w:r>
              <w:t>、污染防治及达标排放结论</w:t>
            </w:r>
            <w:bookmarkEnd w:id="31"/>
            <w:bookmarkEnd w:id="32"/>
            <w:bookmarkEnd w:id="33"/>
            <w:bookmarkEnd w:id="34"/>
          </w:p>
          <w:p>
            <w:pPr>
              <w:pStyle w:val="5"/>
            </w:pPr>
            <w:r>
              <w:t>（1）</w:t>
            </w:r>
            <w:r>
              <w:rPr>
                <w:rFonts w:hint="eastAsia"/>
              </w:rPr>
              <w:t>废气</w:t>
            </w:r>
          </w:p>
          <w:p>
            <w:pPr>
              <w:spacing w:line="360" w:lineRule="auto"/>
              <w:ind w:firstLine="480" w:firstLineChars="200"/>
              <w:rPr>
                <w:rFonts w:hint="eastAsia"/>
                <w:color w:val="FF0000"/>
                <w:sz w:val="24"/>
              </w:rPr>
            </w:pPr>
            <w:r>
              <w:rPr>
                <w:rFonts w:hint="eastAsia"/>
              </w:rPr>
              <w:t>项目运营期废气为印刷和粘合产生的有机废气。有机废气经3个各自的集气罩收集后引采用“UV光解+</w:t>
            </w:r>
            <w:r>
              <w:t>活性炭吸附装置</w:t>
            </w:r>
            <w:r>
              <w:rPr>
                <w:rFonts w:hint="eastAsia"/>
              </w:rPr>
              <w:t>”</w:t>
            </w:r>
            <w:r>
              <w:t>进行处理，废气通过</w:t>
            </w:r>
            <w:r>
              <w:rPr>
                <w:rFonts w:hint="eastAsia"/>
              </w:rPr>
              <w:t>15</w:t>
            </w:r>
            <w:r>
              <w:t>m高排气筒（</w:t>
            </w:r>
            <w:r>
              <w:rPr>
                <w:rFonts w:hint="eastAsia"/>
              </w:rPr>
              <w:t>DA001</w:t>
            </w:r>
            <w:r>
              <w:t>）排放；</w:t>
            </w:r>
            <w:r>
              <w:rPr>
                <w:rFonts w:hint="eastAsia"/>
                <w:lang w:val="en-US" w:eastAsia="zh-CN"/>
              </w:rPr>
              <w:t>有组织</w:t>
            </w:r>
            <w:r>
              <w:rPr>
                <w:rFonts w:hint="eastAsia"/>
              </w:rPr>
              <w:t>废气排放能够满足</w:t>
            </w:r>
            <w:r>
              <w:fldChar w:fldCharType="begin"/>
            </w:r>
            <w:r>
              <w:instrText xml:space="preserve"> HYPERLINK "http://www.baidu.com/link?url=W-trSr3jbM4pxl5iB_JjWdCfFj5Zm2OXB3sXLvo5pzNhHAvbQHjR8so10LPh_sQSO9tOCyJy28LFapysHqqjCsfsKaIQ130feo3s6BnCgU_" \t "_blank" </w:instrText>
            </w:r>
            <w:r>
              <w:fldChar w:fldCharType="separate"/>
            </w:r>
            <w:r>
              <w:rPr>
                <w:rFonts w:hint="eastAsia"/>
              </w:rPr>
              <w:t>《</w:t>
            </w:r>
            <w:r>
              <w:rPr>
                <w:rFonts w:hint="eastAsia"/>
                <w:lang w:val="en-US" w:eastAsia="zh-CN"/>
              </w:rPr>
              <w:t>上海市地方标准大气污染物综合排放标准</w:t>
            </w:r>
            <w:r>
              <w:rPr>
                <w:rFonts w:hint="eastAsia"/>
              </w:rPr>
              <w:t>》（</w:t>
            </w:r>
            <w:r>
              <w:rPr>
                <w:rFonts w:hint="eastAsia"/>
                <w:lang w:val="en-US" w:eastAsia="zh-CN"/>
              </w:rPr>
              <w:t>D</w:t>
            </w:r>
            <w:r>
              <w:fldChar w:fldCharType="end"/>
            </w:r>
            <w:r>
              <w:rPr>
                <w:rFonts w:hint="eastAsia"/>
                <w:lang w:val="en-US" w:eastAsia="zh-CN"/>
              </w:rPr>
              <w:t>B31/933-2015</w:t>
            </w:r>
            <w:r>
              <w:rPr>
                <w:rFonts w:hint="eastAsia"/>
              </w:rPr>
              <w:t>）中浓度限值要求；</w:t>
            </w:r>
            <w:r>
              <w:rPr>
                <w:rFonts w:hint="eastAsia"/>
                <w:lang w:val="en-US" w:eastAsia="zh-CN"/>
              </w:rPr>
              <w:t>有组织</w:t>
            </w:r>
            <w:r>
              <w:rPr>
                <w:rFonts w:hint="eastAsia"/>
              </w:rPr>
              <w:t>废气排放能够满足</w:t>
            </w:r>
            <w:r>
              <w:rPr>
                <w:rStyle w:val="52"/>
              </w:rPr>
              <w:t>《挥发性有机物无组织排放控制标准》（GB 37822-2019）中表A.1规定的限值。</w:t>
            </w:r>
            <w:bookmarkStart w:id="39" w:name="_GoBack"/>
            <w:bookmarkEnd w:id="39"/>
          </w:p>
          <w:p>
            <w:pPr>
              <w:pStyle w:val="5"/>
            </w:pPr>
            <w:r>
              <w:t>根据《环境影响评价技术导则 大气环境》（HJ2.2-2018）中“大气环境防护距离”的要求，以项目排放的所有污染源</w:t>
            </w:r>
            <w:r>
              <w:rPr>
                <w:rFonts w:hint="eastAsia"/>
              </w:rPr>
              <w:t>，</w:t>
            </w:r>
            <w:r>
              <w:t>经进一步预测模型预测，无大于等于环境质量标准限值的网格区域的包络线</w:t>
            </w:r>
            <w:r>
              <w:rPr>
                <w:rFonts w:hint="eastAsia"/>
              </w:rPr>
              <w:t>，</w:t>
            </w:r>
            <w:r>
              <w:t>不设置大气环境防护距离。</w:t>
            </w:r>
          </w:p>
          <w:p>
            <w:pPr>
              <w:pStyle w:val="5"/>
            </w:pPr>
            <w:r>
              <w:t>（</w:t>
            </w:r>
            <w:r>
              <w:rPr>
                <w:rFonts w:hint="eastAsia"/>
              </w:rPr>
              <w:t>2</w:t>
            </w:r>
            <w:r>
              <w:t>）废水</w:t>
            </w:r>
          </w:p>
          <w:p>
            <w:pPr>
              <w:pStyle w:val="5"/>
            </w:pPr>
            <w:r>
              <w:t>本项目废水主要为生活污水</w:t>
            </w:r>
            <w:r>
              <w:rPr>
                <w:rFonts w:hint="eastAsia"/>
              </w:rPr>
              <w:t>和清洗印刷机的废水</w:t>
            </w:r>
            <w:r>
              <w:t>。</w:t>
            </w:r>
          </w:p>
          <w:p>
            <w:pPr>
              <w:pStyle w:val="5"/>
            </w:pPr>
            <w:r>
              <w:rPr>
                <w:rFonts w:hint="eastAsia"/>
              </w:rPr>
              <w:t>生活污水化粪池处理后经市政管网进入淮南市</w:t>
            </w:r>
            <w:r>
              <w:rPr>
                <w:rFonts w:hint="eastAsia"/>
                <w:lang w:val="en-US" w:eastAsia="zh-CN"/>
              </w:rPr>
              <w:t>经济技术开发区</w:t>
            </w:r>
            <w:r>
              <w:rPr>
                <w:rFonts w:hint="eastAsia"/>
              </w:rPr>
              <w:t>污水处理站处理后尾水排入淮河。印刷废水经过</w:t>
            </w:r>
            <w:r>
              <w:rPr>
                <w:rFonts w:hint="eastAsia"/>
                <w:lang w:val="en-US" w:eastAsia="zh-CN"/>
              </w:rPr>
              <w:t>收集后交由有资质单位进行处理</w:t>
            </w:r>
            <w:r>
              <w:rPr>
                <w:rFonts w:hint="eastAsia"/>
              </w:rPr>
              <w:t>，不外排。</w:t>
            </w:r>
          </w:p>
          <w:p>
            <w:pPr>
              <w:pStyle w:val="5"/>
            </w:pPr>
            <w:r>
              <w:t>（</w:t>
            </w:r>
            <w:r>
              <w:rPr>
                <w:rFonts w:hint="eastAsia"/>
              </w:rPr>
              <w:t>3</w:t>
            </w:r>
            <w:r>
              <w:t>）噪声</w:t>
            </w:r>
          </w:p>
          <w:p>
            <w:pPr>
              <w:pStyle w:val="5"/>
            </w:pPr>
            <w:r>
              <w:t>本项目噪声主要为车间设备噪声，选用低噪声设备，噪声经设备增设减振垫、厂房墙壁隔声及距离衰减后，传播至厂界处可满足《工业企业厂界环境噪声排放标准》（GB12348-2008）的</w:t>
            </w:r>
            <w:r>
              <w:rPr>
                <w:rFonts w:hint="eastAsia"/>
              </w:rPr>
              <w:t>3</w:t>
            </w:r>
            <w:r>
              <w:t>类标准限值，即昼间6</w:t>
            </w:r>
            <w:r>
              <w:rPr>
                <w:rFonts w:hint="eastAsia"/>
              </w:rPr>
              <w:t>5</w:t>
            </w:r>
            <w:r>
              <w:t>dB(A)、夜间5</w:t>
            </w:r>
            <w:r>
              <w:rPr>
                <w:rFonts w:hint="eastAsia"/>
              </w:rPr>
              <w:t>5</w:t>
            </w:r>
            <w:r>
              <w:t>dB(A)。</w:t>
            </w:r>
          </w:p>
          <w:p>
            <w:pPr>
              <w:pStyle w:val="5"/>
            </w:pPr>
            <w:r>
              <w:t>（</w:t>
            </w:r>
            <w:r>
              <w:rPr>
                <w:rFonts w:hint="eastAsia"/>
              </w:rPr>
              <w:t>4</w:t>
            </w:r>
            <w:r>
              <w:t>）固体废物</w:t>
            </w:r>
          </w:p>
          <w:p>
            <w:pPr>
              <w:pStyle w:val="5"/>
            </w:pPr>
            <w:r>
              <w:t>本项目产生的固体废物主要有生活垃圾</w:t>
            </w:r>
            <w:r>
              <w:rPr>
                <w:rFonts w:hint="eastAsia"/>
              </w:rPr>
              <w:t>、边角料。</w:t>
            </w:r>
          </w:p>
          <w:p>
            <w:pPr>
              <w:pStyle w:val="5"/>
            </w:pPr>
            <w:r>
              <w:rPr>
                <w:rFonts w:hint="eastAsia"/>
              </w:rPr>
              <w:t>纸箱边角料</w:t>
            </w:r>
            <w:r>
              <w:t>由企业收集后</w:t>
            </w:r>
            <w:r>
              <w:rPr>
                <w:rFonts w:hint="eastAsia"/>
              </w:rPr>
              <w:t>外售其他厂家综合利用，</w:t>
            </w:r>
            <w:r>
              <w:t>员工生活垃圾集中收集后由环卫部门定期清运</w:t>
            </w:r>
            <w:r>
              <w:rPr>
                <w:rFonts w:hint="eastAsia"/>
              </w:rPr>
              <w:t>，</w:t>
            </w:r>
            <w:r>
              <w:t>项目产生的固体废物都能得到妥善处置，不会造成二次污染，对周围环境不会造成影响。</w:t>
            </w:r>
          </w:p>
          <w:p>
            <w:pPr>
              <w:pStyle w:val="5"/>
              <w:numPr>
                <w:ilvl w:val="0"/>
                <w:numId w:val="14"/>
              </w:numPr>
            </w:pPr>
            <w:r>
              <w:rPr>
                <w:rFonts w:hint="eastAsia"/>
              </w:rPr>
              <w:t>危险废物</w:t>
            </w:r>
          </w:p>
          <w:p>
            <w:pPr>
              <w:pStyle w:val="5"/>
            </w:pPr>
            <w:bookmarkStart w:id="35" w:name="_Toc504660866"/>
            <w:bookmarkStart w:id="36" w:name="_Toc504978822"/>
            <w:bookmarkStart w:id="37" w:name="_Toc504978753"/>
            <w:bookmarkStart w:id="38" w:name="_Toc11033"/>
            <w:r>
              <w:rPr>
                <w:rFonts w:hint="eastAsia"/>
              </w:rPr>
              <w:t>项目产生的危险废物为</w:t>
            </w:r>
            <w:r>
              <w:t>废活性炭、</w:t>
            </w:r>
            <w:r>
              <w:rPr>
                <w:rFonts w:hint="eastAsia"/>
              </w:rPr>
              <w:t>废UV灯管、废含油墨抹布、</w:t>
            </w:r>
            <w:r>
              <w:rPr>
                <w:rFonts w:hint="eastAsia"/>
                <w:lang w:eastAsia="zh-CN"/>
              </w:rPr>
              <w:t>废油墨桶、废胶桶</w:t>
            </w:r>
            <w:r>
              <w:rPr>
                <w:rFonts w:hint="eastAsia"/>
              </w:rPr>
              <w:t>、废印刷板</w:t>
            </w:r>
            <w:r>
              <w:t>等；</w:t>
            </w:r>
            <w:r>
              <w:rPr>
                <w:rFonts w:hint="eastAsia"/>
              </w:rPr>
              <w:t>废活性炭采用密封编织袋进行收集存放于危废库。废UV灯管采用塑料桶收集，</w:t>
            </w:r>
            <w:r>
              <w:rPr>
                <w:rFonts w:hint="eastAsia"/>
                <w:lang w:val="en-US" w:eastAsia="zh-CN"/>
              </w:rPr>
              <w:t>印刷清洗废水</w:t>
            </w:r>
            <w:r>
              <w:rPr>
                <w:rFonts w:hint="eastAsia"/>
              </w:rPr>
              <w:t>采用</w:t>
            </w:r>
            <w:r>
              <w:rPr>
                <w:rFonts w:hint="eastAsia"/>
                <w:lang w:val="en-US" w:eastAsia="zh-CN"/>
              </w:rPr>
              <w:t>空桶</w:t>
            </w:r>
            <w:r>
              <w:rPr>
                <w:rFonts w:hint="eastAsia"/>
              </w:rPr>
              <w:t>存放于危废库，定期交有资质单位处理。废印刷板暂存于危废库，定期交有资质单位处理。</w:t>
            </w:r>
          </w:p>
          <w:p>
            <w:pPr>
              <w:pStyle w:val="5"/>
            </w:pPr>
            <w:r>
              <w:rPr>
                <w:rFonts w:hint="eastAsia"/>
              </w:rPr>
              <w:t>五、</w:t>
            </w:r>
            <w:r>
              <w:t>综述可行性结论</w:t>
            </w:r>
            <w:bookmarkEnd w:id="35"/>
            <w:bookmarkEnd w:id="36"/>
            <w:bookmarkEnd w:id="37"/>
            <w:bookmarkEnd w:id="38"/>
          </w:p>
          <w:p>
            <w:pPr>
              <w:pStyle w:val="5"/>
            </w:pPr>
            <w:r>
              <w:t>综合以上各项结论分析，只要建设单位严格执行环保“三同时”管理规定要求，对各项污染物采取及时、有效的防治措施，可确保各类污染物达标排放，并不会对周边区域造成明显污染及不良影响。</w:t>
            </w:r>
          </w:p>
          <w:p>
            <w:pPr>
              <w:pStyle w:val="5"/>
            </w:pPr>
            <w:r>
              <w:t>根据以上结论并从环保角度考虑，本项目可行。</w:t>
            </w:r>
          </w:p>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9"/>
              <w:ind w:left="0" w:leftChars="0" w:firstLine="0" w:firstLineChars="0"/>
            </w:pPr>
          </w:p>
          <w:p>
            <w:pPr>
              <w:pStyle w:val="19"/>
              <w:ind w:left="0" w:leftChars="0" w:firstLine="0" w:firstLineChars="0"/>
            </w:pPr>
          </w:p>
          <w:p>
            <w:pPr>
              <w:pStyle w:val="19"/>
              <w:ind w:left="0" w:leftChars="0"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9" w:hRule="atLeast"/>
        </w:trPr>
        <w:tc>
          <w:tcPr>
            <w:tcW w:w="9375" w:type="dxa"/>
            <w:gridSpan w:val="2"/>
            <w:noWrap/>
          </w:tcPr>
          <w:p>
            <w:pPr>
              <w:pStyle w:val="3"/>
            </w:pPr>
            <w:r>
              <w:rPr>
                <w:rFonts w:hint="eastAsia"/>
              </w:rPr>
              <w:t>预审意见：</w:t>
            </w:r>
          </w:p>
          <w:p/>
          <w:p>
            <w:pPr>
              <w:pStyle w:val="10"/>
            </w:pPr>
          </w:p>
          <w:p/>
          <w:p>
            <w:pPr>
              <w:pStyle w:val="10"/>
            </w:pPr>
          </w:p>
          <w:p/>
          <w:p>
            <w:pPr>
              <w:pStyle w:val="10"/>
            </w:pPr>
          </w:p>
          <w:p/>
          <w:p>
            <w:pPr>
              <w:pStyle w:val="10"/>
            </w:pPr>
          </w:p>
          <w:p/>
          <w:p>
            <w:pPr>
              <w:pStyle w:val="10"/>
            </w:pPr>
          </w:p>
          <w:p/>
          <w:p>
            <w:pPr>
              <w:pStyle w:val="10"/>
            </w:pPr>
          </w:p>
          <w:p>
            <w:pPr>
              <w:pStyle w:val="3"/>
            </w:pPr>
            <w:r>
              <w:rPr>
                <w:rFonts w:hint="eastAsia"/>
              </w:rPr>
              <w:t>经办人：                                       公   章</w:t>
            </w:r>
          </w:p>
          <w:p>
            <w:pPr>
              <w:pStyle w:val="3"/>
            </w:pPr>
            <w:r>
              <w:rPr>
                <w:rFonts w:hint="eastAsia"/>
              </w:rPr>
              <w:t>审核人：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4" w:hRule="atLeast"/>
        </w:trPr>
        <w:tc>
          <w:tcPr>
            <w:tcW w:w="9375" w:type="dxa"/>
            <w:gridSpan w:val="2"/>
            <w:noWrap/>
          </w:tcPr>
          <w:p>
            <w:pPr>
              <w:pStyle w:val="3"/>
            </w:pPr>
            <w:r>
              <w:rPr>
                <w:rFonts w:hint="eastAsia"/>
              </w:rPr>
              <w:t>下一级环境保护行政主管部门审查意见：</w:t>
            </w:r>
          </w:p>
          <w:p/>
          <w:p>
            <w:pPr>
              <w:pStyle w:val="10"/>
            </w:pPr>
          </w:p>
          <w:p/>
          <w:p>
            <w:pPr>
              <w:pStyle w:val="10"/>
            </w:pPr>
          </w:p>
          <w:p/>
          <w:p>
            <w:pPr>
              <w:pStyle w:val="10"/>
            </w:pPr>
          </w:p>
          <w:p/>
          <w:p>
            <w:pPr>
              <w:pStyle w:val="10"/>
            </w:pPr>
          </w:p>
          <w:p/>
          <w:p>
            <w:pPr>
              <w:pStyle w:val="10"/>
            </w:pPr>
          </w:p>
          <w:p/>
          <w:p>
            <w:pPr>
              <w:pStyle w:val="3"/>
            </w:pPr>
            <w:r>
              <w:rPr>
                <w:rFonts w:hint="eastAsia"/>
              </w:rPr>
              <w:t>经办人：                                       公   章</w:t>
            </w:r>
          </w:p>
          <w:p>
            <w:pPr>
              <w:pStyle w:val="3"/>
            </w:pPr>
            <w:r>
              <w:rPr>
                <w:rFonts w:hint="eastAsia"/>
              </w:rPr>
              <w:t xml:space="preserve">审核人：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360" w:type="dxa"/>
            <w:noWrap/>
          </w:tcPr>
          <w:p>
            <w:pPr>
              <w:pStyle w:val="3"/>
            </w:pPr>
            <w:r>
              <w:rPr>
                <w:rFonts w:hint="eastAsia"/>
              </w:rPr>
              <w:t>审批意见：</w:t>
            </w:r>
          </w:p>
          <w:p>
            <w:pPr>
              <w:pStyle w:val="10"/>
            </w:pPr>
          </w:p>
          <w:p/>
          <w:p>
            <w:pPr>
              <w:pStyle w:val="10"/>
            </w:pPr>
          </w:p>
          <w:p/>
          <w:p>
            <w:pPr>
              <w:pStyle w:val="10"/>
            </w:pPr>
          </w:p>
          <w:p/>
          <w:p>
            <w:pPr>
              <w:pStyle w:val="10"/>
            </w:pPr>
          </w:p>
          <w:p/>
          <w:p>
            <w:pPr>
              <w:pStyle w:val="10"/>
            </w:pPr>
          </w:p>
          <w:p/>
          <w:p>
            <w:pPr>
              <w:pStyle w:val="10"/>
            </w:pPr>
          </w:p>
          <w:p/>
          <w:p>
            <w:pPr>
              <w:pStyle w:val="10"/>
            </w:pPr>
          </w:p>
          <w:p/>
          <w:p>
            <w:pPr>
              <w:pStyle w:val="10"/>
            </w:pPr>
          </w:p>
          <w:p/>
          <w:p>
            <w:pPr>
              <w:pStyle w:val="10"/>
            </w:pPr>
          </w:p>
          <w:p/>
          <w:p>
            <w:pPr>
              <w:pStyle w:val="10"/>
            </w:pPr>
          </w:p>
          <w:p/>
          <w:p>
            <w:pPr>
              <w:pStyle w:val="10"/>
            </w:pPr>
          </w:p>
          <w:p/>
          <w:p>
            <w:pPr>
              <w:pStyle w:val="10"/>
            </w:pPr>
          </w:p>
          <w:p/>
          <w:p>
            <w:pPr>
              <w:pStyle w:val="10"/>
            </w:pPr>
          </w:p>
          <w:p/>
          <w:p>
            <w:pPr>
              <w:pStyle w:val="10"/>
            </w:pPr>
          </w:p>
          <w:p/>
          <w:p>
            <w:pPr>
              <w:pStyle w:val="10"/>
            </w:pPr>
          </w:p>
          <w:p>
            <w:pPr>
              <w:pStyle w:val="3"/>
            </w:pPr>
          </w:p>
          <w:p>
            <w:pPr>
              <w:pStyle w:val="3"/>
            </w:pPr>
            <w:r>
              <w:rPr>
                <w:rFonts w:hint="eastAsia"/>
              </w:rPr>
              <w:t xml:space="preserve">                                              公   章</w:t>
            </w:r>
          </w:p>
          <w:p>
            <w:pPr>
              <w:pStyle w:val="3"/>
            </w:pPr>
            <w:r>
              <w:rPr>
                <w:rFonts w:hint="eastAsia"/>
              </w:rPr>
              <w:t xml:space="preserve">经办人：                                    年   月   日   </w:t>
            </w:r>
          </w:p>
        </w:tc>
      </w:tr>
    </w:tbl>
    <w:p/>
    <w:tbl>
      <w:tblPr>
        <w:tblStyle w:val="24"/>
        <w:tblW w:w="0" w:type="auto"/>
        <w:tblInd w:w="1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0" w:type="dxa"/>
            <w:noWrap/>
          </w:tcPr>
          <w:p>
            <w:pPr>
              <w:spacing w:line="440" w:lineRule="exact"/>
              <w:jc w:val="center"/>
            </w:pPr>
            <w:r>
              <w:t>注释</w:t>
            </w:r>
          </w:p>
          <w:p>
            <w:pPr>
              <w:pStyle w:val="5"/>
            </w:pPr>
            <w:r>
              <w:t>一、本报告表应附以下附件、附图：</w:t>
            </w:r>
          </w:p>
          <w:p>
            <w:pPr>
              <w:pStyle w:val="5"/>
            </w:pPr>
            <w:r>
              <w:rPr>
                <w:highlight w:val="none"/>
              </w:rPr>
              <w:t>附件1</w:t>
            </w:r>
            <w:r>
              <w:rPr>
                <w:rFonts w:hint="eastAsia"/>
                <w:highlight w:val="none"/>
              </w:rPr>
              <w:t>：</w:t>
            </w:r>
            <w:r>
              <w:rPr>
                <w:rFonts w:hint="eastAsia"/>
              </w:rPr>
              <w:t>环评委托书</w:t>
            </w:r>
          </w:p>
          <w:p>
            <w:pPr>
              <w:pStyle w:val="5"/>
            </w:pPr>
            <w:r>
              <w:rPr>
                <w:rFonts w:hint="eastAsia"/>
                <w:highlight w:val="none"/>
              </w:rPr>
              <w:t>附件2：</w:t>
            </w:r>
            <w:r>
              <w:rPr>
                <w:rFonts w:hint="eastAsia"/>
              </w:rPr>
              <w:t>备案文件</w:t>
            </w:r>
          </w:p>
          <w:p>
            <w:pPr>
              <w:pStyle w:val="5"/>
            </w:pPr>
            <w:r>
              <w:rPr>
                <w:rFonts w:hint="eastAsia"/>
                <w:highlight w:val="none"/>
              </w:rPr>
              <w:t>附件3：</w:t>
            </w:r>
            <w:r>
              <w:rPr>
                <w:rFonts w:hint="eastAsia"/>
              </w:rPr>
              <w:t>租赁合同</w:t>
            </w:r>
          </w:p>
          <w:p>
            <w:pPr>
              <w:pStyle w:val="5"/>
            </w:pPr>
            <w:r>
              <w:rPr>
                <w:rFonts w:hint="eastAsia"/>
                <w:highlight w:val="none"/>
              </w:rPr>
              <w:t>附件4：</w:t>
            </w:r>
            <w:r>
              <w:rPr>
                <w:rFonts w:hint="eastAsia"/>
              </w:rPr>
              <w:t>营业执照</w:t>
            </w:r>
          </w:p>
          <w:p>
            <w:pPr>
              <w:pStyle w:val="5"/>
            </w:pPr>
            <w:r>
              <w:rPr>
                <w:rFonts w:hint="eastAsia"/>
                <w:highlight w:val="none"/>
              </w:rPr>
              <w:t>附件5：</w:t>
            </w:r>
            <w:r>
              <w:rPr>
                <w:rFonts w:hint="eastAsia"/>
              </w:rPr>
              <w:t>守信承诺书</w:t>
            </w:r>
          </w:p>
          <w:p>
            <w:pPr>
              <w:pStyle w:val="5"/>
            </w:pPr>
            <w:r>
              <w:rPr>
                <w:rFonts w:hint="eastAsia"/>
                <w:highlight w:val="none"/>
              </w:rPr>
              <w:t>附件6：</w:t>
            </w:r>
            <w:r>
              <w:rPr>
                <w:rFonts w:hint="eastAsia"/>
              </w:rPr>
              <w:t>检测报告</w:t>
            </w:r>
          </w:p>
          <w:p>
            <w:pPr>
              <w:pStyle w:val="5"/>
              <w:rPr>
                <w:rFonts w:hint="eastAsia"/>
              </w:rPr>
            </w:pPr>
            <w:r>
              <w:rPr>
                <w:rFonts w:hint="eastAsia"/>
                <w:highlight w:val="none"/>
              </w:rPr>
              <w:t>附件7：</w:t>
            </w:r>
            <w:r>
              <w:rPr>
                <w:rFonts w:hint="eastAsia"/>
              </w:rPr>
              <w:t>水性油墨MSDS</w:t>
            </w:r>
          </w:p>
          <w:p>
            <w:pPr>
              <w:pStyle w:val="5"/>
              <w:bidi w:val="0"/>
              <w:rPr>
                <w:rFonts w:hint="eastAsia"/>
                <w:lang w:val="en-US" w:eastAsia="zh-CN"/>
              </w:rPr>
            </w:pPr>
            <w:r>
              <w:rPr>
                <w:rFonts w:hint="eastAsia"/>
                <w:lang w:val="en-US" w:eastAsia="zh-CN"/>
              </w:rPr>
              <w:t>附件8：专家评审意见</w:t>
            </w:r>
          </w:p>
          <w:p>
            <w:pPr>
              <w:pStyle w:val="5"/>
              <w:bidi w:val="0"/>
              <w:rPr>
                <w:rFonts w:hint="default"/>
                <w:lang w:val="en-US" w:eastAsia="zh-CN"/>
              </w:rPr>
            </w:pPr>
            <w:r>
              <w:rPr>
                <w:rFonts w:hint="eastAsia"/>
                <w:lang w:val="en-US" w:eastAsia="zh-CN"/>
              </w:rPr>
              <w:t>附件9：修改清单</w:t>
            </w:r>
          </w:p>
          <w:p>
            <w:pPr>
              <w:pStyle w:val="5"/>
            </w:pPr>
            <w:r>
              <w:rPr>
                <w:rFonts w:hint="eastAsia"/>
              </w:rPr>
              <w:t>附图1：淮南市经开区土地利用规划图</w:t>
            </w:r>
          </w:p>
          <w:p>
            <w:pPr>
              <w:pStyle w:val="5"/>
            </w:pPr>
            <w:r>
              <w:rPr>
                <w:rFonts w:hint="eastAsia"/>
              </w:rPr>
              <w:t>附图2：项目地理位置图</w:t>
            </w:r>
          </w:p>
          <w:p>
            <w:pPr>
              <w:pStyle w:val="5"/>
            </w:pPr>
            <w:r>
              <w:rPr>
                <w:rFonts w:hint="eastAsia"/>
              </w:rPr>
              <w:t>附图3：项目周边关系图</w:t>
            </w:r>
          </w:p>
          <w:p>
            <w:pPr>
              <w:pStyle w:val="5"/>
            </w:pPr>
            <w:r>
              <w:rPr>
                <w:rFonts w:hint="eastAsia"/>
              </w:rPr>
              <w:t>附图4：项目平面布局图</w:t>
            </w:r>
          </w:p>
          <w:p>
            <w:pPr>
              <w:pStyle w:val="5"/>
            </w:pPr>
            <w:r>
              <w:rPr>
                <w:rFonts w:hint="eastAsia"/>
              </w:rPr>
              <w:t>附图5：环境保护目标分布图</w:t>
            </w:r>
          </w:p>
          <w:p>
            <w:pPr>
              <w:pStyle w:val="5"/>
              <w:rPr>
                <w:rFonts w:hint="eastAsia"/>
              </w:rPr>
            </w:pPr>
            <w:r>
              <w:rPr>
                <w:rFonts w:hint="eastAsia"/>
              </w:rPr>
              <w:t>附图6：雨污管线及分区防渗图</w:t>
            </w:r>
          </w:p>
          <w:p>
            <w:pPr>
              <w:pStyle w:val="5"/>
              <w:bidi w:val="0"/>
              <w:rPr>
                <w:rFonts w:hint="default"/>
                <w:lang w:val="en-US" w:eastAsia="zh-CN"/>
              </w:rPr>
            </w:pPr>
            <w:r>
              <w:rPr>
                <w:rFonts w:hint="eastAsia"/>
                <w:lang w:val="en-US" w:eastAsia="zh-CN"/>
              </w:rPr>
              <w:t>附图7：金安包装厂区整体布局图</w:t>
            </w:r>
          </w:p>
          <w:p>
            <w:pPr>
              <w:pStyle w:val="5"/>
            </w:pPr>
            <w:r>
              <w:t>二、如果本报告表不能说明项目产生</w:t>
            </w:r>
            <w:r>
              <w:rPr>
                <w:highlight w:val="none"/>
              </w:rPr>
              <w:t>的污染</w:t>
            </w:r>
            <w:r>
              <w:t>及对环境造成的影响，应进行专项评价。根据建设项目的特点和当地环境特征，应选下列1—2项进行专项评价。</w:t>
            </w:r>
          </w:p>
          <w:p>
            <w:pPr>
              <w:pStyle w:val="5"/>
            </w:pPr>
            <w:r>
              <w:t>1、大气环境影响专项评价</w:t>
            </w:r>
          </w:p>
          <w:p>
            <w:pPr>
              <w:pStyle w:val="5"/>
            </w:pPr>
            <w:r>
              <w:t>2、水环境影响专项评价（包括地表水和地下水）</w:t>
            </w:r>
          </w:p>
          <w:p>
            <w:pPr>
              <w:pStyle w:val="5"/>
            </w:pPr>
            <w:r>
              <w:t>3、生态影响专项评价</w:t>
            </w:r>
          </w:p>
          <w:p>
            <w:pPr>
              <w:pStyle w:val="5"/>
            </w:pPr>
            <w:r>
              <w:t>4、声影响专项评价</w:t>
            </w:r>
          </w:p>
          <w:p>
            <w:pPr>
              <w:pStyle w:val="5"/>
            </w:pPr>
            <w:r>
              <w:t>5、土壤影响专项评价</w:t>
            </w:r>
          </w:p>
          <w:p>
            <w:pPr>
              <w:pStyle w:val="5"/>
            </w:pPr>
            <w:r>
              <w:t>6、固体废弃物影响专项评价</w:t>
            </w:r>
          </w:p>
          <w:p>
            <w:pPr>
              <w:pStyle w:val="5"/>
            </w:pPr>
            <w:r>
              <w:t>以上专项评价未包括的可另列专项，专项评价按照《环境影响评价技术导则》中的要求进行。</w:t>
            </w:r>
          </w:p>
          <w:p>
            <w:pPr>
              <w:pStyle w:val="18"/>
            </w:pPr>
          </w:p>
        </w:tc>
      </w:tr>
    </w:tbl>
    <w:p>
      <w:pPr>
        <w:pStyle w:val="10"/>
      </w:pPr>
    </w:p>
    <w:sectPr>
      <w:footerReference r:id="rId4" w:type="default"/>
      <w:pgSz w:w="11906" w:h="16838"/>
      <w:pgMar w:top="1134" w:right="1304" w:bottom="1276" w:left="1304" w:header="851" w:footer="992" w:gutter="0"/>
      <w:pgBorders>
        <w:top w:val="none" w:sz="0" w:space="0"/>
        <w:left w:val="none" w:sz="0" w:space="0"/>
        <w:bottom w:val="none" w:sz="0" w:space="0"/>
        <w:right w:val="none" w:sz="0" w:space="0"/>
      </w:pgBorders>
      <w:pgNumType w:start="1"/>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71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71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3D0EF8"/>
    <w:multiLevelType w:val="singleLevel"/>
    <w:tmpl w:val="953D0EF8"/>
    <w:lvl w:ilvl="0" w:tentative="0">
      <w:start w:val="1"/>
      <w:numFmt w:val="chineseCounting"/>
      <w:suff w:val="nothing"/>
      <w:lvlText w:val="%1、"/>
      <w:lvlJc w:val="left"/>
      <w:rPr>
        <w:rFonts w:hint="eastAsia"/>
      </w:rPr>
    </w:lvl>
  </w:abstractNum>
  <w:abstractNum w:abstractNumId="1">
    <w:nsid w:val="A31B9BF3"/>
    <w:multiLevelType w:val="singleLevel"/>
    <w:tmpl w:val="A31B9BF3"/>
    <w:lvl w:ilvl="0" w:tentative="0">
      <w:start w:val="10"/>
      <w:numFmt w:val="chineseCounting"/>
      <w:suff w:val="nothing"/>
      <w:lvlText w:val="%1、"/>
      <w:lvlJc w:val="left"/>
      <w:rPr>
        <w:rFonts w:hint="eastAsia"/>
      </w:rPr>
    </w:lvl>
  </w:abstractNum>
  <w:abstractNum w:abstractNumId="2">
    <w:nsid w:val="A3262C2A"/>
    <w:multiLevelType w:val="singleLevel"/>
    <w:tmpl w:val="A3262C2A"/>
    <w:lvl w:ilvl="0" w:tentative="0">
      <w:start w:val="2"/>
      <w:numFmt w:val="decimal"/>
      <w:suff w:val="nothing"/>
      <w:lvlText w:val="（%1）"/>
      <w:lvlJc w:val="left"/>
    </w:lvl>
  </w:abstractNum>
  <w:abstractNum w:abstractNumId="3">
    <w:nsid w:val="C9669C4C"/>
    <w:multiLevelType w:val="singleLevel"/>
    <w:tmpl w:val="C9669C4C"/>
    <w:lvl w:ilvl="0" w:tentative="0">
      <w:start w:val="6"/>
      <w:numFmt w:val="decimal"/>
      <w:suff w:val="nothing"/>
      <w:lvlText w:val="%1、"/>
      <w:lvlJc w:val="left"/>
    </w:lvl>
  </w:abstractNum>
  <w:abstractNum w:abstractNumId="4">
    <w:nsid w:val="CE0E150C"/>
    <w:multiLevelType w:val="singleLevel"/>
    <w:tmpl w:val="CE0E150C"/>
    <w:lvl w:ilvl="0" w:tentative="0">
      <w:start w:val="1"/>
      <w:numFmt w:val="decimal"/>
      <w:suff w:val="nothing"/>
      <w:lvlText w:val="（%1）"/>
      <w:lvlJc w:val="left"/>
    </w:lvl>
  </w:abstractNum>
  <w:abstractNum w:abstractNumId="5">
    <w:nsid w:val="D169C187"/>
    <w:multiLevelType w:val="singleLevel"/>
    <w:tmpl w:val="D169C187"/>
    <w:lvl w:ilvl="0" w:tentative="0">
      <w:start w:val="1"/>
      <w:numFmt w:val="chineseCounting"/>
      <w:suff w:val="nothing"/>
      <w:lvlText w:val="（%1）"/>
      <w:lvlJc w:val="left"/>
      <w:rPr>
        <w:rFonts w:hint="eastAsia"/>
      </w:rPr>
    </w:lvl>
  </w:abstractNum>
  <w:abstractNum w:abstractNumId="6">
    <w:nsid w:val="DAF62569"/>
    <w:multiLevelType w:val="singleLevel"/>
    <w:tmpl w:val="DAF62569"/>
    <w:lvl w:ilvl="0" w:tentative="0">
      <w:start w:val="3"/>
      <w:numFmt w:val="decimal"/>
      <w:suff w:val="nothing"/>
      <w:lvlText w:val="%1、"/>
      <w:lvlJc w:val="left"/>
    </w:lvl>
  </w:abstractNum>
  <w:abstractNum w:abstractNumId="7">
    <w:nsid w:val="DBCF26C0"/>
    <w:multiLevelType w:val="singleLevel"/>
    <w:tmpl w:val="DBCF26C0"/>
    <w:lvl w:ilvl="0" w:tentative="0">
      <w:start w:val="5"/>
      <w:numFmt w:val="decimal"/>
      <w:suff w:val="nothing"/>
      <w:lvlText w:val="（%1）"/>
      <w:lvlJc w:val="left"/>
    </w:lvl>
  </w:abstractNum>
  <w:abstractNum w:abstractNumId="8">
    <w:nsid w:val="E681D0D1"/>
    <w:multiLevelType w:val="singleLevel"/>
    <w:tmpl w:val="E681D0D1"/>
    <w:lvl w:ilvl="0" w:tentative="0">
      <w:start w:val="2"/>
      <w:numFmt w:val="chineseCounting"/>
      <w:suff w:val="nothing"/>
      <w:lvlText w:val="%1、"/>
      <w:lvlJc w:val="left"/>
      <w:rPr>
        <w:rFonts w:hint="eastAsia"/>
      </w:rPr>
    </w:lvl>
  </w:abstractNum>
  <w:abstractNum w:abstractNumId="9">
    <w:nsid w:val="E9DBB3F8"/>
    <w:multiLevelType w:val="singleLevel"/>
    <w:tmpl w:val="E9DBB3F8"/>
    <w:lvl w:ilvl="0" w:tentative="0">
      <w:start w:val="8"/>
      <w:numFmt w:val="decimal"/>
      <w:suff w:val="nothing"/>
      <w:lvlText w:val="%1、"/>
      <w:lvlJc w:val="left"/>
    </w:lvl>
  </w:abstractNum>
  <w:abstractNum w:abstractNumId="10">
    <w:nsid w:val="29892DC0"/>
    <w:multiLevelType w:val="singleLevel"/>
    <w:tmpl w:val="29892DC0"/>
    <w:lvl w:ilvl="0" w:tentative="0">
      <w:start w:val="2"/>
      <w:numFmt w:val="decimal"/>
      <w:suff w:val="nothing"/>
      <w:lvlText w:val="（%1）"/>
      <w:lvlJc w:val="left"/>
    </w:lvl>
  </w:abstractNum>
  <w:abstractNum w:abstractNumId="11">
    <w:nsid w:val="37093558"/>
    <w:multiLevelType w:val="singleLevel"/>
    <w:tmpl w:val="37093558"/>
    <w:lvl w:ilvl="0" w:tentative="0">
      <w:start w:val="6"/>
      <w:numFmt w:val="decimal"/>
      <w:suff w:val="nothing"/>
      <w:lvlText w:val="（%1）"/>
      <w:lvlJc w:val="left"/>
    </w:lvl>
  </w:abstractNum>
  <w:abstractNum w:abstractNumId="12">
    <w:nsid w:val="403CE6F8"/>
    <w:multiLevelType w:val="singleLevel"/>
    <w:tmpl w:val="403CE6F8"/>
    <w:lvl w:ilvl="0" w:tentative="0">
      <w:start w:val="1"/>
      <w:numFmt w:val="decimal"/>
      <w:suff w:val="nothing"/>
      <w:lvlText w:val="%1、"/>
      <w:lvlJc w:val="left"/>
    </w:lvl>
  </w:abstractNum>
  <w:abstractNum w:abstractNumId="13">
    <w:nsid w:val="6D7BA89C"/>
    <w:multiLevelType w:val="singleLevel"/>
    <w:tmpl w:val="6D7BA89C"/>
    <w:lvl w:ilvl="0" w:tentative="0">
      <w:start w:val="2"/>
      <w:numFmt w:val="decimal"/>
      <w:suff w:val="nothing"/>
      <w:lvlText w:val="%1、"/>
      <w:lvlJc w:val="left"/>
    </w:lvl>
  </w:abstractNum>
  <w:num w:numId="1">
    <w:abstractNumId w:val="13"/>
  </w:num>
  <w:num w:numId="2">
    <w:abstractNumId w:val="0"/>
  </w:num>
  <w:num w:numId="3">
    <w:abstractNumId w:val="12"/>
  </w:num>
  <w:num w:numId="4">
    <w:abstractNumId w:val="2"/>
  </w:num>
  <w:num w:numId="5">
    <w:abstractNumId w:val="8"/>
  </w:num>
  <w:num w:numId="6">
    <w:abstractNumId w:val="11"/>
  </w:num>
  <w:num w:numId="7">
    <w:abstractNumId w:val="6"/>
  </w:num>
  <w:num w:numId="8">
    <w:abstractNumId w:val="10"/>
  </w:num>
  <w:num w:numId="9">
    <w:abstractNumId w:val="5"/>
  </w:num>
  <w:num w:numId="10">
    <w:abstractNumId w:val="3"/>
  </w:num>
  <w:num w:numId="11">
    <w:abstractNumId w:val="9"/>
  </w:num>
  <w:num w:numId="12">
    <w:abstractNumId w:val="4"/>
  </w:num>
  <w:num w:numId="13">
    <w:abstractNumId w:val="1"/>
  </w:num>
  <w:num w:numId="14">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65"/>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857EC5"/>
    <w:rsid w:val="00073B9A"/>
    <w:rsid w:val="00086299"/>
    <w:rsid w:val="000F42EC"/>
    <w:rsid w:val="00173C00"/>
    <w:rsid w:val="001A30D0"/>
    <w:rsid w:val="002829CE"/>
    <w:rsid w:val="00293D75"/>
    <w:rsid w:val="002B7D68"/>
    <w:rsid w:val="002C7F2A"/>
    <w:rsid w:val="00333878"/>
    <w:rsid w:val="003B7C10"/>
    <w:rsid w:val="00495CC8"/>
    <w:rsid w:val="004C7116"/>
    <w:rsid w:val="005806FC"/>
    <w:rsid w:val="005E7280"/>
    <w:rsid w:val="00652C53"/>
    <w:rsid w:val="006C124E"/>
    <w:rsid w:val="007471A9"/>
    <w:rsid w:val="00775E56"/>
    <w:rsid w:val="007C66CE"/>
    <w:rsid w:val="007F45C3"/>
    <w:rsid w:val="008037AE"/>
    <w:rsid w:val="008853D3"/>
    <w:rsid w:val="008A6BD9"/>
    <w:rsid w:val="00907BC2"/>
    <w:rsid w:val="009C74D9"/>
    <w:rsid w:val="00A87E40"/>
    <w:rsid w:val="00AD3ADF"/>
    <w:rsid w:val="00AF044D"/>
    <w:rsid w:val="00AF7A35"/>
    <w:rsid w:val="00B802B6"/>
    <w:rsid w:val="00C47F52"/>
    <w:rsid w:val="00C8100F"/>
    <w:rsid w:val="00CC7755"/>
    <w:rsid w:val="00D62E95"/>
    <w:rsid w:val="00DE6459"/>
    <w:rsid w:val="00DE7C97"/>
    <w:rsid w:val="00E7547B"/>
    <w:rsid w:val="00F65E95"/>
    <w:rsid w:val="017C1078"/>
    <w:rsid w:val="01F3794C"/>
    <w:rsid w:val="034B1B89"/>
    <w:rsid w:val="04093D15"/>
    <w:rsid w:val="04486CAF"/>
    <w:rsid w:val="05AB31E3"/>
    <w:rsid w:val="05AB49B0"/>
    <w:rsid w:val="06D54535"/>
    <w:rsid w:val="076D67A0"/>
    <w:rsid w:val="077F2CA8"/>
    <w:rsid w:val="0864410C"/>
    <w:rsid w:val="08D828B3"/>
    <w:rsid w:val="08F358B1"/>
    <w:rsid w:val="09102689"/>
    <w:rsid w:val="091372B4"/>
    <w:rsid w:val="09254EA5"/>
    <w:rsid w:val="09835A07"/>
    <w:rsid w:val="09842D6B"/>
    <w:rsid w:val="0B782880"/>
    <w:rsid w:val="0BD10C48"/>
    <w:rsid w:val="0C6F7BE6"/>
    <w:rsid w:val="0C811A5C"/>
    <w:rsid w:val="0C8C473D"/>
    <w:rsid w:val="0E431726"/>
    <w:rsid w:val="0E72035E"/>
    <w:rsid w:val="0EF11DE5"/>
    <w:rsid w:val="104A53C0"/>
    <w:rsid w:val="11DC5344"/>
    <w:rsid w:val="120D512F"/>
    <w:rsid w:val="13B41E5A"/>
    <w:rsid w:val="149179F1"/>
    <w:rsid w:val="153027FD"/>
    <w:rsid w:val="1543207F"/>
    <w:rsid w:val="155936B1"/>
    <w:rsid w:val="15750342"/>
    <w:rsid w:val="161F5FBE"/>
    <w:rsid w:val="16EF720B"/>
    <w:rsid w:val="16F65220"/>
    <w:rsid w:val="1874429B"/>
    <w:rsid w:val="18CA0464"/>
    <w:rsid w:val="18E708AA"/>
    <w:rsid w:val="19336DFB"/>
    <w:rsid w:val="19DD5AF1"/>
    <w:rsid w:val="1A7045BC"/>
    <w:rsid w:val="1C6150ED"/>
    <w:rsid w:val="1CBB6636"/>
    <w:rsid w:val="1D7F5200"/>
    <w:rsid w:val="1D8B167B"/>
    <w:rsid w:val="1F1860D9"/>
    <w:rsid w:val="1F3E613B"/>
    <w:rsid w:val="1F80798B"/>
    <w:rsid w:val="20DC6A1E"/>
    <w:rsid w:val="228E4F9F"/>
    <w:rsid w:val="24247CA5"/>
    <w:rsid w:val="24CC22B2"/>
    <w:rsid w:val="24D1210A"/>
    <w:rsid w:val="24F2372F"/>
    <w:rsid w:val="25AC4EFE"/>
    <w:rsid w:val="25CA1884"/>
    <w:rsid w:val="26443B54"/>
    <w:rsid w:val="264A0B0E"/>
    <w:rsid w:val="266A6434"/>
    <w:rsid w:val="27192661"/>
    <w:rsid w:val="27E13FAC"/>
    <w:rsid w:val="29E14C6D"/>
    <w:rsid w:val="2A0B4778"/>
    <w:rsid w:val="2A461D2F"/>
    <w:rsid w:val="2ABA094B"/>
    <w:rsid w:val="2AD02BB7"/>
    <w:rsid w:val="2B1B15FF"/>
    <w:rsid w:val="2B3312AF"/>
    <w:rsid w:val="2B700A1E"/>
    <w:rsid w:val="2BE268EA"/>
    <w:rsid w:val="2E0C4627"/>
    <w:rsid w:val="2E1D099F"/>
    <w:rsid w:val="2E840E1B"/>
    <w:rsid w:val="2FAF007B"/>
    <w:rsid w:val="2FDE569C"/>
    <w:rsid w:val="30254B6F"/>
    <w:rsid w:val="312820EA"/>
    <w:rsid w:val="31720ED1"/>
    <w:rsid w:val="33785380"/>
    <w:rsid w:val="342818E9"/>
    <w:rsid w:val="3555262F"/>
    <w:rsid w:val="35D16963"/>
    <w:rsid w:val="36372754"/>
    <w:rsid w:val="3652017F"/>
    <w:rsid w:val="36CE1E60"/>
    <w:rsid w:val="37857EC5"/>
    <w:rsid w:val="37EC47CE"/>
    <w:rsid w:val="38CF4FBC"/>
    <w:rsid w:val="3A0938AB"/>
    <w:rsid w:val="3AD1778D"/>
    <w:rsid w:val="3B791056"/>
    <w:rsid w:val="3D190B96"/>
    <w:rsid w:val="3D2F514F"/>
    <w:rsid w:val="3D3F3A1F"/>
    <w:rsid w:val="3DC9479B"/>
    <w:rsid w:val="3DD15F90"/>
    <w:rsid w:val="3E8B361C"/>
    <w:rsid w:val="3EBD7133"/>
    <w:rsid w:val="3F036967"/>
    <w:rsid w:val="3F2962F3"/>
    <w:rsid w:val="3F472658"/>
    <w:rsid w:val="3FEF4AF2"/>
    <w:rsid w:val="3FF32BE3"/>
    <w:rsid w:val="403700F1"/>
    <w:rsid w:val="414A74F8"/>
    <w:rsid w:val="419C7D8E"/>
    <w:rsid w:val="41B86C39"/>
    <w:rsid w:val="41FB3006"/>
    <w:rsid w:val="42551BDC"/>
    <w:rsid w:val="432E7618"/>
    <w:rsid w:val="44E262A5"/>
    <w:rsid w:val="452634B0"/>
    <w:rsid w:val="4604159C"/>
    <w:rsid w:val="467204F3"/>
    <w:rsid w:val="46E0152D"/>
    <w:rsid w:val="477A5371"/>
    <w:rsid w:val="479A0FF7"/>
    <w:rsid w:val="48EE3589"/>
    <w:rsid w:val="491F7C4D"/>
    <w:rsid w:val="49AC2368"/>
    <w:rsid w:val="4AD267BD"/>
    <w:rsid w:val="4AE54558"/>
    <w:rsid w:val="4C395CA4"/>
    <w:rsid w:val="4C794EF5"/>
    <w:rsid w:val="4C9635CC"/>
    <w:rsid w:val="4D0D7B06"/>
    <w:rsid w:val="4D2C1011"/>
    <w:rsid w:val="4D7F6538"/>
    <w:rsid w:val="4D85088E"/>
    <w:rsid w:val="4DDF4BEE"/>
    <w:rsid w:val="4FE33DA2"/>
    <w:rsid w:val="52BA6CB6"/>
    <w:rsid w:val="53073D9A"/>
    <w:rsid w:val="532F2B6C"/>
    <w:rsid w:val="536F029C"/>
    <w:rsid w:val="544A7AFA"/>
    <w:rsid w:val="54E96F3B"/>
    <w:rsid w:val="55C240EF"/>
    <w:rsid w:val="566E07EC"/>
    <w:rsid w:val="56FD1038"/>
    <w:rsid w:val="5724495F"/>
    <w:rsid w:val="576B3AFF"/>
    <w:rsid w:val="57BD2FE7"/>
    <w:rsid w:val="587959D8"/>
    <w:rsid w:val="58F06965"/>
    <w:rsid w:val="59502165"/>
    <w:rsid w:val="5A7B149F"/>
    <w:rsid w:val="5AA53178"/>
    <w:rsid w:val="5B065DF9"/>
    <w:rsid w:val="5B0D11EF"/>
    <w:rsid w:val="5B6A2DAF"/>
    <w:rsid w:val="5B97034C"/>
    <w:rsid w:val="5C7046B6"/>
    <w:rsid w:val="5CCC115B"/>
    <w:rsid w:val="5D6B5156"/>
    <w:rsid w:val="5D957767"/>
    <w:rsid w:val="5DA97F72"/>
    <w:rsid w:val="5E60479B"/>
    <w:rsid w:val="5EB9549D"/>
    <w:rsid w:val="60810DD0"/>
    <w:rsid w:val="61894225"/>
    <w:rsid w:val="6266655C"/>
    <w:rsid w:val="646553AC"/>
    <w:rsid w:val="64DE7153"/>
    <w:rsid w:val="656F772A"/>
    <w:rsid w:val="66275447"/>
    <w:rsid w:val="66804924"/>
    <w:rsid w:val="66814D1C"/>
    <w:rsid w:val="67D87E7B"/>
    <w:rsid w:val="68011FD9"/>
    <w:rsid w:val="68282D7F"/>
    <w:rsid w:val="68855491"/>
    <w:rsid w:val="68D11D98"/>
    <w:rsid w:val="68FA2025"/>
    <w:rsid w:val="6921531F"/>
    <w:rsid w:val="6A0D61AE"/>
    <w:rsid w:val="6A0F54F0"/>
    <w:rsid w:val="6A2B2324"/>
    <w:rsid w:val="6A553BEC"/>
    <w:rsid w:val="6ADC0784"/>
    <w:rsid w:val="6BBE3AEC"/>
    <w:rsid w:val="6D687BBD"/>
    <w:rsid w:val="6F5524B3"/>
    <w:rsid w:val="70786982"/>
    <w:rsid w:val="714448B4"/>
    <w:rsid w:val="71524380"/>
    <w:rsid w:val="72DF7AF5"/>
    <w:rsid w:val="73371441"/>
    <w:rsid w:val="73573507"/>
    <w:rsid w:val="73DD2467"/>
    <w:rsid w:val="74AB3EFD"/>
    <w:rsid w:val="758A0F97"/>
    <w:rsid w:val="764F2E41"/>
    <w:rsid w:val="77D9682E"/>
    <w:rsid w:val="79386AFB"/>
    <w:rsid w:val="7A4B05A7"/>
    <w:rsid w:val="7AB64C22"/>
    <w:rsid w:val="7B0C663F"/>
    <w:rsid w:val="7B366F5D"/>
    <w:rsid w:val="7BD057B6"/>
    <w:rsid w:val="7C115929"/>
    <w:rsid w:val="7C5758A6"/>
    <w:rsid w:val="7DAB2CDC"/>
    <w:rsid w:val="7DBD55D2"/>
    <w:rsid w:val="7DC20767"/>
    <w:rsid w:val="7E675D2D"/>
    <w:rsid w:val="7F3902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51"/>
    <w:qFormat/>
    <w:uiPriority w:val="0"/>
    <w:pPr>
      <w:spacing w:line="360" w:lineRule="auto"/>
      <w:jc w:val="left"/>
      <w:outlineLvl w:val="0"/>
    </w:pPr>
    <w:rPr>
      <w:rFonts w:eastAsia="黑体"/>
      <w:kern w:val="0"/>
      <w:sz w:val="30"/>
      <w:szCs w:val="20"/>
    </w:rPr>
  </w:style>
  <w:style w:type="paragraph" w:styleId="4">
    <w:name w:val="heading 2"/>
    <w:basedOn w:val="1"/>
    <w:next w:val="1"/>
    <w:link w:val="53"/>
    <w:unhideWhenUsed/>
    <w:qFormat/>
    <w:uiPriority w:val="0"/>
    <w:pPr>
      <w:spacing w:line="360" w:lineRule="auto"/>
      <w:outlineLvl w:val="1"/>
    </w:pPr>
    <w:rPr>
      <w:b/>
    </w:rPr>
  </w:style>
  <w:style w:type="paragraph" w:styleId="5">
    <w:name w:val="heading 3"/>
    <w:basedOn w:val="1"/>
    <w:next w:val="1"/>
    <w:link w:val="52"/>
    <w:qFormat/>
    <w:uiPriority w:val="0"/>
    <w:pPr>
      <w:spacing w:line="360" w:lineRule="auto"/>
      <w:ind w:firstLine="480" w:firstLineChars="200"/>
      <w:outlineLvl w:val="2"/>
    </w:pPr>
    <w:rPr>
      <w:szCs w:val="20"/>
    </w:rPr>
  </w:style>
  <w:style w:type="paragraph" w:styleId="2">
    <w:name w:val="heading 4"/>
    <w:basedOn w:val="1"/>
    <w:next w:val="1"/>
    <w:qFormat/>
    <w:uiPriority w:val="0"/>
    <w:pPr>
      <w:keepNext/>
      <w:spacing w:line="380" w:lineRule="exact"/>
      <w:ind w:left="-113" w:right="-113"/>
      <w:jc w:val="center"/>
      <w:outlineLvl w:val="3"/>
    </w:pPr>
    <w:rPr>
      <w:rFonts w:ascii="宋体" w:hAnsi="宋体"/>
      <w:b/>
      <w:spacing w:val="-10"/>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style>
  <w:style w:type="paragraph" w:styleId="7">
    <w:name w:val="Document Map"/>
    <w:basedOn w:val="1"/>
    <w:link w:val="54"/>
    <w:qFormat/>
    <w:uiPriority w:val="0"/>
    <w:rPr>
      <w:rFonts w:ascii="宋体"/>
      <w:sz w:val="18"/>
      <w:szCs w:val="18"/>
    </w:rPr>
  </w:style>
  <w:style w:type="paragraph" w:styleId="8">
    <w:name w:val="annotation text"/>
    <w:basedOn w:val="1"/>
    <w:link w:val="57"/>
    <w:unhideWhenUsed/>
    <w:qFormat/>
    <w:uiPriority w:val="99"/>
    <w:pPr>
      <w:jc w:val="left"/>
    </w:pPr>
    <w:rPr>
      <w:kern w:val="0"/>
      <w:sz w:val="20"/>
    </w:rPr>
  </w:style>
  <w:style w:type="paragraph" w:styleId="9">
    <w:name w:val="Salutation"/>
    <w:basedOn w:val="1"/>
    <w:next w:val="1"/>
    <w:unhideWhenUsed/>
    <w:qFormat/>
    <w:uiPriority w:val="99"/>
  </w:style>
  <w:style w:type="paragraph" w:styleId="10">
    <w:name w:val="Body Text"/>
    <w:basedOn w:val="1"/>
    <w:next w:val="11"/>
    <w:qFormat/>
    <w:uiPriority w:val="0"/>
    <w:pPr>
      <w:spacing w:after="120"/>
    </w:pPr>
  </w:style>
  <w:style w:type="paragraph" w:customStyle="1" w:styleId="11">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2">
    <w:name w:val="Body Text Indent"/>
    <w:basedOn w:val="1"/>
    <w:next w:val="13"/>
    <w:qFormat/>
    <w:uiPriority w:val="0"/>
    <w:pPr>
      <w:ind w:firstLine="570"/>
    </w:pPr>
    <w:rPr>
      <w:sz w:val="28"/>
      <w:szCs w:val="20"/>
    </w:rPr>
  </w:style>
  <w:style w:type="paragraph" w:styleId="13">
    <w:name w:val="Body Text Indent 2"/>
    <w:basedOn w:val="1"/>
    <w:next w:val="14"/>
    <w:qFormat/>
    <w:uiPriority w:val="0"/>
    <w:pPr>
      <w:spacing w:after="120" w:line="480" w:lineRule="auto"/>
      <w:ind w:left="420" w:leftChars="200"/>
    </w:pPr>
  </w:style>
  <w:style w:type="paragraph" w:styleId="14">
    <w:name w:val="Body Text First Indent 2"/>
    <w:basedOn w:val="12"/>
    <w:next w:val="1"/>
    <w:qFormat/>
    <w:uiPriority w:val="0"/>
    <w:pPr>
      <w:ind w:firstLine="420" w:firstLineChars="200"/>
    </w:pPr>
  </w:style>
  <w:style w:type="paragraph" w:styleId="15">
    <w:name w:val="Plain Text"/>
    <w:basedOn w:val="1"/>
    <w:next w:val="9"/>
    <w:qFormat/>
    <w:uiPriority w:val="0"/>
    <w:rPr>
      <w:rFonts w:ascii="宋体" w:hAnsi="Courier New"/>
      <w:szCs w:val="20"/>
    </w:rPr>
  </w:style>
  <w:style w:type="paragraph" w:styleId="16">
    <w:name w:val="Balloon Text"/>
    <w:basedOn w:val="1"/>
    <w:link w:val="49"/>
    <w:qFormat/>
    <w:uiPriority w:val="0"/>
    <w:rPr>
      <w:sz w:val="18"/>
      <w:szCs w:val="18"/>
    </w:rPr>
  </w:style>
  <w:style w:type="paragraph" w:styleId="17">
    <w:name w:val="footer"/>
    <w:basedOn w:val="1"/>
    <w:qFormat/>
    <w:uiPriority w:val="99"/>
    <w:pPr>
      <w:tabs>
        <w:tab w:val="center" w:pos="4153"/>
        <w:tab w:val="right" w:pos="8306"/>
      </w:tabs>
      <w:snapToGrid w:val="0"/>
      <w:jc w:val="left"/>
    </w:pPr>
    <w:rPr>
      <w:sz w:val="18"/>
      <w:szCs w:val="20"/>
    </w:rPr>
  </w:style>
  <w:style w:type="paragraph" w:styleId="18">
    <w:name w:val="header"/>
    <w:basedOn w:val="1"/>
    <w:next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9">
    <w:name w:val="样式5"/>
    <w:basedOn w:val="20"/>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20">
    <w:name w:val="正文1"/>
    <w:basedOn w:val="1"/>
    <w:next w:val="1"/>
    <w:qFormat/>
    <w:uiPriority w:val="0"/>
    <w:pPr>
      <w:adjustRightInd w:val="0"/>
      <w:spacing w:line="360" w:lineRule="auto"/>
      <w:ind w:firstLine="567"/>
      <w:jc w:val="center"/>
      <w:textAlignment w:val="baseline"/>
    </w:pPr>
    <w:rPr>
      <w:kern w:val="0"/>
      <w:sz w:val="28"/>
    </w:rPr>
  </w:style>
  <w:style w:type="paragraph" w:styleId="21">
    <w:name w:val="toc 9"/>
    <w:next w:val="1"/>
    <w:qFormat/>
    <w:uiPriority w:val="0"/>
    <w:pPr>
      <w:wordWrap w:val="0"/>
      <w:ind w:left="2975"/>
      <w:jc w:val="both"/>
    </w:pPr>
    <w:rPr>
      <w:rFonts w:ascii="Times New Roman" w:hAnsi="Times New Roman" w:eastAsia="宋体" w:cs="Times New Roman"/>
      <w:snapToGrid w:val="0"/>
      <w:kern w:val="2"/>
      <w:sz w:val="21"/>
      <w:szCs w:val="22"/>
      <w:lang w:val="en-US" w:eastAsia="zh-CN" w:bidi="ar-SA"/>
    </w:rPr>
  </w:style>
  <w:style w:type="paragraph" w:styleId="22">
    <w:name w:val="annotation subject"/>
    <w:basedOn w:val="8"/>
    <w:next w:val="8"/>
    <w:link w:val="56"/>
    <w:qFormat/>
    <w:uiPriority w:val="0"/>
    <w:rPr>
      <w:b/>
      <w:bCs/>
      <w:kern w:val="2"/>
      <w:sz w:val="24"/>
    </w:rPr>
  </w:style>
  <w:style w:type="table" w:styleId="24">
    <w:name w:val="Table Grid"/>
    <w:basedOn w:val="23"/>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qFormat/>
    <w:uiPriority w:val="0"/>
    <w:rPr>
      <w:b/>
      <w:bCs/>
    </w:rPr>
  </w:style>
  <w:style w:type="character" w:styleId="27">
    <w:name w:val="Hyperlink"/>
    <w:basedOn w:val="25"/>
    <w:qFormat/>
    <w:uiPriority w:val="0"/>
    <w:rPr>
      <w:color w:val="136EC2"/>
      <w:u w:val="single"/>
    </w:rPr>
  </w:style>
  <w:style w:type="character" w:styleId="28">
    <w:name w:val="annotation reference"/>
    <w:qFormat/>
    <w:uiPriority w:val="0"/>
    <w:rPr>
      <w:sz w:val="21"/>
      <w:szCs w:val="21"/>
    </w:rPr>
  </w:style>
  <w:style w:type="paragraph" w:customStyle="1" w:styleId="29">
    <w:name w:val="表格标题"/>
    <w:basedOn w:val="1"/>
    <w:next w:val="30"/>
    <w:link w:val="50"/>
    <w:qFormat/>
    <w:uiPriority w:val="0"/>
    <w:pPr>
      <w:spacing w:before="20" w:beforeLines="20" w:after="20" w:afterLines="20"/>
      <w:jc w:val="center"/>
    </w:pPr>
    <w:rPr>
      <w:rFonts w:eastAsia="仿宋"/>
      <w:b/>
      <w:kern w:val="0"/>
    </w:rPr>
  </w:style>
  <w:style w:type="paragraph" w:customStyle="1" w:styleId="30">
    <w:name w:val="表格内容"/>
    <w:basedOn w:val="29"/>
    <w:next w:val="1"/>
    <w:qFormat/>
    <w:uiPriority w:val="0"/>
    <w:rPr>
      <w:b w:val="0"/>
    </w:rPr>
  </w:style>
  <w:style w:type="paragraph" w:customStyle="1" w:styleId="31">
    <w:name w:val="表格文字"/>
    <w:basedOn w:val="1"/>
    <w:qFormat/>
    <w:uiPriority w:val="0"/>
    <w:pPr>
      <w:autoSpaceDE w:val="0"/>
      <w:autoSpaceDN w:val="0"/>
      <w:adjustRightInd w:val="0"/>
      <w:spacing w:before="60" w:after="60"/>
      <w:jc w:val="center"/>
      <w:textAlignment w:val="bottom"/>
    </w:pPr>
    <w:rPr>
      <w:rFonts w:eastAsia="仿宋_GB2312"/>
      <w:kern w:val="0"/>
      <w:szCs w:val="20"/>
    </w:rPr>
  </w:style>
  <w:style w:type="paragraph" w:customStyle="1" w:styleId="32">
    <w:name w:val="表格"/>
    <w:basedOn w:val="1"/>
    <w:qFormat/>
    <w:uiPriority w:val="0"/>
    <w:pPr>
      <w:jc w:val="center"/>
    </w:pPr>
  </w:style>
  <w:style w:type="paragraph" w:customStyle="1" w:styleId="33">
    <w:name w:val="A标准格式"/>
    <w:basedOn w:val="1"/>
    <w:qFormat/>
    <w:uiPriority w:val="0"/>
    <w:pPr>
      <w:ind w:firstLine="480"/>
    </w:pPr>
  </w:style>
  <w:style w:type="paragraph" w:customStyle="1" w:styleId="34">
    <w:name w:val="表格正文"/>
    <w:basedOn w:val="1"/>
    <w:qFormat/>
    <w:uiPriority w:val="0"/>
    <w:pPr>
      <w:jc w:val="center"/>
    </w:pPr>
    <w:rPr>
      <w:rFonts w:ascii="仿宋_GB2312" w:eastAsia="仿宋_GB2312"/>
      <w:sz w:val="21"/>
    </w:rPr>
  </w:style>
  <w:style w:type="paragraph" w:customStyle="1" w:styleId="35">
    <w:name w:val="标题2"/>
    <w:unhideWhenUsed/>
    <w:qFormat/>
    <w:uiPriority w:val="2"/>
    <w:pPr>
      <w:outlineLvl w:val="2"/>
    </w:pPr>
    <w:rPr>
      <w:rFonts w:ascii="Calibri" w:hAnsi="Calibri" w:eastAsia="宋体" w:cs="Times New Roman"/>
      <w:kern w:val="2"/>
      <w:sz w:val="21"/>
      <w:szCs w:val="22"/>
      <w:lang w:val="en-US" w:eastAsia="zh-CN" w:bidi="ar-SA"/>
    </w:rPr>
  </w:style>
  <w:style w:type="paragraph" w:customStyle="1" w:styleId="36">
    <w:name w:val="报告正文"/>
    <w:basedOn w:val="1"/>
    <w:qFormat/>
    <w:uiPriority w:val="0"/>
    <w:pPr>
      <w:adjustRightInd w:val="0"/>
      <w:snapToGrid w:val="0"/>
      <w:spacing w:line="480" w:lineRule="exact"/>
      <w:ind w:firstLine="200" w:firstLineChars="200"/>
    </w:pPr>
    <w:rPr>
      <w:kern w:val="0"/>
      <w:szCs w:val="20"/>
    </w:rPr>
  </w:style>
  <w:style w:type="paragraph" w:customStyle="1" w:styleId="3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Other|2"/>
    <w:basedOn w:val="1"/>
    <w:qFormat/>
    <w:uiPriority w:val="0"/>
    <w:pPr>
      <w:spacing w:before="50"/>
      <w:jc w:val="center"/>
    </w:pPr>
    <w:rPr>
      <w:rFonts w:ascii="宋体" w:hAnsi="宋体" w:cs="宋体"/>
      <w:sz w:val="20"/>
      <w:szCs w:val="20"/>
      <w:lang w:val="zh-TW" w:eastAsia="zh-TW" w:bidi="zh-TW"/>
    </w:rPr>
  </w:style>
  <w:style w:type="paragraph" w:customStyle="1" w:styleId="39">
    <w:name w:val="表头"/>
    <w:basedOn w:val="1"/>
    <w:qFormat/>
    <w:uiPriority w:val="0"/>
    <w:pPr>
      <w:spacing w:line="420" w:lineRule="exact"/>
      <w:jc w:val="center"/>
    </w:pPr>
    <w:rPr>
      <w:rFonts w:hAnsi="宋体"/>
      <w:b/>
      <w:color w:val="000000"/>
      <w:position w:val="2"/>
    </w:rPr>
  </w:style>
  <w:style w:type="paragraph" w:customStyle="1" w:styleId="40">
    <w:name w:val="【表中文字】"/>
    <w:basedOn w:val="1"/>
    <w:qFormat/>
    <w:uiPriority w:val="0"/>
    <w:pPr>
      <w:jc w:val="center"/>
    </w:pPr>
    <w:rPr>
      <w:rFonts w:eastAsia="新宋体"/>
      <w:sz w:val="21"/>
      <w:szCs w:val="20"/>
    </w:rPr>
  </w:style>
  <w:style w:type="paragraph" w:customStyle="1" w:styleId="41">
    <w:name w:val="表格内容自定"/>
    <w:basedOn w:val="1"/>
    <w:qFormat/>
    <w:uiPriority w:val="0"/>
    <w:pPr>
      <w:spacing w:line="280" w:lineRule="exact"/>
      <w:jc w:val="center"/>
    </w:pPr>
    <w:rPr>
      <w:kern w:val="0"/>
      <w:sz w:val="18"/>
      <w:szCs w:val="21"/>
    </w:rPr>
  </w:style>
  <w:style w:type="paragraph" w:customStyle="1" w:styleId="42">
    <w:name w:val="[1]正文"/>
    <w:basedOn w:val="1"/>
    <w:qFormat/>
    <w:uiPriority w:val="0"/>
    <w:pPr>
      <w:autoSpaceDE w:val="0"/>
      <w:autoSpaceDN w:val="0"/>
      <w:ind w:firstLine="200" w:firstLineChars="200"/>
    </w:pPr>
    <w:rPr>
      <w:color w:val="000000"/>
      <w:kern w:val="0"/>
      <w:lang w:val="zh-CN"/>
    </w:rPr>
  </w:style>
  <w:style w:type="paragraph" w:customStyle="1" w:styleId="43">
    <w:name w:val="Other|1"/>
    <w:basedOn w:val="1"/>
    <w:qFormat/>
    <w:uiPriority w:val="0"/>
    <w:pPr>
      <w:jc w:val="center"/>
    </w:pPr>
    <w:rPr>
      <w:rFonts w:ascii="宋体" w:hAnsi="宋体" w:cs="宋体"/>
      <w:sz w:val="20"/>
      <w:szCs w:val="20"/>
      <w:lang w:val="zh-TW" w:eastAsia="zh-TW" w:bidi="zh-TW"/>
    </w:rPr>
  </w:style>
  <w:style w:type="paragraph" w:customStyle="1" w:styleId="44">
    <w:name w:val="中文报告书样式"/>
    <w:basedOn w:val="1"/>
    <w:qFormat/>
    <w:uiPriority w:val="0"/>
    <w:pPr>
      <w:adjustRightInd w:val="0"/>
      <w:spacing w:line="480" w:lineRule="atLeast"/>
      <w:ind w:firstLine="482"/>
      <w:textAlignment w:val="baseline"/>
    </w:pPr>
    <w:rPr>
      <w:kern w:val="24"/>
      <w:szCs w:val="20"/>
    </w:rPr>
  </w:style>
  <w:style w:type="paragraph" w:customStyle="1" w:styleId="45">
    <w:name w:val="【表头】"/>
    <w:basedOn w:val="1"/>
    <w:qFormat/>
    <w:uiPriority w:val="0"/>
    <w:pPr>
      <w:spacing w:line="460" w:lineRule="exact"/>
      <w:jc w:val="center"/>
    </w:pPr>
    <w:rPr>
      <w:b/>
    </w:rPr>
  </w:style>
  <w:style w:type="paragraph" w:customStyle="1" w:styleId="46">
    <w:name w:val="p0"/>
    <w:basedOn w:val="1"/>
    <w:qFormat/>
    <w:uiPriority w:val="0"/>
    <w:pPr>
      <w:widowControl/>
    </w:pPr>
    <w:rPr>
      <w:kern w:val="0"/>
      <w:szCs w:val="20"/>
    </w:rPr>
  </w:style>
  <w:style w:type="paragraph" w:customStyle="1" w:styleId="47">
    <w:name w:val="表内文字"/>
    <w:basedOn w:val="1"/>
    <w:qFormat/>
    <w:uiPriority w:val="0"/>
    <w:pPr>
      <w:adjustRightInd w:val="0"/>
      <w:jc w:val="center"/>
      <w:textAlignment w:val="baseline"/>
    </w:pPr>
    <w:rPr>
      <w:sz w:val="21"/>
      <w:szCs w:val="20"/>
    </w:rPr>
  </w:style>
  <w:style w:type="paragraph" w:customStyle="1" w:styleId="48">
    <w:name w:val="Table Paragraph"/>
    <w:basedOn w:val="1"/>
    <w:qFormat/>
    <w:uiPriority w:val="1"/>
    <w:rPr>
      <w:rFonts w:ascii="宋体" w:hAnsi="宋体" w:cs="宋体"/>
      <w:lang w:val="zh-CN" w:bidi="zh-CN"/>
    </w:rPr>
  </w:style>
  <w:style w:type="character" w:customStyle="1" w:styleId="49">
    <w:name w:val="批注框文本 Char"/>
    <w:basedOn w:val="25"/>
    <w:link w:val="16"/>
    <w:qFormat/>
    <w:uiPriority w:val="0"/>
    <w:rPr>
      <w:kern w:val="2"/>
      <w:sz w:val="18"/>
      <w:szCs w:val="18"/>
    </w:rPr>
  </w:style>
  <w:style w:type="character" w:customStyle="1" w:styleId="50">
    <w:name w:val="表格标题 Char"/>
    <w:link w:val="29"/>
    <w:qFormat/>
    <w:uiPriority w:val="0"/>
    <w:rPr>
      <w:rFonts w:ascii="Times New Roman" w:hAnsi="Times New Roman" w:eastAsia="仿宋"/>
      <w:b/>
      <w:kern w:val="0"/>
      <w:sz w:val="24"/>
    </w:rPr>
  </w:style>
  <w:style w:type="character" w:customStyle="1" w:styleId="51">
    <w:name w:val="标题 1 Char"/>
    <w:link w:val="3"/>
    <w:qFormat/>
    <w:uiPriority w:val="0"/>
    <w:rPr>
      <w:rFonts w:ascii="Times New Roman" w:hAnsi="Times New Roman" w:eastAsia="黑体"/>
      <w:kern w:val="0"/>
      <w:sz w:val="30"/>
      <w:szCs w:val="20"/>
    </w:rPr>
  </w:style>
  <w:style w:type="character" w:customStyle="1" w:styleId="52">
    <w:name w:val="标题 3 Char"/>
    <w:link w:val="5"/>
    <w:qFormat/>
    <w:uiPriority w:val="0"/>
    <w:rPr>
      <w:rFonts w:ascii="Times New Roman" w:hAnsi="Times New Roman" w:eastAsia="宋体"/>
      <w:szCs w:val="20"/>
    </w:rPr>
  </w:style>
  <w:style w:type="character" w:customStyle="1" w:styleId="53">
    <w:name w:val="标题 2 Char"/>
    <w:link w:val="4"/>
    <w:qFormat/>
    <w:uiPriority w:val="0"/>
    <w:rPr>
      <w:rFonts w:ascii="Times New Roman" w:hAnsi="Times New Roman" w:eastAsia="宋体"/>
      <w:b/>
      <w:sz w:val="24"/>
    </w:rPr>
  </w:style>
  <w:style w:type="character" w:customStyle="1" w:styleId="54">
    <w:name w:val="文档结构图 Char"/>
    <w:basedOn w:val="25"/>
    <w:link w:val="7"/>
    <w:qFormat/>
    <w:uiPriority w:val="0"/>
    <w:rPr>
      <w:rFonts w:ascii="宋体"/>
      <w:kern w:val="2"/>
      <w:sz w:val="18"/>
      <w:szCs w:val="18"/>
    </w:rPr>
  </w:style>
  <w:style w:type="character" w:customStyle="1" w:styleId="55">
    <w:name w:val="报告正文 Char Char"/>
    <w:qFormat/>
    <w:uiPriority w:val="0"/>
    <w:rPr>
      <w:kern w:val="2"/>
      <w:sz w:val="24"/>
    </w:rPr>
  </w:style>
  <w:style w:type="character" w:customStyle="1" w:styleId="56">
    <w:name w:val="批注主题 Char"/>
    <w:basedOn w:val="57"/>
    <w:link w:val="22"/>
    <w:qFormat/>
    <w:uiPriority w:val="0"/>
    <w:rPr>
      <w:szCs w:val="24"/>
    </w:rPr>
  </w:style>
  <w:style w:type="character" w:customStyle="1" w:styleId="57">
    <w:name w:val="批注文字 Char"/>
    <w:basedOn w:val="25"/>
    <w:link w:val="8"/>
    <w:qFormat/>
    <w:uiPriority w:val="99"/>
    <w:rPr>
      <w:szCs w:val="24"/>
    </w:rPr>
  </w:style>
  <w:style w:type="paragraph" w:customStyle="1" w:styleId="58">
    <w:name w:val="正文文本，表格"/>
    <w:basedOn w:val="1"/>
    <w:qFormat/>
    <w:uiPriority w:val="0"/>
    <w:pPr>
      <w:jc w:val="center"/>
    </w:pPr>
    <w:rPr>
      <w:rFonts w:cs="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NUL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emf"/><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72</Pages>
  <Words>7899</Words>
  <Characters>45030</Characters>
  <Lines>375</Lines>
  <Paragraphs>105</Paragraphs>
  <TotalTime>1</TotalTime>
  <ScaleCrop>false</ScaleCrop>
  <LinksUpToDate>false</LinksUpToDate>
  <CharactersWithSpaces>52824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2020-10-04T06:37:00Z</dcterms:created>
  <dc:creator>Olivia.</dc:creator>
  <cp:lastModifiedBy>Olivia.</cp:lastModifiedBy>
  <dcterms:modified xsi:type="dcterms:W3CDTF">2021-01-14T02:37:29Z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