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page" w:horzAnchor="page" w:tblpX="1343" w:tblpY="3200"/>
        <w:tblOverlap w:val="never"/>
        <w:tblW w:w="14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540"/>
        <w:gridCol w:w="2180"/>
        <w:gridCol w:w="8220"/>
        <w:gridCol w:w="116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涉及企业及企业负责人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投诉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问题</w:t>
            </w:r>
          </w:p>
        </w:tc>
        <w:tc>
          <w:tcPr>
            <w:tcW w:w="82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处理情况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监管责任部门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line="300" w:lineRule="exac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安徽德邦化工有限公司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exac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家住于德邦化工厂一墙之隔，正常生活一直受到德邦化工厂生产活动产生的刺鼻气体、粉尘、噪音、震动等影响</w:t>
            </w:r>
          </w:p>
        </w:tc>
        <w:tc>
          <w:tcPr>
            <w:tcW w:w="8220" w:type="dxa"/>
            <w:vAlign w:val="center"/>
          </w:tcPr>
          <w:p>
            <w:pPr>
              <w:widowControl/>
              <w:spacing w:line="300" w:lineRule="exact"/>
              <w:rPr>
                <w:rFonts w:hint="default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针对企业排放刺激性废气特征和噪声情况，我局组织对德邦化工开展了人工监测，同步对企业污染防治设施运行情况进行了检查。监测分别在企业上风向、下风向和居民敏感点设置了6个废气监测点位和8个噪声监测点位。监测报告数据显示厂界6个无组织监测点位最大排放浓度：氨0.64mg/m3，硫化氢0.009mg/m3，臭气19，均达标排放；厂界8个噪声监测点位中的一个点位昼间噪声65.2dB，超标0.003倍，其它点位均达标排放。针对企业昼间噪声点位超标问题，我局已责令企业立即进行整改，确保达标排放。</w:t>
            </w:r>
          </w:p>
          <w:p>
            <w:pPr>
              <w:widowControl/>
              <w:spacing w:line="300" w:lineRule="exac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市生态环境局</w:t>
            </w: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3月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3月信访公开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F17C2"/>
    <w:rsid w:val="41891F3E"/>
    <w:rsid w:val="6D8672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2021-04-14T03:38:13Z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85039076EC4A439683FF0BE561530D47</vt:lpwstr>
  </property>
</Properties>
</file>