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eastAsia="zh-CN"/>
        </w:rPr>
      </w:pPr>
    </w:p>
    <w:p>
      <w:pPr>
        <w:pStyle w:val="2"/>
        <w:rPr>
          <w:rFonts w:hint="eastAsia" w:ascii="仿宋_GB2312" w:hAnsi="仿宋_GB2312" w:eastAsia="仿宋_GB2312" w:cs="仿宋_GB2312"/>
          <w:b/>
          <w:bCs/>
          <w:sz w:val="32"/>
          <w:szCs w:val="32"/>
          <w:lang w:eastAsia="zh-CN"/>
        </w:rPr>
      </w:pPr>
    </w:p>
    <w:p>
      <w:pPr>
        <w:pStyle w:val="2"/>
        <w:rPr>
          <w:rFonts w:hint="eastAsia" w:ascii="仿宋_GB2312" w:hAnsi="仿宋_GB2312" w:eastAsia="仿宋_GB2312" w:cs="仿宋_GB2312"/>
          <w:b/>
          <w:bCs/>
          <w:sz w:val="32"/>
          <w:szCs w:val="32"/>
          <w:lang w:eastAsia="zh-CN"/>
        </w:rPr>
      </w:pPr>
    </w:p>
    <w:p>
      <w:pPr>
        <w:pStyle w:val="2"/>
        <w:rPr>
          <w:rFonts w:hint="eastAsia" w:ascii="仿宋_GB2312" w:hAnsi="仿宋_GB2312" w:eastAsia="仿宋_GB2312" w:cs="仿宋_GB2312"/>
          <w:b/>
          <w:bCs/>
          <w:sz w:val="32"/>
          <w:szCs w:val="32"/>
          <w:lang w:eastAsia="zh-CN"/>
        </w:rPr>
      </w:pPr>
    </w:p>
    <w:p>
      <w:pPr>
        <w:pStyle w:val="2"/>
        <w:rPr>
          <w:rFonts w:hint="eastAsia" w:ascii="仿宋_GB2312" w:hAnsi="仿宋_GB2312" w:eastAsia="仿宋_GB2312" w:cs="仿宋_GB2312"/>
          <w:b/>
          <w:bCs/>
          <w:sz w:val="32"/>
          <w:szCs w:val="32"/>
          <w:lang w:eastAsia="zh-CN"/>
        </w:rPr>
      </w:pPr>
    </w:p>
    <w:p>
      <w:pPr>
        <w:jc w:val="center"/>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lang w:eastAsia="zh-CN"/>
        </w:rPr>
        <w:t>开</w:t>
      </w:r>
      <w:r>
        <w:rPr>
          <w:rFonts w:hint="eastAsia" w:ascii="仿宋_GB2312" w:hAnsi="仿宋_GB2312" w:eastAsia="仿宋_GB2312" w:cs="仿宋_GB2312"/>
          <w:b w:val="0"/>
          <w:bCs w:val="0"/>
          <w:color w:val="auto"/>
          <w:sz w:val="32"/>
          <w:szCs w:val="32"/>
          <w:u w:val="none"/>
          <w:lang w:eastAsia="zh-CN"/>
        </w:rPr>
        <w:t>环复〔202</w:t>
      </w: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28</w:t>
      </w:r>
      <w:r>
        <w:rPr>
          <w:rFonts w:hint="eastAsia" w:ascii="仿宋_GB2312" w:hAnsi="仿宋_GB2312" w:eastAsia="仿宋_GB2312" w:cs="仿宋_GB2312"/>
          <w:b w:val="0"/>
          <w:bCs w:val="0"/>
          <w:color w:val="auto"/>
          <w:sz w:val="32"/>
          <w:szCs w:val="32"/>
          <w:u w:val="none"/>
          <w:lang w:eastAsia="zh-CN"/>
        </w:rPr>
        <w:t>号</w:t>
      </w:r>
      <w:bookmarkStart w:id="1" w:name="_GoBack"/>
      <w:bookmarkEnd w:id="1"/>
    </w:p>
    <w:p>
      <w:pPr>
        <w:pStyle w:val="2"/>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w:t>
      </w:r>
      <w:r>
        <w:rPr>
          <w:rFonts w:hint="eastAsia" w:ascii="方正小标宋简体" w:hAnsi="方正小标宋简体" w:eastAsia="方正小标宋简体" w:cs="方正小标宋简体"/>
          <w:b w:val="0"/>
          <w:bCs/>
          <w:sz w:val="36"/>
          <w:szCs w:val="36"/>
          <w:lang w:eastAsia="zh-CN"/>
        </w:rPr>
        <w:t>淮南市市政工程公司</w:t>
      </w:r>
      <w:r>
        <w:rPr>
          <w:rFonts w:hint="eastAsia" w:ascii="方正小标宋简体" w:hAnsi="方正小标宋简体" w:eastAsia="方正小标宋简体" w:cs="方正小标宋简体"/>
          <w:b w:val="0"/>
          <w:bCs/>
          <w:sz w:val="36"/>
          <w:szCs w:val="36"/>
        </w:rPr>
        <w:t>“</w:t>
      </w:r>
      <w:r>
        <w:rPr>
          <w:rFonts w:hint="eastAsia" w:ascii="方正小标宋简体" w:hAnsi="方正小标宋简体" w:eastAsia="方正小标宋简体" w:cs="方正小标宋简体"/>
          <w:b w:val="0"/>
          <w:bCs/>
          <w:sz w:val="36"/>
          <w:szCs w:val="36"/>
          <w:lang w:eastAsia="zh-CN"/>
        </w:rPr>
        <w:t>预制件生产线技术改造项目</w:t>
      </w:r>
      <w:r>
        <w:rPr>
          <w:rFonts w:hint="eastAsia" w:ascii="方正小标宋简体" w:hAnsi="方正小标宋简体" w:eastAsia="方正小标宋简体" w:cs="方正小标宋简体"/>
          <w:b w:val="0"/>
          <w:bCs/>
          <w:sz w:val="36"/>
          <w:szCs w:val="36"/>
        </w:rPr>
        <w:t>”</w:t>
      </w:r>
    </w:p>
    <w:p>
      <w:pPr>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环境影响报告表的</w:t>
      </w:r>
      <w:r>
        <w:rPr>
          <w:rFonts w:hint="eastAsia" w:ascii="方正小标宋简体" w:hAnsi="方正小标宋简体" w:eastAsia="方正小标宋简体" w:cs="方正小标宋简体"/>
          <w:b w:val="0"/>
          <w:bCs/>
          <w:sz w:val="36"/>
          <w:szCs w:val="36"/>
          <w:lang w:eastAsia="zh-CN"/>
        </w:rPr>
        <w:t>批复</w:t>
      </w:r>
    </w:p>
    <w:p>
      <w:pPr>
        <w:widowControl/>
        <w:jc w:val="left"/>
        <w:rPr>
          <w:rFonts w:ascii="仿宋" w:hAnsi="仿宋" w:eastAsia="仿宋" w:cs="仿宋"/>
          <w:b/>
          <w:bCs/>
          <w:szCs w:val="21"/>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eastAsia="zh-CN"/>
        </w:rPr>
        <w:t>淮南市市政工程公司</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你公司报来的《</w:t>
      </w:r>
      <w:r>
        <w:rPr>
          <w:rFonts w:hint="eastAsia" w:ascii="仿宋_GB2312" w:hAnsi="仿宋_GB2312" w:eastAsia="仿宋_GB2312" w:cs="仿宋_GB2312"/>
          <w:color w:val="auto"/>
          <w:sz w:val="32"/>
          <w:szCs w:val="32"/>
          <w:u w:val="none"/>
          <w:lang w:eastAsia="zh-CN"/>
        </w:rPr>
        <w:t>淮南市市政工程公司“预制件生产线技术改造项目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环境影响报告表》（以下简称《报告表》）已收悉。经审查后批复如下：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auto"/>
          <w:sz w:val="32"/>
          <w:szCs w:val="32"/>
        </w:rPr>
        <w:t>在全面落实环评文件提出的各项污染防治措施和风险防范措施的前提下，原则同意该项目《报告表》</w:t>
      </w:r>
      <w:r>
        <w:rPr>
          <w:rFonts w:hint="eastAsia" w:ascii="仿宋_GB2312" w:hAnsi="仿宋_GB2312" w:eastAsia="仿宋_GB2312" w:cs="仿宋_GB2312"/>
          <w:color w:val="auto"/>
          <w:sz w:val="32"/>
          <w:szCs w:val="32"/>
          <w:lang w:eastAsia="zh-CN"/>
        </w:rPr>
        <w:t>，请按</w:t>
      </w:r>
      <w:r>
        <w:rPr>
          <w:rFonts w:hint="eastAsia" w:ascii="仿宋_GB2312" w:hAnsi="仿宋_GB2312" w:eastAsia="仿宋_GB2312" w:cs="仿宋_GB2312"/>
          <w:color w:val="auto"/>
          <w:sz w:val="32"/>
          <w:szCs w:val="32"/>
        </w:rPr>
        <w:t>本审批意见要求进行建设。</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一、项目概况</w:t>
      </w:r>
    </w:p>
    <w:p>
      <w:pPr>
        <w:spacing w:line="54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val="en-US" w:eastAsia="zh-CN"/>
        </w:rPr>
        <w:t>项目位于安徽省淮南市经济开发区明珠西路北侧，吉兴路西侧，现有项目系混凝土道路路缘石和预制件生产项目，总占地面积25647m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，总投资700万元，环保投资37万元。本次改建项目不新增用地面积，系在原有储料仓库内新增搅拌主机及主楼、配料机及仓罐、斜皮带机生产设备等，对原有道路路缘石、预制件生产线进行技术改造升级。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auto"/>
          <w:sz w:val="32"/>
          <w:szCs w:val="32"/>
          <w:lang w:eastAsia="zh-CN"/>
        </w:rPr>
        <w:t>本项目已在淮南经济技术开发区管理委员会备案，项目编码：2108-340461-04-02-470765。</w:t>
      </w:r>
      <w:r>
        <w:rPr>
          <w:rFonts w:hint="eastAsia" w:ascii="仿宋_GB2312" w:hAnsi="仿宋_GB2312" w:eastAsia="仿宋_GB2312" w:cs="仿宋_GB2312"/>
          <w:sz w:val="32"/>
          <w:szCs w:val="32"/>
        </w:rPr>
        <w:t>未经审批，该项目不得擅自扩大生产规模、改变建设内容。</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_GB2312" w:hAnsi="仿宋_GB2312" w:eastAsia="仿宋_GB2312" w:cs="仿宋_GB2312"/>
          <w:b/>
          <w:bCs/>
          <w:i w:val="0"/>
          <w:iCs w:val="0"/>
          <w:color w:val="auto"/>
          <w:sz w:val="32"/>
          <w:szCs w:val="32"/>
        </w:rPr>
      </w:pPr>
      <w:r>
        <w:rPr>
          <w:rFonts w:hint="eastAsia" w:ascii="仿宋_GB2312" w:hAnsi="仿宋_GB2312" w:eastAsia="仿宋_GB2312" w:cs="仿宋_GB2312"/>
          <w:b/>
          <w:bCs/>
          <w:i w:val="0"/>
          <w:iCs w:val="0"/>
          <w:color w:val="auto"/>
          <w:sz w:val="32"/>
          <w:szCs w:val="32"/>
        </w:rPr>
        <w:t>二、污染防治措施要求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该项目在建设和运营过程中必须严格执行国家和地方政府环境保护的法律法规、政策规范和标准，并重点落实好以下污染防治措施：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（一）施工期污染控制措施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w:t>
      </w:r>
      <w:r>
        <w:rPr>
          <w:rFonts w:hint="eastAsia" w:ascii="仿宋_GB2312" w:hAnsi="仿宋_GB2312" w:eastAsia="仿宋_GB2312" w:cs="仿宋_GB2312"/>
          <w:sz w:val="32"/>
          <w:szCs w:val="32"/>
        </w:rPr>
        <w:t>《安徽省打赢蓝天保卫战三年行动计划实施方案》、《安徽省建筑工程施工和预拌混凝土生产扬尘污染防治标准（试行）》等文件要求，建筑工程施工现场要落实工地周边围挡、物料堆放覆盖、路面硬化、土方开挖湿法作业、出入车辆清洗、渣土车辆密闭运输等“六个百分之百”防扬尘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《淮南市扬尘污染防治管理办法》和《淮南市建设工程文明施工管理办法》等相关依据的要求施工，</w:t>
      </w:r>
      <w:r>
        <w:rPr>
          <w:rFonts w:hint="eastAsia" w:ascii="仿宋_GB2312" w:hAnsi="仿宋_GB2312" w:eastAsia="仿宋_GB2312" w:cs="仿宋_GB2312"/>
          <w:sz w:val="32"/>
          <w:szCs w:val="32"/>
        </w:rPr>
        <w:t>在施工场界处重点做好降低施工噪声向周边居民区的辐射工作，非必要，不得夜间施工，如因特殊施工工艺必须夜间施工，应办理夜间施工许可，并做好相应的防护措施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活污水依托现有化粪池、隔油池处理后排入市政管网，施工废水沉淀循环使用。固废污染防治措施。建筑施工过程中的建筑废弃物和土方，由施工单位规范运输，及时将多余或废弃的土方和建筑垃圾清运至指定地点。施工队伍的生活垃圾不得随意丢弃，收集后交由环卫部门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（二）运营期污染控制措施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水污染防治措施。实行雨污分流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做好流向标志</w:t>
      </w:r>
      <w:r>
        <w:rPr>
          <w:rFonts w:hint="eastAsia" w:ascii="仿宋_GB2312" w:hAnsi="仿宋_GB2312" w:eastAsia="仿宋_GB2312" w:cs="仿宋_GB2312"/>
          <w:color w:val="auto"/>
          <w:sz w:val="32"/>
          <w:szCs w:val="32"/>
        </w:rPr>
        <w:t>。本项目雨水经厂区内雨水管网收集后排入沉淀池沉淀后用作车辆冲洗；生活污水经化粪池处理、食堂废水经隔油池处理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油脂须经有资质单位处理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后，通过市政污水管网接管入淮南经济技术开发区工业污水处理厂深度处理</w:t>
      </w:r>
      <w:r>
        <w:rPr>
          <w:rFonts w:hint="eastAsia" w:ascii="仿宋_GB2312" w:hAnsi="仿宋_GB2312" w:eastAsia="仿宋_GB2312" w:cs="仿宋_GB2312"/>
          <w:sz w:val="32"/>
          <w:szCs w:val="32"/>
        </w:rPr>
        <w:t>。</w:t>
      </w:r>
    </w:p>
    <w:p>
      <w:pPr>
        <w:numPr>
          <w:ilvl w:val="0"/>
          <w:numId w:val="0"/>
        </w:numPr>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大气污染防治措施。水泥仓顶呼吸孔粉尘经过仓顶脉冲布袋除尘器处理后20m高空排放；配料及搅拌工序粉尘经袋式除尘器处理后通过1根15m高排气筒排放；无组织粉尘采取仓库、车间顶部设置喷淋装置；厂区地面硬化，进出口设置清洗平台、雾炮喷雾的措施</w:t>
      </w:r>
      <w:r>
        <w:rPr>
          <w:rFonts w:hint="eastAsia" w:ascii="仿宋_GB2312" w:hAnsi="仿宋_GB2312" w:eastAsia="仿宋_GB2312" w:cs="仿宋_GB2312"/>
          <w:bCs/>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噪声污染防治措施。</w:t>
      </w:r>
      <w:r>
        <w:rPr>
          <w:rFonts w:hint="eastAsia" w:ascii="仿宋_GB2312" w:hAnsi="仿宋_GB2312" w:eastAsia="仿宋_GB2312" w:cs="仿宋_GB2312"/>
          <w:sz w:val="32"/>
          <w:szCs w:val="32"/>
        </w:rPr>
        <w:t>通过采取合理布局、选用低噪声设备、设备减振、加强管理等措施，保证厂界噪声达标</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固废污染防治措施。生产过程中产生的废钢筋外售处理；布袋除尘器收集粉尘回用于生产；员工生活垃圾收集后交由环卫部门处理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sz w:val="32"/>
          <w:szCs w:val="32"/>
        </w:rPr>
        <w:t>项目应加强环境保护管理，落实环境保护的各项应急措施及制度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有关本项目的其他环境影响减缓措施，按环评报告要求认真落实。</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三、环境管理要求</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trike/>
          <w:dstrike w:val="0"/>
          <w:color w:val="C00000"/>
          <w:sz w:val="32"/>
          <w:szCs w:val="32"/>
          <w:lang w:val="en-US" w:eastAsia="zh-CN"/>
        </w:rPr>
      </w:pPr>
      <w:r>
        <w:rPr>
          <w:rFonts w:hint="eastAsia" w:ascii="仿宋_GB2312" w:hAnsi="仿宋_GB2312" w:eastAsia="仿宋_GB2312" w:cs="仿宋_GB2312"/>
          <w:color w:val="auto"/>
          <w:sz w:val="32"/>
          <w:szCs w:val="32"/>
        </w:rPr>
        <w:t>项目建设过程中应严格执行环境保护“三同时”制度；项目竣工后建设单位应当按照国务院生态环境行政主管部门规定的标准和程序，对配套建设的环境保护设施进行验收，合格后方可使用。依据《固定污染源排污许可分类管理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项目建成后，须在实际排放污染物或者启动生产设施之前</w:t>
      </w:r>
      <w:r>
        <w:rPr>
          <w:rFonts w:hint="eastAsia" w:ascii="仿宋_GB2312" w:hAnsi="仿宋_GB2312" w:eastAsia="仿宋_GB2312" w:cs="仿宋_GB2312"/>
          <w:color w:val="000000" w:themeColor="text1"/>
          <w:sz w:val="32"/>
          <w:szCs w:val="32"/>
          <w:lang w:eastAsia="zh-CN"/>
          <w14:textFill>
            <w14:solidFill>
              <w14:schemeClr w14:val="tx1"/>
            </w14:solidFill>
          </w14:textFill>
        </w:rPr>
        <w:t>变更排污许可</w:t>
      </w:r>
      <w:r>
        <w:rPr>
          <w:rFonts w:hint="eastAsia" w:ascii="仿宋_GB2312" w:hAnsi="仿宋_GB2312" w:eastAsia="仿宋_GB2312" w:cs="仿宋_GB2312"/>
          <w:color w:val="000000" w:themeColor="text1"/>
          <w:sz w:val="32"/>
          <w:szCs w:val="32"/>
          <w14:textFill>
            <w14:solidFill>
              <w14:schemeClr w14:val="tx1"/>
            </w14:solidFill>
          </w14:textFill>
        </w:rPr>
        <w:t>，不得无证排污。</w:t>
      </w:r>
    </w:p>
    <w:p>
      <w:pPr>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四、环评执行标准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1.地表水和污水排放</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评价区域地表水淮河淮南段水质执行《地表水环境质量标准》（GB3838-2002）Ⅲ类标准。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项目生产废水经沉淀后循环使用不外排。生活污水及食堂废水</w:t>
      </w:r>
      <w:r>
        <w:rPr>
          <w:rFonts w:hint="eastAsia" w:eastAsia="仿宋"/>
          <w:sz w:val="32"/>
          <w:szCs w:val="32"/>
        </w:rPr>
        <w:t>排放执行《关于发布淮南经开区企业生产废水排放限值的通知》中规定的标准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2.环境空气及废气排放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评价区域环境空气质量执行《环境空气质量标准》（GB3095-2012）二级标准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napToGrid w:val="0"/>
          <w:color w:val="auto"/>
          <w:kern w:val="0"/>
          <w:sz w:val="32"/>
          <w:szCs w:val="32"/>
        </w:rPr>
      </w:pPr>
      <w:bookmarkStart w:id="0" w:name="_Hlk16685795"/>
      <w:r>
        <w:rPr>
          <w:rFonts w:hint="eastAsia" w:ascii="仿宋_GB2312" w:hAnsi="仿宋_GB2312" w:eastAsia="仿宋_GB2312" w:cs="仿宋_GB2312"/>
          <w:sz w:val="32"/>
          <w:szCs w:val="32"/>
          <w:lang w:val="en-US" w:eastAsia="zh-CN"/>
        </w:rPr>
        <w:t>粉尘排放执行安徽省《水泥工业大气污染排放标准》（DB 34/3576-2020）表1中排放限值和无组织排放监控浓度限值。</w:t>
      </w:r>
    </w:p>
    <w:bookmarkEnd w:id="0"/>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3.声环境及噪声排放</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rPr>
        <w:t>声环境质量评价执行《声环境质量标准》（GB3096-2008）中3类标准</w:t>
      </w:r>
      <w:r>
        <w:rPr>
          <w:rFonts w:hint="eastAsia" w:ascii="仿宋_GB2312" w:hAnsi="仿宋_GB2312" w:eastAsia="仿宋_GB2312" w:cs="仿宋_GB2312"/>
          <w:color w:val="000000"/>
          <w:sz w:val="32"/>
          <w:szCs w:val="32"/>
          <w:lang w:val="en-US"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营运期厂界噪声执行《工业企业厂界环境噪声排放标准》（GB12348-2008）中3类标准。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4.固体废物污染控制标准</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一般固体废物排放执行《一般工业固体废物贮存</w:t>
      </w:r>
      <w:r>
        <w:rPr>
          <w:rFonts w:hint="eastAsia" w:ascii="仿宋_GB2312" w:hAnsi="仿宋_GB2312" w:eastAsia="仿宋_GB2312" w:cs="仿宋_GB2312"/>
          <w:color w:val="auto"/>
          <w:sz w:val="32"/>
          <w:szCs w:val="32"/>
          <w:lang w:eastAsia="zh-CN"/>
        </w:rPr>
        <w:t>和填埋污染控制标准</w:t>
      </w:r>
      <w:r>
        <w:rPr>
          <w:rFonts w:hint="eastAsia" w:ascii="仿宋_GB2312" w:hAnsi="仿宋_GB2312" w:eastAsia="仿宋_GB2312" w:cs="仿宋_GB2312"/>
          <w:color w:val="auto"/>
          <w:sz w:val="32"/>
          <w:szCs w:val="32"/>
        </w:rPr>
        <w:t>》（GB18599-2</w:t>
      </w:r>
      <w:r>
        <w:rPr>
          <w:rFonts w:hint="eastAsia" w:ascii="仿宋_GB2312" w:hAnsi="仿宋_GB2312" w:eastAsia="仿宋_GB2312" w:cs="仿宋_GB2312"/>
          <w:color w:val="auto"/>
          <w:sz w:val="32"/>
          <w:szCs w:val="32"/>
          <w:lang w:val="en-US" w:eastAsia="zh-CN"/>
        </w:rPr>
        <w:t>020</w:t>
      </w:r>
      <w:r>
        <w:rPr>
          <w:rFonts w:hint="eastAsia" w:ascii="仿宋_GB2312" w:hAnsi="仿宋_GB2312" w:eastAsia="仿宋_GB2312" w:cs="仿宋_GB2312"/>
          <w:color w:val="auto"/>
          <w:sz w:val="32"/>
          <w:szCs w:val="32"/>
        </w:rPr>
        <w:t>）；危险废物贮存执行《危险废物贮存污染控制标准》（GB18597-2001）及《危险废物收集贮存运输技术规范》（HJ2025-2012）中的相关规定。</w:t>
      </w:r>
    </w:p>
    <w:p>
      <w:pPr>
        <w:pStyle w:val="2"/>
        <w:spacing w:line="500" w:lineRule="exact"/>
        <w:rPr>
          <w:rFonts w:hint="eastAsia" w:ascii="仿宋_GB2312" w:hAnsi="仿宋_GB2312" w:eastAsia="仿宋_GB2312" w:cs="仿宋_GB2312"/>
          <w:lang w:val="en-US"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请生态环境保护综合行政执法机动大队做好工程施工和运营期间的环保监管工作。</w:t>
      </w:r>
    </w:p>
    <w:p>
      <w:pPr>
        <w:pStyle w:val="10"/>
        <w:rPr>
          <w:rFonts w:hint="eastAsia" w:ascii="仿宋_GB2312" w:hAnsi="仿宋_GB2312" w:eastAsia="仿宋_GB2312" w:cs="仿宋_GB231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9月22日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6D"/>
    <w:rsid w:val="000C5E9B"/>
    <w:rsid w:val="000D2D9F"/>
    <w:rsid w:val="00104809"/>
    <w:rsid w:val="00131C5D"/>
    <w:rsid w:val="0014107F"/>
    <w:rsid w:val="0028751E"/>
    <w:rsid w:val="002F75B9"/>
    <w:rsid w:val="00306A5C"/>
    <w:rsid w:val="00352549"/>
    <w:rsid w:val="00514146"/>
    <w:rsid w:val="00585B6A"/>
    <w:rsid w:val="005C20B1"/>
    <w:rsid w:val="006707F0"/>
    <w:rsid w:val="00691126"/>
    <w:rsid w:val="0073757F"/>
    <w:rsid w:val="00757E7B"/>
    <w:rsid w:val="008D65A5"/>
    <w:rsid w:val="00A10CC0"/>
    <w:rsid w:val="00A22C99"/>
    <w:rsid w:val="00AB15B5"/>
    <w:rsid w:val="00B13EB3"/>
    <w:rsid w:val="00B35BFD"/>
    <w:rsid w:val="00B40F91"/>
    <w:rsid w:val="00B4670C"/>
    <w:rsid w:val="00B741D4"/>
    <w:rsid w:val="00BB259F"/>
    <w:rsid w:val="00C63839"/>
    <w:rsid w:val="00CA49A8"/>
    <w:rsid w:val="00DF34E1"/>
    <w:rsid w:val="00F82F6C"/>
    <w:rsid w:val="00FC2706"/>
    <w:rsid w:val="01036804"/>
    <w:rsid w:val="01062E45"/>
    <w:rsid w:val="01116A7C"/>
    <w:rsid w:val="01351817"/>
    <w:rsid w:val="01386C18"/>
    <w:rsid w:val="0152668F"/>
    <w:rsid w:val="015C007F"/>
    <w:rsid w:val="017D5A82"/>
    <w:rsid w:val="01B5655E"/>
    <w:rsid w:val="01C309F0"/>
    <w:rsid w:val="01C61357"/>
    <w:rsid w:val="01C85F68"/>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B4933"/>
    <w:rsid w:val="048C77AE"/>
    <w:rsid w:val="04994A18"/>
    <w:rsid w:val="04A8467F"/>
    <w:rsid w:val="04B16CCD"/>
    <w:rsid w:val="04B623DC"/>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90C78"/>
    <w:rsid w:val="059062B0"/>
    <w:rsid w:val="05AE4292"/>
    <w:rsid w:val="05BA5D04"/>
    <w:rsid w:val="05BE0328"/>
    <w:rsid w:val="05C6124A"/>
    <w:rsid w:val="05CC0888"/>
    <w:rsid w:val="05E1324B"/>
    <w:rsid w:val="06010B21"/>
    <w:rsid w:val="061857F1"/>
    <w:rsid w:val="06191A10"/>
    <w:rsid w:val="06191A9F"/>
    <w:rsid w:val="061D4B46"/>
    <w:rsid w:val="06347043"/>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31432"/>
    <w:rsid w:val="0C9C23A6"/>
    <w:rsid w:val="0CA66AC7"/>
    <w:rsid w:val="0CAF30D9"/>
    <w:rsid w:val="0CDA3990"/>
    <w:rsid w:val="0CDB0317"/>
    <w:rsid w:val="0CF65B54"/>
    <w:rsid w:val="0CF852FE"/>
    <w:rsid w:val="0D1C5069"/>
    <w:rsid w:val="0D2129AF"/>
    <w:rsid w:val="0D341587"/>
    <w:rsid w:val="0D420DD3"/>
    <w:rsid w:val="0D6D42C0"/>
    <w:rsid w:val="0D8402A8"/>
    <w:rsid w:val="0D871410"/>
    <w:rsid w:val="0D9879BB"/>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F1F7E57"/>
    <w:rsid w:val="0F4164A2"/>
    <w:rsid w:val="0F72027C"/>
    <w:rsid w:val="0F7B5A8E"/>
    <w:rsid w:val="0F9110F6"/>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6F754B"/>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25223"/>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C01C70"/>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2E878C6"/>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EE2148"/>
    <w:rsid w:val="28F54389"/>
    <w:rsid w:val="28FC32B4"/>
    <w:rsid w:val="28FE715B"/>
    <w:rsid w:val="291B51D1"/>
    <w:rsid w:val="292F6D0D"/>
    <w:rsid w:val="294279B5"/>
    <w:rsid w:val="295B06ED"/>
    <w:rsid w:val="2960284E"/>
    <w:rsid w:val="296671A6"/>
    <w:rsid w:val="298825F9"/>
    <w:rsid w:val="298E7CF3"/>
    <w:rsid w:val="29900AD0"/>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B2430"/>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57E40"/>
    <w:rsid w:val="30AB34ED"/>
    <w:rsid w:val="30B036B7"/>
    <w:rsid w:val="30B2262D"/>
    <w:rsid w:val="310C6D74"/>
    <w:rsid w:val="31104C77"/>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4006554E"/>
    <w:rsid w:val="40146CAA"/>
    <w:rsid w:val="40171FD1"/>
    <w:rsid w:val="401B2A00"/>
    <w:rsid w:val="401F7D62"/>
    <w:rsid w:val="402B60C8"/>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0F2138"/>
    <w:rsid w:val="42114C45"/>
    <w:rsid w:val="422948E7"/>
    <w:rsid w:val="422D618F"/>
    <w:rsid w:val="42437E85"/>
    <w:rsid w:val="42560BEC"/>
    <w:rsid w:val="42590719"/>
    <w:rsid w:val="427965E9"/>
    <w:rsid w:val="42885504"/>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90FAE"/>
    <w:rsid w:val="47B34F3B"/>
    <w:rsid w:val="47B61E14"/>
    <w:rsid w:val="47C00927"/>
    <w:rsid w:val="47E61839"/>
    <w:rsid w:val="47E83200"/>
    <w:rsid w:val="47E96F3E"/>
    <w:rsid w:val="47F02FA3"/>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90456D5"/>
    <w:rsid w:val="490E65FB"/>
    <w:rsid w:val="491F23D5"/>
    <w:rsid w:val="49345C98"/>
    <w:rsid w:val="493B071F"/>
    <w:rsid w:val="49815CF9"/>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9F17F72"/>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8B5EEF"/>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513D8"/>
    <w:rsid w:val="5E56380E"/>
    <w:rsid w:val="5E575E93"/>
    <w:rsid w:val="5E580E10"/>
    <w:rsid w:val="5E69614F"/>
    <w:rsid w:val="5E882EA1"/>
    <w:rsid w:val="5E955346"/>
    <w:rsid w:val="5EC24A2F"/>
    <w:rsid w:val="5EC578F0"/>
    <w:rsid w:val="5EEC381A"/>
    <w:rsid w:val="5EF15D4E"/>
    <w:rsid w:val="5F013B13"/>
    <w:rsid w:val="5F450DE4"/>
    <w:rsid w:val="5F653055"/>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5D575D"/>
    <w:rsid w:val="6160086F"/>
    <w:rsid w:val="617F3CFD"/>
    <w:rsid w:val="61847AF4"/>
    <w:rsid w:val="61A314B4"/>
    <w:rsid w:val="61A63FF9"/>
    <w:rsid w:val="61AD03D8"/>
    <w:rsid w:val="61C95D07"/>
    <w:rsid w:val="62090316"/>
    <w:rsid w:val="621128A5"/>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31360"/>
    <w:rsid w:val="637B040D"/>
    <w:rsid w:val="637D4F5B"/>
    <w:rsid w:val="63867C69"/>
    <w:rsid w:val="63A064B7"/>
    <w:rsid w:val="63B606E5"/>
    <w:rsid w:val="63BF5752"/>
    <w:rsid w:val="63CA617B"/>
    <w:rsid w:val="63D20DFC"/>
    <w:rsid w:val="63D64DA2"/>
    <w:rsid w:val="63DF39CD"/>
    <w:rsid w:val="63DF6935"/>
    <w:rsid w:val="63F730C5"/>
    <w:rsid w:val="63FA7C6A"/>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7A1DE8"/>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4AF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A3C43"/>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98638E"/>
    <w:rsid w:val="6EB00E57"/>
    <w:rsid w:val="6EE43DA2"/>
    <w:rsid w:val="6EFD37F3"/>
    <w:rsid w:val="6F1410FE"/>
    <w:rsid w:val="6F262CBD"/>
    <w:rsid w:val="6F277430"/>
    <w:rsid w:val="6F3005B6"/>
    <w:rsid w:val="6F4F0565"/>
    <w:rsid w:val="6F763EE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0F90871"/>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hint="default" w:cs="宋体"/>
    </w:rPr>
  </w:style>
  <w:style w:type="paragraph" w:styleId="4">
    <w:name w:val="annotation text"/>
    <w:basedOn w:val="1"/>
    <w:qFormat/>
    <w:uiPriority w:val="0"/>
    <w:pPr>
      <w:jc w:val="left"/>
    </w:pPr>
  </w:style>
  <w:style w:type="paragraph" w:styleId="5">
    <w:name w:val="Body Text"/>
    <w:basedOn w:val="1"/>
    <w:next w:val="1"/>
    <w:unhideWhenUsed/>
    <w:qFormat/>
    <w:uiPriority w:val="99"/>
  </w:style>
  <w:style w:type="paragraph" w:styleId="6">
    <w:name w:val="Body Text Indent"/>
    <w:basedOn w:val="1"/>
    <w:next w:val="7"/>
    <w:qFormat/>
    <w:uiPriority w:val="0"/>
    <w:pPr>
      <w:spacing w:line="560" w:lineRule="exact"/>
      <w:ind w:firstLine="567"/>
    </w:pPr>
    <w:rPr>
      <w:rFonts w:ascii="宋体" w:hAnsi="宋体"/>
      <w:sz w:val="28"/>
    </w:rPr>
  </w:style>
  <w:style w:type="paragraph" w:styleId="7">
    <w:name w:val="Body Text Indent 2"/>
    <w:basedOn w:val="1"/>
    <w:next w:val="8"/>
    <w:qFormat/>
    <w:uiPriority w:val="0"/>
    <w:pPr>
      <w:spacing w:line="400" w:lineRule="exact"/>
      <w:ind w:firstLine="573"/>
    </w:pPr>
    <w:rPr>
      <w:rFonts w:ascii="宋体" w:hAnsi="宋体"/>
      <w:sz w:val="28"/>
    </w:rPr>
  </w:style>
  <w:style w:type="paragraph" w:styleId="8">
    <w:name w:val="Body Text First Indent 2"/>
    <w:basedOn w:val="6"/>
    <w:next w:val="1"/>
    <w:qFormat/>
    <w:uiPriority w:val="0"/>
    <w:pPr>
      <w:spacing w:after="120" w:line="240" w:lineRule="auto"/>
      <w:ind w:left="420" w:leftChars="200" w:firstLine="420"/>
    </w:pPr>
    <w:rPr>
      <w:sz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4">
    <w:name w:val="Default"/>
    <w:basedOn w:val="1"/>
    <w:qFormat/>
    <w:uiPriority w:val="0"/>
    <w:pPr>
      <w:autoSpaceDE w:val="0"/>
      <w:autoSpaceDN w:val="0"/>
      <w:jc w:val="left"/>
    </w:pPr>
    <w:rPr>
      <w:rFonts w:hint="eastAsia" w:ascii="宋体" w:cs="宋体"/>
      <w:color w:val="000000"/>
      <w:kern w:val="0"/>
      <w:sz w:val="24"/>
    </w:rPr>
  </w:style>
  <w:style w:type="paragraph" w:customStyle="1" w:styleId="15">
    <w:name w:val="样式 小四"/>
    <w:basedOn w:val="1"/>
    <w:qFormat/>
    <w:uiPriority w:val="0"/>
    <w:pPr>
      <w:spacing w:before="156" w:beforeLines="50" w:line="30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14</TotalTime>
  <ScaleCrop>false</ScaleCrop>
  <LinksUpToDate>false</LinksUpToDate>
  <CharactersWithSpaces>2030</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云中落叶</cp:lastModifiedBy>
  <cp:lastPrinted>2021-04-27T06:50:00Z</cp:lastPrinted>
  <dcterms:modified xsi:type="dcterms:W3CDTF">2021-09-24T07:17:56Z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6EB3C32596234ACBAC627B2BE1913759</vt:lpwstr>
  </property>
</Properties>
</file>