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开环复﹝2021﹞</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号</w:t>
      </w:r>
    </w:p>
    <w:p>
      <w:pPr>
        <w:pStyle w:val="2"/>
        <w:ind w:firstLine="420"/>
        <w:rPr>
          <w:color w:val="FF0000"/>
        </w:rPr>
      </w:pPr>
    </w:p>
    <w:p>
      <w:pPr>
        <w:spacing w:line="62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关于国药集团国瑞药业有限公司“国药集团医药产业基地项目（二期）-原料车间（二）项目”</w:t>
      </w:r>
    </w:p>
    <w:p>
      <w:pPr>
        <w:spacing w:line="62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环境影响报告书</w:t>
      </w: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的批复</w:t>
      </w:r>
    </w:p>
    <w:p>
      <w:pPr>
        <w:widowControl/>
        <w:jc w:val="left"/>
        <w:rPr>
          <w:rFonts w:ascii="仿宋" w:hAnsi="仿宋" w:eastAsia="仿宋" w:cs="仿宋"/>
          <w:b/>
          <w:bCs/>
          <w:color w:val="000000" w:themeColor="text1"/>
          <w:szCs w:val="21"/>
          <w14:textFill>
            <w14:solidFill>
              <w14:schemeClr w14:val="tx1"/>
            </w14:solidFill>
          </w14:textFill>
        </w:rPr>
      </w:pP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国药集团国瑞药业有限公司：</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你公司报来的《国药集团国瑞药业有限公司“国药集团医药产业基地项目（二期）-原料车间（二）项目”环境影响报告书》（以下简称《报告书》）已收悉。经审查后批复如下：</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在全面落实环评文件提出的各项污染防治措施和风险防范措施的前提下，原则同意该项目《报告书》并按本审批意见要求进行建设。</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一、项目概况</w:t>
      </w:r>
    </w:p>
    <w:p>
      <w:pPr>
        <w:spacing w:line="500" w:lineRule="exact"/>
        <w:ind w:firstLine="640" w:firstLineChars="200"/>
        <w:rPr>
          <w:rFonts w:ascii="仿宋" w:hAnsi="仿宋" w:eastAsia="仿宋" w:cs="仿宋"/>
          <w:sz w:val="32"/>
          <w:szCs w:val="32"/>
        </w:rPr>
      </w:pPr>
      <w:r>
        <w:rPr>
          <w:rFonts w:hint="eastAsia" w:eastAsia="仿宋"/>
          <w:sz w:val="32"/>
          <w:szCs w:val="32"/>
        </w:rPr>
        <w:t>项目位于淮南市经济技术开发区朝阳东路北侧，国瑞药业现有厂区预留空地内，不新征用地。</w:t>
      </w:r>
      <w:r>
        <w:rPr>
          <w:rFonts w:ascii="仿宋" w:hAnsi="仿宋" w:eastAsia="仿宋" w:cs="仿宋"/>
          <w:sz w:val="32"/>
          <w:szCs w:val="32"/>
        </w:rPr>
        <w:t>本</w:t>
      </w:r>
      <w:r>
        <w:rPr>
          <w:rFonts w:hint="eastAsia" w:ascii="仿宋" w:hAnsi="仿宋" w:eastAsia="仿宋" w:cs="仿宋"/>
          <w:sz w:val="32"/>
          <w:szCs w:val="32"/>
        </w:rPr>
        <w:t>项目总</w:t>
      </w:r>
      <w:r>
        <w:rPr>
          <w:rFonts w:ascii="仿宋" w:hAnsi="仿宋" w:eastAsia="仿宋" w:cs="仿宋"/>
          <w:sz w:val="32"/>
          <w:szCs w:val="32"/>
        </w:rPr>
        <w:t>投资16000万元，</w:t>
      </w:r>
      <w:r>
        <w:rPr>
          <w:rFonts w:hint="eastAsia" w:ascii="仿宋" w:hAnsi="仿宋" w:eastAsia="仿宋" w:cs="仿宋"/>
          <w:sz w:val="32"/>
          <w:szCs w:val="32"/>
        </w:rPr>
        <w:t>其中环保投资1</w:t>
      </w:r>
      <w:r>
        <w:rPr>
          <w:rFonts w:ascii="仿宋" w:hAnsi="仿宋" w:eastAsia="仿宋" w:cs="仿宋"/>
          <w:sz w:val="32"/>
          <w:szCs w:val="32"/>
        </w:rPr>
        <w:t>810</w:t>
      </w:r>
      <w:r>
        <w:rPr>
          <w:rFonts w:hint="eastAsia" w:ascii="仿宋" w:hAnsi="仿宋" w:eastAsia="仿宋" w:cs="仿宋"/>
          <w:sz w:val="32"/>
          <w:szCs w:val="32"/>
        </w:rPr>
        <w:t>万元。主要建设内容：新建一座原料车间（二）、一座污水处理设施及相应的公辅工程、环保工程等设施。项目实施后，可形成二甲磺酸利右苯丙胺60kg</w:t>
      </w:r>
      <w:r>
        <w:rPr>
          <w:rFonts w:ascii="仿宋" w:hAnsi="仿宋" w:eastAsia="仿宋" w:cs="仿宋"/>
          <w:sz w:val="32"/>
          <w:szCs w:val="32"/>
        </w:rPr>
        <w:t>/</w:t>
      </w:r>
      <w:r>
        <w:rPr>
          <w:rFonts w:hint="eastAsia" w:ascii="仿宋" w:hAnsi="仿宋" w:eastAsia="仿宋" w:cs="仿宋"/>
          <w:sz w:val="32"/>
          <w:szCs w:val="32"/>
        </w:rPr>
        <w:t>a、苯甲酸阿格列汀150kg</w:t>
      </w:r>
      <w:r>
        <w:rPr>
          <w:rFonts w:ascii="仿宋" w:hAnsi="仿宋" w:eastAsia="仿宋" w:cs="仿宋"/>
          <w:sz w:val="32"/>
          <w:szCs w:val="32"/>
        </w:rPr>
        <w:t>/</w:t>
      </w:r>
      <w:r>
        <w:rPr>
          <w:rFonts w:hint="eastAsia" w:ascii="仿宋" w:hAnsi="仿宋" w:eastAsia="仿宋" w:cs="仿宋"/>
          <w:sz w:val="32"/>
          <w:szCs w:val="32"/>
        </w:rPr>
        <w:t>a、盐酸纳布啡50kg</w:t>
      </w:r>
      <w:r>
        <w:rPr>
          <w:rFonts w:ascii="仿宋" w:hAnsi="仿宋" w:eastAsia="仿宋" w:cs="仿宋"/>
          <w:sz w:val="32"/>
          <w:szCs w:val="32"/>
        </w:rPr>
        <w:t>/</w:t>
      </w:r>
      <w:r>
        <w:rPr>
          <w:rFonts w:hint="eastAsia" w:ascii="仿宋" w:hAnsi="仿宋" w:eastAsia="仿宋" w:cs="仿宋"/>
          <w:sz w:val="32"/>
          <w:szCs w:val="32"/>
        </w:rPr>
        <w:t>a、酒石酸布托啡诺20kg</w:t>
      </w:r>
      <w:r>
        <w:rPr>
          <w:rFonts w:ascii="仿宋" w:hAnsi="仿宋" w:eastAsia="仿宋" w:cs="仿宋"/>
          <w:sz w:val="32"/>
          <w:szCs w:val="32"/>
        </w:rPr>
        <w:t>/</w:t>
      </w:r>
      <w:r>
        <w:rPr>
          <w:rFonts w:hint="eastAsia" w:ascii="仿宋" w:hAnsi="仿宋" w:eastAsia="仿宋" w:cs="仿宋"/>
          <w:sz w:val="32"/>
          <w:szCs w:val="32"/>
        </w:rPr>
        <w:t>a、富马酸贝达喹啉6kg</w:t>
      </w:r>
      <w:r>
        <w:rPr>
          <w:rFonts w:ascii="仿宋" w:hAnsi="仿宋" w:eastAsia="仿宋" w:cs="仿宋"/>
          <w:sz w:val="32"/>
          <w:szCs w:val="32"/>
        </w:rPr>
        <w:t>/</w:t>
      </w:r>
      <w:r>
        <w:rPr>
          <w:rFonts w:hint="eastAsia" w:ascii="仿宋" w:hAnsi="仿宋" w:eastAsia="仿宋" w:cs="仿宋"/>
          <w:sz w:val="32"/>
          <w:szCs w:val="32"/>
        </w:rPr>
        <w:t>a、磷酸特地唑胺60kg</w:t>
      </w:r>
      <w:r>
        <w:rPr>
          <w:rFonts w:ascii="仿宋" w:hAnsi="仿宋" w:eastAsia="仿宋" w:cs="仿宋"/>
          <w:sz w:val="32"/>
          <w:szCs w:val="32"/>
        </w:rPr>
        <w:t>/</w:t>
      </w:r>
      <w:r>
        <w:rPr>
          <w:rFonts w:hint="eastAsia" w:ascii="仿宋" w:hAnsi="仿宋" w:eastAsia="仿宋" w:cs="仿宋"/>
          <w:sz w:val="32"/>
          <w:szCs w:val="32"/>
        </w:rPr>
        <w:t>a和硫代硫酸钠500kg</w:t>
      </w:r>
      <w:r>
        <w:rPr>
          <w:rFonts w:ascii="仿宋" w:hAnsi="仿宋" w:eastAsia="仿宋" w:cs="仿宋"/>
          <w:sz w:val="32"/>
          <w:szCs w:val="32"/>
        </w:rPr>
        <w:t>/</w:t>
      </w:r>
      <w:r>
        <w:rPr>
          <w:rFonts w:hint="eastAsia" w:ascii="仿宋" w:hAnsi="仿宋" w:eastAsia="仿宋" w:cs="仿宋"/>
          <w:sz w:val="32"/>
          <w:szCs w:val="32"/>
        </w:rPr>
        <w:t>a的生产能力。</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eastAsia="仿宋"/>
          <w:sz w:val="32"/>
          <w:szCs w:val="32"/>
        </w:rPr>
        <w:t>本项目已在淮南经济技术开发区管理委员会备案，项目编码：2020-340461-27-03-042110。</w:t>
      </w:r>
      <w:r>
        <w:rPr>
          <w:rFonts w:hint="eastAsia" w:ascii="仿宋" w:hAnsi="仿宋" w:eastAsia="仿宋" w:cs="仿宋"/>
          <w:color w:val="000000" w:themeColor="text1"/>
          <w:sz w:val="32"/>
          <w:szCs w:val="32"/>
          <w14:textFill>
            <w14:solidFill>
              <w14:schemeClr w14:val="tx1"/>
            </w14:solidFill>
          </w14:textFill>
        </w:rPr>
        <w:t>未经审批，该项目不得擅自扩大生产规模、改变建设内容。</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二、污染防治措施要求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该项目在建设和运营过程中必须严格执行国家和地方政府环境保护的法律法规、政策规范和标准，并重点落实好以下污染防治措施：</w:t>
      </w:r>
    </w:p>
    <w:p>
      <w:pPr>
        <w:spacing w:line="50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（一）施工期污染控制措施。</w:t>
      </w:r>
    </w:p>
    <w:p>
      <w:pPr>
        <w:widowControl/>
        <w:adjustRightInd w:val="0"/>
        <w:snapToGrid w:val="0"/>
        <w:spacing w:line="500" w:lineRule="exact"/>
        <w:ind w:firstLine="640" w:firstLineChars="200"/>
        <w:rPr>
          <w:rFonts w:ascii="仿宋" w:hAnsi="仿宋" w:eastAsia="仿宋" w:cs="仿宋"/>
          <w:color w:val="000000" w:themeColor="text1"/>
          <w:spacing w:val="-6"/>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w:t>
      </w:r>
      <w:r>
        <w:rPr>
          <w:rFonts w:hint="eastAsia" w:eastAsia="仿宋"/>
          <w:sz w:val="32"/>
          <w:szCs w:val="32"/>
        </w:rPr>
        <w:t>结合《安徽省打赢蓝天保卫战三年行动计划实施方案》、《安徽省建筑工程施工和预拌混凝土生产扬尘污染防治标准（试行）》等文件要求，建筑工程施工现场扬尘污染防治应做到施工范围全覆盖，同时做到工地周边围挡、物料堆放覆盖、路面硬化、土方开挖湿法作业、出入车辆清洗、渣土车辆密闭运输“六个百分之百”；施工场界处重点做好施工围挡，合理安排施工作业时间，如因特殊情况必须夜间施工，应做好相应的防护措施；</w:t>
      </w:r>
      <w:r>
        <w:rPr>
          <w:rFonts w:hint="eastAsia" w:eastAsia="仿宋"/>
          <w:color w:val="auto"/>
          <w:sz w:val="32"/>
          <w:szCs w:val="32"/>
          <w:lang w:val="en-US" w:eastAsia="zh-CN"/>
        </w:rPr>
        <w:t>施工</w:t>
      </w:r>
      <w:r>
        <w:rPr>
          <w:rFonts w:hint="eastAsia" w:eastAsia="仿宋"/>
          <w:color w:val="auto"/>
          <w:sz w:val="32"/>
          <w:szCs w:val="32"/>
        </w:rPr>
        <w:t>废水</w:t>
      </w:r>
      <w:r>
        <w:rPr>
          <w:rFonts w:hint="eastAsia" w:eastAsia="仿宋"/>
          <w:sz w:val="32"/>
          <w:szCs w:val="32"/>
        </w:rPr>
        <w:t>依托施工场地沉淀池回用于施工重复用水，生活污水依托现有厂区污水处理设施处理后厂区内回用，不外排；建筑垃圾及时清运、加以利用，防止其因长期堆放而产生扬尘，生活垃圾进行专门收集并送往较近的垃圾场进行合理处置</w:t>
      </w:r>
      <w:r>
        <w:rPr>
          <w:rFonts w:eastAsia="仿宋"/>
          <w:sz w:val="32"/>
          <w:szCs w:val="32"/>
        </w:rPr>
        <w:t>。</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（二）运营期污染控制措施。</w:t>
      </w:r>
    </w:p>
    <w:p>
      <w:pPr>
        <w:spacing w:line="5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1.水污染防治措施。</w:t>
      </w:r>
      <w:r>
        <w:rPr>
          <w:rFonts w:hint="eastAsia" w:ascii="仿宋" w:hAnsi="仿宋" w:eastAsia="仿宋" w:cs="仿宋"/>
          <w:sz w:val="32"/>
          <w:szCs w:val="32"/>
        </w:rPr>
        <w:t>本项目废水主要为设备清洗废水、地面保洁废水、废气处理设施喷淋废水、制冷系统排水、纯水制备浓水、蒸汽冷凝水、生活污水和现有深度处理系统新增废水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做好雨污等标识</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生产废水经地上明管流入污水处理站（</w:t>
      </w:r>
      <w:r>
        <w:rPr>
          <w:rFonts w:hint="eastAsia" w:ascii="仿宋" w:hAnsi="仿宋" w:eastAsia="仿宋" w:cs="仿宋"/>
          <w:sz w:val="32"/>
          <w:szCs w:val="32"/>
          <w:lang w:val="en-US" w:eastAsia="zh-CN"/>
        </w:rPr>
        <w:t>新建</w:t>
      </w:r>
      <w:r>
        <w:rPr>
          <w:rFonts w:hint="eastAsia" w:ascii="仿宋" w:hAnsi="仿宋" w:eastAsia="仿宋" w:cs="仿宋"/>
          <w:sz w:val="32"/>
          <w:szCs w:val="32"/>
        </w:rPr>
        <w:t>污水处理站运营后</w:t>
      </w:r>
      <w:r>
        <w:rPr>
          <w:rFonts w:hint="eastAsia" w:ascii="仿宋" w:hAnsi="仿宋" w:eastAsia="仿宋" w:cs="仿宋"/>
          <w:sz w:val="32"/>
          <w:szCs w:val="32"/>
          <w:lang w:val="en-US" w:eastAsia="zh-CN"/>
        </w:rPr>
        <w:t>替代</w:t>
      </w:r>
      <w:r>
        <w:rPr>
          <w:rFonts w:hint="eastAsia" w:ascii="仿宋" w:hAnsi="仿宋" w:eastAsia="仿宋" w:cs="仿宋"/>
          <w:sz w:val="32"/>
          <w:szCs w:val="32"/>
        </w:rPr>
        <w:t>现有污水处理设施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老设施停运以做备用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进行处理，处理达标后</w:t>
      </w:r>
      <w:r>
        <w:rPr>
          <w:rFonts w:hint="eastAsia" w:ascii="仿宋" w:hAnsi="仿宋" w:eastAsia="仿宋" w:cs="仿宋"/>
          <w:sz w:val="32"/>
          <w:szCs w:val="32"/>
        </w:rPr>
        <w:t>全部</w:t>
      </w:r>
      <w:r>
        <w:rPr>
          <w:rFonts w:hint="eastAsia" w:ascii="仿宋" w:hAnsi="仿宋" w:eastAsia="仿宋" w:cs="仿宋"/>
          <w:sz w:val="32"/>
          <w:szCs w:val="32"/>
          <w:lang w:val="en-US" w:eastAsia="zh-CN"/>
        </w:rPr>
        <w:t>回用</w:t>
      </w:r>
      <w:r>
        <w:rPr>
          <w:rFonts w:hint="eastAsia" w:ascii="仿宋" w:hAnsi="仿宋" w:eastAsia="仿宋" w:cs="仿宋"/>
          <w:sz w:val="32"/>
          <w:szCs w:val="32"/>
        </w:rPr>
        <w:t>。污水处理站</w:t>
      </w:r>
      <w:r>
        <w:rPr>
          <w:rFonts w:hint="eastAsia" w:ascii="仿宋" w:hAnsi="仿宋" w:eastAsia="仿宋" w:cs="仿宋"/>
          <w:sz w:val="32"/>
          <w:szCs w:val="32"/>
          <w:lang w:val="en-US" w:eastAsia="zh-CN"/>
        </w:rPr>
        <w:t>主要</w:t>
      </w:r>
      <w:r>
        <w:rPr>
          <w:rFonts w:hint="eastAsia" w:ascii="仿宋" w:hAnsi="仿宋" w:eastAsia="仿宋" w:cs="仿宋"/>
          <w:sz w:val="32"/>
          <w:szCs w:val="32"/>
        </w:rPr>
        <w:t>处理工艺为“水解酸化+AO+MBR+消毒”。</w:t>
      </w:r>
    </w:p>
    <w:p>
      <w:pPr>
        <w:pStyle w:val="5"/>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2.大气污染防治措施。项目废气主要为工艺废气、设备擦拭废气、危废库废气和污水处理站废气。工艺废气和设备擦拭废气经收集后通过工艺废气处理设施处理后通过15m高排气筒（DA006）排放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工艺废气处理设施设置2套子系统分别处理高浓度废气和低浓度废气，高浓度废气经高浓度废气处理子系统“一级酸洗+一级碱洗+一级水洗+一级活性炭吸脱附”处理后，尾气排入低浓度处理子系统中“二级活性炭吸附装置”进气口；低浓度废气经低浓度废气处理子系统中“一级酸洗+一级碱洗+一级水洗”处理后，与高浓度废气处理子系统尾气混合后，再接入低浓度废气处理子系统“二级活性炭吸脱附装置”处理后排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危废库废气经收集后依托现有废气处理设施（一级碱液喷淋+UV光氧）处理后通过现有的15m高排气筒（DA005）排放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污水处理站废气经收集后通过“一级碱液喷淋+低温等离子”处理后通过15m高排气筒（DA007）排气筒排放。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3.噪声污染防治措施。项目主要噪声设备主要为离心机、各类水泵、风机等</w:t>
      </w:r>
      <w:r>
        <w:rPr>
          <w:rFonts w:hint="eastAsia" w:ascii="仿宋" w:hAnsi="仿宋" w:eastAsia="仿宋" w:cs="仿宋"/>
          <w:color w:val="000000" w:themeColor="text1"/>
          <w:sz w:val="32"/>
          <w:szCs w:val="32"/>
          <w:lang w:eastAsia="zh-CN"/>
          <w14:textFill>
            <w14:solidFill>
              <w14:schemeClr w14:val="tx1"/>
            </w14:solidFill>
          </w14:textFill>
        </w:rPr>
        <w:t>。</w:t>
      </w:r>
      <w:r>
        <w:rPr>
          <w:rFonts w:eastAsia="仿宋"/>
          <w:sz w:val="32"/>
          <w:szCs w:val="32"/>
        </w:rPr>
        <w:t>通过采取重视设备选型、装置区合理布置、风机防治措施及对策、废气处理风机噪声、加强管理等措施使得厂界噪声排放达到《工业企业厂界环境噪声排放标准》中3类标准。</w:t>
      </w:r>
    </w:p>
    <w:p>
      <w:pPr>
        <w:spacing w:line="540" w:lineRule="exact"/>
        <w:ind w:firstLine="640" w:firstLineChars="200"/>
        <w:rPr>
          <w:rFonts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4.固废污染防治措施。项目固体废物主要包括工艺废物、与危化品接触的废包装材料、一般包装废物、需废弃的一次性用品、污水处理站污泥、废滤纸和硅藻土、冷凝废液、废活性炭和生活垃圾</w:t>
      </w:r>
      <w:r>
        <w:rPr>
          <w:rFonts w:hint="eastAsia" w:eastAsia="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做好项目运营过程中产生固废的回收、贮存及综合利用工作，防止造成二次污染。</w:t>
      </w:r>
      <w:r>
        <w:rPr>
          <w:rFonts w:hint="eastAsia" w:ascii="仿宋" w:hAnsi="仿宋" w:eastAsia="仿宋" w:cs="仿宋"/>
          <w:sz w:val="32"/>
          <w:szCs w:val="32"/>
        </w:rPr>
        <w:t>其中工艺废物、与危化品接触的废包装材料、需废弃的一次性用品、污水处理站污泥、废滤纸和硅藻土、冷凝废液、废活性炭属于危险废物，暂存于厂内现有危废库A内（面积1</w:t>
      </w:r>
      <w:r>
        <w:rPr>
          <w:rFonts w:ascii="仿宋" w:hAnsi="仿宋" w:eastAsia="仿宋" w:cs="仿宋"/>
          <w:sz w:val="32"/>
          <w:szCs w:val="32"/>
        </w:rPr>
        <w:t>8</w:t>
      </w:r>
      <w:r>
        <w:rPr>
          <w:rFonts w:hint="eastAsia" w:ascii="仿宋" w:hAnsi="仿宋" w:eastAsia="仿宋" w:cs="仿宋"/>
          <w:sz w:val="32"/>
          <w:szCs w:val="32"/>
        </w:rPr>
        <w:t>0m</w:t>
      </w:r>
      <w:r>
        <w:rPr>
          <w:rFonts w:hint="eastAsia" w:ascii="仿宋" w:hAnsi="仿宋" w:eastAsia="仿宋" w:cs="仿宋"/>
          <w:sz w:val="32"/>
          <w:szCs w:val="32"/>
          <w:vertAlign w:val="superscript"/>
        </w:rPr>
        <w:t>2</w:t>
      </w:r>
      <w:r>
        <w:rPr>
          <w:rFonts w:hint="eastAsia" w:ascii="仿宋" w:hAnsi="仿宋" w:eastAsia="仿宋" w:cs="仿宋"/>
          <w:sz w:val="32"/>
          <w:szCs w:val="32"/>
        </w:rPr>
        <w:t>，剩余可用面积1</w:t>
      </w:r>
      <w:r>
        <w:rPr>
          <w:rFonts w:ascii="仿宋" w:hAnsi="仿宋" w:eastAsia="仿宋" w:cs="仿宋"/>
          <w:sz w:val="32"/>
          <w:szCs w:val="32"/>
        </w:rPr>
        <w:t>00</w:t>
      </w:r>
      <w:r>
        <w:rPr>
          <w:rFonts w:hint="eastAsia" w:ascii="仿宋" w:hAnsi="仿宋" w:eastAsia="仿宋" w:cs="仿宋"/>
          <w:sz w:val="32"/>
          <w:szCs w:val="32"/>
        </w:rPr>
        <w:t>m</w:t>
      </w:r>
      <w:r>
        <w:rPr>
          <w:rFonts w:hint="eastAsia" w:ascii="仿宋" w:hAnsi="仿宋" w:eastAsia="仿宋" w:cs="仿宋"/>
          <w:sz w:val="32"/>
          <w:szCs w:val="32"/>
          <w:vertAlign w:val="superscript"/>
        </w:rPr>
        <w:t>2</w:t>
      </w:r>
      <w:r>
        <w:rPr>
          <w:rFonts w:hint="eastAsia" w:ascii="仿宋" w:hAnsi="仿宋" w:eastAsia="仿宋" w:cs="仿宋"/>
          <w:sz w:val="32"/>
          <w:szCs w:val="32"/>
        </w:rPr>
        <w:t>），定期交由有资质单位处置；一般包装废物外售给回收单位回收利用；生活垃圾交由环卫部门统一清运。</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5.项目应加强环境保护管理，落实环境保护的各项应急措施及制度。有关本项目的其他环境影响减缓措施，按环评报告要求认真落实。</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三、环境管理要求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建设过程中应严格执行环境保护“三同时”制度；依据《固定污染源排污许可分类管理目录》，项目建成后，须在实际排放污染物或者启动生产设施之前办理排污许可证，不得无证排污；项目竣工后建设单位应当按照国务院生态环境行政主管部门规定的标准和程序，</w:t>
      </w:r>
      <w:r>
        <w:rPr>
          <w:rFonts w:hint="eastAsia" w:ascii="仿宋" w:hAnsi="仿宋" w:eastAsia="仿宋" w:cs="仿宋"/>
          <w:color w:val="000000" w:themeColor="text1"/>
          <w:sz w:val="32"/>
          <w:szCs w:val="32"/>
          <w:lang w:val="en-US" w:eastAsia="zh-CN"/>
          <w14:textFill>
            <w14:solidFill>
              <w14:schemeClr w14:val="tx1"/>
            </w14:solidFill>
          </w14:textFill>
        </w:rPr>
        <w:t>开展</w:t>
      </w:r>
      <w:r>
        <w:rPr>
          <w:rFonts w:hint="eastAsia" w:ascii="仿宋" w:hAnsi="仿宋" w:eastAsia="仿宋" w:cs="仿宋"/>
          <w:color w:val="000000" w:themeColor="text1"/>
          <w:sz w:val="32"/>
          <w:szCs w:val="32"/>
          <w14:textFill>
            <w14:solidFill>
              <w14:schemeClr w14:val="tx1"/>
            </w14:solidFill>
          </w14:textFill>
        </w:rPr>
        <w:t>建设</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环境保护</w:t>
      </w:r>
      <w:r>
        <w:rPr>
          <w:rFonts w:hint="eastAsia" w:ascii="仿宋" w:hAnsi="仿宋" w:eastAsia="仿宋" w:cs="仿宋"/>
          <w:color w:val="000000" w:themeColor="text1"/>
          <w:sz w:val="32"/>
          <w:szCs w:val="32"/>
          <w:lang w:val="en-US" w:eastAsia="zh-CN"/>
          <w14:textFill>
            <w14:solidFill>
              <w14:schemeClr w14:val="tx1"/>
            </w14:solidFill>
          </w14:textFill>
        </w:rPr>
        <w:t>竣工</w:t>
      </w:r>
      <w:r>
        <w:rPr>
          <w:rFonts w:hint="eastAsia" w:ascii="仿宋" w:hAnsi="仿宋" w:eastAsia="仿宋" w:cs="仿宋"/>
          <w:color w:val="000000" w:themeColor="text1"/>
          <w:sz w:val="32"/>
          <w:szCs w:val="32"/>
          <w14:textFill>
            <w14:solidFill>
              <w14:schemeClr w14:val="tx1"/>
            </w14:solidFill>
          </w14:textFill>
        </w:rPr>
        <w:t>验收，合格后方可</w:t>
      </w:r>
      <w:r>
        <w:rPr>
          <w:rFonts w:hint="eastAsia" w:ascii="仿宋" w:hAnsi="仿宋" w:eastAsia="仿宋" w:cs="仿宋"/>
          <w:color w:val="000000" w:themeColor="text1"/>
          <w:sz w:val="32"/>
          <w:szCs w:val="32"/>
          <w:lang w:val="en-US" w:eastAsia="zh-CN"/>
          <w14:textFill>
            <w14:solidFill>
              <w14:schemeClr w14:val="tx1"/>
            </w14:solidFill>
          </w14:textFill>
        </w:rPr>
        <w:t>投产并修订</w:t>
      </w:r>
      <w:r>
        <w:rPr>
          <w:rFonts w:hint="eastAsia" w:ascii="仿宋" w:hAnsi="仿宋" w:eastAsia="仿宋" w:cs="仿宋"/>
          <w:color w:val="000000" w:themeColor="text1"/>
          <w:sz w:val="32"/>
          <w:szCs w:val="32"/>
          <w14:textFill>
            <w14:solidFill>
              <w14:schemeClr w14:val="tx1"/>
            </w14:solidFill>
          </w14:textFill>
        </w:rPr>
        <w:t>突发环境事件应急预案。</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四、环评执行标准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1.废水排放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污水处理站</w:t>
      </w:r>
      <w:r>
        <w:rPr>
          <w:rFonts w:hint="eastAsia" w:ascii="仿宋" w:hAnsi="仿宋" w:eastAsia="仿宋" w:cs="仿宋"/>
          <w:color w:val="000000" w:themeColor="text1"/>
          <w:sz w:val="32"/>
          <w:szCs w:val="32"/>
          <w:highlight w:val="none"/>
          <w:lang w:val="en-US" w:eastAsia="zh-CN"/>
          <w14:textFill>
            <w14:solidFill>
              <w14:schemeClr w14:val="tx1"/>
            </w14:solidFill>
          </w14:textFill>
        </w:rPr>
        <w:t>预处理后再深化处理的尾水</w:t>
      </w:r>
      <w:r>
        <w:rPr>
          <w:rFonts w:hint="eastAsia" w:ascii="仿宋" w:hAnsi="仿宋" w:eastAsia="仿宋" w:cs="仿宋"/>
          <w:color w:val="000000" w:themeColor="text1"/>
          <w:sz w:val="32"/>
          <w:szCs w:val="32"/>
          <w:highlight w:val="none"/>
          <w14:textFill>
            <w14:solidFill>
              <w14:schemeClr w14:val="tx1"/>
            </w14:solidFill>
          </w14:textFill>
        </w:rPr>
        <w:t>执行《城市污水再生利用城市杂用水质》GB/T18920-2002</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2.环境空气及废气排放</w:t>
      </w:r>
    </w:p>
    <w:p>
      <w:pPr>
        <w:spacing w:line="500" w:lineRule="exact"/>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评价区域环境空气质量执行《环境空气质量标准（GB3095-2012）二级标准。甲醇、硫酸、丙酮、TVOC、甲苯、氯化氢、氨和硫化氢参照执行《环境影响评价导则大气环境》（HJ 2.2-2018）附录D其他污染物空气质量浓度参考限值；非甲烷总烃参照执行《大气污染物综合排放标准详解》的推荐限值；乙苯、乙酸乙酯参照执行“前苏联居民区大气中有害物质的最大允许浓度（CH245-71）；二氯甲烷（DCM）参照执行《环境影响评价技术导则制药建设项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（HJ611-2011）附录C中公式计算值</w:t>
      </w:r>
      <w:r>
        <w:rPr>
          <w:rFonts w:hint="eastAsia" w:ascii="仿宋" w:hAnsi="仿宋" w:eastAsia="仿宋" w:cs="仿宋"/>
          <w:color w:val="C00000"/>
          <w:sz w:val="32"/>
          <w:szCs w:val="32"/>
          <w:highlight w:val="none"/>
        </w:rPr>
        <w:t>（一次值：0</w:t>
      </w:r>
      <w:r>
        <w:rPr>
          <w:rFonts w:ascii="仿宋" w:hAnsi="仿宋" w:eastAsia="仿宋" w:cs="仿宋"/>
          <w:color w:val="C00000"/>
          <w:sz w:val="32"/>
          <w:szCs w:val="32"/>
          <w:highlight w:val="none"/>
        </w:rPr>
        <w:t>.5</w:t>
      </w:r>
      <w:r>
        <w:rPr>
          <w:rFonts w:hint="eastAsia" w:ascii="仿宋" w:hAnsi="仿宋" w:eastAsia="仿宋" w:cs="仿宋"/>
          <w:color w:val="C00000"/>
          <w:sz w:val="32"/>
          <w:szCs w:val="32"/>
          <w:highlight w:val="none"/>
        </w:rPr>
        <w:t>mg/m</w:t>
      </w:r>
      <w:r>
        <w:rPr>
          <w:rFonts w:hint="eastAsia" w:ascii="仿宋" w:hAnsi="仿宋" w:eastAsia="仿宋" w:cs="仿宋"/>
          <w:color w:val="C00000"/>
          <w:sz w:val="32"/>
          <w:szCs w:val="32"/>
          <w:highlight w:val="none"/>
          <w:vertAlign w:val="superscript"/>
        </w:rPr>
        <w:t>3</w:t>
      </w:r>
      <w:r>
        <w:rPr>
          <w:rFonts w:hint="eastAsia" w:ascii="仿宋" w:hAnsi="仿宋" w:eastAsia="仿宋" w:cs="仿宋"/>
          <w:color w:val="C00000"/>
          <w:sz w:val="32"/>
          <w:szCs w:val="32"/>
          <w:highlight w:val="none"/>
        </w:rPr>
        <w:t>）</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3.声环境及噪声排放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声环境质量评价执行《声环境质量标准》（GB3096-2008）中3类标准。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施工期噪声执行《建筑施工场界环境噪声排放标准》（GBl2523-2011）；营运期厂界噪声执行《工业企业厂界环境噪声排放标准》（GB12348-2008）中3类标准。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4.固体废物污染控制标准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般固体废物排放执行《一般工业固体废物贮存和填埋污染控制标准》（GB18599-2020）；危险废物贮存执行《危险废物贮存污染控制标准》（GB18597-2001）及其修改单、《危险废物收集、贮存、运输技术规范》（HJ2025-2012）中的相关规定。</w:t>
      </w:r>
    </w:p>
    <w:p>
      <w:pPr>
        <w:pStyle w:val="2"/>
        <w:numPr>
          <w:ilvl w:val="0"/>
          <w:numId w:val="1"/>
        </w:numPr>
        <w:spacing w:line="500" w:lineRule="exact"/>
        <w:ind w:firstLine="643"/>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请生态环境保护综合行政执法机动大队做好工程施工和运营期间的环保监管工作。</w:t>
      </w: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p>
    <w:p>
      <w:pPr>
        <w:pStyle w:val="2"/>
        <w:widowControl w:val="0"/>
        <w:numPr>
          <w:numId w:val="0"/>
        </w:numPr>
        <w:spacing w:line="500" w:lineRule="exact"/>
        <w:jc w:val="both"/>
        <w:rPr>
          <w:rFonts w:hint="eastAsia" w:ascii="仿宋" w:hAnsi="仿宋" w:eastAsia="仿宋" w:cs="仿宋"/>
          <w:b/>
          <w:bCs/>
          <w:color w:val="000000" w:themeColor="text1"/>
          <w:sz w:val="32"/>
          <w:szCs w:val="32"/>
          <w14:textFill>
            <w14:solidFill>
              <w14:schemeClr w14:val="tx1"/>
            </w14:solidFill>
          </w14:textFill>
        </w:rPr>
      </w:pPr>
      <w:bookmarkStart w:id="0" w:name="_GoBack"/>
      <w:bookmarkEnd w:id="0"/>
    </w:p>
    <w:p>
      <w:pPr>
        <w:pStyle w:val="2"/>
        <w:ind w:firstLine="420"/>
      </w:pPr>
    </w:p>
    <w:p>
      <w:pPr>
        <w:pStyle w:val="5"/>
        <w:ind w:firstLine="0"/>
        <w:rPr>
          <w:color w:val="FF0000"/>
        </w:rPr>
      </w:pPr>
    </w:p>
    <w:p>
      <w:pPr>
        <w:rPr>
          <w:rFonts w:ascii="仿宋" w:hAnsi="仿宋" w:eastAsia="仿宋" w:cs="仿宋"/>
          <w:color w:val="FF0000"/>
          <w:sz w:val="32"/>
          <w:szCs w:val="32"/>
          <w:highlight w:val="none"/>
        </w:rPr>
      </w:pPr>
      <w:r>
        <w:rPr>
          <w:rFonts w:hint="eastAsia" w:ascii="仿宋" w:hAnsi="仿宋" w:eastAsia="仿宋" w:cs="仿宋"/>
          <w:color w:val="FF0000"/>
          <w:sz w:val="32"/>
          <w:szCs w:val="32"/>
        </w:rPr>
        <w:t xml:space="preserve">                                     </w:t>
      </w:r>
      <w:r>
        <w:rPr>
          <w:rFonts w:hint="eastAsia" w:ascii="仿宋" w:hAnsi="仿宋" w:eastAsia="仿宋" w:cs="仿宋"/>
          <w:sz w:val="32"/>
          <w:szCs w:val="32"/>
          <w:highlight w:val="none"/>
        </w:rPr>
        <w:t xml:space="preserve"> 2021年</w:t>
      </w:r>
      <w:r>
        <w:rPr>
          <w:rFonts w:ascii="仿宋" w:hAnsi="仿宋" w:eastAsia="仿宋" w:cs="仿宋"/>
          <w:sz w:val="32"/>
          <w:szCs w:val="32"/>
          <w:highlight w:val="none"/>
        </w:rPr>
        <w:t>10</w:t>
      </w:r>
      <w:r>
        <w:rPr>
          <w:rFonts w:hint="eastAsia" w:ascii="仿宋" w:hAnsi="仿宋" w:eastAsia="仿宋" w:cs="仿宋"/>
          <w:sz w:val="32"/>
          <w:szCs w:val="32"/>
          <w:highlight w:val="none"/>
        </w:rPr>
        <w:t>月</w:t>
      </w:r>
      <w:r>
        <w:rPr>
          <w:rFonts w:ascii="仿宋" w:hAnsi="仿宋" w:eastAsia="仿宋" w:cs="仿宋"/>
          <w:sz w:val="32"/>
          <w:szCs w:val="32"/>
          <w:highlight w:val="none"/>
        </w:rPr>
        <w:t>11</w:t>
      </w:r>
      <w:r>
        <w:rPr>
          <w:rFonts w:hint="eastAsia" w:ascii="仿宋" w:hAnsi="仿宋" w:eastAsia="仿宋" w:cs="仿宋"/>
          <w:sz w:val="32"/>
          <w:szCs w:val="32"/>
          <w:highlight w:val="none"/>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8076C"/>
    <w:multiLevelType w:val="singleLevel"/>
    <w:tmpl w:val="2518076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616CC"/>
    <w:rsid w:val="000C5E9B"/>
    <w:rsid w:val="000D2D9F"/>
    <w:rsid w:val="00104809"/>
    <w:rsid w:val="00131C5D"/>
    <w:rsid w:val="0014107F"/>
    <w:rsid w:val="00155CD0"/>
    <w:rsid w:val="001B4B96"/>
    <w:rsid w:val="0028751E"/>
    <w:rsid w:val="002F75B9"/>
    <w:rsid w:val="00306A5C"/>
    <w:rsid w:val="00352549"/>
    <w:rsid w:val="00377447"/>
    <w:rsid w:val="003B2F66"/>
    <w:rsid w:val="00400889"/>
    <w:rsid w:val="0047692E"/>
    <w:rsid w:val="00514146"/>
    <w:rsid w:val="00585B6A"/>
    <w:rsid w:val="005C20B1"/>
    <w:rsid w:val="00622BE7"/>
    <w:rsid w:val="006707F0"/>
    <w:rsid w:val="00691126"/>
    <w:rsid w:val="0073757F"/>
    <w:rsid w:val="00757E7B"/>
    <w:rsid w:val="007735A1"/>
    <w:rsid w:val="007777B8"/>
    <w:rsid w:val="007D4926"/>
    <w:rsid w:val="00824E31"/>
    <w:rsid w:val="008D65A5"/>
    <w:rsid w:val="009347C2"/>
    <w:rsid w:val="00951E81"/>
    <w:rsid w:val="00964089"/>
    <w:rsid w:val="009E15EA"/>
    <w:rsid w:val="009F6B41"/>
    <w:rsid w:val="00A10CC0"/>
    <w:rsid w:val="00A22C99"/>
    <w:rsid w:val="00AA1E02"/>
    <w:rsid w:val="00AB15B5"/>
    <w:rsid w:val="00AF782A"/>
    <w:rsid w:val="00B13EB3"/>
    <w:rsid w:val="00B35BFD"/>
    <w:rsid w:val="00B40F91"/>
    <w:rsid w:val="00B4670C"/>
    <w:rsid w:val="00B741D4"/>
    <w:rsid w:val="00B83BFC"/>
    <w:rsid w:val="00BB259F"/>
    <w:rsid w:val="00C04ED0"/>
    <w:rsid w:val="00C63839"/>
    <w:rsid w:val="00CA49A8"/>
    <w:rsid w:val="00D01FA1"/>
    <w:rsid w:val="00DF34E1"/>
    <w:rsid w:val="00E30385"/>
    <w:rsid w:val="00E84729"/>
    <w:rsid w:val="00EB6B85"/>
    <w:rsid w:val="00ED44BC"/>
    <w:rsid w:val="00F651F7"/>
    <w:rsid w:val="00F82F6C"/>
    <w:rsid w:val="00FC2706"/>
    <w:rsid w:val="01036804"/>
    <w:rsid w:val="01062E45"/>
    <w:rsid w:val="01116A7C"/>
    <w:rsid w:val="01351817"/>
    <w:rsid w:val="01386C18"/>
    <w:rsid w:val="0152668F"/>
    <w:rsid w:val="015C007F"/>
    <w:rsid w:val="016E6FD7"/>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300D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21EF9"/>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5A7E98"/>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44F14"/>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EE1738B"/>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BB70DF"/>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8F589E"/>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8D723D"/>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0D545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0A62E9"/>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B42260"/>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8F0A23"/>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3D2BDE"/>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9D389B"/>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E36FC"/>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53C62"/>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13FE6"/>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96F1B"/>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94CAF"/>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3520F"/>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B1247"/>
    <w:rsid w:val="725F297B"/>
    <w:rsid w:val="7265396F"/>
    <w:rsid w:val="72840B32"/>
    <w:rsid w:val="7285035B"/>
    <w:rsid w:val="72BA3778"/>
    <w:rsid w:val="72BB32A8"/>
    <w:rsid w:val="72C073B4"/>
    <w:rsid w:val="72C46AFE"/>
    <w:rsid w:val="72D565AF"/>
    <w:rsid w:val="72D56D14"/>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7773B0"/>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A2CFD"/>
    <w:rsid w:val="7C6E7E88"/>
    <w:rsid w:val="7C760454"/>
    <w:rsid w:val="7C777B91"/>
    <w:rsid w:val="7C85088C"/>
    <w:rsid w:val="7C910B3E"/>
    <w:rsid w:val="7CA06E51"/>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basedOn w:val="1"/>
    <w:qFormat/>
    <w:uiPriority w:val="0"/>
    <w:pPr>
      <w:autoSpaceDE w:val="0"/>
      <w:autoSpaceDN w:val="0"/>
      <w:jc w:val="left"/>
    </w:pPr>
    <w:rPr>
      <w:rFonts w:hint="eastAsia" w:ascii="宋体" w:cs="宋体"/>
      <w:color w:val="000000"/>
      <w:kern w:val="0"/>
      <w:sz w:val="24"/>
    </w:rPr>
  </w:style>
  <w:style w:type="paragraph" w:customStyle="1" w:styleId="13">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Pages>
  <Words>435</Words>
  <Characters>2481</Characters>
  <Lines>20</Lines>
  <Paragraphs>5</Paragraphs>
  <TotalTime>9</TotalTime>
  <ScaleCrop>false</ScaleCrop>
  <LinksUpToDate>false</LinksUpToDate>
  <CharactersWithSpaces>2911</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2021-04-27T06:50:00Z</cp:lastPrinted>
  <dcterms:modified xsi:type="dcterms:W3CDTF">2021-10-13T09:09:25Z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8CB691244DB44E92B2EE461CA4AE74A9</vt:lpwstr>
  </property>
</Properties>
</file>