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 xml:space="preserve">   晨阳塑料纸箱二次扩建项目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w:t>
      </w:r>
      <w:r>
        <w:rPr>
          <w:rFonts w:hint="eastAsia" w:ascii="仿宋_GB2312" w:eastAsia="仿宋_GB2312"/>
          <w:sz w:val="36"/>
          <w:szCs w:val="36"/>
          <w:u w:val="single"/>
        </w:rPr>
        <w:t xml:space="preserve">   淮南市晨阳塑料有限公司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2021年8月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0"/>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3"/>
        <w:ind w:firstLine="321" w:firstLineChars="100"/>
        <w:jc w:val="center"/>
        <w:rPr>
          <w:rFonts w:eastAsia="宋体"/>
        </w:rPr>
      </w:pPr>
      <w:r>
        <w:rPr>
          <w:rFonts w:hint="eastAsia" w:eastAsia="宋体"/>
        </w:rPr>
        <w:t>一</w:t>
      </w:r>
      <w:r>
        <w:rPr>
          <w:rFonts w:eastAsia="宋体"/>
        </w:rPr>
        <w:t>、建设项目基本情况</w:t>
      </w:r>
    </w:p>
    <w:tbl>
      <w:tblPr>
        <w:tblStyle w:val="26"/>
        <w:tblW w:w="9319"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326"/>
        <w:gridCol w:w="3232"/>
        <w:gridCol w:w="1767"/>
        <w:gridCol w:w="299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5"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项目名称</w:t>
            </w:r>
          </w:p>
        </w:tc>
        <w:tc>
          <w:tcPr>
            <w:tcW w:w="7993" w:type="dxa"/>
            <w:gridSpan w:val="3"/>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晨阳塑料纸箱二次扩建项目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64"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项目代码</w:t>
            </w:r>
          </w:p>
        </w:tc>
        <w:tc>
          <w:tcPr>
            <w:tcW w:w="7993" w:type="dxa"/>
            <w:gridSpan w:val="3"/>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2019-340405-22-03-028642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6"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建设单位联系人</w:t>
            </w:r>
          </w:p>
        </w:tc>
        <w:tc>
          <w:tcPr>
            <w:tcW w:w="3232" w:type="dxa"/>
            <w:tcBorders>
              <w:tl2br w:val="nil"/>
              <w:tr2bl w:val="nil"/>
            </w:tcBorders>
            <w:vAlign w:val="center"/>
          </w:tcPr>
          <w:p>
            <w:pPr>
              <w:jc w:val="center"/>
              <w:rPr>
                <w:rFonts w:ascii="Times New Roman" w:hAnsi="Times New Roman" w:eastAsia="宋体"/>
                <w:sz w:val="24"/>
              </w:rPr>
            </w:pPr>
            <w:r>
              <w:rPr>
                <w:rFonts w:hint="eastAsia" w:ascii="Times New Roman"/>
                <w:sz w:val="24"/>
              </w:rPr>
              <w:t>陈庆丰</w:t>
            </w:r>
          </w:p>
        </w:tc>
        <w:tc>
          <w:tcPr>
            <w:tcW w:w="1767"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联系方式</w:t>
            </w:r>
          </w:p>
        </w:tc>
        <w:tc>
          <w:tcPr>
            <w:tcW w:w="2994" w:type="dxa"/>
            <w:tcBorders>
              <w:tl2br w:val="nil"/>
              <w:tr2bl w:val="nil"/>
            </w:tcBorders>
            <w:vAlign w:val="center"/>
          </w:tcPr>
          <w:p>
            <w:pPr>
              <w:jc w:val="center"/>
              <w:rPr>
                <w:rFonts w:ascii="Times New Roman" w:hAnsi="Times New Roman" w:eastAsia="宋体"/>
                <w:sz w:val="24"/>
              </w:rPr>
            </w:pPr>
            <w:r>
              <w:rPr>
                <w:rFonts w:hint="eastAsia" w:ascii="Times New Roman"/>
                <w:sz w:val="24"/>
              </w:rPr>
              <w:t>13345546633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3"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建设地点</w:t>
            </w:r>
          </w:p>
        </w:tc>
        <w:tc>
          <w:tcPr>
            <w:tcW w:w="7993" w:type="dxa"/>
            <w:gridSpan w:val="3"/>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淮南市八公山区八公山镇朱岗村</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0"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地理坐标</w:t>
            </w:r>
          </w:p>
        </w:tc>
        <w:tc>
          <w:tcPr>
            <w:tcW w:w="7993" w:type="dxa"/>
            <w:gridSpan w:val="3"/>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（116度50分25.6秒，32度36分22.9秒）</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52"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国民经济行业类别</w:t>
            </w:r>
          </w:p>
        </w:tc>
        <w:tc>
          <w:tcPr>
            <w:tcW w:w="3232"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（C2231）纸和纸板容器制造</w:t>
            </w:r>
          </w:p>
        </w:tc>
        <w:tc>
          <w:tcPr>
            <w:tcW w:w="1767"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建设项目行业类别</w:t>
            </w:r>
          </w:p>
        </w:tc>
        <w:tc>
          <w:tcPr>
            <w:tcW w:w="2994"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十九、造纸和纸制品业，38 纸制品制造 223，有涂布、浸渍、印刷、粘胶工艺的</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50"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建设性质</w:t>
            </w:r>
          </w:p>
        </w:tc>
        <w:tc>
          <w:tcPr>
            <w:tcW w:w="3232" w:type="dxa"/>
            <w:tcBorders>
              <w:tl2br w:val="nil"/>
              <w:tr2bl w:val="nil"/>
            </w:tcBorders>
            <w:vAlign w:val="center"/>
          </w:tcPr>
          <w:p>
            <w:pPr>
              <w:jc w:val="left"/>
              <w:rPr>
                <w:rFonts w:ascii="Times New Roman" w:hAnsi="Times New Roman" w:eastAsia="宋体"/>
                <w:sz w:val="24"/>
              </w:rPr>
            </w:pPr>
            <w:r>
              <w:rPr>
                <w:rFonts w:hint="eastAsia" w:ascii="Times New Roman" w:hAnsi="Times New Roman" w:eastAsia="宋体"/>
                <w:sz w:val="24"/>
              </w:rPr>
              <w:t>□新建（迁建）</w:t>
            </w:r>
          </w:p>
          <w:p>
            <w:pPr>
              <w:jc w:val="left"/>
              <w:rPr>
                <w:rFonts w:ascii="Times New Roman" w:hAnsi="Times New Roman" w:eastAsia="宋体"/>
                <w:sz w:val="24"/>
              </w:rPr>
            </w:pPr>
            <w:r>
              <w:rPr>
                <w:rFonts w:hint="eastAsia" w:ascii="Times New Roman" w:hAnsi="Times New Roman" w:eastAsia="宋体"/>
                <w:sz w:val="24"/>
              </w:rPr>
              <w:t>□改建</w:t>
            </w:r>
          </w:p>
          <w:p>
            <w:pPr>
              <w:jc w:val="left"/>
              <w:rPr>
                <w:rFonts w:ascii="Times New Roman" w:hAnsi="Times New Roman" w:eastAsia="宋体"/>
                <w:sz w:val="24"/>
              </w:rPr>
            </w:pPr>
            <w:r>
              <w:rPr>
                <w:rFonts w:hint="eastAsia" w:ascii="Times New Roman" w:hAnsi="Times New Roman" w:eastAsia="宋体"/>
                <w:sz w:val="24"/>
              </w:rPr>
              <w:t>☑扩建</w:t>
            </w:r>
          </w:p>
          <w:p>
            <w:pPr>
              <w:jc w:val="left"/>
              <w:rPr>
                <w:rFonts w:ascii="Times New Roman" w:hAnsi="Times New Roman" w:eastAsia="宋体"/>
                <w:sz w:val="24"/>
              </w:rPr>
            </w:pPr>
            <w:r>
              <w:rPr>
                <w:rFonts w:hint="eastAsia" w:ascii="Times New Roman" w:hAnsi="Times New Roman" w:eastAsia="宋体"/>
                <w:sz w:val="24"/>
              </w:rPr>
              <w:t>□技术改造</w:t>
            </w:r>
          </w:p>
        </w:tc>
        <w:tc>
          <w:tcPr>
            <w:tcW w:w="1767"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建设项目申报情形</w:t>
            </w:r>
          </w:p>
        </w:tc>
        <w:tc>
          <w:tcPr>
            <w:tcW w:w="2994" w:type="dxa"/>
            <w:tcBorders>
              <w:tl2br w:val="nil"/>
              <w:tr2bl w:val="nil"/>
            </w:tcBorders>
            <w:vAlign w:val="center"/>
          </w:tcPr>
          <w:p>
            <w:pPr>
              <w:pStyle w:val="66"/>
              <w:spacing w:before="82"/>
              <w:ind w:left="8"/>
              <w:jc w:val="left"/>
              <w:rPr>
                <w:rFonts w:ascii="宋体" w:hAnsi="宋体" w:eastAsia="宋体"/>
              </w:rPr>
            </w:pPr>
            <w:r>
              <w:rPr>
                <w:rFonts w:hint="eastAsia" w:ascii="Times New Roman" w:hAnsi="Times New Roman" w:eastAsia="宋体"/>
              </w:rPr>
              <w:t>☑</w:t>
            </w:r>
            <w:r>
              <w:rPr>
                <w:rFonts w:hint="eastAsia" w:ascii="宋体" w:hAnsi="宋体" w:eastAsia="宋体"/>
              </w:rPr>
              <w:t>首次申报项目</w:t>
            </w:r>
          </w:p>
          <w:p>
            <w:pPr>
              <w:pStyle w:val="66"/>
              <w:spacing w:before="5"/>
              <w:ind w:left="8"/>
              <w:jc w:val="left"/>
              <w:rPr>
                <w:rFonts w:ascii="宋体" w:hAnsi="宋体" w:eastAsia="宋体"/>
              </w:rPr>
            </w:pPr>
            <w:r>
              <w:rPr>
                <w:rFonts w:hint="eastAsia" w:ascii="Times New Roman" w:hAnsi="Times New Roman" w:eastAsia="宋体"/>
              </w:rPr>
              <w:t>□</w:t>
            </w:r>
            <w:r>
              <w:rPr>
                <w:rFonts w:hint="eastAsia" w:ascii="宋体" w:hAnsi="宋体" w:eastAsia="宋体"/>
              </w:rPr>
              <w:t>不予批准后再次申报项目</w:t>
            </w:r>
          </w:p>
          <w:p>
            <w:pPr>
              <w:pStyle w:val="66"/>
              <w:tabs>
                <w:tab w:val="left" w:pos="198"/>
              </w:tabs>
              <w:spacing w:before="2"/>
              <w:ind w:left="7"/>
              <w:jc w:val="left"/>
              <w:rPr>
                <w:rFonts w:ascii="宋体" w:hAnsi="宋体" w:eastAsia="宋体"/>
              </w:rPr>
            </w:pPr>
            <w:r>
              <w:rPr>
                <w:rFonts w:hint="eastAsia" w:ascii="Times New Roman" w:hAnsi="Times New Roman" w:eastAsia="宋体"/>
              </w:rPr>
              <w:t>□</w:t>
            </w:r>
            <w:r>
              <w:rPr>
                <w:rFonts w:hint="eastAsia" w:ascii="宋体" w:hAnsi="宋体" w:eastAsia="宋体"/>
                <w:spacing w:val="-3"/>
              </w:rPr>
              <w:t>超五年重新审核项目</w:t>
            </w:r>
          </w:p>
          <w:p>
            <w:pPr>
              <w:pStyle w:val="66"/>
              <w:spacing w:before="5"/>
              <w:ind w:left="8"/>
              <w:jc w:val="left"/>
              <w:rPr>
                <w:rFonts w:ascii="宋体" w:hAnsi="宋体" w:eastAsia="宋体"/>
                <w:lang w:val="en-US"/>
              </w:rPr>
            </w:pPr>
            <w:r>
              <w:rPr>
                <w:rFonts w:hint="eastAsia" w:ascii="Times New Roman" w:hAnsi="Times New Roman" w:eastAsia="宋体"/>
              </w:rPr>
              <w:t>□</w:t>
            </w:r>
            <w:r>
              <w:rPr>
                <w:rFonts w:hint="eastAsia" w:ascii="宋体" w:hAnsi="宋体" w:eastAsia="宋体"/>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83"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项目审批（核准/备案）部门</w:t>
            </w:r>
          </w:p>
        </w:tc>
        <w:tc>
          <w:tcPr>
            <w:tcW w:w="3232" w:type="dxa"/>
            <w:tcBorders>
              <w:tl2br w:val="nil"/>
              <w:tr2bl w:val="nil"/>
            </w:tcBorders>
            <w:vAlign w:val="center"/>
          </w:tcPr>
          <w:p>
            <w:pPr>
              <w:jc w:val="center"/>
              <w:rPr>
                <w:rFonts w:ascii="Times New Roman" w:hAnsi="Times New Roman" w:eastAsia="宋体"/>
                <w:sz w:val="24"/>
              </w:rPr>
            </w:pPr>
            <w:r>
              <w:rPr>
                <w:rFonts w:hint="eastAsia" w:ascii="Times New Roman"/>
                <w:sz w:val="24"/>
              </w:rPr>
              <w:t>八公山区科技经济信息化局</w:t>
            </w:r>
          </w:p>
        </w:tc>
        <w:tc>
          <w:tcPr>
            <w:tcW w:w="1767"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项目审批（核准/备案）文号</w:t>
            </w:r>
          </w:p>
        </w:tc>
        <w:tc>
          <w:tcPr>
            <w:tcW w:w="2994"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无</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25"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总投资</w:t>
            </w:r>
          </w:p>
          <w:p>
            <w:pPr>
              <w:jc w:val="center"/>
              <w:rPr>
                <w:rFonts w:ascii="Times New Roman" w:hAnsi="Times New Roman" w:eastAsia="宋体"/>
                <w:sz w:val="24"/>
              </w:rPr>
            </w:pPr>
            <w:r>
              <w:rPr>
                <w:rFonts w:hint="eastAsia" w:ascii="Times New Roman" w:hAnsi="Times New Roman" w:eastAsia="宋体"/>
                <w:sz w:val="24"/>
              </w:rPr>
              <w:t>（万元）</w:t>
            </w:r>
          </w:p>
        </w:tc>
        <w:tc>
          <w:tcPr>
            <w:tcW w:w="3232"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1020</w:t>
            </w:r>
          </w:p>
        </w:tc>
        <w:tc>
          <w:tcPr>
            <w:tcW w:w="1767"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环保投资（万元）</w:t>
            </w:r>
          </w:p>
        </w:tc>
        <w:tc>
          <w:tcPr>
            <w:tcW w:w="2994"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13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598"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环保投资占比（%）</w:t>
            </w:r>
          </w:p>
        </w:tc>
        <w:tc>
          <w:tcPr>
            <w:tcW w:w="3232"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1.27%</w:t>
            </w:r>
          </w:p>
        </w:tc>
        <w:tc>
          <w:tcPr>
            <w:tcW w:w="1767"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施工工期</w:t>
            </w:r>
          </w:p>
        </w:tc>
        <w:tc>
          <w:tcPr>
            <w:tcW w:w="2994"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3个月</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625" w:hRule="atLeast"/>
        </w:trPr>
        <w:tc>
          <w:tcPr>
            <w:tcW w:w="1326" w:type="dxa"/>
            <w:tcBorders>
              <w:tl2br w:val="nil"/>
              <w:tr2bl w:val="nil"/>
            </w:tcBorders>
            <w:vAlign w:val="center"/>
          </w:tcPr>
          <w:p>
            <w:pPr>
              <w:pStyle w:val="66"/>
              <w:ind w:right="70"/>
              <w:jc w:val="center"/>
              <w:rPr>
                <w:rFonts w:ascii="Times New Roman" w:hAnsi="Times New Roman" w:eastAsia="宋体"/>
                <w:sz w:val="24"/>
              </w:rPr>
            </w:pPr>
            <w:r>
              <w:rPr>
                <w:rFonts w:hint="eastAsia" w:ascii="Times New Roman" w:hAnsi="Times New Roman" w:eastAsia="宋体" w:cstheme="minorBidi"/>
                <w:sz w:val="24"/>
                <w:lang w:val="en-US" w:bidi="ar-SA"/>
              </w:rPr>
              <w:t>是否开工建设</w:t>
            </w:r>
          </w:p>
        </w:tc>
        <w:tc>
          <w:tcPr>
            <w:tcW w:w="3232" w:type="dxa"/>
            <w:tcBorders>
              <w:tl2br w:val="nil"/>
              <w:tr2bl w:val="nil"/>
            </w:tcBorders>
            <w:vAlign w:val="center"/>
          </w:tcPr>
          <w:p>
            <w:pPr>
              <w:pStyle w:val="66"/>
              <w:spacing w:before="78"/>
              <w:ind w:left="9"/>
              <w:jc w:val="left"/>
              <w:rPr>
                <w:rFonts w:ascii="宋体" w:hAnsi="宋体" w:eastAsia="宋体"/>
              </w:rPr>
            </w:pPr>
            <w:r>
              <w:rPr>
                <w:rFonts w:hint="eastAsia" w:ascii="Times New Roman" w:hAnsi="Times New Roman" w:eastAsia="宋体"/>
              </w:rPr>
              <w:t>□否</w:t>
            </w:r>
          </w:p>
          <w:p>
            <w:pPr>
              <w:pStyle w:val="66"/>
              <w:spacing w:before="78"/>
              <w:ind w:left="9"/>
              <w:jc w:val="left"/>
              <w:rPr>
                <w:rFonts w:ascii="Times New Roman" w:hAnsi="Times New Roman" w:eastAsia="宋体"/>
                <w:sz w:val="24"/>
                <w:lang w:val="en-US"/>
              </w:rPr>
            </w:pPr>
            <w:r>
              <w:rPr>
                <w:rFonts w:hint="eastAsia" w:ascii="Times New Roman" w:hAnsi="Times New Roman" w:eastAsia="宋体"/>
              </w:rPr>
              <w:t>☑是：</w:t>
            </w:r>
            <w:r>
              <w:rPr>
                <w:rFonts w:hint="eastAsia" w:ascii="宋体" w:hAnsi="宋体" w:eastAsia="宋体" w:cs="宋体"/>
                <w:sz w:val="24"/>
                <w:u w:val="single"/>
              </w:rPr>
              <w:t>利用原有</w:t>
            </w:r>
            <w:r>
              <w:rPr>
                <w:rFonts w:hint="eastAsia" w:ascii="宋体" w:hAnsi="宋体" w:eastAsia="宋体" w:cs="宋体"/>
                <w:sz w:val="24"/>
                <w:u w:val="single"/>
                <w:lang w:val="en-US"/>
              </w:rPr>
              <w:t>厂房</w:t>
            </w:r>
          </w:p>
        </w:tc>
        <w:tc>
          <w:tcPr>
            <w:tcW w:w="1767" w:type="dxa"/>
            <w:tcBorders>
              <w:tl2br w:val="nil"/>
              <w:tr2bl w:val="nil"/>
            </w:tcBorders>
            <w:vAlign w:val="center"/>
          </w:tcPr>
          <w:p>
            <w:pPr>
              <w:pStyle w:val="66"/>
              <w:spacing w:before="78" w:line="242" w:lineRule="auto"/>
              <w:ind w:left="347" w:right="160" w:hanging="87"/>
              <w:jc w:val="center"/>
              <w:rPr>
                <w:rFonts w:ascii="Times New Roman" w:hAnsi="Times New Roman" w:eastAsia="宋体"/>
                <w:sz w:val="24"/>
              </w:rPr>
            </w:pPr>
            <w:r>
              <w:rPr>
                <w:rFonts w:hint="eastAsia" w:ascii="Times New Roman" w:hAnsi="Times New Roman" w:eastAsia="宋体" w:cstheme="minorBidi"/>
                <w:sz w:val="24"/>
                <w:lang w:val="en-US" w:bidi="ar-SA"/>
              </w:rPr>
              <w:t>用地面积（m</w:t>
            </w:r>
            <w:r>
              <w:rPr>
                <w:rFonts w:hint="eastAsia" w:ascii="Times New Roman" w:hAnsi="Times New Roman" w:eastAsia="宋体" w:cstheme="minorBidi"/>
                <w:sz w:val="24"/>
                <w:vertAlign w:val="superscript"/>
                <w:lang w:val="en-US" w:bidi="ar-SA"/>
              </w:rPr>
              <w:t>2</w:t>
            </w:r>
            <w:r>
              <w:rPr>
                <w:rFonts w:hint="eastAsia" w:ascii="Times New Roman" w:hAnsi="Times New Roman" w:eastAsia="宋体" w:cstheme="minorBidi"/>
                <w:sz w:val="24"/>
                <w:lang w:val="en-US" w:bidi="ar-SA"/>
              </w:rPr>
              <w:t>）</w:t>
            </w:r>
          </w:p>
        </w:tc>
        <w:tc>
          <w:tcPr>
            <w:tcW w:w="2994" w:type="dxa"/>
            <w:tcBorders>
              <w:tl2br w:val="nil"/>
              <w:tr2bl w:val="nil"/>
            </w:tcBorders>
            <w:vAlign w:val="center"/>
          </w:tcPr>
          <w:p>
            <w:pPr>
              <w:pStyle w:val="66"/>
              <w:ind w:right="402"/>
              <w:jc w:val="center"/>
              <w:rPr>
                <w:rFonts w:ascii="Times New Roman" w:hAnsi="Times New Roman" w:eastAsia="宋体"/>
                <w:sz w:val="24"/>
                <w:lang w:val="en-US"/>
              </w:rPr>
            </w:pPr>
            <w:r>
              <w:rPr>
                <w:rFonts w:hint="eastAsia" w:ascii="Times New Roman" w:hAnsi="Times New Roman" w:eastAsia="宋体"/>
                <w:sz w:val="24"/>
                <w:lang w:val="en-US"/>
              </w:rPr>
              <w:t>3051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12"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专项评价设置情况</w:t>
            </w:r>
          </w:p>
        </w:tc>
        <w:tc>
          <w:tcPr>
            <w:tcW w:w="7993" w:type="dxa"/>
            <w:gridSpan w:val="3"/>
            <w:tcBorders>
              <w:tl2br w:val="nil"/>
              <w:tr2bl w:val="nil"/>
            </w:tcBorders>
            <w:vAlign w:val="center"/>
          </w:tcPr>
          <w:p>
            <w:pPr>
              <w:pStyle w:val="66"/>
              <w:spacing w:before="1"/>
              <w:jc w:val="center"/>
              <w:rPr>
                <w:rFonts w:eastAsia="宋体"/>
              </w:rPr>
            </w:pPr>
            <w:r>
              <w:rPr>
                <w:rFonts w:hint="eastAsia" w:ascii="Times New Roman" w:hAnsi="Times New Roman" w:eastAsia="宋体" w:cstheme="minorBidi"/>
                <w:sz w:val="24"/>
                <w:lang w:val="en-US" w:bidi="ar-SA"/>
              </w:rPr>
              <w:t>无</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04"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规划情况</w:t>
            </w:r>
          </w:p>
        </w:tc>
        <w:tc>
          <w:tcPr>
            <w:tcW w:w="7993" w:type="dxa"/>
            <w:gridSpan w:val="3"/>
            <w:tcBorders>
              <w:tl2br w:val="nil"/>
              <w:tr2bl w:val="nil"/>
            </w:tcBorders>
            <w:vAlign w:val="center"/>
          </w:tcPr>
          <w:p>
            <w:pPr>
              <w:pStyle w:val="66"/>
              <w:spacing w:line="267" w:lineRule="exact"/>
              <w:ind w:left="112"/>
              <w:jc w:val="center"/>
              <w:rPr>
                <w:rFonts w:eastAsia="宋体"/>
                <w:lang w:val="en-US"/>
              </w:rPr>
            </w:pPr>
            <w:r>
              <w:rPr>
                <w:rFonts w:hint="eastAsia" w:ascii="Times New Roman" w:hAnsi="Times New Roman" w:eastAsia="宋体" w:cstheme="minorBidi"/>
                <w:sz w:val="24"/>
                <w:lang w:val="en-US" w:bidi="ar-SA"/>
              </w:rPr>
              <w:t>无</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29"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规划环境影响</w:t>
            </w:r>
          </w:p>
          <w:p>
            <w:pPr>
              <w:jc w:val="center"/>
              <w:rPr>
                <w:rFonts w:ascii="Times New Roman" w:hAnsi="Times New Roman" w:eastAsia="宋体"/>
                <w:sz w:val="24"/>
              </w:rPr>
            </w:pPr>
            <w:r>
              <w:rPr>
                <w:rFonts w:hint="eastAsia" w:ascii="Times New Roman" w:hAnsi="Times New Roman" w:eastAsia="宋体"/>
                <w:sz w:val="24"/>
              </w:rPr>
              <w:t>评价情况</w:t>
            </w:r>
          </w:p>
        </w:tc>
        <w:tc>
          <w:tcPr>
            <w:tcW w:w="7993" w:type="dxa"/>
            <w:gridSpan w:val="3"/>
            <w:tcBorders>
              <w:tl2br w:val="nil"/>
              <w:tr2bl w:val="nil"/>
            </w:tcBorders>
            <w:vAlign w:val="center"/>
          </w:tcPr>
          <w:p>
            <w:pPr>
              <w:pStyle w:val="66"/>
              <w:spacing w:before="139"/>
              <w:ind w:left="112"/>
              <w:jc w:val="center"/>
              <w:rPr>
                <w:rFonts w:eastAsia="宋体"/>
              </w:rPr>
            </w:pPr>
            <w:r>
              <w:rPr>
                <w:rFonts w:hint="eastAsia" w:ascii="Times New Roman" w:hAnsi="Times New Roman" w:eastAsia="宋体" w:cstheme="minorBidi"/>
                <w:sz w:val="24"/>
                <w:lang w:val="en-US" w:bidi="ar-SA"/>
              </w:rPr>
              <w:t>无</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39" w:hRule="atLeast"/>
        </w:trPr>
        <w:tc>
          <w:tcPr>
            <w:tcW w:w="1326" w:type="dxa"/>
            <w:tcBorders>
              <w:tl2br w:val="nil"/>
              <w:tr2bl w:val="nil"/>
            </w:tcBorders>
            <w:vAlign w:val="center"/>
          </w:tcPr>
          <w:p>
            <w:pPr>
              <w:jc w:val="center"/>
              <w:rPr>
                <w:rFonts w:ascii="Times New Roman" w:hAnsi="Times New Roman" w:eastAsia="宋体"/>
                <w:sz w:val="24"/>
              </w:rPr>
            </w:pPr>
            <w:r>
              <w:rPr>
                <w:rFonts w:hint="eastAsia" w:ascii="Times New Roman" w:hAnsi="Times New Roman" w:eastAsia="宋体"/>
                <w:sz w:val="24"/>
              </w:rPr>
              <w:t>规划及规划环境影响评价符合性分析</w:t>
            </w:r>
          </w:p>
        </w:tc>
        <w:tc>
          <w:tcPr>
            <w:tcW w:w="7993" w:type="dxa"/>
            <w:gridSpan w:val="3"/>
            <w:tcBorders>
              <w:tl2br w:val="nil"/>
              <w:tr2bl w:val="nil"/>
            </w:tcBorders>
            <w:vAlign w:val="center"/>
          </w:tcPr>
          <w:p>
            <w:pPr>
              <w:pStyle w:val="66"/>
              <w:spacing w:before="139"/>
              <w:ind w:left="112"/>
              <w:jc w:val="center"/>
              <w:rPr>
                <w:rFonts w:ascii="Times New Roman" w:hAnsi="Times New Roman" w:eastAsia="宋体" w:cstheme="minorBidi"/>
                <w:sz w:val="24"/>
                <w:lang w:val="en-US" w:bidi="ar-SA"/>
              </w:rPr>
            </w:pPr>
            <w:r>
              <w:rPr>
                <w:rFonts w:hint="eastAsia" w:ascii="Times New Roman" w:hAnsi="Times New Roman" w:eastAsia="宋体" w:cstheme="minorBidi"/>
                <w:sz w:val="24"/>
                <w:lang w:val="en-US" w:bidi="ar-SA"/>
              </w:rPr>
              <w:t>无</w:t>
            </w:r>
          </w:p>
        </w:tc>
      </w:tr>
    </w:tbl>
    <w:p>
      <w:pPr>
        <w:outlineLvl w:val="0"/>
        <w:rPr>
          <w:rFonts w:eastAsia="宋体"/>
        </w:rPr>
      </w:pPr>
      <w:r>
        <w:rPr>
          <w:rFonts w:ascii="Times New Roman" w:hAnsi="Times New Roman" w:eastAsia="宋体" w:cs="Times New Roman"/>
          <w:b/>
          <w:bCs/>
          <w:sz w:val="32"/>
          <w:szCs w:val="40"/>
        </w:rPr>
        <w:br w:type="page"/>
      </w:r>
    </w:p>
    <w:tbl>
      <w:tblPr>
        <w:tblStyle w:val="26"/>
        <w:tblW w:w="5048"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0" w:type="dxa"/>
          <w:bottom w:w="0" w:type="dxa"/>
          <w:right w:w="0" w:type="dxa"/>
        </w:tblCellMar>
      </w:tblPr>
      <w:tblGrid>
        <w:gridCol w:w="1195"/>
        <w:gridCol w:w="799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397" w:hRule="atLeast"/>
          <w:jc w:val="center"/>
        </w:trPr>
        <w:tc>
          <w:tcPr>
            <w:tcW w:w="1191" w:type="dxa"/>
            <w:tcBorders>
              <w:tl2br w:val="nil"/>
              <w:tr2bl w:val="nil"/>
            </w:tcBorders>
            <w:vAlign w:val="center"/>
          </w:tcPr>
          <w:p>
            <w:pPr>
              <w:jc w:val="center"/>
              <w:rPr>
                <w:rFonts w:ascii="宋体" w:eastAsia="宋体"/>
              </w:rPr>
            </w:pPr>
            <w:r>
              <w:rPr>
                <w:rFonts w:hint="eastAsia" w:ascii="宋体" w:eastAsia="宋体"/>
              </w:rPr>
              <w:t>其他符合性分析</w:t>
            </w:r>
          </w:p>
        </w:tc>
        <w:tc>
          <w:tcPr>
            <w:tcW w:w="7969" w:type="dxa"/>
            <w:tcBorders>
              <w:tl2br w:val="nil"/>
              <w:tr2bl w:val="nil"/>
            </w:tcBorders>
          </w:tcPr>
          <w:p>
            <w:pPr>
              <w:pStyle w:val="14"/>
              <w:ind w:firstLine="482"/>
            </w:pPr>
            <w:r>
              <w:rPr>
                <w:rFonts w:hint="eastAsia"/>
                <w:b/>
                <w:bCs/>
              </w:rPr>
              <w:t>一、“三线一单”符合性判定</w:t>
            </w:r>
          </w:p>
          <w:p>
            <w:pPr>
              <w:pStyle w:val="14"/>
            </w:pPr>
            <w:r>
              <w:rPr>
                <w:rFonts w:hint="eastAsia"/>
              </w:rPr>
              <w:t>1、生态保护红线</w:t>
            </w:r>
          </w:p>
          <w:p>
            <w:pPr>
              <w:pStyle w:val="14"/>
            </w:pPr>
            <w:r>
              <w:rPr>
                <w:rFonts w:hint="eastAsia"/>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需依法在重点生态功能区、生态环境敏感区和脆弱区等区域划定的严格管控边界，是国家和区域生态安全的底线，对于维护生态安全格局、保障生态服务功能、支撑经济社会可持续发展具有重要作用。根据安徽省人民政府《关于发布安徽省生态保护红线的通知》（皖政秘〔2018〕120号）中规定“将生态功能极重要区（包含水源涵养、水土保持、生物多样性维护等）和生态环境极敏感区（包含水土流失、盐渍化和地质灾害敏感区等）进行叠加合并，并与各类保护地进行校验，形成生态保护红线空间叠加图，确保划定范围涵盖国家级和省级禁止开发区域，以及其他有必要严格保护的各类保护地，本项目所在地不在任何生态红线区域，因此本项目不在其生态保护的管控范围内。</w:t>
            </w:r>
          </w:p>
          <w:p>
            <w:pPr>
              <w:pStyle w:val="14"/>
            </w:pPr>
            <w:r>
              <w:t>2</w:t>
            </w:r>
            <w:r>
              <w:rPr>
                <w:rFonts w:hint="eastAsia"/>
              </w:rPr>
              <w:t>、</w:t>
            </w:r>
            <w:r>
              <w:t>环境质量底线</w:t>
            </w:r>
          </w:p>
          <w:p>
            <w:pPr>
              <w:pStyle w:val="14"/>
            </w:pPr>
            <w:r>
              <w:rPr>
                <w:rFonts w:hint="eastAsia"/>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pStyle w:val="14"/>
            </w:pPr>
            <w:r>
              <w:rPr>
                <w:rFonts w:hint="eastAsia"/>
              </w:rPr>
              <w:t>项目选址区域为环境空气功能区二类区，执行二级标准。根据对区域基准年环境空气质量调查，项目选址区域环境空气质量不能满足《环境空气质量标准》（GB3095-2012）二级标准要求，因此为不达标区域，主要超标因子为PM</w:t>
            </w:r>
            <w:r>
              <w:rPr>
                <w:rFonts w:hint="eastAsia"/>
                <w:vertAlign w:val="subscript"/>
              </w:rPr>
              <w:t>10</w:t>
            </w:r>
            <w:r>
              <w:rPr>
                <w:rFonts w:hint="eastAsia"/>
              </w:rPr>
              <w:t>和PM</w:t>
            </w:r>
            <w:r>
              <w:rPr>
                <w:rFonts w:hint="eastAsia"/>
                <w:vertAlign w:val="subscript"/>
              </w:rPr>
              <w:t>2.5</w:t>
            </w:r>
            <w:r>
              <w:rPr>
                <w:rFonts w:hint="eastAsia"/>
              </w:rPr>
              <w:t>。因本项目运行过程大气污染物产生量较少，且均采取了有效的污染防治措施，对区域环境空气影响较小。</w:t>
            </w:r>
          </w:p>
          <w:p>
            <w:pPr>
              <w:pStyle w:val="14"/>
              <w:ind w:left="239" w:leftChars="114" w:firstLine="240" w:firstLineChars="100"/>
            </w:pPr>
            <w:r>
              <w:rPr>
                <w:rFonts w:hint="eastAsia"/>
              </w:rPr>
              <w:t>本项目排放的废水经化粪池预处理后，由附件村民定期清掏，对淮河不会造成影响，故不会破坏项目地环境质量底线。</w:t>
            </w:r>
          </w:p>
          <w:p>
            <w:pPr>
              <w:pStyle w:val="14"/>
            </w:pPr>
            <w:r>
              <w:rPr>
                <w:rFonts w:hint="eastAsia"/>
              </w:rPr>
              <w:t>本项目所在区域为</w:t>
            </w:r>
            <w:r>
              <w:t>2</w:t>
            </w:r>
            <w:r>
              <w:rPr>
                <w:rFonts w:hint="eastAsia"/>
              </w:rPr>
              <w:t>类声环境功能区，根据环境噪声现状监测结果，项目区域目前能够满足《声环境质量标准》</w:t>
            </w:r>
            <w:r>
              <w:t>2</w:t>
            </w:r>
            <w:r>
              <w:rPr>
                <w:rFonts w:hint="eastAsia"/>
              </w:rPr>
              <w:t>类标准要求，本项目噪声产生量小，能满足《声环境质量标准》</w:t>
            </w:r>
            <w:r>
              <w:t>2</w:t>
            </w:r>
            <w:r>
              <w:rPr>
                <w:rFonts w:hint="eastAsia"/>
              </w:rPr>
              <w:t>类标准要求，根据检测结果，本项目不会改变项目所在区域的声环境功能，因此项目建设声环境质量是符合要求的。</w:t>
            </w:r>
          </w:p>
          <w:p>
            <w:pPr>
              <w:pStyle w:val="14"/>
            </w:pPr>
            <w:r>
              <w:rPr>
                <w:rFonts w:hint="eastAsia"/>
              </w:rPr>
              <w:t>综上，本项目建设符合环境质量底线要求的。</w:t>
            </w:r>
          </w:p>
          <w:p>
            <w:pPr>
              <w:pStyle w:val="14"/>
            </w:pPr>
            <w:r>
              <w:t>3</w:t>
            </w:r>
            <w:r>
              <w:rPr>
                <w:rFonts w:hint="eastAsia"/>
              </w:rPr>
              <w:t>、</w:t>
            </w:r>
            <w:r>
              <w:t>资源利用上限</w:t>
            </w:r>
          </w:p>
          <w:p>
            <w:pPr>
              <w:pStyle w:val="14"/>
            </w:pPr>
            <w:r>
              <w:rPr>
                <w:rFonts w:hint="eastAsia"/>
              </w:rPr>
              <w:t>项目所用资源包括水资源、土地资源和能源利用上线，本项目用水为生活用水，项目所在区水资源较丰富，项目用水远小于区域供水能力。本项目用地性质为工业用地。从资源角度，本项目的建设充分利用了现有土地资源，减少了土地资源的浪费。项目使用能源主要为电，项目不涉及煤炭等高污染能源。</w:t>
            </w:r>
          </w:p>
          <w:p>
            <w:pPr>
              <w:pStyle w:val="14"/>
            </w:pPr>
            <w:r>
              <w:rPr>
                <w:rFonts w:hint="eastAsia"/>
              </w:rPr>
              <w:t>4、环境准入负面清单</w:t>
            </w:r>
          </w:p>
          <w:tbl>
            <w:tblPr>
              <w:tblStyle w:val="26"/>
              <w:tblW w:w="4841" w:type="pct"/>
              <w:jc w:val="center"/>
              <w:tblLayout w:type="fixed"/>
              <w:tblCellMar>
                <w:top w:w="0" w:type="dxa"/>
                <w:left w:w="0" w:type="dxa"/>
                <w:bottom w:w="0" w:type="dxa"/>
                <w:right w:w="0" w:type="dxa"/>
              </w:tblCellMar>
            </w:tblPr>
            <w:tblGrid>
              <w:gridCol w:w="689"/>
              <w:gridCol w:w="472"/>
              <w:gridCol w:w="6550"/>
            </w:tblGrid>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序号</w:t>
                  </w:r>
                </w:p>
              </w:tc>
              <w:tc>
                <w:tcPr>
                  <w:tcW w:w="472"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bookmarkStart w:id="1" w:name="类型"/>
                  <w:bookmarkEnd w:id="1"/>
                  <w:r>
                    <w:rPr>
                      <w:rFonts w:hint="eastAsia" w:ascii="宋体" w:hAnsi="宋体" w:eastAsia="宋体" w:cs="宋体"/>
                      <w:szCs w:val="21"/>
                    </w:rPr>
                    <w:t>类型</w:t>
                  </w: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bookmarkStart w:id="2" w:name="负面清单要求"/>
                  <w:bookmarkEnd w:id="2"/>
                  <w:r>
                    <w:rPr>
                      <w:rFonts w:hint="eastAsia" w:ascii="宋体" w:hAnsi="宋体" w:eastAsia="宋体" w:cs="宋体"/>
                      <w:szCs w:val="21"/>
                    </w:rPr>
                    <w:t>负面清单要求</w:t>
                  </w:r>
                </w:p>
              </w:tc>
            </w:tr>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1</w:t>
                  </w:r>
                </w:p>
              </w:tc>
              <w:tc>
                <w:tcPr>
                  <w:tcW w:w="472" w:type="dxa"/>
                  <w:vMerge w:val="restart"/>
                  <w:tcBorders>
                    <w:top w:val="single" w:color="000000" w:sz="2" w:space="0"/>
                    <w:left w:val="single" w:color="000000" w:sz="2" w:space="0"/>
                    <w:right w:val="single" w:color="000000" w:sz="2" w:space="0"/>
                  </w:tcBorders>
                  <w:vAlign w:val="center"/>
                </w:tcPr>
                <w:p>
                  <w:pPr>
                    <w:pStyle w:val="107"/>
                    <w:rPr>
                      <w:rFonts w:ascii="宋体" w:hAnsi="宋体" w:eastAsia="宋体" w:cs="宋体"/>
                      <w:szCs w:val="21"/>
                    </w:rPr>
                  </w:pPr>
                  <w:bookmarkStart w:id="3" w:name="产业导向"/>
                  <w:bookmarkEnd w:id="3"/>
                  <w:r>
                    <w:rPr>
                      <w:rFonts w:hint="eastAsia" w:ascii="宋体" w:hAnsi="宋体" w:eastAsia="宋体" w:cs="宋体"/>
                      <w:szCs w:val="21"/>
                    </w:rPr>
                    <w:t>产业导向</w:t>
                  </w: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禁止引入国家明令禁止建设或投资的、列入《产业结构调整指导目录（2019年本）》、《外商投资产业指导目录（2017年修订）》、《市场准入负面 清单（2019年版）》等相关产业政策中禁止或淘汰类的项目。</w:t>
                  </w:r>
                </w:p>
              </w:tc>
            </w:tr>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2</w:t>
                  </w:r>
                </w:p>
              </w:tc>
              <w:tc>
                <w:tcPr>
                  <w:tcW w:w="472" w:type="dxa"/>
                  <w:vMerge w:val="continue"/>
                  <w:tcBorders>
                    <w:left w:val="single" w:color="000000" w:sz="2" w:space="0"/>
                    <w:right w:val="single" w:color="000000" w:sz="2" w:space="0"/>
                  </w:tcBorders>
                  <w:vAlign w:val="center"/>
                </w:tcPr>
                <w:p>
                  <w:pPr>
                    <w:pStyle w:val="107"/>
                    <w:rPr>
                      <w:rFonts w:ascii="宋体" w:hAnsi="宋体" w:eastAsia="宋体" w:cs="宋体"/>
                      <w:szCs w:val="21"/>
                    </w:rPr>
                  </w:pP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禁止引进国家、安徽省明确规定不得审批的建设项目。</w:t>
                  </w:r>
                </w:p>
              </w:tc>
            </w:tr>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3</w:t>
                  </w:r>
                </w:p>
              </w:tc>
              <w:tc>
                <w:tcPr>
                  <w:tcW w:w="472" w:type="dxa"/>
                  <w:vMerge w:val="continue"/>
                  <w:tcBorders>
                    <w:left w:val="single" w:color="000000" w:sz="2" w:space="0"/>
                    <w:right w:val="single" w:color="000000" w:sz="2" w:space="0"/>
                  </w:tcBorders>
                  <w:vAlign w:val="center"/>
                </w:tcPr>
                <w:p>
                  <w:pPr>
                    <w:pStyle w:val="107"/>
                    <w:rPr>
                      <w:rFonts w:ascii="宋体" w:hAnsi="宋体" w:eastAsia="宋体" w:cs="宋体"/>
                      <w:szCs w:val="21"/>
                    </w:rPr>
                  </w:pP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禁止引进钢铁、焦化、电解铝、铸造、水泥和平板玻璃等产能类项目。</w:t>
                  </w:r>
                </w:p>
              </w:tc>
            </w:tr>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4</w:t>
                  </w:r>
                </w:p>
              </w:tc>
              <w:tc>
                <w:tcPr>
                  <w:tcW w:w="472" w:type="dxa"/>
                  <w:vMerge w:val="continue"/>
                  <w:tcBorders>
                    <w:left w:val="single" w:color="000000" w:sz="2" w:space="0"/>
                    <w:right w:val="single" w:color="000000" w:sz="2" w:space="0"/>
                  </w:tcBorders>
                  <w:vAlign w:val="center"/>
                </w:tcPr>
                <w:p>
                  <w:pPr>
                    <w:pStyle w:val="107"/>
                    <w:rPr>
                      <w:rFonts w:ascii="宋体" w:hAnsi="宋体" w:eastAsia="宋体" w:cs="宋体"/>
                      <w:szCs w:val="21"/>
                    </w:rPr>
                  </w:pP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禁止新引入农药制造等污染较重的化工类项目。</w:t>
                  </w:r>
                </w:p>
              </w:tc>
            </w:tr>
            <w:tr>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5</w:t>
                  </w:r>
                </w:p>
              </w:tc>
              <w:tc>
                <w:tcPr>
                  <w:tcW w:w="472" w:type="dxa"/>
                  <w:vMerge w:val="continue"/>
                  <w:tcBorders>
                    <w:left w:val="single" w:color="000000" w:sz="2" w:space="0"/>
                    <w:right w:val="single" w:color="000000" w:sz="2" w:space="0"/>
                  </w:tcBorders>
                  <w:vAlign w:val="center"/>
                </w:tcPr>
                <w:p>
                  <w:pPr>
                    <w:pStyle w:val="107"/>
                    <w:rPr>
                      <w:rFonts w:ascii="宋体" w:hAnsi="宋体" w:eastAsia="宋体" w:cs="宋体"/>
                      <w:szCs w:val="21"/>
                    </w:rPr>
                  </w:pP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禁止引进化学制浆造纸企业和制革、化工、电镀、酿造等污染严重的小型企业。</w:t>
                  </w:r>
                </w:p>
              </w:tc>
            </w:tr>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6</w:t>
                  </w:r>
                </w:p>
              </w:tc>
              <w:tc>
                <w:tcPr>
                  <w:tcW w:w="472" w:type="dxa"/>
                  <w:vMerge w:val="continue"/>
                  <w:tcBorders>
                    <w:left w:val="single" w:color="000000" w:sz="2" w:space="0"/>
                    <w:right w:val="single" w:color="000000" w:sz="2" w:space="0"/>
                  </w:tcBorders>
                  <w:vAlign w:val="center"/>
                </w:tcPr>
                <w:p>
                  <w:pPr>
                    <w:pStyle w:val="107"/>
                    <w:rPr>
                      <w:rFonts w:ascii="宋体" w:hAnsi="宋体" w:eastAsia="宋体" w:cs="宋体"/>
                      <w:szCs w:val="21"/>
                    </w:rPr>
                  </w:pP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严格控制化学药品原药制造等污染较重的项目</w:t>
                  </w:r>
                </w:p>
              </w:tc>
            </w:tr>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7</w:t>
                  </w:r>
                </w:p>
              </w:tc>
              <w:tc>
                <w:tcPr>
                  <w:tcW w:w="472" w:type="dxa"/>
                  <w:vMerge w:val="continue"/>
                  <w:tcBorders>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严格控制非主导产业高污染、高能耗类项目。</w:t>
                  </w:r>
                </w:p>
              </w:tc>
            </w:tr>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8</w:t>
                  </w:r>
                </w:p>
              </w:tc>
              <w:tc>
                <w:tcPr>
                  <w:tcW w:w="472" w:type="dxa"/>
                  <w:vMerge w:val="restart"/>
                  <w:tcBorders>
                    <w:top w:val="single" w:color="000000" w:sz="2" w:space="0"/>
                    <w:left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生产工艺</w:t>
                  </w: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禁止引进炼油、产生致癌、致畸、致突变物质的项目。</w:t>
                  </w:r>
                </w:p>
              </w:tc>
            </w:tr>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9</w:t>
                  </w:r>
                </w:p>
              </w:tc>
              <w:tc>
                <w:tcPr>
                  <w:tcW w:w="472" w:type="dxa"/>
                  <w:vMerge w:val="continue"/>
                  <w:tcBorders>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为主导产业及配套的上下游及延伸产业链项目的生产工艺、设备、污染治</w:t>
                  </w:r>
                </w:p>
                <w:p>
                  <w:pPr>
                    <w:pStyle w:val="107"/>
                    <w:rPr>
                      <w:rFonts w:ascii="宋体" w:hAnsi="宋体" w:eastAsia="宋体" w:cs="宋体"/>
                      <w:szCs w:val="21"/>
                    </w:rPr>
                  </w:pPr>
                  <w:r>
                    <w:rPr>
                      <w:rFonts w:hint="eastAsia" w:ascii="宋体" w:hAnsi="宋体" w:eastAsia="宋体" w:cs="宋体"/>
                      <w:szCs w:val="21"/>
                    </w:rPr>
                    <w:t>理技术等未达到清洁生产国内先进水平的、不符合环保相关要求的项目。</w:t>
                  </w:r>
                </w:p>
              </w:tc>
            </w:tr>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10</w:t>
                  </w:r>
                </w:p>
              </w:tc>
              <w:tc>
                <w:tcPr>
                  <w:tcW w:w="472"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环保要求</w:t>
                  </w: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禁止引入尚需自行建设燃煤锅炉的企业入区，引进项目必须使用清洁能源 或实施集中供热。</w:t>
                  </w:r>
                </w:p>
              </w:tc>
            </w:tr>
            <w:tr>
              <w:tblPrEx>
                <w:tblCellMar>
                  <w:top w:w="0" w:type="dxa"/>
                  <w:left w:w="0" w:type="dxa"/>
                  <w:bottom w:w="0" w:type="dxa"/>
                  <w:right w:w="0" w:type="dxa"/>
                </w:tblCellMar>
              </w:tblPrEx>
              <w:trPr>
                <w:trHeight w:val="283" w:hRule="atLeast"/>
                <w:jc w:val="center"/>
              </w:trPr>
              <w:tc>
                <w:tcPr>
                  <w:tcW w:w="688"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11</w:t>
                  </w:r>
                </w:p>
              </w:tc>
              <w:tc>
                <w:tcPr>
                  <w:tcW w:w="472"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清洁生产</w:t>
                  </w:r>
                </w:p>
              </w:tc>
              <w:tc>
                <w:tcPr>
                  <w:tcW w:w="6545" w:type="dxa"/>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禁止引入清洁生产低于国内先进水平的项目</w:t>
                  </w:r>
                </w:p>
              </w:tc>
            </w:tr>
            <w:tr>
              <w:tblPrEx>
                <w:tblCellMar>
                  <w:top w:w="0" w:type="dxa"/>
                  <w:left w:w="0" w:type="dxa"/>
                  <w:bottom w:w="0" w:type="dxa"/>
                  <w:right w:w="0" w:type="dxa"/>
                </w:tblCellMar>
              </w:tblPrEx>
              <w:trPr>
                <w:trHeight w:val="283" w:hRule="atLeast"/>
                <w:jc w:val="center"/>
              </w:trPr>
              <w:tc>
                <w:tcPr>
                  <w:tcW w:w="7705" w:type="dxa"/>
                  <w:gridSpan w:val="3"/>
                  <w:tcBorders>
                    <w:top w:val="single" w:color="000000" w:sz="2" w:space="0"/>
                    <w:left w:val="single" w:color="000000" w:sz="2" w:space="0"/>
                    <w:bottom w:val="single" w:color="000000" w:sz="2" w:space="0"/>
                    <w:right w:val="single" w:color="000000" w:sz="2" w:space="0"/>
                  </w:tcBorders>
                  <w:vAlign w:val="center"/>
                </w:tcPr>
                <w:p>
                  <w:pPr>
                    <w:pStyle w:val="107"/>
                    <w:rPr>
                      <w:rFonts w:ascii="宋体" w:hAnsi="宋体" w:eastAsia="宋体" w:cs="宋体"/>
                      <w:szCs w:val="21"/>
                    </w:rPr>
                  </w:pPr>
                  <w:r>
                    <w:rPr>
                      <w:rFonts w:hint="eastAsia" w:ascii="宋体" w:hAnsi="宋体" w:eastAsia="宋体" w:cs="宋体"/>
                      <w:szCs w:val="21"/>
                    </w:rPr>
                    <w:t>注：相关指南更新时以最新版要求为准。</w:t>
                  </w:r>
                </w:p>
              </w:tc>
            </w:tr>
          </w:tbl>
          <w:p>
            <w:pPr>
              <w:pStyle w:val="14"/>
            </w:pPr>
            <w:r>
              <w:t>项目采取环保措施后，废气、废水、噪声均达标排放，固体废物能够得到合理处置，不产生二次污染。本项目属于纸和纸板容器制造，不属于国家产业政策、技术政策和环保法律法规政 策明令禁止的项目，且项目用水和排水量较少。因此，本项目与环境准入负面清单相符合。</w:t>
            </w:r>
          </w:p>
          <w:p>
            <w:pPr>
              <w:pStyle w:val="14"/>
            </w:pPr>
            <w:r>
              <w:rPr>
                <w:rFonts w:hint="eastAsia"/>
              </w:rPr>
              <w:t>综上，本项目符合“三线一单”及国家和地方产业政策的相关要求。</w:t>
            </w:r>
          </w:p>
          <w:p>
            <w:pPr>
              <w:pStyle w:val="14"/>
              <w:keepNext w:val="0"/>
              <w:keepLines w:val="0"/>
              <w:pageBreakBefore w:val="0"/>
              <w:widowControl w:val="0"/>
              <w:kinsoku/>
              <w:wordWrap/>
              <w:overflowPunct/>
              <w:topLinePunct w:val="0"/>
              <w:autoSpaceDE/>
              <w:autoSpaceDN/>
              <w:bidi w:val="0"/>
              <w:spacing w:line="360" w:lineRule="auto"/>
              <w:ind w:firstLine="482"/>
              <w:textAlignment w:val="auto"/>
              <w:rPr>
                <w:rFonts w:hint="eastAsia"/>
                <w:b/>
                <w:bCs/>
              </w:rPr>
            </w:pPr>
            <w:r>
              <w:rPr>
                <w:rFonts w:hint="eastAsia"/>
                <w:b/>
                <w:bCs/>
                <w:lang w:val="en-US" w:eastAsia="zh-CN"/>
              </w:rPr>
              <w:t>二</w:t>
            </w:r>
            <w:r>
              <w:rPr>
                <w:rFonts w:hint="eastAsia"/>
                <w:b/>
                <w:bCs/>
              </w:rPr>
              <w:t>、项目与挥发性有机物（VOCs）污染防治技术政策符合性分析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根据《挥发性有机物（VOCs）污染防治技术政策》（公告2013年第31号）文件的规定，拟建项目与该政策符合性分析见表1-7。</w:t>
            </w:r>
          </w:p>
          <w:p>
            <w:pPr>
              <w:pStyle w:val="103"/>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表1-7  项目与《挥发性有机物（VOCs）污染防治技术政策》的符合性分析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4515"/>
              <w:gridCol w:w="2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5" w:type="dxa"/>
                  <w:gridSpan w:val="2"/>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要求</w:t>
                  </w:r>
                </w:p>
              </w:tc>
              <w:tc>
                <w:tcPr>
                  <w:tcW w:w="2972"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二、源头与过程控制</w:t>
                  </w:r>
                </w:p>
              </w:tc>
              <w:tc>
                <w:tcPr>
                  <w:tcW w:w="5106" w:type="dxa"/>
                  <w:vAlign w:val="center"/>
                </w:tcPr>
                <w:p>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（十）在涂装、印刷、粘合、工业清洗等含VOCs产品的使用过程中的VOCs污染防治技术措施</w:t>
                  </w:r>
                </w:p>
                <w:p>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2、推广采用静电喷涂、淋涂、辊涂、浸涂等效率较高的涂装工艺；</w:t>
                  </w:r>
                </w:p>
                <w:p>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6、含VOCs产品的使用过程中，应采取废气收集措施，提高废气收集效率，减少废气的无组织排放与逸散，并对收集后的废气进行回收或处理后达标排放。</w:t>
                  </w:r>
                </w:p>
              </w:tc>
              <w:tc>
                <w:tcPr>
                  <w:tcW w:w="2972" w:type="dxa"/>
                  <w:vMerge w:val="restart"/>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项目废气由集气罩收集经活性炭吸附处理设备处理后经15m排气筒（P1）排放。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三、末端治理与综合利用</w:t>
                  </w:r>
                </w:p>
              </w:tc>
              <w:tc>
                <w:tcPr>
                  <w:tcW w:w="5106" w:type="dxa"/>
                  <w:vAlign w:val="center"/>
                </w:tcPr>
                <w:p>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972" w:type="dxa"/>
                  <w:vMerge w:val="continue"/>
                  <w:vAlign w:val="center"/>
                </w:tcPr>
                <w:p>
                  <w:pPr>
                    <w:adjustRightInd w:val="0"/>
                    <w:snapToGrid w:val="0"/>
                    <w:rPr>
                      <w:rFonts w:hint="eastAsia" w:ascii="Times New Roman" w:hAnsi="Times New Roman" w:cs="Times New Roman" w:eastAsiaTheme="minorEastAsia"/>
                      <w:kern w:val="2"/>
                      <w:sz w:val="24"/>
                      <w:szCs w:val="24"/>
                      <w:lang w:val="en-US" w:eastAsia="zh-CN" w:bidi="ar-SA"/>
                    </w:rPr>
                  </w:pPr>
                </w:p>
              </w:tc>
            </w:tr>
          </w:tbl>
          <w:p>
            <w:pPr>
              <w:adjustRightInd w:val="0"/>
              <w:snapToGrid w:val="0"/>
              <w:spacing w:line="360" w:lineRule="auto"/>
              <w:ind w:firstLine="480" w:firstLineChars="20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由表1-7可见，本项目满足《挥发性有机物（VOCs）污染防治技术政策》（公告2013年第31号）的要求。</w:t>
            </w:r>
          </w:p>
          <w:p>
            <w:pPr>
              <w:pStyle w:val="5"/>
              <w:spacing w:before="24"/>
              <w:ind w:firstLine="422"/>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b/>
                <w:bCs/>
                <w:kern w:val="2"/>
                <w:sz w:val="24"/>
                <w:szCs w:val="24"/>
                <w:lang w:val="en-US" w:eastAsia="zh-CN" w:bidi="ar-SA"/>
              </w:rPr>
              <w:t>三</w:t>
            </w:r>
            <w:r>
              <w:rPr>
                <w:rFonts w:hint="eastAsia" w:ascii="Times New Roman" w:hAnsi="Times New Roman" w:cs="Times New Roman" w:eastAsiaTheme="minorEastAsia"/>
                <w:b/>
                <w:bCs/>
                <w:kern w:val="2"/>
                <w:sz w:val="24"/>
                <w:szCs w:val="24"/>
                <w:lang w:val="en-US" w:eastAsia="zh-CN" w:bidi="ar-SA"/>
              </w:rPr>
              <w:t>、与《安徽省挥发性有机物污染整治工作方案》的相符性</w:t>
            </w:r>
          </w:p>
          <w:p>
            <w:pPr>
              <w:pStyle w:val="2"/>
              <w:spacing w:before="24"/>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本项目与《安徽省挥发性有机物污染整治工作方案》有关要求进行相符性分析，具体见下表。</w:t>
            </w:r>
          </w:p>
          <w:p>
            <w:pPr>
              <w:pStyle w:val="10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表1-4 与《安徽省挥发性有机物污染整治工作方案》相符性分析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5"/>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43"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安徽省挥发性有机物污染整治工作方案相关要求</w:t>
                  </w:r>
                </w:p>
              </w:tc>
              <w:tc>
                <w:tcPr>
                  <w:tcW w:w="2640"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43"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（一）优化产业布局。 结合城市总体规划、主体功能区规划要求，优化调整 VOCs 产业布局。在城市建成区 、自然保护区、水源保护区、风景名胜区、森林公园、重要湿地、生态敏感区和其他重要生态功能区实行强制性保护，禁止新建 VOCs 高污染企业。在水源涵养区、水土保持区等生态功能区实施限制开发。</w:t>
                  </w:r>
                </w:p>
              </w:tc>
              <w:tc>
                <w:tcPr>
                  <w:tcW w:w="2640"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本项目不属于VOCs 高污染企业。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43"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（二）加快产业升级。1.加快淘汰落后产能。严格执行 VOCs 重点行业相关产业政策，加快淘汰落后产品、技术和工艺装备，提前淘汰污染物排放强度大、产品附加值低、环境信访多的落后产能，关闭能耗超标、污染物排放超标且治理无望的企业和生产线。</w:t>
                  </w:r>
                </w:p>
              </w:tc>
              <w:tc>
                <w:tcPr>
                  <w:tcW w:w="2640"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本项目不属于《产业结构调整指导目录》（2019年本）国家淘汰落后产能企业。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943"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3.严格建设项目准入。将控制挥发性有机物排放列入建设项目环境影响评价重要内容，严格环境准入，严控“两高”行业新增产能。新建、迁建 VOCs 排放量大的企业应入工业园区并符合规划要求，必须建设挥发性有机物污染治理设施，安装废气收集、回收或净化装置，原则上总净化效率不得低于90%。</w:t>
                  </w:r>
                </w:p>
              </w:tc>
              <w:tc>
                <w:tcPr>
                  <w:tcW w:w="2640"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本项目不属于 “两高”行业。废气活性炭吸附装置后由15m高排气筒排放，废气总净化效率不低90%。</w:t>
                  </w:r>
                </w:p>
              </w:tc>
            </w:tr>
          </w:tbl>
          <w:p>
            <w:pPr>
              <w:pStyle w:val="14"/>
              <w:ind w:firstLine="482"/>
              <w:rPr>
                <w:rFonts w:hint="eastAsia" w:ascii="Times New Roman" w:hAnsi="Times New Roman" w:cs="Times New Roman"/>
                <w:b/>
                <w:bCs/>
                <w:lang w:val="en-US" w:eastAsia="zh-CN"/>
              </w:rPr>
            </w:pPr>
            <w:r>
              <w:rPr>
                <w:rFonts w:hint="eastAsia" w:ascii="Times New Roman" w:hAnsi="Times New Roman" w:cs="Times New Roman"/>
                <w:b/>
                <w:bCs/>
                <w:lang w:val="en-US" w:eastAsia="zh-CN"/>
              </w:rPr>
              <w:t>四、与《长三角地区2020-2021年秋冬季大气污染综合治理攻坚行动方案》相符性分析</w:t>
            </w:r>
          </w:p>
          <w:p>
            <w:pPr>
              <w:pStyle w:val="14"/>
              <w:rPr>
                <w:rFonts w:hint="eastAsia" w:ascii="Times New Roman" w:hAnsi="Times New Roman" w:cs="Times New Roman"/>
                <w:lang w:val="en-US" w:eastAsia="zh-CN"/>
              </w:rPr>
            </w:pPr>
            <w:r>
              <w:rPr>
                <w:rFonts w:hint="eastAsia" w:ascii="Times New Roman" w:hAnsi="Times New Roman" w:cs="Times New Roman"/>
                <w:lang w:val="en-US" w:eastAsia="zh-CN"/>
              </w:rPr>
              <w:t>《长三角地区2020-2021年秋冬季大气污染综合治理攻坚行动方案》第七条：持续推进挥发性有机物（VOCs）治理攻坚。落实《2020年挥发性有机物治理攻坚方案》，持续推进VOCs治理攻坚各项任务措施；组织完成石化、化工、工业涂装、包装印刷等企业废气排放系统旁路摸底排查；有机化学品等挥发性有机液体储罐排查；督促企业取消非必要的旁路。</w:t>
            </w:r>
          </w:p>
          <w:p>
            <w:pPr>
              <w:pStyle w:val="14"/>
              <w:rPr>
                <w:rFonts w:hint="eastAsia" w:ascii="Times New Roman" w:hAnsi="Times New Roman" w:cs="Times New Roman"/>
                <w:lang w:val="en-US" w:eastAsia="zh-CN"/>
              </w:rPr>
            </w:pPr>
            <w:r>
              <w:rPr>
                <w:rFonts w:hint="eastAsia" w:ascii="Times New Roman" w:hAnsi="Times New Roman" w:cs="Times New Roman"/>
                <w:lang w:val="en-US" w:eastAsia="zh-CN"/>
              </w:rPr>
              <w:t>本项目已落实《2020年挥发性有机物治理攻坚方案》，有机废气产生处进行高效率集气罩各自收集，收集后通过集气罩收集经活性炭吸附处理设备处理后经15m排气筒（P1）排放。</w:t>
            </w:r>
          </w:p>
          <w:p>
            <w:pPr>
              <w:pStyle w:val="14"/>
              <w:ind w:firstLine="482"/>
              <w:rPr>
                <w:b/>
                <w:bCs/>
              </w:rPr>
            </w:pPr>
            <w:r>
              <w:rPr>
                <w:rFonts w:hint="eastAsia"/>
                <w:b/>
                <w:bCs/>
                <w:lang w:val="en-US" w:eastAsia="zh-CN"/>
              </w:rPr>
              <w:t>五</w:t>
            </w:r>
            <w:r>
              <w:rPr>
                <w:rFonts w:hint="eastAsia"/>
                <w:b/>
                <w:bCs/>
              </w:rPr>
              <w:t>、与《关于全面打造水清岸绿产业优美丽长江（安徽）经济带的实施意见》皖发【20</w:t>
            </w:r>
            <w:r>
              <w:rPr>
                <w:rFonts w:hint="eastAsia"/>
                <w:b/>
                <w:bCs/>
                <w:lang w:val="en-US" w:eastAsia="zh-CN"/>
              </w:rPr>
              <w:t>21</w:t>
            </w:r>
            <w:r>
              <w:rPr>
                <w:rFonts w:hint="eastAsia"/>
                <w:b/>
                <w:bCs/>
              </w:rPr>
              <w:t>】</w:t>
            </w:r>
            <w:r>
              <w:rPr>
                <w:rFonts w:hint="eastAsia"/>
                <w:b/>
                <w:bCs/>
                <w:lang w:val="en-US" w:eastAsia="zh-CN"/>
              </w:rPr>
              <w:t>19</w:t>
            </w:r>
            <w:r>
              <w:rPr>
                <w:rFonts w:hint="eastAsia"/>
                <w:b/>
                <w:bCs/>
              </w:rPr>
              <w:t>号文件相符性分析</w:t>
            </w:r>
          </w:p>
          <w:p>
            <w:pPr>
              <w:pStyle w:val="14"/>
              <w:rPr>
                <w:rFonts w:ascii="宋体" w:eastAsia="宋体"/>
              </w:rPr>
            </w:pPr>
            <w:r>
              <w:rPr>
                <w:rFonts w:hint="eastAsia" w:ascii="宋体" w:hAnsi="宋体" w:eastAsia="宋体" w:cs="宋体"/>
              </w:rPr>
              <w:t>根据《关于全面打造水清岸绿产业优美丽长江（安徽）经济带的实施意见》（皖发（20</w:t>
            </w:r>
            <w:r>
              <w:rPr>
                <w:rFonts w:hint="eastAsia" w:ascii="宋体" w:hAnsi="宋体" w:eastAsia="宋体" w:cs="宋体"/>
                <w:lang w:val="en-US" w:eastAsia="zh-CN"/>
              </w:rPr>
              <w:t>21</w:t>
            </w:r>
            <w:r>
              <w:rPr>
                <w:rFonts w:hint="eastAsia" w:ascii="宋体" w:hAnsi="宋体" w:eastAsia="宋体" w:cs="宋体"/>
              </w:rPr>
              <w:t>）</w:t>
            </w:r>
            <w:r>
              <w:rPr>
                <w:rFonts w:hint="eastAsia" w:ascii="宋体" w:hAnsi="宋体" w:eastAsia="宋体" w:cs="宋体"/>
                <w:lang w:val="en-US" w:eastAsia="zh-CN"/>
              </w:rPr>
              <w:t>19</w:t>
            </w:r>
            <w:r>
              <w:rPr>
                <w:rFonts w:hint="eastAsia" w:ascii="宋体" w:hAnsi="宋体" w:eastAsia="宋体" w:cs="宋体"/>
              </w:rPr>
              <w:t>号）文件精神，为着力打造“三河一湖一园一区”生态文明样板工程，深入实施长江经济带“共抓大保护”建设工程，加快建设绿色江淮美好家园，重点对沿江1公里范围内化工企业加强管控，采取关、停、并、转等多种措施破解环保难题，本项目位于</w:t>
            </w:r>
            <w:r>
              <w:rPr>
                <w:rFonts w:hint="eastAsia" w:eastAsia="宋体"/>
              </w:rPr>
              <w:t>淮南市八公山区八公山镇朱岗村，</w:t>
            </w:r>
            <w:r>
              <w:rPr>
                <w:rFonts w:hint="eastAsia" w:ascii="宋体" w:hAnsi="宋体" w:eastAsia="宋体" w:cs="宋体"/>
              </w:rPr>
              <w:t>距离淮河5.2km，符合环保、安全要求，不属于重化工重污染企业。因此，项目符合《关于全面打造水清岸绿产业优美丽长江（安徽）经济带的实施意见》皖发【20</w:t>
            </w:r>
            <w:r>
              <w:rPr>
                <w:rFonts w:hint="eastAsia" w:ascii="宋体" w:hAnsi="宋体" w:eastAsia="宋体" w:cs="宋体"/>
                <w:lang w:val="en-US" w:eastAsia="zh-CN"/>
              </w:rPr>
              <w:t>21</w:t>
            </w:r>
            <w:r>
              <w:rPr>
                <w:rFonts w:hint="eastAsia" w:ascii="宋体" w:hAnsi="宋体" w:eastAsia="宋体" w:cs="宋体"/>
              </w:rPr>
              <w:t>】</w:t>
            </w:r>
            <w:r>
              <w:rPr>
                <w:rFonts w:hint="eastAsia" w:ascii="宋体" w:hAnsi="宋体" w:eastAsia="宋体" w:cs="宋体"/>
                <w:lang w:val="en-US" w:eastAsia="zh-CN"/>
              </w:rPr>
              <w:t>19</w:t>
            </w:r>
            <w:r>
              <w:rPr>
                <w:rFonts w:hint="eastAsia" w:ascii="宋体" w:hAnsi="宋体" w:eastAsia="宋体" w:cs="宋体"/>
              </w:rPr>
              <w:t>号文件。</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trHeight w:val="397" w:hRule="atLeast"/>
          <w:jc w:val="center"/>
        </w:trPr>
        <w:tc>
          <w:tcPr>
            <w:tcW w:w="1191" w:type="dxa"/>
            <w:tcBorders>
              <w:tl2br w:val="nil"/>
              <w:tr2bl w:val="nil"/>
            </w:tcBorders>
            <w:vAlign w:val="center"/>
          </w:tcPr>
          <w:p>
            <w:pPr>
              <w:jc w:val="center"/>
              <w:rPr>
                <w:rFonts w:ascii="宋体" w:eastAsia="宋体"/>
              </w:rPr>
            </w:pPr>
            <w:r>
              <w:rPr>
                <w:rFonts w:hint="eastAsia" w:ascii="宋体" w:eastAsia="宋体"/>
              </w:rPr>
              <w:t>选址合理性分析、产业政策符合性</w:t>
            </w:r>
          </w:p>
        </w:tc>
        <w:tc>
          <w:tcPr>
            <w:tcW w:w="7969" w:type="dxa"/>
            <w:tcBorders>
              <w:tl2br w:val="nil"/>
              <w:tr2bl w:val="nil"/>
            </w:tcBorders>
          </w:tcPr>
          <w:p>
            <w:pPr>
              <w:pStyle w:val="14"/>
              <w:ind w:firstLine="482"/>
            </w:pPr>
            <w:r>
              <w:rPr>
                <w:rFonts w:hint="eastAsia"/>
                <w:b/>
                <w:bCs/>
              </w:rPr>
              <w:t>一、选址合理性分析</w:t>
            </w:r>
          </w:p>
          <w:p>
            <w:pPr>
              <w:pStyle w:val="14"/>
              <w:rPr>
                <w:rFonts w:ascii="宋体" w:hAnsi="宋体" w:eastAsia="宋体" w:cs="宋体"/>
              </w:rPr>
            </w:pPr>
            <w:r>
              <w:rPr>
                <w:rFonts w:hint="eastAsia" w:ascii="宋体" w:hAnsi="宋体" w:eastAsia="宋体" w:cs="宋体"/>
              </w:rPr>
              <w:t>①规划用地可行性分析</w:t>
            </w:r>
          </w:p>
          <w:p>
            <w:pPr>
              <w:pStyle w:val="14"/>
              <w:rPr>
                <w:rFonts w:ascii="宋体" w:hAnsi="宋体" w:eastAsia="宋体" w:cs="宋体"/>
              </w:rPr>
            </w:pPr>
            <w:r>
              <w:rPr>
                <w:rFonts w:hint="eastAsia" w:eastAsia="宋体"/>
              </w:rPr>
              <w:t>该项目西侧为空地、南侧为散户、东南侧为福安老年公寓、北侧为淮南市震泽商贸有限公司，</w:t>
            </w:r>
            <w:r>
              <w:rPr>
                <w:rFonts w:hint="eastAsia" w:ascii="宋体" w:hAnsi="宋体" w:eastAsia="宋体" w:cs="宋体"/>
              </w:rPr>
              <w:t>本项目建设规模、选址、设点、布局均与周围环境相容，在采取本环评中要求的污染防治措施后，各项污染物均可达标排放，对周边环境影响很小。</w:t>
            </w:r>
          </w:p>
          <w:p>
            <w:pPr>
              <w:pStyle w:val="14"/>
              <w:rPr>
                <w:rFonts w:ascii="宋体" w:hAnsi="宋体" w:eastAsia="宋体" w:cs="宋体"/>
              </w:rPr>
            </w:pPr>
            <w:r>
              <w:rPr>
                <w:rFonts w:hint="eastAsia" w:ascii="宋体" w:hAnsi="宋体" w:eastAsia="宋体" w:cs="宋体"/>
              </w:rPr>
              <w:t>②环境相容性分析</w:t>
            </w:r>
          </w:p>
          <w:p>
            <w:pPr>
              <w:pStyle w:val="14"/>
              <w:rPr>
                <w:rFonts w:eastAsia="宋体"/>
              </w:rPr>
            </w:pPr>
            <w:r>
              <w:rPr>
                <w:rFonts w:hint="eastAsia" w:eastAsia="宋体"/>
              </w:rPr>
              <w:t>四至关系相容性分析：项目位于淮南市八公山区八公山镇朱岗村，该项目西侧为空地、南侧为散户、东南侧为福安老年公寓、北侧为淮南市震泽商贸有限公司，该区域既不涉及饮用水源保护区、自然保护区等依法设立的自然、文化保护地，也不是基本农田、基本森林、重要湿地等生态敏感与脆弱区，同时也不是具历史、文化、科学、民族意义的保护区及社会关注区。该项目污水主要是生活污水，生产废水不外排；大气污染主要是水性油墨印印刷废气、胶印印刷废气；固体废物主要是废边角料、废油墨桶、废淀粉胶水桶、废活性炭、生产清洗废水处理设施1#产生的污泥和生活垃圾等；噪声设备均采取减振、隔声措施。通过本次环评，对污染物采取一定的防治措施，污染物均达标排放，对周围环境影响较小。</w:t>
            </w:r>
          </w:p>
          <w:p>
            <w:pPr>
              <w:pStyle w:val="14"/>
              <w:rPr>
                <w:rFonts w:eastAsia="宋体"/>
              </w:rPr>
            </w:pPr>
            <w:r>
              <w:rPr>
                <w:rFonts w:hint="eastAsia" w:eastAsia="宋体"/>
              </w:rPr>
              <w:t>综上所需，外环境不会对本项目产生制约，故选址不存在外界环境制约因素，因此本项目选址合理。</w:t>
            </w:r>
          </w:p>
          <w:p>
            <w:pPr>
              <w:pStyle w:val="14"/>
              <w:ind w:firstLine="482"/>
            </w:pPr>
            <w:r>
              <w:rPr>
                <w:rFonts w:hint="eastAsia"/>
                <w:b/>
                <w:bCs/>
              </w:rPr>
              <w:t>二、产业政策符合性</w:t>
            </w:r>
          </w:p>
          <w:p>
            <w:pPr>
              <w:pStyle w:val="14"/>
              <w:rPr>
                <w:rFonts w:ascii="宋体" w:hAnsi="宋体" w:eastAsia="宋体" w:cs="宋体"/>
              </w:rPr>
            </w:pPr>
            <w:r>
              <w:rPr>
                <w:rFonts w:hint="eastAsia" w:ascii="宋体" w:hAnsi="宋体" w:eastAsia="宋体" w:cs="宋体"/>
              </w:rPr>
              <w:t>根据《国民经济行业分类》（GB/T4754-2017），本项目属于</w:t>
            </w:r>
            <w:r>
              <w:rPr>
                <w:rFonts w:hint="eastAsia" w:eastAsia="宋体" w:cstheme="minorBidi"/>
              </w:rPr>
              <w:t>纸和纸板容器制造</w:t>
            </w:r>
            <w:r>
              <w:rPr>
                <w:rFonts w:hint="eastAsia" w:ascii="宋体" w:hAnsi="宋体" w:eastAsia="宋体" w:cs="宋体"/>
              </w:rPr>
              <w:t>，行业代码为</w:t>
            </w:r>
            <w:r>
              <w:rPr>
                <w:rFonts w:hint="eastAsia" w:eastAsia="宋体" w:cstheme="minorBidi"/>
              </w:rPr>
              <w:t>C2231</w:t>
            </w:r>
            <w:r>
              <w:rPr>
                <w:rFonts w:hint="eastAsia" w:ascii="宋体" w:hAnsi="宋体" w:eastAsia="宋体" w:cs="宋体"/>
              </w:rPr>
              <w:t>。根据《产业结构调整指导目录（2019年版）》，本项目不属于淘汰类和限制类。根据《促进产业调整暂行规定》（国发[2005]40号）第十三条：《产业结构调整指导目录》由鼓励、限制和淘汰三类目录组成，不属于鼓励类、限制类和淘汰类，且符合国家相关法律、法规和政策规定的，为允许类，因此本项目属于“允许类”。因此，项目符合国家现行产业政策。</w:t>
            </w:r>
          </w:p>
          <w:p>
            <w:pPr>
              <w:pStyle w:val="14"/>
              <w:ind w:firstLine="482"/>
              <w:rPr>
                <w:rFonts w:hint="eastAsia" w:ascii="Times New Roman" w:hAnsi="Times New Roman" w:cs="Times New Roman"/>
                <w:b/>
                <w:bCs/>
              </w:rPr>
            </w:pPr>
            <w:r>
              <w:rPr>
                <w:rFonts w:hint="eastAsia" w:ascii="Times New Roman" w:hAnsi="Times New Roman" w:cs="Times New Roman"/>
                <w:b/>
                <w:bCs/>
                <w:lang w:val="en-US" w:eastAsia="zh-CN"/>
              </w:rPr>
              <w:t>三</w:t>
            </w:r>
            <w:r>
              <w:rPr>
                <w:rFonts w:hint="eastAsia" w:ascii="Times New Roman" w:hAnsi="Times New Roman" w:cs="Times New Roman"/>
                <w:b/>
                <w:bCs/>
              </w:rPr>
              <w:t>、</w:t>
            </w:r>
            <w:r>
              <w:rPr>
                <w:rFonts w:hint="eastAsia" w:ascii="Times New Roman" w:hAnsi="Times New Roman" w:cs="Times New Roman"/>
                <w:b/>
                <w:bCs/>
                <w:lang w:val="en-US" w:eastAsia="zh-CN"/>
              </w:rPr>
              <w:t>与《安徽省2021年应对气候变化和大气污染防治重点工作任务》（皖大气办〔2021〕3号）符合性分析</w:t>
            </w:r>
          </w:p>
          <w:p>
            <w:pPr>
              <w:pStyle w:val="14"/>
              <w:rPr>
                <w:rFonts w:hint="eastAsia" w:ascii="宋体" w:hAnsi="宋体" w:eastAsia="宋体" w:cs="宋体"/>
                <w:lang w:val="en-US" w:eastAsia="zh-CN"/>
              </w:rPr>
            </w:pPr>
            <w:r>
              <w:rPr>
                <w:rFonts w:hint="eastAsia" w:ascii="宋体" w:hAnsi="宋体" w:eastAsia="宋体" w:cs="宋体"/>
                <w:lang w:val="en-US" w:eastAsia="zh-CN"/>
              </w:rPr>
              <w:t>本项目为扩项项目，增加了废气处理设施，排放的废气可以满足大气污染物排放限值。因此本项目符合《安徽省2021年应对气候变化和大气污染防治重点工作任务》（皖大气办〔2021〕3号）的要求。</w:t>
            </w:r>
          </w:p>
          <w:p>
            <w:pPr>
              <w:rPr>
                <w:rFonts w:ascii="宋体" w:eastAsia="宋体"/>
              </w:rPr>
            </w:pPr>
          </w:p>
        </w:tc>
      </w:tr>
    </w:tbl>
    <w:p>
      <w:pPr>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Style w:val="3"/>
        <w:jc w:val="center"/>
        <w:rPr>
          <w:rFonts w:eastAsia="宋体"/>
        </w:rPr>
      </w:pPr>
      <w:r>
        <w:rPr>
          <w:rFonts w:hint="eastAsia" w:eastAsia="宋体"/>
        </w:rPr>
        <w:t>二</w:t>
      </w:r>
      <w:r>
        <w:rPr>
          <w:rFonts w:eastAsia="宋体"/>
        </w:rPr>
        <w:t>、</w:t>
      </w:r>
      <w:r>
        <w:rPr>
          <w:rFonts w:hint="eastAsia" w:eastAsia="宋体"/>
        </w:rPr>
        <w:t>建设项目工程分析</w:t>
      </w:r>
    </w:p>
    <w:tbl>
      <w:tblPr>
        <w:tblStyle w:val="26"/>
        <w:tblW w:w="9288"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44"/>
        <w:gridCol w:w="844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1481" w:hRule="atLeast"/>
        </w:trPr>
        <w:tc>
          <w:tcPr>
            <w:tcW w:w="844" w:type="dxa"/>
            <w:tcBorders>
              <w:tl2br w:val="nil"/>
              <w:tr2bl w:val="nil"/>
            </w:tcBorders>
            <w:vAlign w:val="center"/>
          </w:tcPr>
          <w:p>
            <w:pPr>
              <w:jc w:val="center"/>
              <w:rPr>
                <w:rFonts w:ascii="Times New Roman" w:hAnsi="Times New Roman"/>
              </w:rPr>
            </w:pPr>
            <w:r>
              <w:rPr>
                <w:rFonts w:hint="eastAsia" w:ascii="宋体" w:eastAsia="宋体"/>
              </w:rPr>
              <w:t>建设内容</w:t>
            </w:r>
          </w:p>
        </w:tc>
        <w:tc>
          <w:tcPr>
            <w:tcW w:w="8444" w:type="dxa"/>
            <w:tcBorders>
              <w:tl2br w:val="nil"/>
              <w:tr2bl w:val="nil"/>
            </w:tcBorders>
          </w:tcPr>
          <w:p>
            <w:pPr>
              <w:spacing w:line="360" w:lineRule="auto"/>
              <w:ind w:firstLine="480" w:firstLineChars="200"/>
              <w:rPr>
                <w:rFonts w:ascii="黑体" w:hAnsi="黑体" w:eastAsia="黑体" w:cs="黑体"/>
                <w:sz w:val="24"/>
              </w:rPr>
            </w:pPr>
            <w:r>
              <w:rPr>
                <w:rFonts w:hint="eastAsia" w:ascii="黑体" w:hAnsi="黑体" w:eastAsia="黑体" w:cs="黑体"/>
                <w:sz w:val="24"/>
              </w:rPr>
              <w:t>一、建设项目工程概况</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.1</w:t>
            </w:r>
            <w:r>
              <w:rPr>
                <w:rFonts w:hint="eastAsia" w:ascii="Times New Roman" w:hAnsi="Times New Roman" w:eastAsia="宋体" w:cs="Times New Roman"/>
                <w:sz w:val="24"/>
              </w:rPr>
              <w:t>项目</w:t>
            </w:r>
            <w:r>
              <w:rPr>
                <w:rFonts w:ascii="Times New Roman" w:hAnsi="Times New Roman" w:eastAsia="宋体" w:cs="Times New Roman"/>
                <w:sz w:val="24"/>
              </w:rPr>
              <w:t>名称、性质、规模</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项目名称：</w:t>
            </w:r>
            <w:r>
              <w:rPr>
                <w:rFonts w:hint="eastAsia" w:ascii="Times New Roman" w:hAnsi="Times New Roman" w:eastAsia="宋体" w:cs="Times New Roman"/>
                <w:sz w:val="24"/>
              </w:rPr>
              <w:t>晨阳塑料纸箱二次扩建项目</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建设单位：</w:t>
            </w:r>
            <w:r>
              <w:rPr>
                <w:rFonts w:hint="eastAsia" w:ascii="Times New Roman" w:hAnsi="Times New Roman" w:eastAsia="宋体" w:cs="Times New Roman"/>
                <w:sz w:val="24"/>
              </w:rPr>
              <w:t>淮南市晨阳塑料有限公司</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建设性质：</w:t>
            </w:r>
            <w:r>
              <w:rPr>
                <w:rFonts w:hint="eastAsia" w:ascii="Times New Roman" w:hAnsi="Times New Roman" w:eastAsia="宋体" w:cs="Times New Roman"/>
                <w:sz w:val="24"/>
              </w:rPr>
              <w:t>扩建</w:t>
            </w:r>
          </w:p>
          <w:p>
            <w:pPr>
              <w:pStyle w:val="108"/>
              <w:ind w:firstLine="480"/>
            </w:pPr>
            <w:r>
              <w:rPr>
                <w:rFonts w:hint="eastAsia" w:ascii="Times New Roman" w:hAnsi="Times New Roman" w:eastAsia="宋体" w:cs="Times New Roman"/>
              </w:rPr>
              <w:t>项目由来：</w:t>
            </w:r>
            <w:r>
              <w:rPr>
                <w:rFonts w:hint="eastAsia"/>
              </w:rPr>
              <w:t>淮南市晨阳塑料有限公司，成立于2005年，地址位于淮南市八公山区八公山镇朱岗村，企业2008年委托淮南市环境科学研究所编制了《淮南市晨阳塑料有限公司年产2000万条水泥包装袋项目环境影响报告表》，于2009年5月15日经淮南市环境保护局审批通过，审批后形成年产2000万条水泥包装袋的生产规模。企业于2015年8月通过淮南市环境保护监测站验收（淮环监验字【2015】第11号）。</w:t>
            </w:r>
          </w:p>
          <w:p>
            <w:pPr>
              <w:pStyle w:val="108"/>
              <w:ind w:firstLine="480"/>
            </w:pPr>
            <w:r>
              <w:rPr>
                <w:rFonts w:hint="eastAsia"/>
              </w:rPr>
              <w:t>为更好的满足市场需求，现企业投资1020万元。对现有厂房进行二次扩建，新增一条生产高端印刷包装瓦楞纸箱和彩箱生产线。项目扩建后，年产1500万只高端印刷包装瓦楞纸箱和彩箱。</w:t>
            </w:r>
          </w:p>
          <w:p>
            <w:pPr>
              <w:pStyle w:val="108"/>
              <w:ind w:firstLine="480"/>
            </w:pPr>
            <w:r>
              <w:t>本项目为</w:t>
            </w:r>
            <w:r>
              <w:rPr>
                <w:rFonts w:hint="eastAsia"/>
              </w:rPr>
              <w:t>纸制品制造</w:t>
            </w:r>
            <w:r>
              <w:t>项目。</w:t>
            </w:r>
            <w:r>
              <w:rPr>
                <w:rFonts w:hint="eastAsia"/>
              </w:rPr>
              <w:t>根据</w:t>
            </w:r>
            <w:r>
              <w:t>201</w:t>
            </w:r>
            <w:r>
              <w:rPr>
                <w:rFonts w:hint="eastAsia"/>
              </w:rPr>
              <w:t>9</w:t>
            </w:r>
            <w:r>
              <w:t>年</w:t>
            </w:r>
            <w:r>
              <w:rPr>
                <w:rFonts w:hint="eastAsia"/>
              </w:rPr>
              <w:t>8</w:t>
            </w:r>
            <w:r>
              <w:t>月27日国家发展改革委第</w:t>
            </w:r>
            <w:r>
              <w:rPr>
                <w:rFonts w:hint="eastAsia"/>
              </w:rPr>
              <w:t>2次委务会议审议通过的</w:t>
            </w:r>
            <w:r>
              <w:t>《产业结构调整指导目录（201</w:t>
            </w:r>
            <w:r>
              <w:rPr>
                <w:rFonts w:hint="eastAsia"/>
              </w:rPr>
              <w:t>9</w:t>
            </w:r>
            <w:r>
              <w:t>年本）》，本项目生产产品不属于其中的鼓励类、限制类和淘汰类规定的范围。根据国务院关于发布实施《促进产业结构调整暂行规定》的决定（国发【2005】40号）第十三条规定：不属于鼓励类、限制类和淘汰类，且符合国家有关法律、法规和政策规定的，为允许类。同时，淮南市</w:t>
            </w:r>
            <w:r>
              <w:rPr>
                <w:rFonts w:hint="eastAsia"/>
              </w:rPr>
              <w:t>八公山区科技经济信息化局</w:t>
            </w:r>
            <w:r>
              <w:t>于2019年</w:t>
            </w:r>
            <w:r>
              <w:rPr>
                <w:rFonts w:hint="eastAsia"/>
              </w:rPr>
              <w:t>11</w:t>
            </w:r>
            <w:r>
              <w:t>月</w:t>
            </w:r>
            <w:r>
              <w:rPr>
                <w:rFonts w:hint="eastAsia"/>
              </w:rPr>
              <w:t>1</w:t>
            </w:r>
            <w:r>
              <w:t>日对本项目进行备案，项目编码为</w:t>
            </w:r>
            <w:r>
              <w:rPr>
                <w:rFonts w:hint="eastAsia"/>
              </w:rPr>
              <w:t>2019-340405-22-03-028642</w:t>
            </w:r>
            <w:r>
              <w:t>，备案见附件2，建设项目地理位置图见附图1。因此，项目的建设符合国家现行产业政策。</w:t>
            </w:r>
          </w:p>
          <w:p>
            <w:pPr>
              <w:pStyle w:val="108"/>
              <w:ind w:firstLine="480"/>
              <w:rPr>
                <w:rFonts w:ascii="Times New Roman"/>
              </w:rPr>
            </w:pPr>
            <w:r>
              <w:t>根据《中华人民共和国环境保护法》、《中华人民共和国环境影响评价法》</w:t>
            </w:r>
            <w:r>
              <w:rPr>
                <w:rFonts w:hint="eastAsia"/>
              </w:rPr>
              <w:t>中华人民共和国环境影响评价法》、《建设项目环境保护管理条例》（国令第682号）、《建设项目环境影响评价分类管理名录》（2021年版）等法规文件。</w:t>
            </w:r>
            <w:r>
              <w:t>本项目属于“</w:t>
            </w:r>
            <w:r>
              <w:rPr>
                <w:rFonts w:hint="eastAsia" w:ascii="Times New Roman" w:hAnsi="Times New Roman" w:eastAsia="宋体"/>
              </w:rPr>
              <w:t>十九、造纸和纸制品业，38 纸制品制造 223，有涂布、浸渍、印刷、粘胶工艺的</w:t>
            </w:r>
            <w:r>
              <w:t>”，需要编制环境影响报告表。由环境影响评价持证单位编制项目环境影响报告表。受</w:t>
            </w:r>
            <w:r>
              <w:rPr>
                <w:rFonts w:hint="eastAsia"/>
              </w:rPr>
              <w:t>淮南市晨阳塑料有限公司</w:t>
            </w:r>
            <w:r>
              <w:t>的委托，</w:t>
            </w:r>
            <w:r>
              <w:rPr>
                <w:rFonts w:hint="eastAsia"/>
              </w:rPr>
              <w:t>本</w:t>
            </w:r>
            <w:r>
              <w:t>公司接受委托后，立即开展了现场调查、资料收集工作，对项目环境现状和可能造成的环境影响进行分析后，依照环境影响评价技术导则的要求编制了环境影响报告表。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建设地点：</w:t>
            </w:r>
            <w:r>
              <w:rPr>
                <w:rFonts w:hint="eastAsia" w:ascii="Times New Roman" w:hAnsi="Times New Roman" w:eastAsia="宋体" w:cs="Times New Roman"/>
                <w:sz w:val="24"/>
              </w:rPr>
              <w:t>该项目西侧为</w:t>
            </w:r>
            <w:r>
              <w:rPr>
                <w:rFonts w:hint="eastAsia" w:eastAsia="宋体" w:cs="Times New Roman"/>
                <w:sz w:val="24"/>
              </w:rPr>
              <w:t>空地</w:t>
            </w:r>
            <w:r>
              <w:rPr>
                <w:rFonts w:hint="eastAsia" w:ascii="Times New Roman" w:hAnsi="Times New Roman" w:eastAsia="宋体" w:cs="Times New Roman"/>
                <w:sz w:val="24"/>
              </w:rPr>
              <w:t>、南侧</w:t>
            </w:r>
            <w:r>
              <w:rPr>
                <w:rFonts w:hint="eastAsia" w:eastAsia="宋体" w:cs="Times New Roman"/>
                <w:sz w:val="24"/>
              </w:rPr>
              <w:t>为散户</w:t>
            </w:r>
            <w:r>
              <w:rPr>
                <w:rFonts w:hint="eastAsia" w:ascii="Times New Roman" w:hAnsi="Times New Roman" w:eastAsia="宋体" w:cs="Times New Roman"/>
                <w:sz w:val="24"/>
              </w:rPr>
              <w:t>、东</w:t>
            </w:r>
            <w:r>
              <w:rPr>
                <w:rFonts w:hint="eastAsia" w:eastAsia="宋体" w:cs="Times New Roman"/>
                <w:sz w:val="24"/>
              </w:rPr>
              <w:t>南</w:t>
            </w:r>
            <w:r>
              <w:rPr>
                <w:rFonts w:hint="eastAsia" w:ascii="Times New Roman" w:hAnsi="Times New Roman" w:eastAsia="宋体" w:cs="Times New Roman"/>
                <w:sz w:val="24"/>
              </w:rPr>
              <w:t>侧</w:t>
            </w:r>
            <w:r>
              <w:rPr>
                <w:rFonts w:hint="eastAsia" w:eastAsia="宋体" w:cs="Times New Roman"/>
                <w:sz w:val="24"/>
              </w:rPr>
              <w:t>为福安老年公寓、</w:t>
            </w:r>
            <w:r>
              <w:rPr>
                <w:rFonts w:hint="eastAsia" w:ascii="Times New Roman" w:hAnsi="Times New Roman" w:eastAsia="宋体" w:cs="Times New Roman"/>
                <w:sz w:val="24"/>
              </w:rPr>
              <w:t>北侧为</w:t>
            </w:r>
            <w:r>
              <w:rPr>
                <w:rFonts w:hint="eastAsia" w:eastAsia="宋体" w:cs="Times New Roman"/>
                <w:sz w:val="24"/>
              </w:rPr>
              <w:t>淮南市震泽商贸有限公司</w:t>
            </w:r>
            <w:r>
              <w:rPr>
                <w:rFonts w:hint="eastAsia" w:ascii="Times New Roman" w:hAnsi="Times New Roman" w:eastAsia="宋体" w:cs="Times New Roman"/>
                <w:sz w:val="24"/>
              </w:rPr>
              <w:t>，</w:t>
            </w:r>
            <w:r>
              <w:rPr>
                <w:rFonts w:ascii="Times New Roman" w:hAnsi="Times New Roman" w:eastAsia="宋体" w:cs="Times New Roman"/>
                <w:sz w:val="24"/>
              </w:rPr>
              <w:t>项目地理位置见附图1；</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总投资：</w:t>
            </w:r>
            <w:r>
              <w:rPr>
                <w:rFonts w:hint="eastAsia" w:ascii="Times New Roman" w:hAnsi="Times New Roman" w:eastAsia="宋体"/>
                <w:sz w:val="24"/>
              </w:rPr>
              <w:t>1020</w:t>
            </w:r>
            <w:r>
              <w:rPr>
                <w:rFonts w:ascii="Times New Roman" w:hAnsi="Times New Roman" w:eastAsia="宋体" w:cs="Times New Roman"/>
                <w:sz w:val="24"/>
              </w:rPr>
              <w:t>万</w:t>
            </w:r>
            <w:r>
              <w:rPr>
                <w:rFonts w:hint="eastAsia" w:ascii="Times New Roman" w:hAnsi="Times New Roman" w:eastAsia="宋体" w:cs="Times New Roman"/>
                <w:sz w:val="24"/>
              </w:rPr>
              <w:t>元</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1.2建设</w:t>
            </w:r>
            <w:r>
              <w:rPr>
                <w:rFonts w:ascii="Times New Roman" w:hAnsi="Times New Roman" w:eastAsia="宋体" w:cs="Times New Roman"/>
                <w:sz w:val="24"/>
              </w:rPr>
              <w:t>项目组成</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原有项目利用原金属镁厂厂房，引进一条编织袋生产线，生产规模为年产2000万条水泥包装袋；</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w:t>
            </w:r>
            <w:r>
              <w:rPr>
                <w:rFonts w:hint="eastAsia" w:ascii="Times New Roman" w:hAnsi="Times New Roman" w:eastAsia="宋体" w:cs="Times New Roman"/>
                <w:sz w:val="24"/>
              </w:rPr>
              <w:t>利用现有</w:t>
            </w:r>
            <w:r>
              <w:rPr>
                <w:rFonts w:ascii="Times New Roman" w:hAnsi="Times New Roman" w:eastAsia="宋体" w:cs="Times New Roman"/>
                <w:sz w:val="24"/>
              </w:rPr>
              <w:t>厂房组织经营，</w:t>
            </w:r>
            <w:r>
              <w:rPr>
                <w:rFonts w:hint="eastAsia" w:ascii="Times New Roman" w:hAnsi="Times New Roman" w:eastAsia="宋体" w:cs="Times New Roman"/>
                <w:sz w:val="24"/>
              </w:rPr>
              <w:t>总</w:t>
            </w:r>
            <w:r>
              <w:rPr>
                <w:rFonts w:ascii="Times New Roman" w:hAnsi="Times New Roman" w:eastAsia="宋体" w:cs="Times New Roman"/>
                <w:sz w:val="24"/>
              </w:rPr>
              <w:t>建筑面积为</w:t>
            </w:r>
            <w:r>
              <w:rPr>
                <w:rFonts w:hint="eastAsia" w:ascii="Times New Roman" w:hAnsi="Times New Roman" w:eastAsia="宋体" w:cs="Times New Roman"/>
                <w:sz w:val="24"/>
              </w:rPr>
              <w:t>3051</w:t>
            </w:r>
            <w:r>
              <w:rPr>
                <w:rFonts w:ascii="Times New Roman" w:hAnsi="Times New Roman" w:eastAsia="宋体" w:cs="Times New Roman"/>
                <w:sz w:val="24"/>
              </w:rPr>
              <w:t>m</w:t>
            </w:r>
            <w:r>
              <w:rPr>
                <w:rFonts w:ascii="Times New Roman" w:hAnsi="Times New Roman" w:eastAsia="宋体" w:cs="Times New Roman"/>
                <w:sz w:val="24"/>
                <w:vertAlign w:val="superscript"/>
              </w:rPr>
              <w:t>2</w:t>
            </w:r>
            <w:r>
              <w:rPr>
                <w:rFonts w:ascii="Times New Roman" w:hAnsi="Times New Roman" w:eastAsia="宋体" w:cs="Times New Roman"/>
                <w:sz w:val="24"/>
              </w:rPr>
              <w:t>，</w:t>
            </w:r>
            <w:r>
              <w:rPr>
                <w:rFonts w:hint="eastAsia" w:ascii="Times New Roman" w:hAnsi="Times New Roman" w:eastAsia="宋体" w:cs="Times New Roman"/>
                <w:sz w:val="24"/>
              </w:rPr>
              <w:t>生产高端印刷包装瓦楞纸箱和彩箱</w:t>
            </w:r>
            <w:r>
              <w:rPr>
                <w:rFonts w:ascii="Times New Roman" w:hAnsi="Times New Roman" w:eastAsia="宋体" w:cs="Times New Roman"/>
                <w:sz w:val="24"/>
              </w:rPr>
              <w:t>。</w:t>
            </w:r>
            <w:r>
              <w:rPr>
                <w:rFonts w:hint="eastAsia" w:ascii="Times New Roman" w:hAnsi="Times New Roman" w:eastAsia="宋体" w:cs="Times New Roman"/>
                <w:sz w:val="24"/>
              </w:rPr>
              <w:t>项目平面布局图见附图2；</w:t>
            </w:r>
            <w:r>
              <w:rPr>
                <w:rFonts w:ascii="Times New Roman" w:hAnsi="Times New Roman" w:eastAsia="宋体" w:cs="Times New Roman"/>
                <w:sz w:val="24"/>
              </w:rPr>
              <w:t>项目主要工程内容见表</w:t>
            </w:r>
            <w:r>
              <w:rPr>
                <w:rFonts w:hint="eastAsia" w:ascii="Times New Roman" w:hAnsi="Times New Roman" w:eastAsia="宋体" w:cs="Times New Roman"/>
                <w:sz w:val="24"/>
              </w:rPr>
              <w:t>2</w:t>
            </w:r>
            <w:r>
              <w:rPr>
                <w:rFonts w:ascii="Times New Roman" w:hAnsi="Times New Roman" w:eastAsia="宋体" w:cs="Times New Roman"/>
                <w:sz w:val="24"/>
              </w:rPr>
              <w:t>-1。</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项目主要工程内容见表</w:t>
            </w:r>
            <w:r>
              <w:rPr>
                <w:rFonts w:hint="eastAsia" w:ascii="Times New Roman" w:hAnsi="Times New Roman" w:eastAsia="宋体" w:cs="Times New Roman"/>
                <w:sz w:val="24"/>
              </w:rPr>
              <w:t>2</w:t>
            </w:r>
            <w:r>
              <w:rPr>
                <w:rFonts w:ascii="Times New Roman" w:hAnsi="Times New Roman" w:eastAsia="宋体" w:cs="Times New Roman"/>
                <w:sz w:val="24"/>
              </w:rPr>
              <w:t>-</w:t>
            </w:r>
            <w:r>
              <w:rPr>
                <w:rFonts w:hint="eastAsia" w:ascii="Times New Roman" w:hAnsi="Times New Roman" w:eastAsia="宋体" w:cs="Times New Roman"/>
                <w:sz w:val="24"/>
              </w:rPr>
              <w:t>1</w:t>
            </w:r>
            <w:r>
              <w:rPr>
                <w:rFonts w:ascii="Times New Roman" w:hAnsi="Times New Roman" w:eastAsia="宋体" w:cs="Times New Roman"/>
                <w:sz w:val="24"/>
              </w:rPr>
              <w:t>。</w:t>
            </w:r>
          </w:p>
          <w:p>
            <w:pPr>
              <w:pStyle w:val="40"/>
              <w:rPr>
                <w:rFonts w:ascii="黑体" w:hAnsi="黑体" w:eastAsia="黑体" w:cs="黑体"/>
                <w:b w:val="0"/>
                <w:bCs/>
                <w:sz w:val="24"/>
              </w:rPr>
            </w:pPr>
            <w:r>
              <w:rPr>
                <w:rFonts w:hint="eastAsia" w:ascii="黑体" w:hAnsi="黑体" w:eastAsia="黑体" w:cs="黑体"/>
                <w:b w:val="0"/>
                <w:bCs/>
                <w:sz w:val="24"/>
              </w:rPr>
              <w:t>表2-1项目组成及主要环境问题一览表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953"/>
              <w:gridCol w:w="2904"/>
              <w:gridCol w:w="2904"/>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类别</w:t>
                  </w: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工程名称</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原有项目工程内容及工程规模</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本项目工程内容及规模</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主体工程</w:t>
                  </w: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生产车间</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原有3个生产车间，新建缝纫车间，建筑面积3200</w:t>
                  </w:r>
                  <w:r>
                    <w:rPr>
                      <w:rFonts w:hint="eastAsia" w:ascii="宋体" w:hAnsi="宋体" w:eastAsia="宋体" w:cs="宋体"/>
                      <w:sz w:val="21"/>
                      <w:szCs w:val="21"/>
                      <w:lang w:val="zh-CN"/>
                    </w:rPr>
                    <w:t>m</w:t>
                  </w:r>
                  <w:r>
                    <w:rPr>
                      <w:rFonts w:hint="eastAsia" w:ascii="宋体" w:hAnsi="宋体" w:eastAsia="宋体" w:cs="宋体"/>
                      <w:sz w:val="21"/>
                      <w:szCs w:val="21"/>
                      <w:vertAlign w:val="superscript"/>
                      <w:lang w:val="zh-CN"/>
                    </w:rPr>
                    <w:t>2</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建设高端印刷包装瓦楞纸箱和彩箱生产线一条，建筑面积1400</w:t>
                  </w:r>
                  <w:r>
                    <w:rPr>
                      <w:rFonts w:hint="eastAsia" w:ascii="宋体" w:hAnsi="宋体" w:eastAsia="宋体" w:cs="宋体"/>
                      <w:sz w:val="21"/>
                      <w:szCs w:val="21"/>
                      <w:lang w:val="zh-CN"/>
                    </w:rPr>
                    <w:t>m</w:t>
                  </w:r>
                  <w:r>
                    <w:rPr>
                      <w:rFonts w:hint="eastAsia" w:ascii="宋体" w:hAnsi="宋体" w:eastAsia="宋体" w:cs="宋体"/>
                      <w:sz w:val="21"/>
                      <w:szCs w:val="21"/>
                      <w:vertAlign w:val="superscript"/>
                      <w:lang w:val="zh-CN"/>
                    </w:rPr>
                    <w:t>2</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vMerge w:val="restart"/>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辅助工程</w:t>
                  </w: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办公室</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原有厂区内二层办公室，建筑面积200</w:t>
                  </w:r>
                  <w:r>
                    <w:rPr>
                      <w:rFonts w:hint="eastAsia" w:ascii="宋体" w:hAnsi="宋体" w:eastAsia="宋体" w:cs="宋体"/>
                      <w:sz w:val="21"/>
                      <w:szCs w:val="21"/>
                      <w:lang w:val="zh-CN"/>
                    </w:rPr>
                    <w:t>m</w:t>
                  </w:r>
                  <w:r>
                    <w:rPr>
                      <w:rFonts w:hint="eastAsia" w:ascii="宋体" w:hAnsi="宋体" w:eastAsia="宋体" w:cs="宋体"/>
                      <w:sz w:val="21"/>
                      <w:szCs w:val="21"/>
                      <w:vertAlign w:val="superscript"/>
                      <w:lang w:val="zh-CN"/>
                    </w:rPr>
                    <w:t>2</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建筑面积81</w:t>
                  </w:r>
                  <w:r>
                    <w:rPr>
                      <w:rFonts w:hint="eastAsia" w:ascii="宋体" w:hAnsi="宋体" w:eastAsia="宋体" w:cs="宋体"/>
                      <w:sz w:val="21"/>
                      <w:szCs w:val="21"/>
                      <w:lang w:val="zh-CN"/>
                    </w:rPr>
                    <w:t>m</w:t>
                  </w:r>
                  <w:r>
                    <w:rPr>
                      <w:rFonts w:hint="eastAsia" w:ascii="宋体" w:hAnsi="宋体" w:eastAsia="宋体" w:cs="宋体"/>
                      <w:sz w:val="21"/>
                      <w:szCs w:val="21"/>
                      <w:vertAlign w:val="superscript"/>
                      <w:lang w:val="zh-CN"/>
                    </w:rPr>
                    <w:t>2</w:t>
                  </w:r>
                  <w:r>
                    <w:rPr>
                      <w:rFonts w:hint="eastAsia" w:ascii="宋体" w:hAnsi="宋体" w:eastAsia="宋体" w:cs="宋体"/>
                      <w:sz w:val="21"/>
                      <w:szCs w:val="21"/>
                    </w:rPr>
                    <w:t>；供员工办公临时办公使用。</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vMerge w:val="continue"/>
                  <w:tcBorders>
                    <w:tl2br w:val="nil"/>
                    <w:tr2bl w:val="nil"/>
                  </w:tcBorders>
                  <w:vAlign w:val="center"/>
                </w:tcPr>
                <w:p>
                  <w:pPr>
                    <w:pStyle w:val="109"/>
                    <w:rPr>
                      <w:rFonts w:ascii="宋体" w:hAnsi="宋体" w:eastAsia="宋体" w:cs="宋体"/>
                      <w:sz w:val="21"/>
                      <w:szCs w:val="21"/>
                    </w:rPr>
                  </w:pP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配件仓库</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建筑面积70</w:t>
                  </w:r>
                  <w:r>
                    <w:rPr>
                      <w:rFonts w:hint="eastAsia" w:ascii="宋体" w:hAnsi="宋体" w:eastAsia="宋体" w:cs="宋体"/>
                      <w:sz w:val="21"/>
                      <w:szCs w:val="21"/>
                      <w:lang w:val="zh-CN"/>
                    </w:rPr>
                    <w:t>m</w:t>
                  </w:r>
                  <w:r>
                    <w:rPr>
                      <w:rFonts w:hint="eastAsia" w:ascii="宋体" w:hAnsi="宋体" w:eastAsia="宋体" w:cs="宋体"/>
                      <w:sz w:val="21"/>
                      <w:szCs w:val="21"/>
                      <w:vertAlign w:val="superscript"/>
                      <w:lang w:val="zh-CN"/>
                    </w:rPr>
                    <w:t>2</w:t>
                  </w:r>
                  <w:r>
                    <w:rPr>
                      <w:rFonts w:hint="eastAsia" w:ascii="宋体" w:hAnsi="宋体" w:eastAsia="宋体" w:cs="宋体"/>
                      <w:sz w:val="21"/>
                      <w:szCs w:val="21"/>
                    </w:rPr>
                    <w:t>；机械维修配件等的贮存</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储运工程</w:t>
                  </w: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成品仓库区</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利用原厂区内原料、零配件及成品仓库，建筑面积400</w:t>
                  </w:r>
                  <w:r>
                    <w:rPr>
                      <w:rFonts w:hint="eastAsia" w:ascii="宋体" w:hAnsi="宋体" w:eastAsia="宋体" w:cs="宋体"/>
                      <w:sz w:val="21"/>
                      <w:szCs w:val="21"/>
                      <w:lang w:val="zh-CN"/>
                    </w:rPr>
                    <w:t>m</w:t>
                  </w:r>
                  <w:r>
                    <w:rPr>
                      <w:rFonts w:hint="eastAsia" w:ascii="宋体" w:hAnsi="宋体" w:eastAsia="宋体" w:cs="宋体"/>
                      <w:sz w:val="21"/>
                      <w:szCs w:val="21"/>
                      <w:vertAlign w:val="superscript"/>
                      <w:lang w:val="zh-CN"/>
                    </w:rPr>
                    <w:t>2</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主要用于纸箱成品的堆放，建筑面积1500</w:t>
                  </w:r>
                  <w:r>
                    <w:rPr>
                      <w:rFonts w:hint="eastAsia" w:ascii="宋体" w:hAnsi="宋体" w:eastAsia="宋体" w:cs="宋体"/>
                      <w:sz w:val="21"/>
                      <w:szCs w:val="21"/>
                      <w:lang w:val="zh-CN"/>
                    </w:rPr>
                    <w:t>m</w:t>
                  </w:r>
                  <w:r>
                    <w:rPr>
                      <w:rFonts w:hint="eastAsia" w:ascii="宋体" w:hAnsi="宋体" w:eastAsia="宋体" w:cs="宋体"/>
                      <w:sz w:val="21"/>
                      <w:szCs w:val="21"/>
                      <w:vertAlign w:val="superscript"/>
                      <w:lang w:val="zh-CN"/>
                    </w:rPr>
                    <w:t>2</w:t>
                  </w:r>
                  <w:r>
                    <w:rPr>
                      <w:rFonts w:hint="eastAsia" w:ascii="宋体" w:hAnsi="宋体" w:eastAsia="宋体" w:cs="宋体"/>
                      <w:sz w:val="21"/>
                      <w:szCs w:val="21"/>
                      <w:lang w:val="zh-CN"/>
                    </w:rPr>
                    <w:t>。</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vMerge w:val="restart"/>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公用工程</w:t>
                  </w: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给排水</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西城水务公司供给，铺设供水管道</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供水来自淮南市市政供水管网；排水实行雨污分流制，主要为生活污水，生活污水经化粪池预处理后由附近居民定期清掏。</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vMerge w:val="continue"/>
                  <w:tcBorders>
                    <w:tl2br w:val="nil"/>
                    <w:tr2bl w:val="nil"/>
                  </w:tcBorders>
                  <w:vAlign w:val="center"/>
                </w:tcPr>
                <w:p>
                  <w:pPr>
                    <w:pStyle w:val="109"/>
                    <w:rPr>
                      <w:rFonts w:ascii="宋体" w:hAnsi="宋体" w:eastAsia="宋体" w:cs="宋体"/>
                      <w:sz w:val="21"/>
                      <w:szCs w:val="21"/>
                    </w:rPr>
                  </w:pP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供电</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变压器1台，315KV（A）</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市政管网供电，厂区设有配电房</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vMerge w:val="restart"/>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环保工程</w:t>
                  </w: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废水治理</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生产废水：热熔冷却工艺过程中的冷却水，全部循环使用，不外排，生活污水用于农田施肥及浇灌</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雨、污分流系统，生产废水：①制胶用水进入产品中不外排，②水墨印刷机清洗用水经自建的废水处理设施1#处理后回用于印刷机清洗；生活污水经化粪池预处理后由附近居民定期清掏</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vMerge w:val="continue"/>
                  <w:tcBorders>
                    <w:tl2br w:val="nil"/>
                    <w:tr2bl w:val="nil"/>
                  </w:tcBorders>
                  <w:vAlign w:val="center"/>
                </w:tcPr>
                <w:p>
                  <w:pPr>
                    <w:pStyle w:val="109"/>
                    <w:rPr>
                      <w:rFonts w:ascii="宋体" w:hAnsi="宋体" w:eastAsia="宋体" w:cs="宋体"/>
                      <w:sz w:val="21"/>
                      <w:szCs w:val="21"/>
                    </w:rPr>
                  </w:pP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废气治理</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安装吸气罩、通风换气扇等</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废气由集气罩收集经活性炭吸附处理设备处理后经15m排气筒（P1）排放；</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vMerge w:val="continue"/>
                  <w:tcBorders>
                    <w:tl2br w:val="nil"/>
                    <w:tr2bl w:val="nil"/>
                  </w:tcBorders>
                  <w:vAlign w:val="center"/>
                </w:tcPr>
                <w:p>
                  <w:pPr>
                    <w:pStyle w:val="109"/>
                    <w:rPr>
                      <w:rFonts w:ascii="宋体" w:hAnsi="宋体" w:eastAsia="宋体" w:cs="宋体"/>
                      <w:sz w:val="21"/>
                      <w:szCs w:val="21"/>
                    </w:rPr>
                  </w:pP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噪声治理</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隔声、减震措施</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隔声、减震措施</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3" w:type="dxa"/>
                  <w:vMerge w:val="continue"/>
                  <w:tcBorders>
                    <w:tl2br w:val="nil"/>
                    <w:tr2bl w:val="nil"/>
                  </w:tcBorders>
                  <w:vAlign w:val="center"/>
                </w:tcPr>
                <w:p>
                  <w:pPr>
                    <w:pStyle w:val="109"/>
                    <w:rPr>
                      <w:rFonts w:ascii="宋体" w:hAnsi="宋体" w:eastAsia="宋体" w:cs="宋体"/>
                      <w:sz w:val="21"/>
                      <w:szCs w:val="21"/>
                    </w:rPr>
                  </w:pPr>
                </w:p>
              </w:tc>
              <w:tc>
                <w:tcPr>
                  <w:tcW w:w="1317"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固废治理</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危废间面积为30㎡，定期委托有资质单位处置。</w:t>
                  </w:r>
                </w:p>
              </w:tc>
              <w:tc>
                <w:tcPr>
                  <w:tcW w:w="4259"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生活垃圾由环卫部门清运；边角料、废油墨桶、废淀粉胶水桶、废擦拭抹布属于一般固废，收集后综合利用或者外卖；废活性炭、生产清洗废水处理设施1#产生的污泥属于危险废物。利用原有危废暂存间暂存，危废间面积为30㎡，定期委托有资质单位处置。</w:t>
                  </w:r>
                </w:p>
              </w:tc>
              <w:tc>
                <w:tcPr>
                  <w:tcW w:w="855" w:type="dxa"/>
                  <w:tcBorders>
                    <w:tl2br w:val="nil"/>
                    <w:tr2bl w:val="nil"/>
                  </w:tcBorders>
                  <w:vAlign w:val="center"/>
                </w:tcPr>
                <w:p>
                  <w:pPr>
                    <w:pStyle w:val="109"/>
                    <w:rPr>
                      <w:rFonts w:ascii="宋体" w:hAnsi="宋体" w:eastAsia="宋体" w:cs="宋体"/>
                      <w:sz w:val="21"/>
                      <w:szCs w:val="21"/>
                    </w:rPr>
                  </w:pPr>
                  <w:r>
                    <w:rPr>
                      <w:rFonts w:hint="eastAsia" w:ascii="宋体" w:hAnsi="宋体" w:eastAsia="宋体" w:cs="宋体"/>
                      <w:sz w:val="21"/>
                      <w:szCs w:val="21"/>
                    </w:rPr>
                    <w:t>危废间依托原有</w:t>
                  </w:r>
                </w:p>
              </w:tc>
            </w:tr>
          </w:tbl>
          <w:p>
            <w:pPr>
              <w:pStyle w:val="20"/>
              <w:ind w:firstLine="480"/>
              <w:rPr>
                <w:rFonts w:ascii="黑体" w:hAnsi="黑体" w:eastAsia="黑体" w:cs="黑体"/>
                <w:b w:val="0"/>
                <w:bCs/>
              </w:rPr>
            </w:pPr>
            <w:r>
              <w:rPr>
                <w:rFonts w:hint="eastAsia" w:ascii="黑体" w:hAnsi="黑体" w:eastAsia="黑体" w:cs="黑体"/>
                <w:b w:val="0"/>
                <w:bCs/>
              </w:rPr>
              <w:t>二、产品方案</w:t>
            </w:r>
          </w:p>
          <w:p>
            <w:pPr>
              <w:pStyle w:val="40"/>
              <w:spacing w:line="240" w:lineRule="auto"/>
              <w:rPr>
                <w:rFonts w:eastAsia="黑体"/>
              </w:rPr>
            </w:pPr>
            <w:r>
              <w:rPr>
                <w:rFonts w:hint="eastAsia" w:ascii="黑体" w:hAnsi="黑体" w:eastAsia="黑体" w:cs="黑体"/>
                <w:b w:val="0"/>
                <w:bCs/>
                <w:sz w:val="24"/>
              </w:rPr>
              <w:t>表2-2主要产品方案表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825"/>
              <w:gridCol w:w="2369"/>
              <w:gridCol w:w="2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2" w:type="dxa"/>
                  <w:tcBorders>
                    <w:top w:val="single" w:color="auto" w:sz="4" w:space="0"/>
                    <w:left w:val="single" w:color="auto" w:sz="0"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序号</w:t>
                  </w:r>
                </w:p>
              </w:tc>
              <w:tc>
                <w:tcPr>
                  <w:tcW w:w="1825" w:type="dxa"/>
                  <w:tcBorders>
                    <w:top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产品方案</w:t>
                  </w:r>
                </w:p>
              </w:tc>
              <w:tc>
                <w:tcPr>
                  <w:tcW w:w="2369" w:type="dxa"/>
                  <w:tcBorders>
                    <w:top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原有项目产品数量</w:t>
                  </w:r>
                </w:p>
              </w:tc>
              <w:tc>
                <w:tcPr>
                  <w:tcW w:w="2862" w:type="dxa"/>
                  <w:tcBorders>
                    <w:top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本项目产品数量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4" w:hRule="atLeast"/>
                <w:jc w:val="center"/>
              </w:trPr>
              <w:tc>
                <w:tcPr>
                  <w:tcW w:w="1172" w:type="dxa"/>
                  <w:tcBorders>
                    <w:lef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825" w:type="dxa"/>
                  <w:vAlign w:val="center"/>
                </w:tcPr>
                <w:p>
                  <w:pPr>
                    <w:pStyle w:val="109"/>
                    <w:rPr>
                      <w:rFonts w:ascii="宋体" w:hAnsi="宋体" w:eastAsia="宋体" w:cs="宋体"/>
                      <w:sz w:val="21"/>
                      <w:szCs w:val="21"/>
                    </w:rPr>
                  </w:pPr>
                  <w:r>
                    <w:rPr>
                      <w:rFonts w:hint="eastAsia" w:ascii="宋体" w:hAnsi="宋体" w:eastAsia="宋体" w:cs="宋体"/>
                      <w:sz w:val="21"/>
                      <w:szCs w:val="21"/>
                    </w:rPr>
                    <w:t>水泥包装袋</w:t>
                  </w:r>
                </w:p>
              </w:tc>
              <w:tc>
                <w:tcPr>
                  <w:tcW w:w="2369" w:type="dxa"/>
                  <w:tcBorders>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2000（万条）</w:t>
                  </w:r>
                </w:p>
              </w:tc>
              <w:tc>
                <w:tcPr>
                  <w:tcW w:w="2862" w:type="dxa"/>
                  <w:tcBorders>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2" w:type="dxa"/>
                  <w:tcBorders>
                    <w:lef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825" w:type="dxa"/>
                  <w:vAlign w:val="center"/>
                </w:tcPr>
                <w:p>
                  <w:pPr>
                    <w:pStyle w:val="109"/>
                    <w:rPr>
                      <w:rFonts w:ascii="宋体" w:hAnsi="宋体" w:eastAsia="宋体" w:cs="宋体"/>
                      <w:sz w:val="21"/>
                      <w:szCs w:val="21"/>
                    </w:rPr>
                  </w:pPr>
                  <w:r>
                    <w:rPr>
                      <w:rFonts w:hint="eastAsia" w:ascii="宋体" w:hAnsi="宋体" w:eastAsia="宋体" w:cs="宋体"/>
                      <w:sz w:val="21"/>
                      <w:szCs w:val="21"/>
                    </w:rPr>
                    <w:t>瓦楞纸箱</w:t>
                  </w:r>
                </w:p>
              </w:tc>
              <w:tc>
                <w:tcPr>
                  <w:tcW w:w="2369" w:type="dxa"/>
                  <w:tcBorders>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2862" w:type="dxa"/>
                  <w:tcBorders>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800万只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2" w:type="dxa"/>
                  <w:tcBorders>
                    <w:left w:val="single" w:color="auto" w:sz="4" w:space="0"/>
                    <w:bottom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w:t>
                  </w:r>
                </w:p>
              </w:tc>
              <w:tc>
                <w:tcPr>
                  <w:tcW w:w="1825" w:type="dxa"/>
                  <w:tcBorders>
                    <w:bottom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彩箱</w:t>
                  </w:r>
                </w:p>
              </w:tc>
              <w:tc>
                <w:tcPr>
                  <w:tcW w:w="2369" w:type="dxa"/>
                  <w:tcBorders>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2862" w:type="dxa"/>
                  <w:tcBorders>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700万只</w:t>
                  </w:r>
                </w:p>
              </w:tc>
            </w:tr>
          </w:tbl>
          <w:p>
            <w:pPr>
              <w:pStyle w:val="20"/>
              <w:ind w:firstLine="480"/>
              <w:rPr>
                <w:rFonts w:ascii="黑体" w:hAnsi="黑体" w:eastAsia="黑体" w:cs="黑体"/>
                <w:b w:val="0"/>
                <w:bCs/>
              </w:rPr>
            </w:pPr>
            <w:r>
              <w:rPr>
                <w:rFonts w:hint="eastAsia" w:ascii="黑体" w:hAnsi="黑体" w:eastAsia="黑体" w:cs="黑体"/>
                <w:b w:val="0"/>
                <w:bCs/>
              </w:rPr>
              <w:t>三、主要设备</w:t>
            </w:r>
          </w:p>
          <w:p>
            <w:pPr>
              <w:pStyle w:val="14"/>
              <w:rPr>
                <w:rFonts w:ascii="黑体" w:hAnsi="黑体" w:eastAsia="黑体" w:cs="黑体"/>
                <w:bCs/>
              </w:rPr>
            </w:pPr>
            <w:r>
              <w:rPr>
                <w:rFonts w:eastAsia="宋体"/>
              </w:rPr>
              <w:t>本项目主要设备见</w:t>
            </w:r>
            <w:r>
              <w:rPr>
                <w:rFonts w:hint="eastAsia" w:eastAsia="宋体"/>
              </w:rPr>
              <w:t>下</w:t>
            </w:r>
            <w:r>
              <w:rPr>
                <w:rFonts w:eastAsia="宋体"/>
              </w:rPr>
              <w:t>表。</w:t>
            </w:r>
          </w:p>
          <w:p>
            <w:pPr>
              <w:pStyle w:val="40"/>
              <w:rPr>
                <w:rFonts w:ascii="黑体" w:hAnsi="黑体" w:eastAsia="黑体" w:cs="黑体"/>
                <w:b w:val="0"/>
                <w:bCs/>
                <w:sz w:val="24"/>
              </w:rPr>
            </w:pPr>
            <w:r>
              <w:rPr>
                <w:rFonts w:hint="eastAsia" w:ascii="黑体" w:hAnsi="黑体" w:eastAsia="黑体" w:cs="黑体"/>
                <w:b w:val="0"/>
                <w:bCs/>
                <w:sz w:val="24"/>
              </w:rPr>
              <w:t>表2-3项目原有、新增主要设备一览表</w:t>
            </w:r>
          </w:p>
          <w:tbl>
            <w:tblPr>
              <w:tblStyle w:val="26"/>
              <w:tblW w:w="8228" w:type="dxa"/>
              <w:jc w:val="center"/>
              <w:tblBorders>
                <w:top w:val="single" w:color="auto" w:sz="12" w:space="0"/>
                <w:left w:val="none" w:color="auto" w:sz="0" w:space="0"/>
                <w:bottom w:val="single" w:color="auto" w:sz="12" w:space="0"/>
                <w:right w:val="none" w:color="auto" w:sz="0" w:space="0"/>
                <w:insideH w:val="none" w:color="auto" w:sz="0" w:space="0"/>
                <w:insideV w:val="single" w:color="auto" w:sz="2" w:space="0"/>
              </w:tblBorders>
              <w:tblLayout w:type="fixed"/>
              <w:tblCellMar>
                <w:top w:w="0" w:type="dxa"/>
                <w:left w:w="108" w:type="dxa"/>
                <w:bottom w:w="0" w:type="dxa"/>
                <w:right w:w="108" w:type="dxa"/>
              </w:tblCellMar>
            </w:tblPr>
            <w:tblGrid>
              <w:gridCol w:w="800"/>
              <w:gridCol w:w="1747"/>
              <w:gridCol w:w="1318"/>
              <w:gridCol w:w="1261"/>
              <w:gridCol w:w="3102"/>
            </w:tblGrid>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序号</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设备名称</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原有数量（台/套）</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增加数量（台/套）</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造粒机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750型</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粉碎机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拉丝机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4</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收卷机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GK8-2</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5</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圆织机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6</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印字机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7</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涂膜机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8</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缝纫机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15</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9</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打料机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10</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上料机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11</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潜水泵</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12</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水箱</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13</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高速水墨印刷分压切角开槽模切机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GYK-1370×2500型4色</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14</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胶印机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ROLAND200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15</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半自动模切压痕机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BNY-1320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16</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平压压痕切线机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ML-1100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17</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平压压痕切线机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ML-750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18</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半自动覆面机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ZTMG-1300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19</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复膜机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1200型</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20</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自动糊折盒机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ZH-1400FTH</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21</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AB片粘箱机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ZH-2300DSG</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22</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半自动压合式粘箱机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1800型</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23</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半自动钉箱机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BDJ-2000B</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24</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钉箱机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DXJ-1200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25</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钉箱机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DXJ-600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26</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打包机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CT-100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27</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打包机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LTA-505-TJ</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28</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切纸机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920型</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29</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空压机</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MD170104A1-201</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54"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30</w:t>
                  </w:r>
                </w:p>
              </w:tc>
              <w:tc>
                <w:tcPr>
                  <w:tcW w:w="17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手动液压叉车</w:t>
                  </w:r>
                </w:p>
              </w:tc>
              <w:tc>
                <w:tcPr>
                  <w:tcW w:w="131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261"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8</w:t>
                  </w:r>
                </w:p>
              </w:tc>
              <w:tc>
                <w:tcPr>
                  <w:tcW w:w="310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DF2吨</w:t>
                  </w:r>
                </w:p>
              </w:tc>
            </w:tr>
          </w:tbl>
          <w:p>
            <w:pPr>
              <w:pStyle w:val="20"/>
              <w:ind w:firstLine="480"/>
              <w:rPr>
                <w:rFonts w:ascii="黑体" w:hAnsi="黑体" w:eastAsia="黑体" w:cs="黑体"/>
                <w:b w:val="0"/>
                <w:bCs/>
              </w:rPr>
            </w:pPr>
            <w:r>
              <w:rPr>
                <w:rFonts w:hint="eastAsia" w:ascii="黑体" w:hAnsi="黑体" w:eastAsia="黑体" w:cs="黑体"/>
                <w:b w:val="0"/>
                <w:bCs/>
              </w:rPr>
              <w:t>四、原、辅材料消耗</w:t>
            </w:r>
          </w:p>
          <w:p>
            <w:pPr>
              <w:pStyle w:val="108"/>
              <w:ind w:firstLine="480"/>
            </w:pPr>
            <w:r>
              <w:t>①原辅材料消耗情况，见下表。</w:t>
            </w:r>
          </w:p>
          <w:p>
            <w:pPr>
              <w:pStyle w:val="20"/>
              <w:jc w:val="center"/>
              <w:rPr>
                <w:rFonts w:ascii="黑体" w:hAnsi="黑体" w:eastAsia="黑体" w:cs="黑体"/>
                <w:b w:val="0"/>
                <w:bCs/>
              </w:rPr>
            </w:pPr>
            <w:r>
              <w:t>表</w:t>
            </w:r>
            <w:r>
              <w:rPr>
                <w:rFonts w:hint="eastAsia"/>
              </w:rPr>
              <w:t>2</w:t>
            </w:r>
            <w:r>
              <w:t>-</w:t>
            </w:r>
            <w:r>
              <w:rPr>
                <w:rFonts w:hint="eastAsia"/>
              </w:rPr>
              <w:t>4原有、新增</w:t>
            </w:r>
            <w:r>
              <w:t>原辅材料及能源年耗量一览表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880"/>
              <w:gridCol w:w="1522"/>
              <w:gridCol w:w="2132"/>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5" w:type="dxa"/>
                  <w:gridSpan w:val="2"/>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序号</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名称</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消耗量</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restart"/>
                  <w:tcBorders>
                    <w:top w:val="single" w:color="auto" w:sz="4" w:space="0"/>
                    <w:left w:val="single" w:color="auto" w:sz="4" w:space="0"/>
                    <w:right w:val="single" w:color="auto" w:sz="4" w:space="0"/>
                  </w:tcBorders>
                  <w:vAlign w:val="center"/>
                </w:tcPr>
                <w:p>
                  <w:pPr>
                    <w:pStyle w:val="109"/>
                    <w:rPr>
                      <w:rFonts w:hint="eastAsia" w:ascii="宋体" w:hAnsi="宋体" w:eastAsia="宋体" w:cs="宋体"/>
                      <w:sz w:val="21"/>
                      <w:szCs w:val="21"/>
                      <w:lang w:eastAsia="zh-CN"/>
                    </w:rPr>
                  </w:pPr>
                  <w:r>
                    <w:rPr>
                      <w:rFonts w:hint="eastAsia" w:ascii="宋体" w:hAnsi="宋体" w:eastAsia="宋体" w:cs="宋体"/>
                      <w:sz w:val="21"/>
                      <w:szCs w:val="21"/>
                    </w:rPr>
                    <w:t>水泥包装袋生产线</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原有</w:t>
                  </w:r>
                  <w:r>
                    <w:rPr>
                      <w:rFonts w:hint="eastAsia" w:ascii="宋体" w:hAnsi="宋体" w:eastAsia="宋体" w:cs="宋体"/>
                      <w:sz w:val="21"/>
                      <w:szCs w:val="21"/>
                      <w:lang w:eastAsia="zh-CN"/>
                    </w:rPr>
                    <w:t>）</w:t>
                  </w: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聚乙烯</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1300t/a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丝线</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35t/a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水性油墨</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360桶/a（20kg/桶）</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4</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机油</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0.005t/a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5</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水</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1009.2m</w:t>
                  </w:r>
                  <w:r>
                    <w:rPr>
                      <w:rFonts w:hint="eastAsia" w:ascii="宋体" w:hAnsi="宋体" w:eastAsia="宋体" w:cs="宋体"/>
                      <w:sz w:val="21"/>
                      <w:szCs w:val="21"/>
                      <w:vertAlign w:val="superscript"/>
                    </w:rPr>
                    <w:t>3</w:t>
                  </w:r>
                  <w:r>
                    <w:rPr>
                      <w:rFonts w:hint="eastAsia" w:ascii="宋体" w:hAnsi="宋体" w:eastAsia="宋体" w:cs="宋体"/>
                      <w:sz w:val="21"/>
                      <w:szCs w:val="21"/>
                    </w:rPr>
                    <w:t>/a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6</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电</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180万kwh/a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市政供电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restart"/>
                  <w:tcBorders>
                    <w:top w:val="single" w:color="auto" w:sz="4" w:space="0"/>
                    <w:left w:val="single" w:color="auto" w:sz="4" w:space="0"/>
                    <w:right w:val="single" w:color="auto" w:sz="4" w:space="0"/>
                  </w:tcBorders>
                  <w:vAlign w:val="center"/>
                </w:tcPr>
                <w:p>
                  <w:pPr>
                    <w:pStyle w:val="109"/>
                    <w:rPr>
                      <w:rFonts w:hint="eastAsia" w:ascii="宋体" w:hAnsi="宋体" w:eastAsia="宋体" w:cs="宋体"/>
                      <w:sz w:val="21"/>
                      <w:szCs w:val="21"/>
                      <w:lang w:eastAsia="zh-CN"/>
                    </w:rPr>
                  </w:pPr>
                  <w:r>
                    <w:rPr>
                      <w:rFonts w:hint="eastAsia" w:ascii="宋体" w:hAnsi="宋体" w:eastAsia="宋体" w:cs="宋体"/>
                      <w:sz w:val="21"/>
                      <w:szCs w:val="21"/>
                    </w:rPr>
                    <w:t>瓦楞纸箱和彩箱生产线</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新增</w:t>
                  </w:r>
                  <w:r>
                    <w:rPr>
                      <w:rFonts w:hint="eastAsia" w:ascii="宋体" w:hAnsi="宋体" w:eastAsia="宋体" w:cs="宋体"/>
                      <w:sz w:val="21"/>
                      <w:szCs w:val="21"/>
                      <w:lang w:eastAsia="zh-CN"/>
                    </w:rPr>
                    <w:t>）</w:t>
                  </w: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瓦楞纸</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425万平方米/a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白板纸</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300万平方米/a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扁丝</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320箱/a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4</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胶水</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lang w:val="en-US" w:eastAsia="zh-CN"/>
                    </w:rPr>
                    <w:t>0.5</w:t>
                  </w:r>
                  <w:r>
                    <w:rPr>
                      <w:rFonts w:hint="eastAsia" w:ascii="宋体" w:hAnsi="宋体" w:eastAsia="宋体" w:cs="宋体"/>
                      <w:sz w:val="21"/>
                      <w:szCs w:val="21"/>
                    </w:rPr>
                    <w:t>t/a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5</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水性油墨</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lang w:val="en-US" w:eastAsia="zh-CN"/>
                    </w:rPr>
                    <w:t>1.16</w:t>
                  </w:r>
                  <w:r>
                    <w:rPr>
                      <w:rFonts w:hint="eastAsia" w:ascii="宋体" w:hAnsi="宋体" w:eastAsia="宋体" w:cs="宋体"/>
                      <w:sz w:val="21"/>
                      <w:szCs w:val="21"/>
                    </w:rPr>
                    <w:t>t/a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6</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淀粉胶</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6.2吨/a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7</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结束带</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40箱/a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8</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胶印油墨</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1.5t/a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9</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水</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300t/a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dxa"/>
                  <w:vMerge w:val="continue"/>
                  <w:tcBorders>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c>
                <w:tcPr>
                  <w:tcW w:w="880"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10</w:t>
                  </w:r>
                </w:p>
              </w:tc>
              <w:tc>
                <w:tcPr>
                  <w:tcW w:w="152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电</w:t>
                  </w:r>
                </w:p>
              </w:tc>
              <w:tc>
                <w:tcPr>
                  <w:tcW w:w="213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50万kw/a</w:t>
                  </w:r>
                </w:p>
              </w:tc>
              <w:tc>
                <w:tcPr>
                  <w:tcW w:w="234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市政供电</w:t>
                  </w:r>
                </w:p>
              </w:tc>
            </w:tr>
          </w:tbl>
          <w:p>
            <w:pPr>
              <w:pStyle w:val="108"/>
              <w:ind w:firstLine="480"/>
            </w:pPr>
            <w:r>
              <w:rPr>
                <w:rFonts w:hint="eastAsia"/>
              </w:rPr>
              <w:t>②主要原辅材料理化性质：</w:t>
            </w:r>
          </w:p>
          <w:p>
            <w:pPr>
              <w:pStyle w:val="108"/>
              <w:ind w:firstLine="480"/>
            </w:pPr>
            <w:r>
              <w:rPr>
                <w:rFonts w:hint="eastAsia"/>
              </w:rPr>
              <w:t>水性油墨：本项目使用印刷专用的水性油墨，根据原料厂家提供的物质安全性能表MSDS（见附件）显示，本项目使用的水性油墨主要成分见下表：</w:t>
            </w:r>
          </w:p>
          <w:p>
            <w:pPr>
              <w:pStyle w:val="110"/>
            </w:pPr>
            <w:r>
              <w:rPr>
                <w:rFonts w:hint="eastAsia"/>
              </w:rPr>
              <w:t>表2-5水性油墨主要成分表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2338"/>
              <w:gridCol w:w="1758"/>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pStyle w:val="109"/>
                    <w:rPr>
                      <w:rFonts w:ascii="宋体" w:hAnsi="宋体" w:eastAsia="宋体" w:cs="宋体"/>
                      <w:sz w:val="21"/>
                      <w:szCs w:val="21"/>
                    </w:rPr>
                  </w:pPr>
                  <w:r>
                    <w:rPr>
                      <w:rFonts w:hint="eastAsia" w:ascii="宋体" w:hAnsi="宋体" w:eastAsia="宋体" w:cs="宋体"/>
                      <w:sz w:val="21"/>
                      <w:szCs w:val="21"/>
                    </w:rPr>
                    <w:t>组成</w:t>
                  </w:r>
                </w:p>
              </w:tc>
              <w:tc>
                <w:tcPr>
                  <w:tcW w:w="2539" w:type="dxa"/>
                  <w:vAlign w:val="center"/>
                </w:tcPr>
                <w:p>
                  <w:pPr>
                    <w:pStyle w:val="109"/>
                    <w:rPr>
                      <w:rFonts w:ascii="宋体" w:hAnsi="宋体" w:eastAsia="宋体" w:cs="宋体"/>
                      <w:sz w:val="21"/>
                      <w:szCs w:val="21"/>
                    </w:rPr>
                  </w:pPr>
                  <w:r>
                    <w:rPr>
                      <w:rFonts w:hint="eastAsia" w:ascii="宋体" w:hAnsi="宋体" w:eastAsia="宋体" w:cs="宋体"/>
                      <w:sz w:val="21"/>
                      <w:szCs w:val="21"/>
                    </w:rPr>
                    <w:t>化学成分</w:t>
                  </w:r>
                </w:p>
              </w:tc>
              <w:tc>
                <w:tcPr>
                  <w:tcW w:w="1903" w:type="dxa"/>
                  <w:vAlign w:val="center"/>
                </w:tcPr>
                <w:p>
                  <w:pPr>
                    <w:pStyle w:val="109"/>
                    <w:rPr>
                      <w:rFonts w:ascii="宋体" w:hAnsi="宋体" w:eastAsia="宋体" w:cs="宋体"/>
                      <w:sz w:val="21"/>
                      <w:szCs w:val="21"/>
                    </w:rPr>
                  </w:pPr>
                  <w:r>
                    <w:rPr>
                      <w:rFonts w:hint="eastAsia" w:ascii="宋体" w:hAnsi="宋体" w:eastAsia="宋体" w:cs="宋体"/>
                      <w:sz w:val="21"/>
                      <w:szCs w:val="21"/>
                    </w:rPr>
                    <w:t>含量（%）</w:t>
                  </w:r>
                </w:p>
              </w:tc>
              <w:tc>
                <w:tcPr>
                  <w:tcW w:w="2380" w:type="dxa"/>
                  <w:vAlign w:val="center"/>
                </w:tcPr>
                <w:p>
                  <w:pPr>
                    <w:pStyle w:val="109"/>
                    <w:rPr>
                      <w:rFonts w:ascii="宋体" w:hAnsi="宋体" w:eastAsia="宋体" w:cs="宋体"/>
                      <w:sz w:val="21"/>
                      <w:szCs w:val="21"/>
                    </w:rPr>
                  </w:pPr>
                  <w:r>
                    <w:rPr>
                      <w:rFonts w:hint="eastAsia" w:ascii="宋体" w:hAnsi="宋体" w:eastAsia="宋体" w:cs="宋体"/>
                      <w:sz w:val="21"/>
                      <w:szCs w:val="21"/>
                    </w:rPr>
                    <w:t>CAS号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pStyle w:val="109"/>
                    <w:rPr>
                      <w:rFonts w:ascii="宋体" w:hAnsi="宋体" w:eastAsia="宋体" w:cs="宋体"/>
                      <w:sz w:val="21"/>
                      <w:szCs w:val="21"/>
                    </w:rPr>
                  </w:pPr>
                  <w:r>
                    <w:rPr>
                      <w:rFonts w:hint="eastAsia" w:ascii="宋体" w:hAnsi="宋体" w:eastAsia="宋体" w:cs="宋体"/>
                      <w:sz w:val="21"/>
                      <w:szCs w:val="21"/>
                    </w:rPr>
                    <w:t>树脂</w:t>
                  </w:r>
                </w:p>
              </w:tc>
              <w:tc>
                <w:tcPr>
                  <w:tcW w:w="2539" w:type="dxa"/>
                  <w:vAlign w:val="center"/>
                </w:tcPr>
                <w:p>
                  <w:pPr>
                    <w:pStyle w:val="109"/>
                    <w:rPr>
                      <w:rFonts w:ascii="宋体" w:hAnsi="宋体" w:eastAsia="宋体" w:cs="宋体"/>
                      <w:sz w:val="21"/>
                      <w:szCs w:val="21"/>
                    </w:rPr>
                  </w:pPr>
                  <w:r>
                    <w:rPr>
                      <w:rFonts w:hint="eastAsia" w:ascii="宋体" w:hAnsi="宋体" w:eastAsia="宋体" w:cs="宋体"/>
                      <w:sz w:val="21"/>
                      <w:szCs w:val="21"/>
                    </w:rPr>
                    <w:t>水性丙烯酸乳液</w:t>
                  </w:r>
                </w:p>
              </w:tc>
              <w:tc>
                <w:tcPr>
                  <w:tcW w:w="1903" w:type="dxa"/>
                  <w:vAlign w:val="center"/>
                </w:tcPr>
                <w:p>
                  <w:pPr>
                    <w:pStyle w:val="109"/>
                    <w:rPr>
                      <w:rFonts w:ascii="宋体" w:hAnsi="宋体" w:eastAsia="宋体" w:cs="宋体"/>
                      <w:sz w:val="21"/>
                      <w:szCs w:val="21"/>
                    </w:rPr>
                  </w:pPr>
                  <w:r>
                    <w:rPr>
                      <w:rFonts w:hint="eastAsia" w:ascii="宋体" w:hAnsi="宋体" w:eastAsia="宋体" w:cs="宋体"/>
                      <w:sz w:val="21"/>
                      <w:szCs w:val="21"/>
                    </w:rPr>
                    <w:t>35-55</w:t>
                  </w:r>
                </w:p>
              </w:tc>
              <w:tc>
                <w:tcPr>
                  <w:tcW w:w="2380" w:type="dxa"/>
                  <w:vAlign w:val="center"/>
                </w:tcPr>
                <w:p>
                  <w:pPr>
                    <w:pStyle w:val="109"/>
                    <w:rPr>
                      <w:rFonts w:ascii="宋体" w:hAnsi="宋体" w:eastAsia="宋体" w:cs="宋体"/>
                      <w:sz w:val="21"/>
                      <w:szCs w:val="21"/>
                    </w:rPr>
                  </w:pPr>
                  <w:r>
                    <w:rPr>
                      <w:rFonts w:hint="eastAsia" w:ascii="宋体" w:hAnsi="宋体" w:eastAsia="宋体" w:cs="宋体"/>
                      <w:sz w:val="21"/>
                      <w:szCs w:val="21"/>
                    </w:rPr>
                    <w:t>25085-34-1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pStyle w:val="109"/>
                    <w:rPr>
                      <w:rFonts w:ascii="宋体" w:hAnsi="宋体" w:eastAsia="宋体" w:cs="宋体"/>
                      <w:sz w:val="21"/>
                      <w:szCs w:val="21"/>
                    </w:rPr>
                  </w:pPr>
                  <w:r>
                    <w:rPr>
                      <w:rFonts w:hint="eastAsia" w:ascii="宋体" w:hAnsi="宋体" w:eastAsia="宋体" w:cs="宋体"/>
                      <w:sz w:val="21"/>
                      <w:szCs w:val="21"/>
                    </w:rPr>
                    <w:t>颜料</w:t>
                  </w:r>
                </w:p>
              </w:tc>
              <w:tc>
                <w:tcPr>
                  <w:tcW w:w="2539" w:type="dxa"/>
                  <w:vAlign w:val="center"/>
                </w:tcPr>
                <w:p>
                  <w:pPr>
                    <w:pStyle w:val="109"/>
                    <w:rPr>
                      <w:rFonts w:ascii="宋体" w:hAnsi="宋体" w:eastAsia="宋体" w:cs="宋体"/>
                      <w:sz w:val="21"/>
                      <w:szCs w:val="21"/>
                    </w:rPr>
                  </w:pPr>
                  <w:r>
                    <w:rPr>
                      <w:rFonts w:hint="eastAsia" w:ascii="宋体" w:hAnsi="宋体" w:eastAsia="宋体" w:cs="宋体"/>
                      <w:sz w:val="21"/>
                      <w:szCs w:val="21"/>
                    </w:rPr>
                    <w:t>二氧化钛、酞菁蓝、炭黑、联苯胺黄</w:t>
                  </w:r>
                </w:p>
              </w:tc>
              <w:tc>
                <w:tcPr>
                  <w:tcW w:w="1903" w:type="dxa"/>
                  <w:vAlign w:val="center"/>
                </w:tcPr>
                <w:p>
                  <w:pPr>
                    <w:pStyle w:val="109"/>
                    <w:rPr>
                      <w:rFonts w:ascii="宋体" w:hAnsi="宋体" w:eastAsia="宋体" w:cs="宋体"/>
                      <w:sz w:val="21"/>
                      <w:szCs w:val="21"/>
                    </w:rPr>
                  </w:pPr>
                  <w:r>
                    <w:rPr>
                      <w:rFonts w:hint="eastAsia" w:ascii="宋体" w:hAnsi="宋体" w:eastAsia="宋体" w:cs="宋体"/>
                      <w:sz w:val="21"/>
                      <w:szCs w:val="21"/>
                    </w:rPr>
                    <w:t>10～30</w:t>
                  </w:r>
                </w:p>
              </w:tc>
              <w:tc>
                <w:tcPr>
                  <w:tcW w:w="2380" w:type="dxa"/>
                  <w:vAlign w:val="center"/>
                </w:tcPr>
                <w:p>
                  <w:pPr>
                    <w:pStyle w:val="109"/>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pStyle w:val="109"/>
                    <w:rPr>
                      <w:rFonts w:ascii="宋体" w:hAnsi="宋体" w:eastAsia="宋体" w:cs="宋体"/>
                      <w:sz w:val="21"/>
                      <w:szCs w:val="21"/>
                    </w:rPr>
                  </w:pPr>
                  <w:r>
                    <w:rPr>
                      <w:rFonts w:hint="eastAsia" w:ascii="宋体" w:hAnsi="宋体" w:eastAsia="宋体" w:cs="宋体"/>
                      <w:sz w:val="21"/>
                      <w:szCs w:val="21"/>
                    </w:rPr>
                    <w:t>溶剂</w:t>
                  </w:r>
                </w:p>
              </w:tc>
              <w:tc>
                <w:tcPr>
                  <w:tcW w:w="2539" w:type="dxa"/>
                  <w:vAlign w:val="center"/>
                </w:tcPr>
                <w:p>
                  <w:pPr>
                    <w:pStyle w:val="109"/>
                    <w:rPr>
                      <w:rFonts w:ascii="宋体" w:hAnsi="宋体" w:eastAsia="宋体" w:cs="宋体"/>
                      <w:sz w:val="21"/>
                      <w:szCs w:val="21"/>
                    </w:rPr>
                  </w:pPr>
                  <w:r>
                    <w:rPr>
                      <w:rFonts w:hint="eastAsia" w:ascii="宋体" w:hAnsi="宋体" w:eastAsia="宋体" w:cs="宋体"/>
                      <w:sz w:val="21"/>
                      <w:szCs w:val="21"/>
                    </w:rPr>
                    <w:t>纯净水</w:t>
                  </w:r>
                </w:p>
              </w:tc>
              <w:tc>
                <w:tcPr>
                  <w:tcW w:w="1903" w:type="dxa"/>
                  <w:vAlign w:val="center"/>
                </w:tcPr>
                <w:p>
                  <w:pPr>
                    <w:pStyle w:val="109"/>
                    <w:rPr>
                      <w:rFonts w:ascii="宋体" w:hAnsi="宋体" w:eastAsia="宋体" w:cs="宋体"/>
                      <w:sz w:val="21"/>
                      <w:szCs w:val="21"/>
                    </w:rPr>
                  </w:pPr>
                  <w:r>
                    <w:rPr>
                      <w:rFonts w:hint="eastAsia" w:ascii="宋体" w:hAnsi="宋体" w:eastAsia="宋体" w:cs="宋体"/>
                      <w:sz w:val="21"/>
                      <w:szCs w:val="21"/>
                    </w:rPr>
                    <w:t>5～25</w:t>
                  </w:r>
                </w:p>
              </w:tc>
              <w:tc>
                <w:tcPr>
                  <w:tcW w:w="2380" w:type="dxa"/>
                  <w:vAlign w:val="center"/>
                </w:tcPr>
                <w:p>
                  <w:pPr>
                    <w:pStyle w:val="109"/>
                    <w:rPr>
                      <w:rFonts w:ascii="宋体" w:hAnsi="宋体" w:eastAsia="宋体" w:cs="宋体"/>
                      <w:sz w:val="21"/>
                      <w:szCs w:val="21"/>
                    </w:rPr>
                  </w:pPr>
                  <w:r>
                    <w:rPr>
                      <w:rFonts w:hint="eastAsia" w:ascii="宋体" w:hAnsi="宋体" w:eastAsia="宋体" w:cs="宋体"/>
                      <w:sz w:val="21"/>
                      <w:szCs w:val="21"/>
                    </w:rPr>
                    <w:t>7732-18-5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0" w:type="dxa"/>
                  <w:vAlign w:val="center"/>
                </w:tcPr>
                <w:p>
                  <w:pPr>
                    <w:pStyle w:val="109"/>
                    <w:rPr>
                      <w:rFonts w:ascii="宋体" w:hAnsi="宋体" w:eastAsia="宋体" w:cs="宋体"/>
                      <w:sz w:val="21"/>
                      <w:szCs w:val="21"/>
                    </w:rPr>
                  </w:pPr>
                  <w:r>
                    <w:rPr>
                      <w:rFonts w:hint="eastAsia" w:ascii="宋体" w:hAnsi="宋体" w:eastAsia="宋体" w:cs="宋体"/>
                      <w:sz w:val="21"/>
                      <w:szCs w:val="21"/>
                    </w:rPr>
                    <w:t>助剂</w:t>
                  </w:r>
                </w:p>
              </w:tc>
              <w:tc>
                <w:tcPr>
                  <w:tcW w:w="2539" w:type="dxa"/>
                  <w:vAlign w:val="center"/>
                </w:tcPr>
                <w:p>
                  <w:pPr>
                    <w:pStyle w:val="109"/>
                    <w:rPr>
                      <w:rFonts w:ascii="宋体" w:hAnsi="宋体" w:eastAsia="宋体" w:cs="宋体"/>
                      <w:sz w:val="21"/>
                      <w:szCs w:val="21"/>
                    </w:rPr>
                  </w:pPr>
                  <w:r>
                    <w:rPr>
                      <w:rFonts w:hint="eastAsia" w:ascii="宋体" w:hAnsi="宋体" w:eastAsia="宋体" w:cs="宋体"/>
                      <w:sz w:val="21"/>
                      <w:szCs w:val="21"/>
                    </w:rPr>
                    <w:t>聚乙烯蜡</w:t>
                  </w:r>
                </w:p>
              </w:tc>
              <w:tc>
                <w:tcPr>
                  <w:tcW w:w="1903" w:type="dxa"/>
                  <w:vAlign w:val="center"/>
                </w:tcPr>
                <w:p>
                  <w:pPr>
                    <w:pStyle w:val="109"/>
                    <w:rPr>
                      <w:rFonts w:ascii="宋体" w:hAnsi="宋体" w:eastAsia="宋体" w:cs="宋体"/>
                      <w:sz w:val="21"/>
                      <w:szCs w:val="21"/>
                    </w:rPr>
                  </w:pPr>
                  <w:r>
                    <w:rPr>
                      <w:rFonts w:hint="eastAsia" w:ascii="宋体" w:hAnsi="宋体" w:eastAsia="宋体" w:cs="宋体"/>
                      <w:sz w:val="21"/>
                      <w:szCs w:val="21"/>
                    </w:rPr>
                    <w:t>3～5</w:t>
                  </w:r>
                </w:p>
              </w:tc>
              <w:tc>
                <w:tcPr>
                  <w:tcW w:w="2380" w:type="dxa"/>
                  <w:vAlign w:val="center"/>
                </w:tcPr>
                <w:p>
                  <w:pPr>
                    <w:pStyle w:val="109"/>
                    <w:rPr>
                      <w:rFonts w:ascii="宋体" w:hAnsi="宋体" w:eastAsia="宋体" w:cs="宋体"/>
                      <w:sz w:val="21"/>
                      <w:szCs w:val="21"/>
                    </w:rPr>
                  </w:pPr>
                  <w:r>
                    <w:rPr>
                      <w:rFonts w:hint="eastAsia" w:ascii="宋体" w:hAnsi="宋体" w:eastAsia="宋体" w:cs="宋体"/>
                      <w:sz w:val="21"/>
                      <w:szCs w:val="21"/>
                    </w:rPr>
                    <w:t>9002-88-4</w:t>
                  </w:r>
                </w:p>
              </w:tc>
            </w:tr>
          </w:tbl>
          <w:p>
            <w:pPr>
              <w:spacing w:before="156" w:beforeLines="50" w:line="360" w:lineRule="auto"/>
              <w:ind w:left="105" w:leftChars="50" w:firstLine="720" w:firstLineChars="300"/>
              <w:rPr>
                <w:sz w:val="24"/>
              </w:rPr>
            </w:pPr>
            <w:r>
              <w:rPr>
                <w:rFonts w:hint="eastAsia"/>
                <w:sz w:val="24"/>
              </w:rPr>
              <w:t>胶印油墨：根据原料厂家提供的安全数据表SDS（见附件）显示，本项目使用的印刷油墨主要成分见下表：</w:t>
            </w:r>
          </w:p>
          <w:p>
            <w:pPr>
              <w:spacing w:line="360" w:lineRule="auto"/>
              <w:jc w:val="center"/>
              <w:rPr>
                <w:b/>
                <w:sz w:val="24"/>
              </w:rPr>
            </w:pPr>
            <w:r>
              <w:rPr>
                <w:rFonts w:hint="eastAsia"/>
                <w:b/>
                <w:sz w:val="24"/>
              </w:rPr>
              <w:t>表2-6胶印油墨主要成分表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1913"/>
              <w:gridCol w:w="1830"/>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4" w:type="dxa"/>
                  <w:vAlign w:val="center"/>
                </w:tcPr>
                <w:p>
                  <w:pPr>
                    <w:pStyle w:val="109"/>
                    <w:rPr>
                      <w:rFonts w:ascii="宋体" w:hAnsi="宋体" w:eastAsia="宋体" w:cs="宋体"/>
                      <w:sz w:val="21"/>
                      <w:szCs w:val="21"/>
                    </w:rPr>
                  </w:pPr>
                  <w:r>
                    <w:rPr>
                      <w:rFonts w:hint="eastAsia" w:ascii="宋体" w:hAnsi="宋体" w:eastAsia="宋体" w:cs="宋体"/>
                      <w:sz w:val="21"/>
                      <w:szCs w:val="21"/>
                    </w:rPr>
                    <w:t>组成</w:t>
                  </w:r>
                </w:p>
              </w:tc>
              <w:tc>
                <w:tcPr>
                  <w:tcW w:w="2072" w:type="dxa"/>
                  <w:vAlign w:val="center"/>
                </w:tcPr>
                <w:p>
                  <w:pPr>
                    <w:pStyle w:val="109"/>
                    <w:rPr>
                      <w:rFonts w:ascii="宋体" w:hAnsi="宋体" w:eastAsia="宋体" w:cs="宋体"/>
                      <w:sz w:val="21"/>
                      <w:szCs w:val="21"/>
                    </w:rPr>
                  </w:pPr>
                  <w:r>
                    <w:rPr>
                      <w:rFonts w:hint="eastAsia" w:ascii="宋体" w:hAnsi="宋体" w:eastAsia="宋体" w:cs="宋体"/>
                      <w:sz w:val="21"/>
                      <w:szCs w:val="21"/>
                    </w:rPr>
                    <w:t>含量（%）</w:t>
                  </w:r>
                </w:p>
              </w:tc>
              <w:tc>
                <w:tcPr>
                  <w:tcW w:w="1981" w:type="dxa"/>
                  <w:vAlign w:val="center"/>
                </w:tcPr>
                <w:p>
                  <w:pPr>
                    <w:pStyle w:val="109"/>
                    <w:rPr>
                      <w:rFonts w:ascii="宋体" w:hAnsi="宋体" w:eastAsia="宋体" w:cs="宋体"/>
                      <w:sz w:val="21"/>
                      <w:szCs w:val="21"/>
                    </w:rPr>
                  </w:pPr>
                  <w:r>
                    <w:rPr>
                      <w:rFonts w:hint="eastAsia" w:ascii="宋体" w:hAnsi="宋体" w:eastAsia="宋体" w:cs="宋体"/>
                      <w:sz w:val="21"/>
                      <w:szCs w:val="21"/>
                    </w:rPr>
                    <w:t>CAS号</w:t>
                  </w:r>
                </w:p>
              </w:tc>
              <w:tc>
                <w:tcPr>
                  <w:tcW w:w="2349" w:type="dxa"/>
                  <w:vAlign w:val="center"/>
                </w:tcPr>
                <w:p>
                  <w:pPr>
                    <w:pStyle w:val="109"/>
                    <w:rPr>
                      <w:rFonts w:ascii="宋体" w:hAnsi="宋体" w:eastAsia="宋体" w:cs="宋体"/>
                      <w:sz w:val="21"/>
                      <w:szCs w:val="21"/>
                    </w:rPr>
                  </w:pPr>
                  <w:r>
                    <w:rPr>
                      <w:rFonts w:hint="eastAsia" w:ascii="宋体" w:hAnsi="宋体" w:eastAsia="宋体" w:cs="宋体"/>
                      <w:sz w:val="21"/>
                      <w:szCs w:val="21"/>
                    </w:rPr>
                    <w:t>EC号码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4" w:type="dxa"/>
                  <w:vAlign w:val="center"/>
                </w:tcPr>
                <w:p>
                  <w:pPr>
                    <w:pStyle w:val="109"/>
                    <w:rPr>
                      <w:rFonts w:ascii="宋体" w:hAnsi="宋体" w:eastAsia="宋体" w:cs="宋体"/>
                      <w:sz w:val="21"/>
                      <w:szCs w:val="21"/>
                    </w:rPr>
                  </w:pPr>
                  <w:r>
                    <w:rPr>
                      <w:rFonts w:hint="eastAsia" w:ascii="宋体" w:hAnsi="宋体" w:eastAsia="宋体" w:cs="宋体"/>
                      <w:sz w:val="21"/>
                      <w:szCs w:val="21"/>
                    </w:rPr>
                    <w:t>松香改性酚醛树脂</w:t>
                  </w:r>
                </w:p>
              </w:tc>
              <w:tc>
                <w:tcPr>
                  <w:tcW w:w="2072" w:type="dxa"/>
                  <w:vAlign w:val="center"/>
                </w:tcPr>
                <w:p>
                  <w:pPr>
                    <w:pStyle w:val="109"/>
                    <w:rPr>
                      <w:rFonts w:ascii="宋体" w:hAnsi="宋体" w:eastAsia="宋体" w:cs="宋体"/>
                      <w:sz w:val="21"/>
                      <w:szCs w:val="21"/>
                    </w:rPr>
                  </w:pPr>
                  <w:r>
                    <w:rPr>
                      <w:rFonts w:hint="eastAsia" w:ascii="宋体" w:hAnsi="宋体" w:eastAsia="宋体" w:cs="宋体"/>
                      <w:sz w:val="21"/>
                      <w:szCs w:val="21"/>
                    </w:rPr>
                    <w:t>25-40</w:t>
                  </w:r>
                </w:p>
              </w:tc>
              <w:tc>
                <w:tcPr>
                  <w:tcW w:w="1981" w:type="dxa"/>
                  <w:vAlign w:val="center"/>
                </w:tcPr>
                <w:p>
                  <w:pPr>
                    <w:pStyle w:val="109"/>
                    <w:rPr>
                      <w:rFonts w:ascii="宋体" w:hAnsi="宋体" w:eastAsia="宋体" w:cs="宋体"/>
                      <w:sz w:val="21"/>
                      <w:szCs w:val="21"/>
                    </w:rPr>
                  </w:pPr>
                  <w:r>
                    <w:rPr>
                      <w:rFonts w:hint="eastAsia" w:ascii="宋体" w:hAnsi="宋体" w:eastAsia="宋体" w:cs="宋体"/>
                      <w:sz w:val="21"/>
                      <w:szCs w:val="21"/>
                    </w:rPr>
                    <w:t>7700-45-2</w:t>
                  </w:r>
                </w:p>
              </w:tc>
              <w:tc>
                <w:tcPr>
                  <w:tcW w:w="2349" w:type="dxa"/>
                  <w:vAlign w:val="center"/>
                </w:tcPr>
                <w:p>
                  <w:pPr>
                    <w:pStyle w:val="109"/>
                    <w:rPr>
                      <w:rFonts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4" w:type="dxa"/>
                  <w:vAlign w:val="center"/>
                </w:tcPr>
                <w:p>
                  <w:pPr>
                    <w:pStyle w:val="109"/>
                    <w:rPr>
                      <w:rFonts w:ascii="宋体" w:hAnsi="宋体" w:eastAsia="宋体" w:cs="宋体"/>
                      <w:sz w:val="21"/>
                      <w:szCs w:val="21"/>
                    </w:rPr>
                  </w:pPr>
                  <w:r>
                    <w:rPr>
                      <w:rFonts w:hint="eastAsia" w:ascii="宋体" w:hAnsi="宋体" w:eastAsia="宋体" w:cs="宋体"/>
                      <w:sz w:val="21"/>
                      <w:szCs w:val="21"/>
                    </w:rPr>
                    <w:t>高沸点矿物油</w:t>
                  </w:r>
                </w:p>
              </w:tc>
              <w:tc>
                <w:tcPr>
                  <w:tcW w:w="2072" w:type="dxa"/>
                  <w:vAlign w:val="center"/>
                </w:tcPr>
                <w:p>
                  <w:pPr>
                    <w:pStyle w:val="109"/>
                    <w:rPr>
                      <w:rFonts w:ascii="宋体" w:hAnsi="宋体" w:eastAsia="宋体" w:cs="宋体"/>
                      <w:sz w:val="21"/>
                      <w:szCs w:val="21"/>
                    </w:rPr>
                  </w:pPr>
                  <w:r>
                    <w:rPr>
                      <w:rFonts w:hint="eastAsia" w:ascii="宋体" w:hAnsi="宋体" w:eastAsia="宋体" w:cs="宋体"/>
                      <w:sz w:val="21"/>
                      <w:szCs w:val="21"/>
                    </w:rPr>
                    <w:t>25-40</w:t>
                  </w:r>
                </w:p>
              </w:tc>
              <w:tc>
                <w:tcPr>
                  <w:tcW w:w="1981" w:type="dxa"/>
                  <w:vAlign w:val="center"/>
                </w:tcPr>
                <w:p>
                  <w:pPr>
                    <w:pStyle w:val="109"/>
                    <w:rPr>
                      <w:rFonts w:ascii="宋体" w:hAnsi="宋体" w:eastAsia="宋体" w:cs="宋体"/>
                      <w:sz w:val="21"/>
                      <w:szCs w:val="21"/>
                    </w:rPr>
                  </w:pPr>
                  <w:r>
                    <w:rPr>
                      <w:rFonts w:hint="eastAsia" w:ascii="宋体" w:hAnsi="宋体" w:eastAsia="宋体" w:cs="宋体"/>
                      <w:sz w:val="21"/>
                      <w:szCs w:val="21"/>
                    </w:rPr>
                    <w:t>8042-47-5</w:t>
                  </w:r>
                </w:p>
              </w:tc>
              <w:tc>
                <w:tcPr>
                  <w:tcW w:w="2349" w:type="dxa"/>
                  <w:vAlign w:val="center"/>
                </w:tcPr>
                <w:p>
                  <w:pPr>
                    <w:pStyle w:val="109"/>
                    <w:rPr>
                      <w:rFonts w:ascii="宋体" w:hAnsi="宋体" w:eastAsia="宋体" w:cs="宋体"/>
                      <w:sz w:val="21"/>
                      <w:szCs w:val="21"/>
                    </w:rPr>
                  </w:pPr>
                  <w:r>
                    <w:rPr>
                      <w:rFonts w:hint="eastAsia" w:ascii="宋体" w:hAnsi="宋体" w:eastAsia="宋体" w:cs="宋体"/>
                      <w:sz w:val="21"/>
                      <w:szCs w:val="21"/>
                    </w:rPr>
                    <w:t>232-4558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4" w:type="dxa"/>
                  <w:vAlign w:val="center"/>
                </w:tcPr>
                <w:p>
                  <w:pPr>
                    <w:pStyle w:val="109"/>
                    <w:rPr>
                      <w:rFonts w:ascii="宋体" w:hAnsi="宋体" w:eastAsia="宋体" w:cs="宋体"/>
                      <w:sz w:val="21"/>
                      <w:szCs w:val="21"/>
                    </w:rPr>
                  </w:pPr>
                  <w:r>
                    <w:rPr>
                      <w:rFonts w:hint="eastAsia" w:ascii="宋体" w:hAnsi="宋体" w:eastAsia="宋体" w:cs="宋体"/>
                      <w:sz w:val="21"/>
                      <w:szCs w:val="21"/>
                    </w:rPr>
                    <w:t>亚麻油</w:t>
                  </w:r>
                </w:p>
              </w:tc>
              <w:tc>
                <w:tcPr>
                  <w:tcW w:w="2072" w:type="dxa"/>
                  <w:vAlign w:val="center"/>
                </w:tcPr>
                <w:p>
                  <w:pPr>
                    <w:pStyle w:val="109"/>
                    <w:rPr>
                      <w:rFonts w:ascii="宋体" w:hAnsi="宋体" w:eastAsia="宋体" w:cs="宋体"/>
                      <w:sz w:val="21"/>
                      <w:szCs w:val="21"/>
                    </w:rPr>
                  </w:pPr>
                  <w:r>
                    <w:rPr>
                      <w:rFonts w:hint="eastAsia" w:ascii="宋体" w:hAnsi="宋体" w:eastAsia="宋体" w:cs="宋体"/>
                      <w:sz w:val="21"/>
                      <w:szCs w:val="21"/>
                    </w:rPr>
                    <w:t>10～20</w:t>
                  </w:r>
                </w:p>
              </w:tc>
              <w:tc>
                <w:tcPr>
                  <w:tcW w:w="1981" w:type="dxa"/>
                  <w:vAlign w:val="center"/>
                </w:tcPr>
                <w:p>
                  <w:pPr>
                    <w:pStyle w:val="109"/>
                    <w:rPr>
                      <w:rFonts w:ascii="宋体" w:hAnsi="宋体" w:eastAsia="宋体" w:cs="宋体"/>
                      <w:sz w:val="21"/>
                      <w:szCs w:val="21"/>
                    </w:rPr>
                  </w:pPr>
                  <w:r>
                    <w:rPr>
                      <w:rFonts w:hint="eastAsia" w:ascii="宋体" w:hAnsi="宋体" w:eastAsia="宋体" w:cs="宋体"/>
                      <w:sz w:val="21"/>
                      <w:szCs w:val="21"/>
                    </w:rPr>
                    <w:t>8001-26-1</w:t>
                  </w:r>
                </w:p>
              </w:tc>
              <w:tc>
                <w:tcPr>
                  <w:tcW w:w="2349" w:type="dxa"/>
                  <w:vAlign w:val="center"/>
                </w:tcPr>
                <w:p>
                  <w:pPr>
                    <w:pStyle w:val="109"/>
                    <w:rPr>
                      <w:rFonts w:ascii="宋体" w:hAnsi="宋体" w:eastAsia="宋体" w:cs="宋体"/>
                      <w:sz w:val="21"/>
                      <w:szCs w:val="21"/>
                    </w:rPr>
                  </w:pPr>
                  <w:r>
                    <w:rPr>
                      <w:rFonts w:hint="eastAsia" w:ascii="宋体" w:hAnsi="宋体" w:eastAsia="宋体" w:cs="宋体"/>
                      <w:sz w:val="21"/>
                      <w:szCs w:val="21"/>
                    </w:rPr>
                    <w:t>232-278-6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4" w:type="dxa"/>
                  <w:vAlign w:val="center"/>
                </w:tcPr>
                <w:p>
                  <w:pPr>
                    <w:pStyle w:val="109"/>
                    <w:rPr>
                      <w:rFonts w:ascii="宋体" w:hAnsi="宋体" w:eastAsia="宋体" w:cs="宋体"/>
                      <w:sz w:val="21"/>
                      <w:szCs w:val="21"/>
                    </w:rPr>
                  </w:pPr>
                  <w:r>
                    <w:rPr>
                      <w:rFonts w:hint="eastAsia" w:ascii="宋体" w:hAnsi="宋体" w:eastAsia="宋体" w:cs="宋体"/>
                      <w:sz w:val="21"/>
                      <w:szCs w:val="21"/>
                    </w:rPr>
                    <w:t>酞青蓝</w:t>
                  </w:r>
                </w:p>
              </w:tc>
              <w:tc>
                <w:tcPr>
                  <w:tcW w:w="2072" w:type="dxa"/>
                  <w:vAlign w:val="center"/>
                </w:tcPr>
                <w:p>
                  <w:pPr>
                    <w:pStyle w:val="109"/>
                    <w:rPr>
                      <w:rFonts w:ascii="宋体" w:hAnsi="宋体" w:eastAsia="宋体" w:cs="宋体"/>
                      <w:sz w:val="21"/>
                      <w:szCs w:val="21"/>
                    </w:rPr>
                  </w:pPr>
                  <w:r>
                    <w:rPr>
                      <w:rFonts w:hint="eastAsia" w:ascii="宋体" w:hAnsi="宋体" w:eastAsia="宋体" w:cs="宋体"/>
                      <w:sz w:val="21"/>
                      <w:szCs w:val="21"/>
                    </w:rPr>
                    <w:t>15～20</w:t>
                  </w:r>
                </w:p>
              </w:tc>
              <w:tc>
                <w:tcPr>
                  <w:tcW w:w="1981" w:type="dxa"/>
                  <w:vAlign w:val="center"/>
                </w:tcPr>
                <w:p>
                  <w:pPr>
                    <w:pStyle w:val="109"/>
                    <w:rPr>
                      <w:rFonts w:ascii="宋体" w:hAnsi="宋体" w:eastAsia="宋体" w:cs="宋体"/>
                      <w:sz w:val="21"/>
                      <w:szCs w:val="21"/>
                    </w:rPr>
                  </w:pPr>
                  <w:r>
                    <w:rPr>
                      <w:rFonts w:hint="eastAsia" w:ascii="宋体" w:hAnsi="宋体" w:eastAsia="宋体" w:cs="宋体"/>
                      <w:sz w:val="21"/>
                      <w:szCs w:val="21"/>
                    </w:rPr>
                    <w:t>147-14-8</w:t>
                  </w:r>
                </w:p>
              </w:tc>
              <w:tc>
                <w:tcPr>
                  <w:tcW w:w="2349" w:type="dxa"/>
                  <w:vAlign w:val="center"/>
                </w:tcPr>
                <w:p>
                  <w:pPr>
                    <w:pStyle w:val="109"/>
                    <w:rPr>
                      <w:rFonts w:ascii="宋体" w:hAnsi="宋体" w:eastAsia="宋体" w:cs="宋体"/>
                      <w:sz w:val="21"/>
                      <w:szCs w:val="21"/>
                    </w:rPr>
                  </w:pPr>
                  <w:r>
                    <w:rPr>
                      <w:rFonts w:hint="eastAsia" w:ascii="宋体" w:hAnsi="宋体" w:eastAsia="宋体" w:cs="宋体"/>
                      <w:sz w:val="21"/>
                      <w:szCs w:val="21"/>
                    </w:rPr>
                    <w:t>205-685-1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4" w:type="dxa"/>
                  <w:vAlign w:val="center"/>
                </w:tcPr>
                <w:p>
                  <w:pPr>
                    <w:pStyle w:val="109"/>
                    <w:rPr>
                      <w:rFonts w:ascii="宋体" w:hAnsi="宋体" w:eastAsia="宋体" w:cs="宋体"/>
                      <w:sz w:val="21"/>
                      <w:szCs w:val="21"/>
                    </w:rPr>
                  </w:pPr>
                  <w:r>
                    <w:rPr>
                      <w:rFonts w:hint="eastAsia" w:ascii="宋体" w:hAnsi="宋体" w:eastAsia="宋体" w:cs="宋体"/>
                      <w:sz w:val="21"/>
                      <w:szCs w:val="21"/>
                    </w:rPr>
                    <w:t>碳酸钙</w:t>
                  </w:r>
                </w:p>
              </w:tc>
              <w:tc>
                <w:tcPr>
                  <w:tcW w:w="2072" w:type="dxa"/>
                  <w:vAlign w:val="center"/>
                </w:tcPr>
                <w:p>
                  <w:pPr>
                    <w:pStyle w:val="109"/>
                    <w:rPr>
                      <w:rFonts w:ascii="宋体" w:hAnsi="宋体" w:eastAsia="宋体" w:cs="宋体"/>
                      <w:sz w:val="21"/>
                      <w:szCs w:val="21"/>
                    </w:rPr>
                  </w:pPr>
                  <w:r>
                    <w:rPr>
                      <w:rFonts w:hint="eastAsia" w:ascii="宋体" w:hAnsi="宋体" w:eastAsia="宋体" w:cs="宋体"/>
                      <w:sz w:val="21"/>
                      <w:szCs w:val="21"/>
                    </w:rPr>
                    <w:t>0～5</w:t>
                  </w:r>
                </w:p>
              </w:tc>
              <w:tc>
                <w:tcPr>
                  <w:tcW w:w="1981" w:type="dxa"/>
                  <w:vAlign w:val="center"/>
                </w:tcPr>
                <w:p>
                  <w:pPr>
                    <w:pStyle w:val="109"/>
                    <w:rPr>
                      <w:rFonts w:ascii="宋体" w:hAnsi="宋体" w:eastAsia="宋体" w:cs="宋体"/>
                      <w:sz w:val="21"/>
                      <w:szCs w:val="21"/>
                    </w:rPr>
                  </w:pPr>
                  <w:r>
                    <w:rPr>
                      <w:rFonts w:hint="eastAsia" w:ascii="宋体" w:hAnsi="宋体" w:eastAsia="宋体" w:cs="宋体"/>
                      <w:sz w:val="21"/>
                      <w:szCs w:val="21"/>
                    </w:rPr>
                    <w:t>471-34-1</w:t>
                  </w:r>
                </w:p>
              </w:tc>
              <w:tc>
                <w:tcPr>
                  <w:tcW w:w="2349" w:type="dxa"/>
                  <w:vAlign w:val="center"/>
                </w:tcPr>
                <w:p>
                  <w:pPr>
                    <w:pStyle w:val="109"/>
                    <w:rPr>
                      <w:rFonts w:ascii="宋体" w:hAnsi="宋体" w:eastAsia="宋体" w:cs="宋体"/>
                      <w:sz w:val="21"/>
                      <w:szCs w:val="21"/>
                    </w:rPr>
                  </w:pPr>
                  <w:r>
                    <w:rPr>
                      <w:rFonts w:hint="eastAsia" w:ascii="宋体" w:hAnsi="宋体" w:eastAsia="宋体" w:cs="宋体"/>
                      <w:sz w:val="21"/>
                      <w:szCs w:val="21"/>
                    </w:rPr>
                    <w:t>207-439-9</w:t>
                  </w:r>
                </w:p>
              </w:tc>
            </w:tr>
          </w:tbl>
          <w:p>
            <w:pPr>
              <w:pStyle w:val="20"/>
              <w:ind w:firstLine="480"/>
              <w:rPr>
                <w:rFonts w:ascii="黑体" w:hAnsi="黑体" w:eastAsia="黑体" w:cs="黑体"/>
                <w:b w:val="0"/>
                <w:bCs/>
              </w:rPr>
            </w:pPr>
            <w:r>
              <w:rPr>
                <w:rFonts w:hint="eastAsia" w:ascii="黑体" w:hAnsi="黑体" w:eastAsia="黑体" w:cs="黑体"/>
                <w:b w:val="0"/>
                <w:bCs/>
              </w:rPr>
              <w:t>五、工作制度与定员</w:t>
            </w:r>
          </w:p>
          <w:p>
            <w:pPr>
              <w:pStyle w:val="108"/>
              <w:ind w:firstLine="480"/>
              <w:rPr>
                <w:rFonts w:ascii="Times New Roman" w:hAnsi="Times New Roman" w:eastAsia="宋体"/>
              </w:rPr>
            </w:pPr>
            <w:r>
              <w:rPr>
                <w:rFonts w:hint="eastAsia" w:ascii="Times New Roman" w:hAnsi="Times New Roman" w:eastAsia="宋体"/>
              </w:rPr>
              <w:t>扩建前：原项目定员52人，年工作日300天，每天工作8小时。</w:t>
            </w:r>
          </w:p>
          <w:p>
            <w:pPr>
              <w:pStyle w:val="108"/>
              <w:ind w:firstLine="480"/>
              <w:rPr>
                <w:rFonts w:ascii="Times New Roman" w:hAnsi="Times New Roman" w:eastAsia="宋体"/>
              </w:rPr>
            </w:pPr>
            <w:r>
              <w:rPr>
                <w:rFonts w:hint="eastAsia" w:ascii="Times New Roman" w:hAnsi="Times New Roman" w:eastAsia="宋体"/>
              </w:rPr>
              <w:t>扩建后：新增</w:t>
            </w:r>
            <w:r>
              <w:rPr>
                <w:rFonts w:hint="eastAsia" w:ascii="Times New Roman" w:hAnsi="Times New Roman" w:eastAsia="宋体"/>
                <w:lang w:val="zh-CN"/>
              </w:rPr>
              <w:t>定员</w:t>
            </w:r>
            <w:r>
              <w:rPr>
                <w:rFonts w:hint="eastAsia" w:ascii="Times New Roman" w:hAnsi="Times New Roman" w:eastAsia="宋体"/>
              </w:rPr>
              <w:t>18人，全厂定员70人，年工作日300天，每天工作8小时。本项目不为员工提供食宿。</w:t>
            </w:r>
          </w:p>
          <w:p>
            <w:pPr>
              <w:pStyle w:val="20"/>
              <w:ind w:firstLine="480"/>
              <w:rPr>
                <w:rFonts w:ascii="黑体" w:hAnsi="黑体" w:eastAsia="黑体" w:cs="黑体"/>
                <w:b w:val="0"/>
                <w:bCs/>
              </w:rPr>
            </w:pPr>
            <w:r>
              <w:rPr>
                <w:rFonts w:hint="eastAsia" w:ascii="黑体" w:hAnsi="黑体" w:eastAsia="黑体" w:cs="黑体"/>
                <w:b w:val="0"/>
                <w:bCs/>
              </w:rPr>
              <w:t>六、公用工程</w:t>
            </w:r>
          </w:p>
          <w:p>
            <w:pPr>
              <w:pStyle w:val="108"/>
              <w:ind w:firstLine="480"/>
              <w:rPr>
                <w:rFonts w:ascii="Times New Roman" w:hAnsi="Times New Roman" w:eastAsia="宋体"/>
              </w:rPr>
            </w:pPr>
            <w:r>
              <w:rPr>
                <w:rFonts w:hint="eastAsia" w:ascii="Times New Roman" w:hAnsi="Times New Roman" w:eastAsia="宋体"/>
              </w:rPr>
              <w:t>6.1、给排水</w:t>
            </w:r>
          </w:p>
          <w:p>
            <w:pPr>
              <w:pStyle w:val="108"/>
              <w:ind w:firstLine="480"/>
              <w:rPr>
                <w:rFonts w:ascii="Times New Roman" w:hAnsi="Times New Roman" w:eastAsia="宋体"/>
              </w:rPr>
            </w:pPr>
            <w:r>
              <w:rPr>
                <w:rFonts w:hint="eastAsia" w:ascii="Times New Roman" w:hAnsi="Times New Roman" w:eastAsia="宋体"/>
              </w:rPr>
              <w:t>供水：由市政给水管网直接供给。</w:t>
            </w:r>
          </w:p>
          <w:p>
            <w:pPr>
              <w:pStyle w:val="108"/>
              <w:ind w:firstLine="480"/>
              <w:rPr>
                <w:rFonts w:ascii="Times New Roman" w:hAnsi="Times New Roman" w:eastAsia="宋体"/>
              </w:rPr>
            </w:pPr>
            <w:r>
              <w:rPr>
                <w:rFonts w:hint="eastAsia" w:ascii="Times New Roman" w:hAnsi="Times New Roman" w:eastAsia="宋体"/>
              </w:rPr>
              <w:t>排水：生活污水经化粪池预处理后由附近居民定期清掏。</w:t>
            </w:r>
          </w:p>
          <w:p>
            <w:pPr>
              <w:pStyle w:val="108"/>
              <w:ind w:firstLine="480"/>
              <w:rPr>
                <w:rFonts w:ascii="Times New Roman" w:hAnsi="Times New Roman" w:eastAsia="宋体"/>
              </w:rPr>
            </w:pPr>
            <w:r>
              <w:rPr>
                <w:rFonts w:hint="eastAsia" w:ascii="Times New Roman" w:hAnsi="Times New Roman" w:eastAsia="宋体"/>
              </w:rPr>
              <w:t>6.2、供电</w:t>
            </w:r>
          </w:p>
          <w:p>
            <w:pPr>
              <w:spacing w:line="360" w:lineRule="auto"/>
              <w:ind w:firstLine="480" w:firstLineChars="200"/>
              <w:rPr>
                <w:rFonts w:eastAsia="宋体"/>
              </w:rPr>
            </w:pPr>
            <w:r>
              <w:rPr>
                <w:rFonts w:hint="eastAsia" w:ascii="Times New Roman" w:hAnsi="Times New Roman" w:eastAsia="宋体"/>
                <w:sz w:val="24"/>
              </w:rPr>
              <w:t>由淮南市供电局供电。</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44" w:type="dxa"/>
            <w:tcBorders>
              <w:tl2br w:val="nil"/>
              <w:tr2bl w:val="nil"/>
            </w:tcBorders>
            <w:vAlign w:val="center"/>
          </w:tcPr>
          <w:p>
            <w:pPr>
              <w:pStyle w:val="2"/>
              <w:spacing w:line="215" w:lineRule="exact"/>
              <w:jc w:val="center"/>
            </w:pPr>
            <w:r>
              <w:rPr>
                <w:rFonts w:hint="eastAsia"/>
              </w:rPr>
              <w:t>工</w:t>
            </w:r>
            <w:r>
              <w:t>艺</w:t>
            </w:r>
            <w:r>
              <w:rPr>
                <w:spacing w:val="-9"/>
              </w:rPr>
              <w:t>流程和产排污环节</w:t>
            </w:r>
          </w:p>
        </w:tc>
        <w:tc>
          <w:tcPr>
            <w:tcW w:w="8444" w:type="dxa"/>
            <w:tcBorders>
              <w:tl2br w:val="nil"/>
              <w:tr2bl w:val="nil"/>
            </w:tcBorders>
          </w:tcPr>
          <w:p>
            <w:pPr>
              <w:pStyle w:val="112"/>
            </w:pPr>
            <w:r>
              <w:t>工艺流程简述（如图）：</w:t>
            </w:r>
          </w:p>
          <w:p>
            <w:pPr>
              <w:pStyle w:val="113"/>
            </w:pPr>
            <w:r>
              <w:rPr>
                <w:rFonts w:hint="eastAsia"/>
              </w:rPr>
              <w:t>1</w:t>
            </w:r>
            <w:r>
              <w:t>、施工期工程分析</w:t>
            </w:r>
          </w:p>
          <w:p>
            <w:pPr>
              <w:pStyle w:val="108"/>
              <w:ind w:firstLine="480"/>
            </w:pPr>
            <w:r>
              <w:rPr>
                <w:rFonts w:hint="eastAsia"/>
              </w:rPr>
              <w:t>项目在现有厂区进行项目建设，厂房等已建设完成，</w:t>
            </w:r>
            <w:r>
              <w:t>无土方开挖、结构、装饰等施工期作业</w:t>
            </w:r>
            <w:r>
              <w:rPr>
                <w:rFonts w:hint="eastAsia"/>
              </w:rPr>
              <w:t>，主要为设备安装时施工人员产生的少量生活废水和生活垃圾等。目前项目已建成投产，施工期环境影响已消除，本次环评对施工期的环境影响不做分析。</w:t>
            </w:r>
          </w:p>
          <w:p>
            <w:pPr>
              <w:pStyle w:val="113"/>
            </w:pPr>
            <w:r>
              <w:rPr>
                <w:rFonts w:hint="eastAsia"/>
              </w:rPr>
              <w:t>2</w:t>
            </w:r>
            <w:r>
              <w:t>、</w:t>
            </w:r>
            <w:r>
              <w:rPr>
                <w:rFonts w:hint="eastAsia"/>
              </w:rPr>
              <w:t>营运</w:t>
            </w:r>
            <w:r>
              <w:t>期工程分析</w:t>
            </w:r>
          </w:p>
          <w:p>
            <w:pPr>
              <w:pStyle w:val="111"/>
              <w:spacing w:line="360" w:lineRule="auto"/>
              <w:ind w:firstLine="482"/>
            </w:pPr>
            <w:r>
              <w:rPr>
                <w:rFonts w:hint="eastAsia"/>
              </w:rPr>
              <w:t>（一）、瓦楞纸箱生产</w:t>
            </w:r>
          </w:p>
          <w:p>
            <w:pPr>
              <w:pStyle w:val="5"/>
              <w:spacing w:line="360" w:lineRule="auto"/>
            </w:pPr>
            <w:r>
              <mc:AlternateContent>
                <mc:Choice Requires="wpg">
                  <w:drawing>
                    <wp:anchor distT="0" distB="0" distL="114300" distR="114300" simplePos="0" relativeHeight="251661312" behindDoc="0" locked="0" layoutInCell="1" allowOverlap="1">
                      <wp:simplePos x="0" y="0"/>
                      <wp:positionH relativeFrom="column">
                        <wp:posOffset>13970</wp:posOffset>
                      </wp:positionH>
                      <wp:positionV relativeFrom="paragraph">
                        <wp:posOffset>38735</wp:posOffset>
                      </wp:positionV>
                      <wp:extent cx="4831080" cy="868045"/>
                      <wp:effectExtent l="4445" t="5080" r="22225" b="22225"/>
                      <wp:wrapNone/>
                      <wp:docPr id="26" name="组合 186"/>
                      <wp:cNvGraphicFramePr/>
                      <a:graphic xmlns:a="http://schemas.openxmlformats.org/drawingml/2006/main">
                        <a:graphicData uri="http://schemas.microsoft.com/office/word/2010/wordprocessingGroup">
                          <wpg:wgp>
                            <wpg:cNvGrpSpPr/>
                            <wpg:grpSpPr>
                              <a:xfrm>
                                <a:off x="0" y="0"/>
                                <a:ext cx="4831080" cy="868106"/>
                                <a:chOff x="5911" y="365477"/>
                                <a:chExt cx="7353" cy="1248"/>
                              </a:xfrm>
                            </wpg:grpSpPr>
                            <wps:wsp>
                              <wps:cNvPr id="27" name="文本框 221"/>
                              <wps:cNvSpPr txBox="1">
                                <a:spLocks noChangeArrowheads="1"/>
                              </wps:cNvSpPr>
                              <wps:spPr bwMode="auto">
                                <a:xfrm>
                                  <a:off x="7625" y="365482"/>
                                  <a:ext cx="1364" cy="390"/>
                                </a:xfrm>
                                <a:prstGeom prst="rect">
                                  <a:avLst/>
                                </a:prstGeom>
                                <a:gradFill rotWithShape="0">
                                  <a:gsLst>
                                    <a:gs pos="0">
                                      <a:srgbClr val="FFFFFF"/>
                                    </a:gs>
                                    <a:gs pos="100000">
                                      <a:srgbClr val="FFFFFF"/>
                                    </a:gs>
                                  </a:gsLst>
                                  <a:lin ang="0"/>
                                </a:gradFill>
                                <a:ln w="9525">
                                  <a:solidFill>
                                    <a:srgbClr val="FFFFFF"/>
                                  </a:solidFill>
                                  <a:prstDash val="lgDash"/>
                                  <a:miter lim="800000"/>
                                </a:ln>
                              </wps:spPr>
                              <wps:txbx>
                                <w:txbxContent>
                                  <w:p>
                                    <w:pPr>
                                      <w:jc w:val="center"/>
                                    </w:pPr>
                                    <w:r>
                                      <w:rPr>
                                        <w:rFonts w:hint="eastAsia"/>
                                      </w:rPr>
                                      <w:t>废气、废水</w:t>
                                    </w:r>
                                  </w:p>
                                </w:txbxContent>
                              </wps:txbx>
                              <wps:bodyPr rot="0" vert="horz" wrap="square" lIns="91440" tIns="45720" rIns="91440" bIns="45720" anchor="t" anchorCtr="0" upright="1">
                                <a:noAutofit/>
                              </wps:bodyPr>
                            </wps:wsp>
                            <wps:wsp>
                              <wps:cNvPr id="28" name="箭头 10"/>
                              <wps:cNvCnPr/>
                              <wps:spPr bwMode="auto">
                                <a:xfrm>
                                  <a:off x="7260" y="366500"/>
                                  <a:ext cx="340" cy="1"/>
                                </a:xfrm>
                                <a:prstGeom prst="line">
                                  <a:avLst/>
                                </a:prstGeom>
                                <a:noFill/>
                                <a:ln w="6350">
                                  <a:solidFill>
                                    <a:srgbClr val="000000"/>
                                  </a:solidFill>
                                  <a:round/>
                                  <a:tailEnd type="triangle" w="med" len="med"/>
                                </a:ln>
                              </wps:spPr>
                              <wps:bodyPr/>
                            </wps:wsp>
                            <wps:wsp>
                              <wps:cNvPr id="29" name="Text Box 175"/>
                              <wps:cNvSpPr txBox="1">
                                <a:spLocks noChangeArrowheads="1"/>
                              </wps:cNvSpPr>
                              <wps:spPr bwMode="auto">
                                <a:xfrm>
                                  <a:off x="5911" y="366273"/>
                                  <a:ext cx="1304" cy="451"/>
                                </a:xfrm>
                                <a:prstGeom prst="rect">
                                  <a:avLst/>
                                </a:prstGeom>
                                <a:solidFill>
                                  <a:srgbClr val="FFFFFF"/>
                                </a:solidFill>
                                <a:ln w="9525">
                                  <a:solidFill>
                                    <a:srgbClr val="000000"/>
                                  </a:solidFill>
                                  <a:miter lim="800000"/>
                                </a:ln>
                              </wps:spPr>
                              <wps:txbx>
                                <w:txbxContent>
                                  <w:p>
                                    <w:pPr>
                                      <w:jc w:val="center"/>
                                    </w:pPr>
                                    <w:r>
                                      <w:rPr>
                                        <w:rFonts w:hint="eastAsia"/>
                                      </w:rPr>
                                      <w:t>成品瓦楞纸</w:t>
                                    </w:r>
                                  </w:p>
                                </w:txbxContent>
                              </wps:txbx>
                              <wps:bodyPr rot="0" vert="horz" wrap="square" lIns="72000" tIns="45720" rIns="72000" bIns="45720" anchor="t" anchorCtr="0" upright="1">
                                <a:noAutofit/>
                              </wps:bodyPr>
                            </wps:wsp>
                            <wps:wsp>
                              <wps:cNvPr id="30" name="文本框 5"/>
                              <wps:cNvSpPr txBox="1">
                                <a:spLocks noChangeArrowheads="1"/>
                              </wps:cNvSpPr>
                              <wps:spPr bwMode="auto">
                                <a:xfrm>
                                  <a:off x="7631" y="366260"/>
                                  <a:ext cx="1378" cy="451"/>
                                </a:xfrm>
                                <a:prstGeom prst="rect">
                                  <a:avLst/>
                                </a:prstGeom>
                                <a:solidFill>
                                  <a:srgbClr val="FFFFFF"/>
                                </a:solidFill>
                                <a:ln w="9525">
                                  <a:solidFill>
                                    <a:srgbClr val="000000"/>
                                  </a:solidFill>
                                  <a:miter lim="800000"/>
                                </a:ln>
                              </wps:spPr>
                              <wps:txbx>
                                <w:txbxContent>
                                  <w:p>
                                    <w:pPr>
                                      <w:jc w:val="center"/>
                                    </w:pPr>
                                    <w:r>
                                      <w:rPr>
                                        <w:rFonts w:hint="eastAsia"/>
                                      </w:rPr>
                                      <w:t>印刷、开槽</w:t>
                                    </w:r>
                                  </w:p>
                                </w:txbxContent>
                              </wps:txbx>
                              <wps:bodyPr rot="0" vert="horz" wrap="square" lIns="91440" tIns="45720" rIns="91440" bIns="45720" anchor="t" anchorCtr="0" upright="1">
                                <a:noAutofit/>
                              </wps:bodyPr>
                            </wps:wsp>
                            <wps:wsp>
                              <wps:cNvPr id="31" name="箭头 381"/>
                              <wps:cNvCnPr/>
                              <wps:spPr bwMode="auto">
                                <a:xfrm flipV="1">
                                  <a:off x="8349" y="365924"/>
                                  <a:ext cx="1" cy="340"/>
                                </a:xfrm>
                                <a:prstGeom prst="line">
                                  <a:avLst/>
                                </a:prstGeom>
                                <a:noFill/>
                                <a:ln w="6350">
                                  <a:solidFill>
                                    <a:srgbClr val="000000"/>
                                  </a:solidFill>
                                  <a:prstDash val="dash"/>
                                  <a:round/>
                                  <a:tailEnd type="triangle" w="med" len="med"/>
                                </a:ln>
                              </wps:spPr>
                              <wps:bodyPr/>
                            </wps:wsp>
                            <wps:wsp>
                              <wps:cNvPr id="32" name="箭头 10"/>
                              <wps:cNvCnPr/>
                              <wps:spPr bwMode="auto">
                                <a:xfrm>
                                  <a:off x="10296" y="366495"/>
                                  <a:ext cx="340" cy="1"/>
                                </a:xfrm>
                                <a:prstGeom prst="line">
                                  <a:avLst/>
                                </a:prstGeom>
                                <a:noFill/>
                                <a:ln w="6350">
                                  <a:solidFill>
                                    <a:srgbClr val="000000"/>
                                  </a:solidFill>
                                  <a:round/>
                                  <a:tailEnd type="triangle" w="med" len="med"/>
                                </a:ln>
                              </wps:spPr>
                              <wps:bodyPr/>
                            </wps:wsp>
                            <wps:wsp>
                              <wps:cNvPr id="33" name="文本框 5"/>
                              <wps:cNvSpPr txBox="1">
                                <a:spLocks noChangeArrowheads="1"/>
                              </wps:cNvSpPr>
                              <wps:spPr bwMode="auto">
                                <a:xfrm>
                                  <a:off x="9366" y="366274"/>
                                  <a:ext cx="907" cy="451"/>
                                </a:xfrm>
                                <a:prstGeom prst="rect">
                                  <a:avLst/>
                                </a:prstGeom>
                                <a:solidFill>
                                  <a:srgbClr val="FFFFFF"/>
                                </a:solidFill>
                                <a:ln w="9525">
                                  <a:solidFill>
                                    <a:srgbClr val="000000"/>
                                  </a:solidFill>
                                  <a:miter lim="800000"/>
                                </a:ln>
                              </wps:spPr>
                              <wps:txbx>
                                <w:txbxContent>
                                  <w:p>
                                    <w:pPr>
                                      <w:jc w:val="center"/>
                                    </w:pPr>
                                    <w:r>
                                      <w:rPr>
                                        <w:rFonts w:hint="eastAsia"/>
                                      </w:rPr>
                                      <w:t>模切</w:t>
                                    </w:r>
                                  </w:p>
                                </w:txbxContent>
                              </wps:txbx>
                              <wps:bodyPr rot="0" vert="horz" wrap="square" lIns="0" tIns="45720" rIns="0" bIns="45720" anchor="t" anchorCtr="0" upright="1">
                                <a:noAutofit/>
                              </wps:bodyPr>
                            </wps:wsp>
                            <wps:wsp>
                              <wps:cNvPr id="34" name="箭头 10"/>
                              <wps:cNvCnPr/>
                              <wps:spPr bwMode="auto">
                                <a:xfrm>
                                  <a:off x="11847" y="366495"/>
                                  <a:ext cx="340" cy="1"/>
                                </a:xfrm>
                                <a:prstGeom prst="line">
                                  <a:avLst/>
                                </a:prstGeom>
                                <a:noFill/>
                                <a:ln w="6350">
                                  <a:solidFill>
                                    <a:srgbClr val="000000"/>
                                  </a:solidFill>
                                  <a:round/>
                                  <a:tailEnd type="triangle" w="med" len="med"/>
                                </a:ln>
                              </wps:spPr>
                              <wps:bodyPr/>
                            </wps:wsp>
                            <wps:wsp>
                              <wps:cNvPr id="35" name="文本框 5"/>
                              <wps:cNvSpPr txBox="1">
                                <a:spLocks noChangeArrowheads="1"/>
                              </wps:cNvSpPr>
                              <wps:spPr bwMode="auto">
                                <a:xfrm>
                                  <a:off x="10654" y="366273"/>
                                  <a:ext cx="1191" cy="451"/>
                                </a:xfrm>
                                <a:prstGeom prst="rect">
                                  <a:avLst/>
                                </a:prstGeom>
                                <a:solidFill>
                                  <a:srgbClr val="FFFFFF"/>
                                </a:solidFill>
                                <a:ln w="9525">
                                  <a:solidFill>
                                    <a:srgbClr val="000000"/>
                                  </a:solidFill>
                                  <a:miter lim="800000"/>
                                </a:ln>
                              </wps:spPr>
                              <wps:txbx>
                                <w:txbxContent>
                                  <w:p>
                                    <w:pPr>
                                      <w:jc w:val="center"/>
                                    </w:pPr>
                                    <w:r>
                                      <w:rPr>
                                        <w:rFonts w:hint="eastAsia"/>
                                      </w:rPr>
                                      <w:t>钉箱/粘箱</w:t>
                                    </w:r>
                                  </w:p>
                                </w:txbxContent>
                              </wps:txbx>
                              <wps:bodyPr rot="0" vert="horz" wrap="square" lIns="72000" tIns="45720" rIns="72000" bIns="45720" anchor="t" anchorCtr="0" upright="1">
                                <a:noAutofit/>
                              </wps:bodyPr>
                            </wps:wsp>
                            <wps:wsp>
                              <wps:cNvPr id="36" name="箭头 381"/>
                              <wps:cNvCnPr/>
                              <wps:spPr bwMode="auto">
                                <a:xfrm flipV="1">
                                  <a:off x="9824" y="365907"/>
                                  <a:ext cx="1" cy="340"/>
                                </a:xfrm>
                                <a:prstGeom prst="line">
                                  <a:avLst/>
                                </a:prstGeom>
                                <a:noFill/>
                                <a:ln w="6350">
                                  <a:solidFill>
                                    <a:srgbClr val="000000"/>
                                  </a:solidFill>
                                  <a:prstDash val="dash"/>
                                  <a:round/>
                                  <a:tailEnd type="triangle" w="med" len="med"/>
                                </a:ln>
                              </wps:spPr>
                              <wps:bodyPr/>
                            </wps:wsp>
                            <wps:wsp>
                              <wps:cNvPr id="63" name="箭头 10"/>
                              <wps:cNvCnPr/>
                              <wps:spPr bwMode="auto">
                                <a:xfrm>
                                  <a:off x="9027" y="366509"/>
                                  <a:ext cx="340" cy="1"/>
                                </a:xfrm>
                                <a:prstGeom prst="line">
                                  <a:avLst/>
                                </a:prstGeom>
                                <a:noFill/>
                                <a:ln w="6350">
                                  <a:solidFill>
                                    <a:srgbClr val="000000"/>
                                  </a:solidFill>
                                  <a:round/>
                                  <a:tailEnd type="triangle" w="med" len="med"/>
                                </a:ln>
                              </wps:spPr>
                              <wps:bodyPr/>
                            </wps:wsp>
                            <wps:wsp>
                              <wps:cNvPr id="64" name="文本框 5"/>
                              <wps:cNvSpPr txBox="1">
                                <a:spLocks noChangeArrowheads="1"/>
                              </wps:cNvSpPr>
                              <wps:spPr bwMode="auto">
                                <a:xfrm>
                                  <a:off x="12170" y="366267"/>
                                  <a:ext cx="1094" cy="451"/>
                                </a:xfrm>
                                <a:prstGeom prst="rect">
                                  <a:avLst/>
                                </a:prstGeom>
                                <a:solidFill>
                                  <a:srgbClr val="FFFFFF"/>
                                </a:solidFill>
                                <a:ln w="9525">
                                  <a:solidFill>
                                    <a:srgbClr val="000000"/>
                                  </a:solidFill>
                                  <a:miter lim="800000"/>
                                </a:ln>
                              </wps:spPr>
                              <wps:txbx>
                                <w:txbxContent>
                                  <w:p>
                                    <w:pPr>
                                      <w:jc w:val="center"/>
                                    </w:pPr>
                                    <w:r>
                                      <w:rPr>
                                        <w:rFonts w:hint="eastAsia"/>
                                      </w:rPr>
                                      <w:t>打包入库</w:t>
                                    </w:r>
                                  </w:p>
                                </w:txbxContent>
                              </wps:txbx>
                              <wps:bodyPr rot="0" vert="horz" wrap="square" lIns="72000" tIns="45720" rIns="72000" bIns="45720" anchor="t" anchorCtr="0" upright="1">
                                <a:noAutofit/>
                              </wps:bodyPr>
                            </wps:wsp>
                            <wps:wsp>
                              <wps:cNvPr id="65" name="文本框 239"/>
                              <wps:cNvSpPr txBox="1">
                                <a:spLocks noChangeArrowheads="1"/>
                              </wps:cNvSpPr>
                              <wps:spPr bwMode="auto">
                                <a:xfrm>
                                  <a:off x="9265" y="365477"/>
                                  <a:ext cx="1265" cy="390"/>
                                </a:xfrm>
                                <a:prstGeom prst="rect">
                                  <a:avLst/>
                                </a:prstGeom>
                                <a:gradFill rotWithShape="0">
                                  <a:gsLst>
                                    <a:gs pos="0">
                                      <a:srgbClr val="FFFFFF"/>
                                    </a:gs>
                                    <a:gs pos="100000">
                                      <a:srgbClr val="FFFFFF"/>
                                    </a:gs>
                                  </a:gsLst>
                                  <a:lin ang="0"/>
                                </a:gradFill>
                                <a:ln w="9525">
                                  <a:solidFill>
                                    <a:srgbClr val="FFFFFF"/>
                                  </a:solidFill>
                                  <a:prstDash val="lgDash"/>
                                  <a:miter lim="800000"/>
                                </a:ln>
                              </wps:spPr>
                              <wps:txbx>
                                <w:txbxContent>
                                  <w:p>
                                    <w:r>
                                      <w:rPr>
                                        <w:rFonts w:hint="eastAsia"/>
                                      </w:rPr>
                                      <w:t>固废、噪声</w:t>
                                    </w:r>
                                  </w:p>
                                </w:txbxContent>
                              </wps:txbx>
                              <wps:bodyPr rot="0" vert="horz" wrap="square" lIns="91440" tIns="45720" rIns="91440" bIns="45720" anchor="t" anchorCtr="0" upright="1">
                                <a:noAutofit/>
                              </wps:bodyPr>
                            </wps:wsp>
                            <wps:wsp>
                              <wps:cNvPr id="66" name="箭头 381"/>
                              <wps:cNvCnPr/>
                              <wps:spPr bwMode="auto">
                                <a:xfrm flipV="1">
                                  <a:off x="11256" y="365897"/>
                                  <a:ext cx="1" cy="340"/>
                                </a:xfrm>
                                <a:prstGeom prst="line">
                                  <a:avLst/>
                                </a:prstGeom>
                                <a:noFill/>
                                <a:ln w="6350">
                                  <a:solidFill>
                                    <a:srgbClr val="000000"/>
                                  </a:solidFill>
                                  <a:prstDash val="dash"/>
                                  <a:round/>
                                  <a:tailEnd type="triangle" w="med" len="med"/>
                                </a:ln>
                              </wps:spPr>
                              <wps:bodyPr/>
                            </wps:wsp>
                            <wps:wsp>
                              <wps:cNvPr id="67" name="文本框 239"/>
                              <wps:cNvSpPr txBox="1">
                                <a:spLocks noChangeArrowheads="1"/>
                              </wps:cNvSpPr>
                              <wps:spPr bwMode="auto">
                                <a:xfrm>
                                  <a:off x="10932" y="365507"/>
                                  <a:ext cx="1237" cy="390"/>
                                </a:xfrm>
                                <a:prstGeom prst="rect">
                                  <a:avLst/>
                                </a:prstGeom>
                                <a:gradFill rotWithShape="0">
                                  <a:gsLst>
                                    <a:gs pos="0">
                                      <a:srgbClr val="FFFFFF"/>
                                    </a:gs>
                                    <a:gs pos="100000">
                                      <a:srgbClr val="FFFFFF"/>
                                    </a:gs>
                                  </a:gsLst>
                                  <a:lin ang="0"/>
                                </a:gradFill>
                                <a:ln w="9525">
                                  <a:solidFill>
                                    <a:srgbClr val="FFFFFF"/>
                                  </a:solidFill>
                                  <a:prstDash val="lgDash"/>
                                  <a:miter lim="800000"/>
                                </a:ln>
                              </wps:spPr>
                              <wps:txbx>
                                <w:txbxContent>
                                  <w:p>
                                    <w:r>
                                      <w:rPr>
                                        <w:rFonts w:hint="eastAsia"/>
                                      </w:rPr>
                                      <w:t>噪声、废气</w:t>
                                    </w:r>
                                  </w:p>
                                  <w:p/>
                                </w:txbxContent>
                              </wps:txbx>
                              <wps:bodyPr rot="0" vert="horz" wrap="square" lIns="91440" tIns="50400" rIns="91440" bIns="45720" anchor="t" anchorCtr="0" upright="1">
                                <a:noAutofit/>
                              </wps:bodyPr>
                            </wps:wsp>
                          </wpg:wgp>
                        </a:graphicData>
                      </a:graphic>
                    </wp:anchor>
                  </w:drawing>
                </mc:Choice>
                <mc:Fallback>
                  <w:pict>
                    <v:group id="组合 186" o:spid="_x0000_s1026" o:spt="203" style="position:absolute;left:0pt;margin-left:1.1pt;margin-top:3.05pt;height:68.35pt;width:380.4pt;z-index:251661312;mso-width-relative:page;mso-height-relative:page;" coordorigin="5911,365477" coordsize="7353,1248" o:gfxdata="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AABy6bXAAAABwEAAA8AAAAAAAAAAQAgAAAAIgAAAGRycy9kb3du&#10;cmV2LnhtbFBLAQIUABQAAAAIAIdO4kC6e4MhVwUAAP8mAAAOAAAAAAAAAAEAIAAAACYBAABkcnMv&#10;ZTJvRG9jLnhtbFBLBQYAAAAABgAGAFkBAADvCAAAAAA=&#10;">
                      <o:lock v:ext="edit" aspectratio="f"/>
                      <v:shape id="文本框 221" o:spid="_x0000_s1026" o:spt="202" type="#_x0000_t202" style="position:absolute;left:7625;top:365482;height:390;width:1364;" fillcolor="#FFFFFF" filled="t" stroked="t" coordsize="21600,21600" o:gfxdata="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TK2EvQAA&#10;ANs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FFFFFF" miterlimit="8" joinstyle="miter" dashstyle="longDash"/>
                        <v:imagedata o:title=""/>
                        <o:lock v:ext="edit" aspectratio="f"/>
                        <v:textbox>
                          <w:txbxContent>
                            <w:p>
                              <w:pPr>
                                <w:jc w:val="center"/>
                              </w:pPr>
                              <w:r>
                                <w:rPr>
                                  <w:rFonts w:hint="eastAsia"/>
                                </w:rPr>
                                <w:t>废气、废水</w:t>
                              </w:r>
                            </w:p>
                          </w:txbxContent>
                        </v:textbox>
                      </v:shape>
                      <v:line id="箭头 10" o:spid="_x0000_s1026" o:spt="20" style="position:absolute;left:7260;top:366500;height:1;width:340;" filled="f" stroked="t" coordsize="21600,21600" o:gfxdata="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ExGr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Text Box 175" o:spid="_x0000_s1026" o:spt="202" type="#_x0000_t202" style="position:absolute;left:5911;top:366273;height:451;width:1304;" fillcolor="#FFFFFF" filled="t" stroked="t" coordsize="21600,21600" o:gfxdata="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7gG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2mm,1.27mm,2mm,1.27mm">
                          <w:txbxContent>
                            <w:p>
                              <w:pPr>
                                <w:jc w:val="center"/>
                              </w:pPr>
                              <w:r>
                                <w:rPr>
                                  <w:rFonts w:hint="eastAsia"/>
                                </w:rPr>
                                <w:t>成品瓦楞纸</w:t>
                              </w:r>
                            </w:p>
                          </w:txbxContent>
                        </v:textbox>
                      </v:shape>
                      <v:shape id="文本框 5" o:spid="_x0000_s1026" o:spt="202" type="#_x0000_t202" style="position:absolute;left:7631;top:366260;height:451;width:1378;"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印刷、开槽</w:t>
                              </w:r>
                            </w:p>
                          </w:txbxContent>
                        </v:textbox>
                      </v:shape>
                      <v:line id="箭头 381" o:spid="_x0000_s1026" o:spt="20" style="position:absolute;left:8349;top:365924;flip:y;height:340;width:1;" filled="f" stroked="t" coordsize="21600,21600" o:gfxdata="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Pr0b4A&#10;AADbAAAADwAAAAAAAAABACAAAAAiAAAAZHJzL2Rvd25yZXYueG1sUEsBAhQAFAAAAAgAh07iQDMv&#10;BZ47AAAAOQAAABAAAAAAAAAAAQAgAAAADQEAAGRycy9zaGFwZXhtbC54bWxQSwUGAAAAAAYABgBb&#10;AQAAtwMAAAAA&#10;">
                        <v:fill on="f" focussize="0,0"/>
                        <v:stroke weight="0.5pt" color="#000000" joinstyle="round" dashstyle="dash" endarrow="block"/>
                        <v:imagedata o:title=""/>
                        <o:lock v:ext="edit" aspectratio="f"/>
                      </v:line>
                      <v:line id="箭头 10" o:spid="_x0000_s1026" o:spt="20" style="position:absolute;left:10296;top:366495;height:1;width:340;" filled="f" stroked="t" coordsize="21600,21600" o:gfxdata="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gJAt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文本框 5" o:spid="_x0000_s1026" o:spt="202" type="#_x0000_t202" style="position:absolute;left:9366;top:366274;height:451;width:907;" fillcolor="#FFFFFF" filled="t" stroked="t" coordsize="21600,21600" o:gfxdata="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beX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1.27mm,0mm,1.27mm">
                          <w:txbxContent>
                            <w:p>
                              <w:pPr>
                                <w:jc w:val="center"/>
                              </w:pPr>
                              <w:r>
                                <w:rPr>
                                  <w:rFonts w:hint="eastAsia"/>
                                </w:rPr>
                                <w:t>模切</w:t>
                              </w:r>
                            </w:p>
                          </w:txbxContent>
                        </v:textbox>
                      </v:shape>
                      <v:line id="箭头 10" o:spid="_x0000_s1026" o:spt="20" style="position:absolute;left:11847;top:366495;height:1;width:340;" filled="f" stroked="t" coordsize="21600,21600" o:gfxdata="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a3C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文本框 5" o:spid="_x0000_s1026" o:spt="202" type="#_x0000_t202" style="position:absolute;left:10654;top:366273;height:451;width:1191;" fillcolor="#FFFFFF" filled="t" stroked="t" coordsize="21600,21600" o:gfxdata="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KfMO/&#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mm,1.27mm,2mm,1.27mm">
                          <w:txbxContent>
                            <w:p>
                              <w:pPr>
                                <w:jc w:val="center"/>
                              </w:pPr>
                              <w:r>
                                <w:rPr>
                                  <w:rFonts w:hint="eastAsia"/>
                                </w:rPr>
                                <w:t>钉箱/粘箱</w:t>
                              </w:r>
                            </w:p>
                          </w:txbxContent>
                        </v:textbox>
                      </v:shape>
                      <v:line id="箭头 381" o:spid="_x0000_s1026" o:spt="20" style="position:absolute;left:9824;top:365907;flip:y;height:340;width:1;" filled="f" stroked="t" coordsize="21600,21600" o:gfxdata="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anOl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line>
                      <v:line id="箭头 10" o:spid="_x0000_s1026" o:spt="20" style="position:absolute;left:9027;top:366509;height:1;width:340;" filled="f" stroked="t" coordsize="21600,21600" o:gfxdata="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8aq7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文本框 5" o:spid="_x0000_s1026" o:spt="202" type="#_x0000_t202" style="position:absolute;left:12170;top:366267;height:451;width:1094;" fillcolor="#FFFFFF" filled="t" stroked="t" coordsize="21600,21600" o:gfxdata="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19kW/&#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mm,1.27mm,2mm,1.27mm">
                          <w:txbxContent>
                            <w:p>
                              <w:pPr>
                                <w:jc w:val="center"/>
                              </w:pPr>
                              <w:r>
                                <w:rPr>
                                  <w:rFonts w:hint="eastAsia"/>
                                </w:rPr>
                                <w:t>打包入库</w:t>
                              </w:r>
                            </w:p>
                          </w:txbxContent>
                        </v:textbox>
                      </v:shape>
                      <v:shape id="文本框 239" o:spid="_x0000_s1026" o:spt="202" type="#_x0000_t202" style="position:absolute;left:9265;top:365477;height:390;width:1265;" fillcolor="#FFFFFF" filled="t" stroked="t" coordsize="21600,21600" o:gfxdata="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C+ovQAA&#10;ANs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FFFFFF" miterlimit="8" joinstyle="miter" dashstyle="longDash"/>
                        <v:imagedata o:title=""/>
                        <o:lock v:ext="edit" aspectratio="f"/>
                        <v:textbox>
                          <w:txbxContent>
                            <w:p>
                              <w:r>
                                <w:rPr>
                                  <w:rFonts w:hint="eastAsia"/>
                                </w:rPr>
                                <w:t>固废、噪声</w:t>
                              </w:r>
                            </w:p>
                          </w:txbxContent>
                        </v:textbox>
                      </v:shape>
                      <v:line id="箭头 381" o:spid="_x0000_s1026" o:spt="20" style="position:absolute;left:11256;top:365897;flip:y;height:340;width:1;" filled="f" stroked="t" coordsize="21600,21600" o:gfxdata="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ZXLi/&#10;AAAA2wAAAA8AAAAAAAAAAQAgAAAAIgAAAGRycy9kb3ducmV2LnhtbFBLAQIUABQAAAAIAIdO4kAz&#10;LwWeOwAAADkAAAAQAAAAAAAAAAEAIAAAAA4BAABkcnMvc2hhcGV4bWwueG1sUEsFBgAAAAAGAAYA&#10;WwEAALgDAAAAAA==&#10;">
                        <v:fill on="f" focussize="0,0"/>
                        <v:stroke weight="0.5pt" color="#000000" joinstyle="round" dashstyle="dash" endarrow="block"/>
                        <v:imagedata o:title=""/>
                        <o:lock v:ext="edit" aspectratio="f"/>
                      </v:line>
                      <v:shape id="文本框 239" o:spid="_x0000_s1026" o:spt="202" type="#_x0000_t202" style="position:absolute;left:10932;top:365507;height:390;width:1237;" fillcolor="#FFFFFF" filled="t" stroked="t" coordsize="21600,21600" o:gfxdata="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O9EvG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color="#FFFFFF" miterlimit="8" joinstyle="miter" dashstyle="longDash"/>
                        <v:imagedata o:title=""/>
                        <o:lock v:ext="edit" aspectratio="f"/>
                        <v:textbox inset="2.54mm,1.4mm,2.54mm,1.27mm">
                          <w:txbxContent>
                            <w:p>
                              <w:r>
                                <w:rPr>
                                  <w:rFonts w:hint="eastAsia"/>
                                </w:rPr>
                                <w:t>噪声、废气</w:t>
                              </w:r>
                            </w:p>
                            <w:p/>
                          </w:txbxContent>
                        </v:textbox>
                      </v:shape>
                    </v:group>
                  </w:pict>
                </mc:Fallback>
              </mc:AlternateContent>
            </w:r>
          </w:p>
          <w:p>
            <w:pPr>
              <w:pStyle w:val="5"/>
              <w:spacing w:line="360" w:lineRule="auto"/>
            </w:pPr>
          </w:p>
          <w:p>
            <w:pPr>
              <w:pStyle w:val="110"/>
              <w:spacing w:line="360" w:lineRule="auto"/>
            </w:pPr>
            <w:r>
              <w:rPr>
                <w:rFonts w:hint="eastAsia"/>
              </w:rPr>
              <w:t>图2-1 纸箱生产工艺及产污环节</w:t>
            </w:r>
          </w:p>
          <w:p>
            <w:pPr>
              <w:spacing w:before="156" w:beforeLines="50" w:line="360" w:lineRule="auto"/>
              <w:rPr>
                <w:rFonts w:ascii="宋体" w:hAnsi="宋体"/>
                <w:sz w:val="24"/>
              </w:rPr>
            </w:pPr>
            <w:r>
              <w:rPr>
                <w:rFonts w:hint="eastAsia" w:ascii="宋体" w:hAnsi="宋体"/>
                <w:sz w:val="24"/>
              </w:rPr>
              <w:t>工艺流程简述:</w:t>
            </w:r>
          </w:p>
          <w:p>
            <w:pPr>
              <w:pStyle w:val="108"/>
              <w:ind w:firstLine="480"/>
            </w:pPr>
            <w:r>
              <w:fldChar w:fldCharType="begin"/>
            </w:r>
            <w:r>
              <w:instrText xml:space="preserve"> = 1 \* GB3 \* MERGEFORMAT </w:instrText>
            </w:r>
            <w:r>
              <w:fldChar w:fldCharType="separate"/>
            </w:r>
            <w:r>
              <w:t>①</w:t>
            </w:r>
            <w:r>
              <w:fldChar w:fldCharType="end"/>
            </w:r>
            <w:r>
              <w:t>、印刷开槽：将购置的</w:t>
            </w:r>
            <w:r>
              <w:rPr>
                <w:rFonts w:hint="eastAsia"/>
              </w:rPr>
              <w:t>瓦楞</w:t>
            </w:r>
            <w:r>
              <w:t>纸板用印刷开槽机完成纸板的印刷、开槽工作；采用水性油墨，会产生少量有机废气和清洗印刷机废水。</w:t>
            </w:r>
          </w:p>
          <w:p>
            <w:pPr>
              <w:pStyle w:val="108"/>
              <w:ind w:firstLine="480"/>
            </w:pPr>
            <w:r>
              <w:fldChar w:fldCharType="begin"/>
            </w:r>
            <w:r>
              <w:instrText xml:space="preserve"> = 2 \* GB3 \* MERGEFORMAT </w:instrText>
            </w:r>
            <w:r>
              <w:fldChar w:fldCharType="separate"/>
            </w:r>
            <w:r>
              <w:t>②</w:t>
            </w:r>
            <w:r>
              <w:fldChar w:fldCharType="end"/>
            </w:r>
            <w:r>
              <w:t>、压痕模切：印刷后的纸板按照事先设计好的图形经模切机进行模切处理，从而可以使纸箱折叠成型；此工序会产生边角料。</w:t>
            </w:r>
          </w:p>
          <w:p>
            <w:pPr>
              <w:pStyle w:val="108"/>
              <w:ind w:firstLine="480"/>
            </w:pPr>
            <w:r>
              <w:fldChar w:fldCharType="begin"/>
            </w:r>
            <w:r>
              <w:instrText xml:space="preserve"> = 3 \* GB3 \* MERGEFORMAT </w:instrText>
            </w:r>
            <w:r>
              <w:fldChar w:fldCharType="separate"/>
            </w:r>
            <w:r>
              <w:t>③</w:t>
            </w:r>
            <w:r>
              <w:fldChar w:fldCharType="end"/>
            </w:r>
            <w:r>
              <w:t>、打钉、粘箱：根据客户要求，采用钉箱或粘箱的方式将纸板钉制或粘制成箱</w:t>
            </w:r>
            <w:r>
              <w:rPr>
                <w:rFonts w:hint="eastAsia"/>
              </w:rPr>
              <w:t>。</w:t>
            </w:r>
          </w:p>
          <w:p>
            <w:pPr>
              <w:pStyle w:val="108"/>
              <w:ind w:firstLine="480"/>
            </w:pPr>
            <w:r>
              <w:fldChar w:fldCharType="begin"/>
            </w:r>
            <w:r>
              <w:instrText xml:space="preserve"> = 4 \* GB3 \* MERGEFORMAT </w:instrText>
            </w:r>
            <w:r>
              <w:fldChar w:fldCharType="separate"/>
            </w:r>
            <w:r>
              <w:t>④</w:t>
            </w:r>
            <w:r>
              <w:fldChar w:fldCharType="end"/>
            </w:r>
            <w:r>
              <w:t>、打包入库。</w:t>
            </w:r>
          </w:p>
          <w:p>
            <w:pPr>
              <w:pStyle w:val="111"/>
              <w:ind w:firstLine="482"/>
            </w:pPr>
            <w:r>
              <w:rPr>
                <w:rFonts w:hint="eastAsia"/>
              </w:rPr>
              <w:t>（二）、彩箱生产</w:t>
            </w:r>
          </w:p>
          <w:p>
            <w:pPr>
              <w:pStyle w:val="5"/>
            </w:pPr>
            <w:r>
              <mc:AlternateContent>
                <mc:Choice Requires="wpg">
                  <w:drawing>
                    <wp:inline distT="0" distB="0" distL="0" distR="0">
                      <wp:extent cx="4785995" cy="1558290"/>
                      <wp:effectExtent l="0" t="4445" r="14605" b="18415"/>
                      <wp:docPr id="37" name="组合 213"/>
                      <wp:cNvGraphicFramePr/>
                      <a:graphic xmlns:a="http://schemas.openxmlformats.org/drawingml/2006/main">
                        <a:graphicData uri="http://schemas.microsoft.com/office/word/2010/wordprocessingGroup">
                          <wpg:wgp>
                            <wpg:cNvGrpSpPr/>
                            <wpg:grpSpPr>
                              <a:xfrm>
                                <a:off x="0" y="0"/>
                                <a:ext cx="4786027" cy="1558369"/>
                                <a:chOff x="4417" y="372553"/>
                                <a:chExt cx="7177" cy="2183"/>
                              </a:xfrm>
                            </wpg:grpSpPr>
                            <wps:wsp>
                              <wps:cNvPr id="38" name="文本框 221"/>
                              <wps:cNvSpPr txBox="1">
                                <a:spLocks noChangeArrowheads="1"/>
                              </wps:cNvSpPr>
                              <wps:spPr bwMode="auto">
                                <a:xfrm>
                                  <a:off x="5456" y="372553"/>
                                  <a:ext cx="1364" cy="390"/>
                                </a:xfrm>
                                <a:prstGeom prst="rect">
                                  <a:avLst/>
                                </a:prstGeom>
                                <a:gradFill rotWithShape="0">
                                  <a:gsLst>
                                    <a:gs pos="0">
                                      <a:srgbClr val="FFFFFF"/>
                                    </a:gs>
                                    <a:gs pos="100000">
                                      <a:srgbClr val="FFFFFF"/>
                                    </a:gs>
                                  </a:gsLst>
                                  <a:lin ang="0"/>
                                </a:gradFill>
                                <a:ln w="9525" cmpd="sng">
                                  <a:solidFill>
                                    <a:srgbClr val="FFFFFF"/>
                                  </a:solidFill>
                                  <a:prstDash val="lgDash"/>
                                  <a:miter lim="800000"/>
                                </a:ln>
                                <a:effectLst/>
                              </wps:spPr>
                              <wps:txbx>
                                <w:txbxContent>
                                  <w:p>
                                    <w:r>
                                      <w:rPr>
                                        <w:rFonts w:hint="eastAsia"/>
                                      </w:rPr>
                                      <w:t>废气、噪声</w:t>
                                    </w:r>
                                  </w:p>
                                </w:txbxContent>
                              </wps:txbx>
                              <wps:bodyPr rot="0" vert="horz" wrap="square" lIns="91440" tIns="45720" rIns="91440" bIns="45720" anchor="t" anchorCtr="0" upright="1">
                                <a:noAutofit/>
                              </wps:bodyPr>
                            </wps:wsp>
                            <wps:wsp>
                              <wps:cNvPr id="39" name="箭头 10"/>
                              <wps:cNvCnPr/>
                              <wps:spPr bwMode="auto">
                                <a:xfrm>
                                  <a:off x="5178" y="373603"/>
                                  <a:ext cx="340" cy="1"/>
                                </a:xfrm>
                                <a:prstGeom prst="line">
                                  <a:avLst/>
                                </a:prstGeom>
                                <a:noFill/>
                                <a:ln w="6350" cmpd="sng">
                                  <a:solidFill>
                                    <a:srgbClr val="000000"/>
                                  </a:solidFill>
                                  <a:round/>
                                  <a:tailEnd type="triangle" w="med" len="med"/>
                                </a:ln>
                                <a:effectLst/>
                              </wps:spPr>
                              <wps:bodyPr/>
                            </wps:wsp>
                            <wps:wsp>
                              <wps:cNvPr id="40" name="文本框 5"/>
                              <wps:cNvSpPr txBox="1">
                                <a:spLocks noChangeArrowheads="1"/>
                              </wps:cNvSpPr>
                              <wps:spPr bwMode="auto">
                                <a:xfrm>
                                  <a:off x="4417" y="373388"/>
                                  <a:ext cx="716" cy="451"/>
                                </a:xfrm>
                                <a:prstGeom prst="rect">
                                  <a:avLst/>
                                </a:prstGeom>
                                <a:solidFill>
                                  <a:srgbClr val="FFFFFF"/>
                                </a:solidFill>
                                <a:ln>
                                  <a:noFill/>
                                </a:ln>
                                <a:effectLst/>
                              </wps:spPr>
                              <wps:txbx>
                                <w:txbxContent>
                                  <w:p>
                                    <w:pPr>
                                      <w:jc w:val="center"/>
                                    </w:pPr>
                                    <w:r>
                                      <w:rPr>
                                        <w:rFonts w:hint="eastAsia"/>
                                      </w:rPr>
                                      <w:t>白板</w:t>
                                    </w:r>
                                  </w:p>
                                </w:txbxContent>
                              </wps:txbx>
                              <wps:bodyPr rot="0" vert="horz" wrap="square" lIns="72000" tIns="45720" rIns="72000" bIns="45720" anchor="t" anchorCtr="0" upright="1">
                                <a:noAutofit/>
                              </wps:bodyPr>
                            </wps:wsp>
                            <wps:wsp>
                              <wps:cNvPr id="41" name="文本框 5"/>
                              <wps:cNvSpPr txBox="1">
                                <a:spLocks noChangeArrowheads="1"/>
                              </wps:cNvSpPr>
                              <wps:spPr bwMode="auto">
                                <a:xfrm>
                                  <a:off x="5549" y="373363"/>
                                  <a:ext cx="816" cy="451"/>
                                </a:xfrm>
                                <a:prstGeom prst="rect">
                                  <a:avLst/>
                                </a:prstGeom>
                                <a:solidFill>
                                  <a:srgbClr val="FFFFFF"/>
                                </a:solidFill>
                                <a:ln w="9525" cmpd="sng">
                                  <a:solidFill>
                                    <a:srgbClr val="000000"/>
                                  </a:solidFill>
                                  <a:miter lim="800000"/>
                                </a:ln>
                                <a:effectLst/>
                              </wps:spPr>
                              <wps:txbx>
                                <w:txbxContent>
                                  <w:p>
                                    <w:pPr>
                                      <w:jc w:val="center"/>
                                    </w:pPr>
                                    <w:r>
                                      <w:rPr>
                                        <w:rFonts w:hint="eastAsia"/>
                                      </w:rPr>
                                      <w:t>彩印</w:t>
                                    </w:r>
                                  </w:p>
                                </w:txbxContent>
                              </wps:txbx>
                              <wps:bodyPr rot="0" vert="horz" wrap="square" lIns="91440" tIns="45720" rIns="91440" bIns="45720" anchor="t" anchorCtr="0" upright="1">
                                <a:noAutofit/>
                              </wps:bodyPr>
                            </wps:wsp>
                            <wps:wsp>
                              <wps:cNvPr id="42" name="箭头 381"/>
                              <wps:cNvCnPr/>
                              <wps:spPr bwMode="auto">
                                <a:xfrm flipV="1">
                                  <a:off x="5980" y="373001"/>
                                  <a:ext cx="1" cy="340"/>
                                </a:xfrm>
                                <a:prstGeom prst="line">
                                  <a:avLst/>
                                </a:prstGeom>
                                <a:noFill/>
                                <a:ln w="6350" cmpd="sng">
                                  <a:solidFill>
                                    <a:srgbClr val="000000"/>
                                  </a:solidFill>
                                  <a:prstDash val="dash"/>
                                  <a:round/>
                                  <a:tailEnd type="triangle" w="med" len="med"/>
                                </a:ln>
                                <a:effectLst/>
                              </wps:spPr>
                              <wps:bodyPr/>
                            </wps:wsp>
                            <wps:wsp>
                              <wps:cNvPr id="43" name="箭头 10"/>
                              <wps:cNvCnPr/>
                              <wps:spPr bwMode="auto">
                                <a:xfrm>
                                  <a:off x="7696" y="373583"/>
                                  <a:ext cx="340" cy="1"/>
                                </a:xfrm>
                                <a:prstGeom prst="line">
                                  <a:avLst/>
                                </a:prstGeom>
                                <a:noFill/>
                                <a:ln w="6350" cmpd="sng">
                                  <a:solidFill>
                                    <a:srgbClr val="000000"/>
                                  </a:solidFill>
                                  <a:round/>
                                  <a:tailEnd type="triangle" w="med" len="med"/>
                                </a:ln>
                                <a:effectLst/>
                              </wps:spPr>
                              <wps:bodyPr/>
                            </wps:wsp>
                            <wps:wsp>
                              <wps:cNvPr id="44" name="文本框 5"/>
                              <wps:cNvSpPr txBox="1">
                                <a:spLocks noChangeArrowheads="1"/>
                              </wps:cNvSpPr>
                              <wps:spPr bwMode="auto">
                                <a:xfrm>
                                  <a:off x="6754" y="373362"/>
                                  <a:ext cx="907" cy="451"/>
                                </a:xfrm>
                                <a:prstGeom prst="rect">
                                  <a:avLst/>
                                </a:prstGeom>
                                <a:solidFill>
                                  <a:srgbClr val="FFFFFF"/>
                                </a:solidFill>
                                <a:ln w="9525" cmpd="sng">
                                  <a:solidFill>
                                    <a:srgbClr val="000000"/>
                                  </a:solidFill>
                                  <a:miter lim="800000"/>
                                </a:ln>
                                <a:effectLst/>
                              </wps:spPr>
                              <wps:txbx>
                                <w:txbxContent>
                                  <w:p>
                                    <w:pPr>
                                      <w:jc w:val="center"/>
                                    </w:pPr>
                                    <w:r>
                                      <w:rPr>
                                        <w:rFonts w:hint="eastAsia"/>
                                      </w:rPr>
                                      <w:t>覆膜</w:t>
                                    </w:r>
                                  </w:p>
                                </w:txbxContent>
                              </wps:txbx>
                              <wps:bodyPr rot="0" vert="horz" wrap="square" lIns="0" tIns="45720" rIns="0" bIns="45720" anchor="t" anchorCtr="0" upright="1">
                                <a:noAutofit/>
                              </wps:bodyPr>
                            </wps:wsp>
                            <wps:wsp>
                              <wps:cNvPr id="45" name="箭头 10"/>
                              <wps:cNvCnPr/>
                              <wps:spPr bwMode="auto">
                                <a:xfrm>
                                  <a:off x="8822" y="373571"/>
                                  <a:ext cx="340" cy="1"/>
                                </a:xfrm>
                                <a:prstGeom prst="line">
                                  <a:avLst/>
                                </a:prstGeom>
                                <a:noFill/>
                                <a:ln w="6350" cmpd="sng">
                                  <a:solidFill>
                                    <a:srgbClr val="000000"/>
                                  </a:solidFill>
                                  <a:round/>
                                  <a:tailEnd type="triangle" w="med" len="med"/>
                                </a:ln>
                                <a:effectLst/>
                              </wps:spPr>
                              <wps:bodyPr/>
                            </wps:wsp>
                            <wps:wsp>
                              <wps:cNvPr id="46" name="文本框 5"/>
                              <wps:cNvSpPr txBox="1">
                                <a:spLocks noChangeArrowheads="1"/>
                              </wps:cNvSpPr>
                              <wps:spPr bwMode="auto">
                                <a:xfrm>
                                  <a:off x="8054" y="373361"/>
                                  <a:ext cx="754" cy="451"/>
                                </a:xfrm>
                                <a:prstGeom prst="rect">
                                  <a:avLst/>
                                </a:prstGeom>
                                <a:solidFill>
                                  <a:srgbClr val="FFFFFF"/>
                                </a:solidFill>
                                <a:ln w="9525" cmpd="sng">
                                  <a:solidFill>
                                    <a:srgbClr val="000000"/>
                                  </a:solidFill>
                                  <a:miter lim="800000"/>
                                </a:ln>
                                <a:effectLst/>
                              </wps:spPr>
                              <wps:txbx>
                                <w:txbxContent>
                                  <w:p>
                                    <w:pPr>
                                      <w:jc w:val="center"/>
                                    </w:pPr>
                                    <w:r>
                                      <w:rPr>
                                        <w:rFonts w:hint="eastAsia"/>
                                      </w:rPr>
                                      <w:t>裱纸</w:t>
                                    </w:r>
                                  </w:p>
                                </w:txbxContent>
                              </wps:txbx>
                              <wps:bodyPr rot="0" vert="horz" wrap="square" lIns="72000" tIns="45720" rIns="72000" bIns="45720" anchor="t" anchorCtr="0" upright="1">
                                <a:noAutofit/>
                              </wps:bodyPr>
                            </wps:wsp>
                            <wps:wsp>
                              <wps:cNvPr id="47" name="箭头 381"/>
                              <wps:cNvCnPr/>
                              <wps:spPr bwMode="auto">
                                <a:xfrm flipV="1">
                                  <a:off x="7224" y="372995"/>
                                  <a:ext cx="1" cy="340"/>
                                </a:xfrm>
                                <a:prstGeom prst="line">
                                  <a:avLst/>
                                </a:prstGeom>
                                <a:noFill/>
                                <a:ln w="6350" cmpd="sng">
                                  <a:solidFill>
                                    <a:srgbClr val="000000"/>
                                  </a:solidFill>
                                  <a:prstDash val="dash"/>
                                  <a:round/>
                                  <a:tailEnd type="triangle" w="med" len="med"/>
                                </a:ln>
                                <a:effectLst/>
                              </wps:spPr>
                              <wps:bodyPr/>
                            </wps:wsp>
                            <wps:wsp>
                              <wps:cNvPr id="48" name="箭头 10"/>
                              <wps:cNvCnPr/>
                              <wps:spPr bwMode="auto">
                                <a:xfrm>
                                  <a:off x="6427" y="373597"/>
                                  <a:ext cx="340" cy="1"/>
                                </a:xfrm>
                                <a:prstGeom prst="line">
                                  <a:avLst/>
                                </a:prstGeom>
                                <a:noFill/>
                                <a:ln w="6350" cmpd="sng">
                                  <a:solidFill>
                                    <a:srgbClr val="000000"/>
                                  </a:solidFill>
                                  <a:round/>
                                  <a:tailEnd type="triangle" w="med" len="med"/>
                                </a:ln>
                                <a:effectLst/>
                              </wps:spPr>
                              <wps:bodyPr/>
                            </wps:wsp>
                            <wps:wsp>
                              <wps:cNvPr id="49" name="文本框 5"/>
                              <wps:cNvSpPr txBox="1">
                                <a:spLocks noChangeArrowheads="1"/>
                              </wps:cNvSpPr>
                              <wps:spPr bwMode="auto">
                                <a:xfrm>
                                  <a:off x="9170" y="373355"/>
                                  <a:ext cx="694" cy="451"/>
                                </a:xfrm>
                                <a:prstGeom prst="rect">
                                  <a:avLst/>
                                </a:prstGeom>
                                <a:solidFill>
                                  <a:srgbClr val="FFFFFF"/>
                                </a:solidFill>
                                <a:ln w="9525" cmpd="sng">
                                  <a:solidFill>
                                    <a:srgbClr val="000000"/>
                                  </a:solidFill>
                                  <a:miter lim="800000"/>
                                </a:ln>
                                <a:effectLst/>
                              </wps:spPr>
                              <wps:txbx>
                                <w:txbxContent>
                                  <w:p>
                                    <w:pPr>
                                      <w:jc w:val="center"/>
                                    </w:pPr>
                                    <w:r>
                                      <w:rPr>
                                        <w:rFonts w:hint="eastAsia"/>
                                      </w:rPr>
                                      <w:t>模切</w:t>
                                    </w:r>
                                  </w:p>
                                </w:txbxContent>
                              </wps:txbx>
                              <wps:bodyPr rot="0" vert="horz" wrap="square" lIns="72000" tIns="45720" rIns="72000" bIns="45720" anchor="t" anchorCtr="0" upright="1">
                                <a:noAutofit/>
                              </wps:bodyPr>
                            </wps:wsp>
                            <wps:wsp>
                              <wps:cNvPr id="50" name="文本框 239"/>
                              <wps:cNvSpPr txBox="1">
                                <a:spLocks noChangeArrowheads="1"/>
                              </wps:cNvSpPr>
                              <wps:spPr bwMode="auto">
                                <a:xfrm>
                                  <a:off x="8878" y="372553"/>
                                  <a:ext cx="1265" cy="390"/>
                                </a:xfrm>
                                <a:prstGeom prst="rect">
                                  <a:avLst/>
                                </a:prstGeom>
                                <a:gradFill rotWithShape="0">
                                  <a:gsLst>
                                    <a:gs pos="0">
                                      <a:srgbClr val="FFFFFF"/>
                                    </a:gs>
                                    <a:gs pos="100000">
                                      <a:srgbClr val="FFFFFF"/>
                                    </a:gs>
                                  </a:gsLst>
                                  <a:lin ang="0"/>
                                </a:gradFill>
                                <a:ln w="9525" cmpd="sng">
                                  <a:solidFill>
                                    <a:srgbClr val="FFFFFF"/>
                                  </a:solidFill>
                                  <a:prstDash val="lgDash"/>
                                  <a:miter lim="800000"/>
                                </a:ln>
                                <a:effectLst/>
                              </wps:spPr>
                              <wps:txbx>
                                <w:txbxContent>
                                  <w:p>
                                    <w:r>
                                      <w:rPr>
                                        <w:rFonts w:hint="eastAsia"/>
                                      </w:rPr>
                                      <w:t>固废、噪声</w:t>
                                    </w:r>
                                  </w:p>
                                </w:txbxContent>
                              </wps:txbx>
                              <wps:bodyPr rot="0" vert="horz" wrap="square" lIns="91440" tIns="45720" rIns="91440" bIns="45720" anchor="t" anchorCtr="0" upright="1">
                                <a:noAutofit/>
                              </wps:bodyPr>
                            </wps:wsp>
                            <wps:wsp>
                              <wps:cNvPr id="51" name="箭头 381"/>
                              <wps:cNvCnPr/>
                              <wps:spPr bwMode="auto">
                                <a:xfrm flipV="1">
                                  <a:off x="8393" y="372997"/>
                                  <a:ext cx="1" cy="340"/>
                                </a:xfrm>
                                <a:prstGeom prst="line">
                                  <a:avLst/>
                                </a:prstGeom>
                                <a:noFill/>
                                <a:ln w="6350" cmpd="sng">
                                  <a:solidFill>
                                    <a:srgbClr val="000000"/>
                                  </a:solidFill>
                                  <a:prstDash val="dash"/>
                                  <a:round/>
                                  <a:tailEnd type="triangle" w="med" len="med"/>
                                </a:ln>
                                <a:effectLst/>
                              </wps:spPr>
                              <wps:bodyPr/>
                            </wps:wsp>
                            <wps:wsp>
                              <wps:cNvPr id="52" name="文本框 239"/>
                              <wps:cNvSpPr txBox="1">
                                <a:spLocks noChangeArrowheads="1"/>
                              </wps:cNvSpPr>
                              <wps:spPr bwMode="auto">
                                <a:xfrm>
                                  <a:off x="8039" y="372553"/>
                                  <a:ext cx="988" cy="390"/>
                                </a:xfrm>
                                <a:prstGeom prst="rect">
                                  <a:avLst/>
                                </a:prstGeom>
                                <a:gradFill rotWithShape="0">
                                  <a:gsLst>
                                    <a:gs pos="0">
                                      <a:srgbClr val="FFFFFF"/>
                                    </a:gs>
                                    <a:gs pos="100000">
                                      <a:srgbClr val="FFFFFF"/>
                                    </a:gs>
                                  </a:gsLst>
                                  <a:lin ang="0"/>
                                </a:gradFill>
                                <a:ln w="9525" cmpd="sng">
                                  <a:solidFill>
                                    <a:srgbClr val="FFFFFF"/>
                                  </a:solidFill>
                                  <a:prstDash val="lgDash"/>
                                  <a:miter lim="800000"/>
                                </a:ln>
                                <a:effectLst/>
                              </wps:spPr>
                              <wps:txbx>
                                <w:txbxContent>
                                  <w:p>
                                    <w:r>
                                      <w:rPr>
                                        <w:rFonts w:hint="eastAsia"/>
                                      </w:rPr>
                                      <w:t>噪声</w:t>
                                    </w:r>
                                  </w:p>
                                </w:txbxContent>
                              </wps:txbx>
                              <wps:bodyPr rot="0" vert="horz" wrap="square" lIns="91440" tIns="45720" rIns="91440" bIns="45720" anchor="t" anchorCtr="0" upright="1">
                                <a:noAutofit/>
                              </wps:bodyPr>
                            </wps:wsp>
                            <wps:wsp>
                              <wps:cNvPr id="14" name="文本框 5"/>
                              <wps:cNvSpPr txBox="1">
                                <a:spLocks noChangeArrowheads="1"/>
                              </wps:cNvSpPr>
                              <wps:spPr bwMode="auto">
                                <a:xfrm>
                                  <a:off x="10298" y="373383"/>
                                  <a:ext cx="1255" cy="451"/>
                                </a:xfrm>
                                <a:prstGeom prst="rect">
                                  <a:avLst/>
                                </a:prstGeom>
                                <a:solidFill>
                                  <a:srgbClr val="FFFFFF"/>
                                </a:solidFill>
                                <a:ln w="9525" cmpd="sng">
                                  <a:solidFill>
                                    <a:srgbClr val="000000"/>
                                  </a:solidFill>
                                  <a:miter lim="800000"/>
                                </a:ln>
                                <a:effectLst/>
                              </wps:spPr>
                              <wps:txbx>
                                <w:txbxContent>
                                  <w:p>
                                    <w:pPr>
                                      <w:jc w:val="center"/>
                                    </w:pPr>
                                    <w:r>
                                      <w:rPr>
                                        <w:rFonts w:hint="eastAsia"/>
                                      </w:rPr>
                                      <w:t>钉箱/粘箱</w:t>
                                    </w:r>
                                  </w:p>
                                </w:txbxContent>
                              </wps:txbx>
                              <wps:bodyPr rot="0" vert="horz" wrap="square" lIns="72000" tIns="45720" rIns="72000" bIns="45720" anchor="t" anchorCtr="0" upright="1">
                                <a:noAutofit/>
                              </wps:bodyPr>
                            </wps:wsp>
                            <wps:wsp>
                              <wps:cNvPr id="15" name="文本框 5"/>
                              <wps:cNvSpPr txBox="1">
                                <a:spLocks noChangeArrowheads="1"/>
                              </wps:cNvSpPr>
                              <wps:spPr bwMode="auto">
                                <a:xfrm>
                                  <a:off x="7975" y="374285"/>
                                  <a:ext cx="1094" cy="451"/>
                                </a:xfrm>
                                <a:prstGeom prst="rect">
                                  <a:avLst/>
                                </a:prstGeom>
                                <a:solidFill>
                                  <a:srgbClr val="FFFFFF"/>
                                </a:solidFill>
                                <a:ln>
                                  <a:noFill/>
                                </a:ln>
                                <a:effectLst/>
                              </wps:spPr>
                              <wps:txbx>
                                <w:txbxContent>
                                  <w:p>
                                    <w:pPr>
                                      <w:jc w:val="center"/>
                                    </w:pPr>
                                    <w:r>
                                      <w:rPr>
                                        <w:rFonts w:hint="eastAsia"/>
                                      </w:rPr>
                                      <w:t>瓦楞纸板</w:t>
                                    </w:r>
                                  </w:p>
                                </w:txbxContent>
                              </wps:txbx>
                              <wps:bodyPr rot="0" vert="horz" wrap="square" lIns="72000" tIns="45720" rIns="72000" bIns="45720" anchor="t" anchorCtr="0" upright="1">
                                <a:noAutofit/>
                              </wps:bodyPr>
                            </wps:wsp>
                            <wps:wsp>
                              <wps:cNvPr id="17" name="箭头 10"/>
                              <wps:cNvCnPr/>
                              <wps:spPr bwMode="auto">
                                <a:xfrm flipH="1" flipV="1">
                                  <a:off x="8470" y="373787"/>
                                  <a:ext cx="1" cy="473"/>
                                </a:xfrm>
                                <a:prstGeom prst="line">
                                  <a:avLst/>
                                </a:prstGeom>
                                <a:noFill/>
                                <a:ln w="6350" cmpd="sng">
                                  <a:solidFill>
                                    <a:srgbClr val="000000"/>
                                  </a:solidFill>
                                  <a:round/>
                                  <a:tailEnd type="triangle" w="med" len="med"/>
                                </a:ln>
                                <a:effectLst/>
                              </wps:spPr>
                              <wps:bodyPr/>
                            </wps:wsp>
                            <wps:wsp>
                              <wps:cNvPr id="18" name="箭头 10"/>
                              <wps:cNvCnPr/>
                              <wps:spPr bwMode="auto">
                                <a:xfrm>
                                  <a:off x="9912" y="373561"/>
                                  <a:ext cx="340" cy="1"/>
                                </a:xfrm>
                                <a:prstGeom prst="line">
                                  <a:avLst/>
                                </a:prstGeom>
                                <a:noFill/>
                                <a:ln w="6350" cmpd="sng">
                                  <a:solidFill>
                                    <a:srgbClr val="000000"/>
                                  </a:solidFill>
                                  <a:round/>
                                  <a:tailEnd type="triangle" w="med" len="med"/>
                                </a:ln>
                                <a:effectLst/>
                              </wps:spPr>
                              <wps:bodyPr/>
                            </wps:wsp>
                            <wps:wsp>
                              <wps:cNvPr id="21" name="文本框 5"/>
                              <wps:cNvSpPr txBox="1">
                                <a:spLocks noChangeArrowheads="1"/>
                              </wps:cNvSpPr>
                              <wps:spPr bwMode="auto">
                                <a:xfrm>
                                  <a:off x="10339" y="374242"/>
                                  <a:ext cx="1255" cy="451"/>
                                </a:xfrm>
                                <a:prstGeom prst="rect">
                                  <a:avLst/>
                                </a:prstGeom>
                                <a:solidFill>
                                  <a:srgbClr val="FFFFFF"/>
                                </a:solidFill>
                                <a:ln>
                                  <a:noFill/>
                                </a:ln>
                                <a:effectLst/>
                              </wps:spPr>
                              <wps:txbx>
                                <w:txbxContent>
                                  <w:p>
                                    <w:pPr>
                                      <w:jc w:val="center"/>
                                    </w:pPr>
                                    <w:r>
                                      <w:rPr>
                                        <w:rFonts w:hint="eastAsia"/>
                                      </w:rPr>
                                      <w:t>打包入库</w:t>
                                    </w:r>
                                  </w:p>
                                </w:txbxContent>
                              </wps:txbx>
                              <wps:bodyPr rot="0" vert="horz" wrap="square" lIns="72000" tIns="45720" rIns="72000" bIns="45720" anchor="t" anchorCtr="0" upright="1">
                                <a:noAutofit/>
                              </wps:bodyPr>
                            </wps:wsp>
                            <wps:wsp>
                              <wps:cNvPr id="22" name="箭头 10"/>
                              <wps:cNvCnPr/>
                              <wps:spPr bwMode="auto">
                                <a:xfrm flipH="1">
                                  <a:off x="10933" y="373861"/>
                                  <a:ext cx="1" cy="340"/>
                                </a:xfrm>
                                <a:prstGeom prst="line">
                                  <a:avLst/>
                                </a:prstGeom>
                                <a:noFill/>
                                <a:ln w="6350" cmpd="sng">
                                  <a:solidFill>
                                    <a:srgbClr val="000000"/>
                                  </a:solidFill>
                                  <a:round/>
                                  <a:tailEnd type="triangle" w="med" len="med"/>
                                </a:ln>
                                <a:effectLst/>
                              </wps:spPr>
                              <wps:bodyPr/>
                            </wps:wsp>
                            <wps:wsp>
                              <wps:cNvPr id="23" name="文本框 239"/>
                              <wps:cNvSpPr txBox="1">
                                <a:spLocks noChangeArrowheads="1"/>
                              </wps:cNvSpPr>
                              <wps:spPr bwMode="auto">
                                <a:xfrm>
                                  <a:off x="6708" y="372553"/>
                                  <a:ext cx="1265" cy="390"/>
                                </a:xfrm>
                                <a:prstGeom prst="rect">
                                  <a:avLst/>
                                </a:prstGeom>
                                <a:gradFill rotWithShape="0">
                                  <a:gsLst>
                                    <a:gs pos="0">
                                      <a:srgbClr val="FFFFFF"/>
                                    </a:gs>
                                    <a:gs pos="100000">
                                      <a:srgbClr val="FFFFFF"/>
                                    </a:gs>
                                  </a:gsLst>
                                  <a:lin ang="0"/>
                                </a:gradFill>
                                <a:ln w="9525" cmpd="sng">
                                  <a:solidFill>
                                    <a:srgbClr val="FFFFFF"/>
                                  </a:solidFill>
                                  <a:prstDash val="lgDash"/>
                                  <a:miter lim="800000"/>
                                </a:ln>
                                <a:effectLst/>
                              </wps:spPr>
                              <wps:txbx>
                                <w:txbxContent>
                                  <w:p>
                                    <w:r>
                                      <w:rPr>
                                        <w:rFonts w:hint="eastAsia"/>
                                      </w:rPr>
                                      <w:t>固废、噪声</w:t>
                                    </w:r>
                                  </w:p>
                                </w:txbxContent>
                              </wps:txbx>
                              <wps:bodyPr rot="0" vert="horz" wrap="square" lIns="91440" tIns="45720" rIns="91440" bIns="45720" anchor="t" anchorCtr="0" upright="1">
                                <a:noAutofit/>
                              </wps:bodyPr>
                            </wps:wsp>
                            <wps:wsp>
                              <wps:cNvPr id="24" name="箭头 381"/>
                              <wps:cNvCnPr/>
                              <wps:spPr bwMode="auto">
                                <a:xfrm flipV="1">
                                  <a:off x="9509" y="372985"/>
                                  <a:ext cx="1" cy="340"/>
                                </a:xfrm>
                                <a:prstGeom prst="line">
                                  <a:avLst/>
                                </a:prstGeom>
                                <a:noFill/>
                                <a:ln w="6350" cmpd="sng">
                                  <a:solidFill>
                                    <a:srgbClr val="000000"/>
                                  </a:solidFill>
                                  <a:prstDash val="dash"/>
                                  <a:round/>
                                  <a:tailEnd type="triangle" w="med" len="med"/>
                                </a:ln>
                                <a:effectLst/>
                              </wps:spPr>
                              <wps:bodyPr/>
                            </wps:wsp>
                            <wps:wsp>
                              <wps:cNvPr id="25" name="箭头 381"/>
                              <wps:cNvCnPr/>
                              <wps:spPr bwMode="auto">
                                <a:xfrm flipV="1">
                                  <a:off x="10906" y="372999"/>
                                  <a:ext cx="1" cy="340"/>
                                </a:xfrm>
                                <a:prstGeom prst="line">
                                  <a:avLst/>
                                </a:prstGeom>
                                <a:noFill/>
                                <a:ln w="6350" cmpd="sng">
                                  <a:solidFill>
                                    <a:srgbClr val="000000"/>
                                  </a:solidFill>
                                  <a:prstDash val="dash"/>
                                  <a:round/>
                                  <a:tailEnd type="triangle" w="med" len="med"/>
                                </a:ln>
                                <a:effectLst/>
                              </wps:spPr>
                              <wps:bodyPr/>
                            </wps:wsp>
                            <wps:wsp>
                              <wps:cNvPr id="62" name="文本框 239"/>
                              <wps:cNvSpPr txBox="1">
                                <a:spLocks noChangeArrowheads="1"/>
                              </wps:cNvSpPr>
                              <wps:spPr bwMode="auto">
                                <a:xfrm>
                                  <a:off x="10292" y="372553"/>
                                  <a:ext cx="1195" cy="390"/>
                                </a:xfrm>
                                <a:prstGeom prst="rect">
                                  <a:avLst/>
                                </a:prstGeom>
                                <a:gradFill rotWithShape="0">
                                  <a:gsLst>
                                    <a:gs pos="0">
                                      <a:srgbClr val="FFFFFF"/>
                                    </a:gs>
                                    <a:gs pos="100000">
                                      <a:srgbClr val="FFFFFF"/>
                                    </a:gs>
                                  </a:gsLst>
                                  <a:lin ang="0"/>
                                </a:gradFill>
                                <a:ln w="9525" cmpd="sng">
                                  <a:solidFill>
                                    <a:srgbClr val="FFFFFF"/>
                                  </a:solidFill>
                                  <a:prstDash val="lgDash"/>
                                  <a:miter lim="800000"/>
                                </a:ln>
                                <a:effectLst/>
                              </wps:spPr>
                              <wps:txbx>
                                <w:txbxContent>
                                  <w:p>
                                    <w:r>
                                      <w:rPr>
                                        <w:rFonts w:hint="eastAsia"/>
                                      </w:rPr>
                                      <w:t>噪声、废气</w:t>
                                    </w:r>
                                  </w:p>
                                </w:txbxContent>
                              </wps:txbx>
                              <wps:bodyPr rot="0" vert="horz" wrap="square" lIns="91440" tIns="45720" rIns="91440" bIns="45720" anchor="t" anchorCtr="0" upright="1">
                                <a:noAutofit/>
                              </wps:bodyPr>
                            </wps:wsp>
                          </wpg:wgp>
                        </a:graphicData>
                      </a:graphic>
                    </wp:inline>
                  </w:drawing>
                </mc:Choice>
                <mc:Fallback>
                  <w:pict>
                    <v:group id="组合 213" o:spid="_x0000_s1026" o:spt="203" style="height:122.7pt;width:376.85pt;" coordorigin="4417,372553" coordsize="7177,2183" o:gfxdata="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7LyM2NcAAAAFAQAADwAA&#10;AAAAAAABACAAAAAiAAAAZHJzL2Rvd25yZXYueG1sUEsBAhQAFAAAAAgAh07iQNGZN4eLBgAAM0AA&#10;AA4AAAAAAAAAAQAgAAAAJgEAAGRycy9lMm9Eb2MueG1sUEsFBgAAAAAGAAYAWQEAACMKAAAAAA==&#10;">
                      <o:lock v:ext="edit" aspectratio="f"/>
                      <v:shape id="文本框 221" o:spid="_x0000_s1026" o:spt="202" type="#_x0000_t202" style="position:absolute;left:5456;top:372553;height:390;width:1364;" fillcolor="#FFFFFF" filled="t" stroked="t" coordsize="21600,21600" o:gfxdata="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Kryu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color="#FFFFFF" miterlimit="8" joinstyle="miter" dashstyle="longDash"/>
                        <v:imagedata o:title=""/>
                        <o:lock v:ext="edit" aspectratio="f"/>
                        <v:textbox>
                          <w:txbxContent>
                            <w:p>
                              <w:r>
                                <w:rPr>
                                  <w:rFonts w:hint="eastAsia"/>
                                </w:rPr>
                                <w:t>废气、噪声</w:t>
                              </w:r>
                            </w:p>
                          </w:txbxContent>
                        </v:textbox>
                      </v:shape>
                      <v:line id="箭头 10" o:spid="_x0000_s1026" o:spt="20" style="position:absolute;left:5178;top:373603;height:1;width:340;" filled="f" stroked="t" coordsize="21600,21600" o:gfxdata="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QCXL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文本框 5" o:spid="_x0000_s1026" o:spt="202" type="#_x0000_t202" style="position:absolute;left:4417;top:373388;height:451;width:716;" fillcolor="#FFFFFF" filled="t" stroked="f" coordsize="21600,21600" o:gfxdata="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R88LsAAADb&#10;AAAADwAAAAAAAAABACAAAAAiAAAAZHJzL2Rvd25yZXYueG1sUEsBAhQAFAAAAAgAh07iQDMvBZ47&#10;AAAAOQAAABAAAAAAAAAAAQAgAAAACgEAAGRycy9zaGFwZXhtbC54bWxQSwUGAAAAAAYABgBbAQAA&#10;tAMAAAAA&#10;">
                        <v:fill on="t" focussize="0,0"/>
                        <v:stroke on="f"/>
                        <v:imagedata o:title=""/>
                        <o:lock v:ext="edit" aspectratio="f"/>
                        <v:textbox inset="2mm,1.27mm,2mm,1.27mm">
                          <w:txbxContent>
                            <w:p>
                              <w:pPr>
                                <w:jc w:val="center"/>
                              </w:pPr>
                              <w:r>
                                <w:rPr>
                                  <w:rFonts w:hint="eastAsia"/>
                                </w:rPr>
                                <w:t>白板</w:t>
                              </w:r>
                            </w:p>
                          </w:txbxContent>
                        </v:textbox>
                      </v:shape>
                      <v:shape id="文本框 5" o:spid="_x0000_s1026" o:spt="202" type="#_x0000_t202" style="position:absolute;left:5549;top:373363;height:451;width:816;"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彩印</w:t>
                              </w:r>
                            </w:p>
                          </w:txbxContent>
                        </v:textbox>
                      </v:shape>
                      <v:line id="箭头 381" o:spid="_x0000_s1026" o:spt="20" style="position:absolute;left:5980;top:373001;flip:y;height:340;width:1;" filled="f" stroked="t" coordsize="21600,21600" o:gfxdata="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wbb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line>
                      <v:line id="箭头 10" o:spid="_x0000_s1026" o:spt="20" style="position:absolute;left:7696;top:373583;height:1;width:340;" filled="f" stroked="t" coordsize="21600,21600" o:gfxdata="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kbL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文本框 5" o:spid="_x0000_s1026" o:spt="202" type="#_x0000_t202" style="position:absolute;left:6754;top:373362;height:451;width:907;" fillcolor="#FFFFFF" filled="t" stroked="t" coordsize="21600,21600" o:gfxdata="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5NV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1.27mm,0mm,1.27mm">
                          <w:txbxContent>
                            <w:p>
                              <w:pPr>
                                <w:jc w:val="center"/>
                              </w:pPr>
                              <w:r>
                                <w:rPr>
                                  <w:rFonts w:hint="eastAsia"/>
                                </w:rPr>
                                <w:t>覆膜</w:t>
                              </w:r>
                            </w:p>
                          </w:txbxContent>
                        </v:textbox>
                      </v:shape>
                      <v:line id="箭头 10" o:spid="_x0000_s1026" o:spt="20" style="position:absolute;left:8822;top:373571;height:1;width:340;" filled="f" stroked="t" coordsize="21600,21600" o:gfxdata="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3sk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文本框 5" o:spid="_x0000_s1026" o:spt="202" type="#_x0000_t202" style="position:absolute;left:8054;top:373361;height:451;width:754;" fillcolor="#FFFFFF" filled="t" stroked="t" coordsize="21600,21600" o:gfxdata="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ekcm/&#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mm,1.27mm,2mm,1.27mm">
                          <w:txbxContent>
                            <w:p>
                              <w:pPr>
                                <w:jc w:val="center"/>
                              </w:pPr>
                              <w:r>
                                <w:rPr>
                                  <w:rFonts w:hint="eastAsia"/>
                                </w:rPr>
                                <w:t>裱纸</w:t>
                              </w:r>
                            </w:p>
                          </w:txbxContent>
                        </v:textbox>
                      </v:shape>
                      <v:line id="箭头 381" o:spid="_x0000_s1026" o:spt="20" style="position:absolute;left:7224;top:372995;flip:y;height:340;width:1;" filled="f" stroked="t" coordsize="21600,21600" o:gfxdata="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IKVD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line>
                      <v:line id="箭头 10" o:spid="_x0000_s1026" o:spt="20" style="position:absolute;left:6427;top:373597;height:1;width:340;" filled="f" stroked="t" coordsize="21600,21600" o:gfxdata="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7Uur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文本框 5" o:spid="_x0000_s1026" o:spt="202" type="#_x0000_t202" style="position:absolute;left:9170;top:373355;height:451;width:694;" fillcolor="#FFFFFF" filled="t" stroked="t" coordsize="21600,21600" o:gfxdata="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EFu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2mm,1.27mm,2mm,1.27mm">
                          <w:txbxContent>
                            <w:p>
                              <w:pPr>
                                <w:jc w:val="center"/>
                              </w:pPr>
                              <w:r>
                                <w:rPr>
                                  <w:rFonts w:hint="eastAsia"/>
                                </w:rPr>
                                <w:t>模切</w:t>
                              </w:r>
                            </w:p>
                          </w:txbxContent>
                        </v:textbox>
                      </v:shape>
                      <v:shape id="文本框 239" o:spid="_x0000_s1026" o:spt="202" type="#_x0000_t202" style="position:absolute;left:8878;top:372553;height:390;width:1265;" fillcolor="#FFFFFF" filled="t" stroked="t" coordsize="21600,21600" o:gfxdata="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jRo2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color="#FFFFFF" miterlimit="8" joinstyle="miter" dashstyle="longDash"/>
                        <v:imagedata o:title=""/>
                        <o:lock v:ext="edit" aspectratio="f"/>
                        <v:textbox>
                          <w:txbxContent>
                            <w:p>
                              <w:r>
                                <w:rPr>
                                  <w:rFonts w:hint="eastAsia"/>
                                </w:rPr>
                                <w:t>固废、噪声</w:t>
                              </w:r>
                            </w:p>
                          </w:txbxContent>
                        </v:textbox>
                      </v:shape>
                      <v:line id="箭头 381" o:spid="_x0000_s1026" o:spt="20" style="position:absolute;left:8393;top:372997;flip:y;height:340;width:1;" filled="f" stroked="t" coordsize="21600,21600" o:gfxdata="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wOcb4A&#10;AADbAAAADwAAAAAAAAABACAAAAAiAAAAZHJzL2Rvd25yZXYueG1sUEsBAhQAFAAAAAgAh07iQDMv&#10;BZ47AAAAOQAAABAAAAAAAAAAAQAgAAAADQEAAGRycy9zaGFwZXhtbC54bWxQSwUGAAAAAAYABgBb&#10;AQAAtwMAAAAA&#10;">
                        <v:fill on="f" focussize="0,0"/>
                        <v:stroke weight="0.5pt" color="#000000" joinstyle="round" dashstyle="dash" endarrow="block"/>
                        <v:imagedata o:title=""/>
                        <o:lock v:ext="edit" aspectratio="f"/>
                      </v:line>
                      <v:shape id="文本框 239" o:spid="_x0000_s1026" o:spt="202" type="#_x0000_t202" style="position:absolute;left:8039;top:372553;height:390;width:988;" fillcolor="#FFFFFF" filled="t" stroked="t" coordsize="21600,21600" o:gfxdata="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PX1hvQAA&#10;ANs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FFFFFF" miterlimit="8" joinstyle="miter" dashstyle="longDash"/>
                        <v:imagedata o:title=""/>
                        <o:lock v:ext="edit" aspectratio="f"/>
                        <v:textbox>
                          <w:txbxContent>
                            <w:p>
                              <w:r>
                                <w:rPr>
                                  <w:rFonts w:hint="eastAsia"/>
                                </w:rPr>
                                <w:t>噪声</w:t>
                              </w:r>
                            </w:p>
                          </w:txbxContent>
                        </v:textbox>
                      </v:shape>
                      <v:shape id="文本框 5" o:spid="_x0000_s1026" o:spt="202" type="#_x0000_t202" style="position:absolute;left:10298;top:373383;height:451;width:1255;" fillcolor="#FFFFFF" filled="t" stroked="t" coordsize="21600,21600" o:gfxdata="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U4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2mm,1.27mm,2mm,1.27mm">
                          <w:txbxContent>
                            <w:p>
                              <w:pPr>
                                <w:jc w:val="center"/>
                              </w:pPr>
                              <w:r>
                                <w:rPr>
                                  <w:rFonts w:hint="eastAsia"/>
                                </w:rPr>
                                <w:t>钉箱/粘箱</w:t>
                              </w:r>
                            </w:p>
                          </w:txbxContent>
                        </v:textbox>
                      </v:shape>
                      <v:shape id="文本框 5" o:spid="_x0000_s1026" o:spt="202" type="#_x0000_t202" style="position:absolute;left:7975;top:374285;height:451;width:1094;" fillcolor="#FFFFFF" filled="t" stroked="f" coordsize="21600,21600" o:gfxdata="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IPB1vQAA&#10;ANsAAAAPAAAAAAAAAAEAIAAAACIAAABkcnMvZG93bnJldi54bWxQSwECFAAUAAAACACHTuJAMy8F&#10;njsAAAA5AAAAEAAAAAAAAAABACAAAAAMAQAAZHJzL3NoYXBleG1sLnhtbFBLBQYAAAAABgAGAFsB&#10;AAC2AwAAAAA=&#10;">
                        <v:fill on="t" focussize="0,0"/>
                        <v:stroke on="f"/>
                        <v:imagedata o:title=""/>
                        <o:lock v:ext="edit" aspectratio="f"/>
                        <v:textbox inset="2mm,1.27mm,2mm,1.27mm">
                          <w:txbxContent>
                            <w:p>
                              <w:pPr>
                                <w:jc w:val="center"/>
                              </w:pPr>
                              <w:r>
                                <w:rPr>
                                  <w:rFonts w:hint="eastAsia"/>
                                </w:rPr>
                                <w:t>瓦楞纸板</w:t>
                              </w:r>
                            </w:p>
                          </w:txbxContent>
                        </v:textbox>
                      </v:shape>
                      <v:line id="箭头 10" o:spid="_x0000_s1026" o:spt="20" style="position:absolute;left:8470;top:373787;flip:x y;height:473;width:1;" filled="f" stroked="t" coordsize="21600,21600" o:gfxdata="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zVIugAAANsA&#10;AAAPAAAAAAAAAAEAIAAAACIAAABkcnMvZG93bnJldi54bWxQSwECFAAUAAAACACHTuJAMy8FnjsA&#10;AAA5AAAAEAAAAAAAAAABACAAAAAJAQAAZHJzL3NoYXBleG1sLnhtbFBLBQYAAAAABgAGAFsBAACz&#10;AwAAAAA=&#10;">
                        <v:fill on="f" focussize="0,0"/>
                        <v:stroke weight="0.5pt" color="#000000" joinstyle="round" endarrow="block"/>
                        <v:imagedata o:title=""/>
                        <o:lock v:ext="edit" aspectratio="f"/>
                      </v:line>
                      <v:line id="箭头 10" o:spid="_x0000_s1026" o:spt="20" style="position:absolute;left:9912;top:373561;height:1;width:340;" filled="f" stroked="t" coordsize="21600,21600" o:gfxdata="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37p7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文本框 5" o:spid="_x0000_s1026" o:spt="202" type="#_x0000_t202" style="position:absolute;left:10339;top:374242;height:451;width:1255;" fillcolor="#FFFFFF" filled="t" stroked="f" coordsize="21600,21600" o:gfxdata="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c8y7sAAADb&#10;AAAADwAAAAAAAAABACAAAAAiAAAAZHJzL2Rvd25yZXYueG1sUEsBAhQAFAAAAAgAh07iQDMvBZ47&#10;AAAAOQAAABAAAAAAAAAAAQAgAAAACgEAAGRycy9zaGFwZXhtbC54bWxQSwUGAAAAAAYABgBbAQAA&#10;tAMAAAAA&#10;">
                        <v:fill on="t" focussize="0,0"/>
                        <v:stroke on="f"/>
                        <v:imagedata o:title=""/>
                        <o:lock v:ext="edit" aspectratio="f"/>
                        <v:textbox inset="2mm,1.27mm,2mm,1.27mm">
                          <w:txbxContent>
                            <w:p>
                              <w:pPr>
                                <w:jc w:val="center"/>
                              </w:pPr>
                              <w:r>
                                <w:rPr>
                                  <w:rFonts w:hint="eastAsia"/>
                                </w:rPr>
                                <w:t>打包入库</w:t>
                              </w:r>
                            </w:p>
                          </w:txbxContent>
                        </v:textbox>
                      </v:shape>
                      <v:line id="箭头 10" o:spid="_x0000_s1026" o:spt="20" style="position:absolute;left:10933;top:373861;flip:x;height:340;width:1;" filled="f" stroked="t" coordsize="21600,21600" o:gfxdata="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O2me/&#10;AAAA2w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文本框 239" o:spid="_x0000_s1026" o:spt="202" type="#_x0000_t202" style="position:absolute;left:6708;top:372553;height:390;width:1265;" fillcolor="#FFFFFF" filled="t" stroked="t" coordsize="21600,21600" o:gfxdata="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d6uHvQAA&#10;ANs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FFFFFF" miterlimit="8" joinstyle="miter" dashstyle="longDash"/>
                        <v:imagedata o:title=""/>
                        <o:lock v:ext="edit" aspectratio="f"/>
                        <v:textbox>
                          <w:txbxContent>
                            <w:p>
                              <w:r>
                                <w:rPr>
                                  <w:rFonts w:hint="eastAsia"/>
                                </w:rPr>
                                <w:t>固废、噪声</w:t>
                              </w:r>
                            </w:p>
                          </w:txbxContent>
                        </v:textbox>
                      </v:shape>
                      <v:line id="箭头 381" o:spid="_x0000_s1026" o:spt="20" style="position:absolute;left:9509;top:372985;flip:y;height:340;width:1;" filled="f" stroked="t" coordsize="21600,21600" o:gfxdata="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d6U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line>
                      <v:line id="箭头 381" o:spid="_x0000_s1026" o:spt="20" style="position:absolute;left:10906;top:372999;flip:y;height:340;width:1;" filled="f" stroked="t" coordsize="21600,21600" o:gfxdata="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XsP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line>
                      <v:shape id="文本框 239" o:spid="_x0000_s1026" o:spt="202" type="#_x0000_t202" style="position:absolute;left:10292;top:372553;height:390;width:1195;" fillcolor="#FFFFFF" filled="t" stroked="t" coordsize="21600,21600" o:gfxdata="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bfcvQAA&#10;ANs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FFFFFF" miterlimit="8" joinstyle="miter" dashstyle="longDash"/>
                        <v:imagedata o:title=""/>
                        <o:lock v:ext="edit" aspectratio="f"/>
                        <v:textbox>
                          <w:txbxContent>
                            <w:p>
                              <w:r>
                                <w:rPr>
                                  <w:rFonts w:hint="eastAsia"/>
                                </w:rPr>
                                <w:t>噪声、废气</w:t>
                              </w:r>
                            </w:p>
                          </w:txbxContent>
                        </v:textbox>
                      </v:shape>
                      <w10:wrap type="none"/>
                      <w10:anchorlock/>
                    </v:group>
                  </w:pict>
                </mc:Fallback>
              </mc:AlternateContent>
            </w:r>
          </w:p>
          <w:p>
            <w:pPr>
              <w:pStyle w:val="110"/>
            </w:pPr>
            <w:r>
              <w:rPr>
                <w:rFonts w:hint="eastAsia"/>
              </w:rPr>
              <w:t>图2-2 彩箱生产工艺及产污环节</w:t>
            </w:r>
          </w:p>
          <w:p>
            <w:pPr>
              <w:spacing w:before="156" w:beforeLines="50" w:line="360" w:lineRule="auto"/>
              <w:rPr>
                <w:b/>
                <w:bCs/>
                <w:sz w:val="24"/>
              </w:rPr>
            </w:pPr>
            <w:r>
              <w:rPr>
                <w:rFonts w:hint="eastAsia"/>
                <w:b/>
                <w:bCs/>
                <w:sz w:val="24"/>
              </w:rPr>
              <w:t>工艺流程简述:</w:t>
            </w:r>
          </w:p>
          <w:p>
            <w:pPr>
              <w:pStyle w:val="108"/>
              <w:ind w:firstLine="480"/>
            </w:pPr>
            <w:r>
              <w:rPr>
                <w:rFonts w:hint="eastAsia"/>
              </w:rPr>
              <w:t>①、印刷：从市场购进白板，利用胶印机进行印刷。项目此类产品纸张印刷使用胶印油墨，胶印油墨使用不需要稀释。胶印印刷机更换油墨种类时，印刷模板采用抹布沾洗车水檫拭。该工序主要产生污染物为有机废气、噪声和废擦拭抹布。</w:t>
            </w:r>
          </w:p>
          <w:p>
            <w:pPr>
              <w:pStyle w:val="108"/>
              <w:ind w:firstLine="480"/>
            </w:pPr>
            <w:r>
              <w:rPr>
                <w:rFonts w:hint="eastAsia"/>
              </w:rPr>
              <w:t>②、覆膜：印刷完成后将胶膜与面纸复合。该工序主要污染物为废胶膜和噪声。</w:t>
            </w:r>
          </w:p>
          <w:p>
            <w:pPr>
              <w:pStyle w:val="108"/>
              <w:ind w:firstLine="480"/>
            </w:pPr>
            <w:r>
              <w:rPr>
                <w:rFonts w:hint="eastAsia"/>
              </w:rPr>
              <w:t>③、裱纸：通过粘合机将印刷完成的纸张与瓦楞纸板进行裱装处理，裱装过程中采用淀粉胶黏剂，胶黏剂为淀粉胶桶内加水进行配置，无废水产生，采用淀粉胶无有机废气产生。</w:t>
            </w:r>
          </w:p>
          <w:p>
            <w:pPr>
              <w:pStyle w:val="108"/>
              <w:ind w:firstLine="480"/>
            </w:pPr>
            <w:r>
              <w:rPr>
                <w:rFonts w:hint="eastAsia"/>
              </w:rPr>
              <w:t>④、模切：印刷后的纸板按照事先设计好的图形经压痕机、模切机进行压痕、模切处理，从而可以使纸箱折叠成型；其主要污染物为废边角料和噪声。</w:t>
            </w:r>
          </w:p>
          <w:p>
            <w:pPr>
              <w:pStyle w:val="108"/>
              <w:ind w:firstLine="480"/>
            </w:pPr>
            <w:r>
              <w:rPr>
                <w:rFonts w:hint="eastAsia"/>
              </w:rPr>
              <w:t>⑤、钉箱/粘箱：根据客户要求，采用钉箱或粘箱的方式将纸板钉制或粘制成箱</w:t>
            </w:r>
            <w:r>
              <w:rPr>
                <w:rFonts w:hint="eastAsia"/>
                <w:lang w:eastAsia="zh-CN"/>
              </w:rPr>
              <w:t>，</w:t>
            </w:r>
            <w:r>
              <w:rPr>
                <w:rFonts w:hint="eastAsia"/>
              </w:rPr>
              <w:t>该工序主要产生污染物为有机废气、噪声。</w:t>
            </w:r>
          </w:p>
          <w:p>
            <w:pPr>
              <w:pStyle w:val="108"/>
              <w:ind w:firstLine="480"/>
            </w:pPr>
            <w:r>
              <w:rPr>
                <w:rFonts w:hint="eastAsia"/>
              </w:rPr>
              <w:t>⑥、打包入库。</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36" w:hRule="atLeast"/>
        </w:trPr>
        <w:tc>
          <w:tcPr>
            <w:tcW w:w="844" w:type="dxa"/>
            <w:tcBorders>
              <w:tl2br w:val="nil"/>
              <w:tr2bl w:val="nil"/>
            </w:tcBorders>
            <w:vAlign w:val="center"/>
          </w:tcPr>
          <w:p>
            <w:pPr>
              <w:pStyle w:val="51"/>
              <w:jc w:val="center"/>
              <w:rPr>
                <w:rFonts w:ascii="Times New Roman" w:hAnsi="Times New Roman"/>
              </w:rPr>
            </w:pPr>
            <w:r>
              <w:rPr>
                <w:rFonts w:hint="eastAsia" w:ascii="宋体"/>
              </w:rPr>
              <w:t>与项目有关的原有环境污染问题</w:t>
            </w:r>
          </w:p>
        </w:tc>
        <w:tc>
          <w:tcPr>
            <w:tcW w:w="8444" w:type="dxa"/>
            <w:tcBorders>
              <w:tl2br w:val="nil"/>
              <w:tr2bl w:val="nil"/>
            </w:tcBorders>
          </w:tcPr>
          <w:p>
            <w:pPr>
              <w:pStyle w:val="108"/>
              <w:ind w:firstLine="480"/>
            </w:pPr>
            <w:r>
              <w:t>本项目为</w:t>
            </w:r>
            <w:r>
              <w:rPr>
                <w:rFonts w:hint="eastAsia"/>
              </w:rPr>
              <w:t>扩建</w:t>
            </w:r>
            <w:r>
              <w:t>项目，对</w:t>
            </w:r>
            <w:r>
              <w:rPr>
                <w:rFonts w:hint="eastAsia"/>
              </w:rPr>
              <w:t>厂区内</w:t>
            </w:r>
            <w:r>
              <w:t>现有厂房进行二次扩建，新增一条生产高端印刷包装瓦楞纸箱和彩箱生产线。</w:t>
            </w:r>
          </w:p>
          <w:p>
            <w:pPr>
              <w:pStyle w:val="108"/>
              <w:ind w:firstLine="480"/>
              <w:rPr>
                <w:kern w:val="0"/>
                <w:szCs w:val="21"/>
              </w:rPr>
            </w:pPr>
            <w:r>
              <w:rPr>
                <w:rFonts w:hint="eastAsia"/>
                <w:kern w:val="0"/>
                <w:szCs w:val="21"/>
              </w:rPr>
              <w:t>淮</w:t>
            </w:r>
            <w:r>
              <w:rPr>
                <w:rFonts w:hint="eastAsia"/>
              </w:rPr>
              <w:t>南市晨阳塑料有限公司，成立于2005年，地址位于淮南市八公山区八公山镇朱岗村，企业2008年委托淮南市环境科学研究所编制了《淮南市晨阳塑料有限公司年产</w:t>
            </w:r>
            <w:r>
              <w:rPr>
                <w:rFonts w:hint="eastAsia"/>
                <w:kern w:val="0"/>
                <w:szCs w:val="21"/>
              </w:rPr>
              <w:t>2000万条水泥包装袋项目环境影响报告表》，于2009年5月15日经淮南市环境保护局审批通过，审批后形成年产2000万条水泥包装袋的生产规模。企业于2015年8月通过淮南市环境保护监测站验收（淮环监验字【2015】第11号）。</w:t>
            </w:r>
          </w:p>
          <w:p>
            <w:pPr>
              <w:pStyle w:val="111"/>
              <w:ind w:firstLine="482"/>
            </w:pPr>
            <w:r>
              <w:rPr>
                <w:rFonts w:hint="eastAsia"/>
              </w:rPr>
              <w:t>1</w:t>
            </w:r>
            <w:r>
              <w:t>、现有项目生产工艺</w:t>
            </w:r>
          </w:p>
          <w:p>
            <w:pPr>
              <w:pStyle w:val="108"/>
              <w:ind w:firstLine="480"/>
            </w:pPr>
            <w:r>
              <w:rPr>
                <w:rFonts w:ascii="Times New Roman" w:hAnsi="Times New Roman"/>
              </w:rPr>
              <w:drawing>
                <wp:anchor distT="0" distB="0" distL="0" distR="0" simplePos="0" relativeHeight="251660288" behindDoc="0" locked="0" layoutInCell="1" allowOverlap="1">
                  <wp:simplePos x="0" y="0"/>
                  <wp:positionH relativeFrom="column">
                    <wp:posOffset>0</wp:posOffset>
                  </wp:positionH>
                  <wp:positionV relativeFrom="paragraph">
                    <wp:posOffset>8255</wp:posOffset>
                  </wp:positionV>
                  <wp:extent cx="5107940" cy="2095500"/>
                  <wp:effectExtent l="0" t="0" r="16510" b="0"/>
                  <wp:wrapNone/>
                  <wp:docPr id="179" name="图片 179" descr="微信截图_2020051616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微信截图_20200516160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07940" cy="2095500"/>
                          </a:xfrm>
                          <a:prstGeom prst="rect">
                            <a:avLst/>
                          </a:prstGeom>
                          <a:noFill/>
                          <a:ln>
                            <a:noFill/>
                          </a:ln>
                          <a:effectLst/>
                        </pic:spPr>
                      </pic:pic>
                    </a:graphicData>
                  </a:graphic>
                </wp:anchor>
              </w:drawing>
            </w: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10"/>
            </w:pPr>
            <w:r>
              <w:t>图</w:t>
            </w:r>
            <w:r>
              <w:rPr>
                <w:rFonts w:hint="eastAsia"/>
              </w:rPr>
              <w:t>2</w:t>
            </w:r>
            <w:r>
              <w:t>-</w:t>
            </w:r>
            <w:r>
              <w:rPr>
                <w:rFonts w:hint="eastAsia"/>
              </w:rPr>
              <w:t>3</w:t>
            </w:r>
            <w:r>
              <w:t xml:space="preserve"> 现有项目工艺流程图</w:t>
            </w:r>
          </w:p>
          <w:p>
            <w:pPr>
              <w:pStyle w:val="108"/>
              <w:ind w:firstLine="480"/>
            </w:pPr>
            <w:r>
              <w:t>工艺流程简述：聚丙烯塑料颗粒和母料混合均匀，融化成膜经拉丝机拉成扁丝后用圆织机织成袋装，再用切割机按尺寸切割成段，然后在编织袋上印上客户规定内容，将编制的编织袋端口用缝纫机缝合在一起，制成成品。</w:t>
            </w:r>
          </w:p>
          <w:p>
            <w:pPr>
              <w:pStyle w:val="111"/>
              <w:ind w:firstLine="482"/>
            </w:pPr>
            <w:r>
              <w:rPr>
                <w:rFonts w:hint="eastAsia"/>
              </w:rPr>
              <w:t>2</w:t>
            </w:r>
            <w:r>
              <w:t>、现有项目主要污染物产排情况及治理措施。</w:t>
            </w:r>
          </w:p>
          <w:p>
            <w:pPr>
              <w:pStyle w:val="108"/>
              <w:ind w:firstLine="480"/>
            </w:pPr>
            <w:r>
              <w:t>据原环评报告、验收报告及实际调查情况，现有污染物产排情况及治理措施见下表。</w:t>
            </w:r>
          </w:p>
          <w:p>
            <w:pPr>
              <w:pStyle w:val="110"/>
            </w:pPr>
            <w:r>
              <w:t>表</w:t>
            </w:r>
            <w:r>
              <w:rPr>
                <w:rFonts w:hint="eastAsia"/>
              </w:rPr>
              <w:t>2</w:t>
            </w:r>
            <w:r>
              <w:t>-</w:t>
            </w:r>
            <w:r>
              <w:rPr>
                <w:rFonts w:hint="eastAsia"/>
              </w:rPr>
              <w:t>7现有项目污染物产排及治理措施汇总表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403"/>
              <w:gridCol w:w="1166"/>
              <w:gridCol w:w="1288"/>
              <w:gridCol w:w="1288"/>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Align w:val="center"/>
                </w:tcPr>
                <w:p>
                  <w:pPr>
                    <w:pStyle w:val="109"/>
                    <w:rPr>
                      <w:rFonts w:ascii="宋体" w:hAnsi="宋体" w:eastAsia="宋体" w:cs="宋体"/>
                      <w:sz w:val="21"/>
                      <w:szCs w:val="21"/>
                    </w:rPr>
                  </w:pPr>
                  <w:r>
                    <w:rPr>
                      <w:rFonts w:hint="eastAsia" w:ascii="宋体" w:hAnsi="宋体" w:eastAsia="宋体" w:cs="宋体"/>
                      <w:sz w:val="21"/>
                      <w:szCs w:val="21"/>
                    </w:rPr>
                    <w:t>污染物类型</w:t>
                  </w:r>
                </w:p>
              </w:tc>
              <w:tc>
                <w:tcPr>
                  <w:tcW w:w="1403" w:type="dxa"/>
                  <w:vAlign w:val="center"/>
                </w:tcPr>
                <w:p>
                  <w:pPr>
                    <w:pStyle w:val="109"/>
                    <w:rPr>
                      <w:rFonts w:ascii="宋体" w:hAnsi="宋体" w:eastAsia="宋体" w:cs="宋体"/>
                      <w:sz w:val="21"/>
                      <w:szCs w:val="21"/>
                    </w:rPr>
                  </w:pPr>
                  <w:r>
                    <w:rPr>
                      <w:rFonts w:hint="eastAsia" w:ascii="宋体" w:hAnsi="宋体" w:eastAsia="宋体" w:cs="宋体"/>
                      <w:sz w:val="21"/>
                      <w:szCs w:val="21"/>
                    </w:rPr>
                    <w:t>排放源</w:t>
                  </w:r>
                </w:p>
              </w:tc>
              <w:tc>
                <w:tcPr>
                  <w:tcW w:w="1166" w:type="dxa"/>
                  <w:vAlign w:val="center"/>
                </w:tcPr>
                <w:p>
                  <w:pPr>
                    <w:pStyle w:val="109"/>
                    <w:rPr>
                      <w:rFonts w:ascii="宋体" w:hAnsi="宋体" w:eastAsia="宋体" w:cs="宋体"/>
                      <w:sz w:val="21"/>
                      <w:szCs w:val="21"/>
                    </w:rPr>
                  </w:pPr>
                  <w:r>
                    <w:rPr>
                      <w:rFonts w:hint="eastAsia" w:ascii="宋体" w:hAnsi="宋体" w:eastAsia="宋体" w:cs="宋体"/>
                      <w:sz w:val="21"/>
                      <w:szCs w:val="21"/>
                    </w:rPr>
                    <w:t>污染物名称</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产生量（t/a）</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排放量（t/a）</w:t>
                  </w:r>
                </w:p>
              </w:tc>
              <w:tc>
                <w:tcPr>
                  <w:tcW w:w="1928" w:type="dxa"/>
                  <w:vAlign w:val="center"/>
                </w:tcPr>
                <w:p>
                  <w:pPr>
                    <w:pStyle w:val="109"/>
                    <w:rPr>
                      <w:rFonts w:ascii="宋体" w:hAnsi="宋体" w:eastAsia="宋体" w:cs="宋体"/>
                      <w:sz w:val="21"/>
                      <w:szCs w:val="21"/>
                    </w:rPr>
                  </w:pPr>
                  <w:r>
                    <w:rPr>
                      <w:rFonts w:hint="eastAsia" w:ascii="宋体" w:hAnsi="宋体" w:eastAsia="宋体" w:cs="宋体"/>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Align w:val="center"/>
                </w:tcPr>
                <w:p>
                  <w:pPr>
                    <w:pStyle w:val="109"/>
                    <w:rPr>
                      <w:rFonts w:ascii="宋体" w:hAnsi="宋体" w:eastAsia="宋体" w:cs="宋体"/>
                      <w:sz w:val="21"/>
                      <w:szCs w:val="21"/>
                    </w:rPr>
                  </w:pPr>
                  <w:r>
                    <w:rPr>
                      <w:rFonts w:hint="eastAsia" w:ascii="宋体" w:hAnsi="宋体" w:eastAsia="宋体" w:cs="宋体"/>
                      <w:sz w:val="21"/>
                      <w:szCs w:val="21"/>
                    </w:rPr>
                    <w:t>废气</w:t>
                  </w:r>
                </w:p>
              </w:tc>
              <w:tc>
                <w:tcPr>
                  <w:tcW w:w="1403" w:type="dxa"/>
                  <w:vAlign w:val="center"/>
                </w:tcPr>
                <w:p>
                  <w:pPr>
                    <w:pStyle w:val="109"/>
                    <w:rPr>
                      <w:rFonts w:ascii="宋体" w:hAnsi="宋体" w:eastAsia="宋体" w:cs="宋体"/>
                      <w:sz w:val="21"/>
                      <w:szCs w:val="21"/>
                    </w:rPr>
                  </w:pPr>
                  <w:r>
                    <w:rPr>
                      <w:rFonts w:hint="eastAsia" w:ascii="宋体" w:hAnsi="宋体" w:eastAsia="宋体" w:cs="宋体"/>
                      <w:sz w:val="21"/>
                      <w:szCs w:val="21"/>
                    </w:rPr>
                    <w:t>印字机、拉丝机、切袋、粉碎</w:t>
                  </w:r>
                </w:p>
              </w:tc>
              <w:tc>
                <w:tcPr>
                  <w:tcW w:w="1166" w:type="dxa"/>
                  <w:vAlign w:val="center"/>
                </w:tcPr>
                <w:p>
                  <w:pPr>
                    <w:pStyle w:val="109"/>
                    <w:rPr>
                      <w:rFonts w:ascii="宋体" w:hAnsi="宋体" w:eastAsia="宋体" w:cs="宋体"/>
                      <w:sz w:val="21"/>
                      <w:szCs w:val="21"/>
                    </w:rPr>
                  </w:pPr>
                  <w:r>
                    <w:rPr>
                      <w:rFonts w:hint="eastAsia" w:ascii="宋体" w:hAnsi="宋体" w:eastAsia="宋体" w:cs="宋体"/>
                      <w:sz w:val="21"/>
                      <w:szCs w:val="21"/>
                    </w:rPr>
                    <w:t>非甲烷总烃</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0.009</w:t>
                  </w:r>
                </w:p>
              </w:tc>
              <w:tc>
                <w:tcPr>
                  <w:tcW w:w="1928" w:type="dxa"/>
                  <w:vAlign w:val="center"/>
                </w:tcPr>
                <w:p>
                  <w:pPr>
                    <w:pStyle w:val="109"/>
                    <w:rPr>
                      <w:rFonts w:ascii="宋体" w:hAnsi="宋体" w:eastAsia="宋体" w:cs="宋体"/>
                      <w:sz w:val="21"/>
                      <w:szCs w:val="21"/>
                    </w:rPr>
                  </w:pPr>
                  <w:r>
                    <w:rPr>
                      <w:rFonts w:hint="eastAsia" w:ascii="宋体" w:hAnsi="宋体" w:eastAsia="宋体" w:cs="宋体"/>
                      <w:sz w:val="21"/>
                      <w:szCs w:val="21"/>
                    </w:rPr>
                    <w:t>车间安装集气罩，采取机械通风屋顶排放方式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 w:hRule="atLeast"/>
                <w:jc w:val="center"/>
              </w:trPr>
              <w:tc>
                <w:tcPr>
                  <w:tcW w:w="1145" w:type="dxa"/>
                  <w:vMerge w:val="restart"/>
                  <w:vAlign w:val="center"/>
                </w:tcPr>
                <w:p>
                  <w:pPr>
                    <w:pStyle w:val="109"/>
                    <w:rPr>
                      <w:rFonts w:ascii="宋体" w:hAnsi="宋体" w:eastAsia="宋体" w:cs="宋体"/>
                      <w:sz w:val="21"/>
                      <w:szCs w:val="21"/>
                    </w:rPr>
                  </w:pPr>
                  <w:r>
                    <w:rPr>
                      <w:rFonts w:hint="eastAsia" w:ascii="宋体" w:hAnsi="宋体" w:eastAsia="宋体" w:cs="宋体"/>
                      <w:sz w:val="21"/>
                      <w:szCs w:val="21"/>
                    </w:rPr>
                    <w:t>废水</w:t>
                  </w:r>
                </w:p>
              </w:tc>
              <w:tc>
                <w:tcPr>
                  <w:tcW w:w="1403" w:type="dxa"/>
                  <w:vMerge w:val="restart"/>
                  <w:vAlign w:val="center"/>
                </w:tcPr>
                <w:p>
                  <w:pPr>
                    <w:pStyle w:val="109"/>
                    <w:rPr>
                      <w:rFonts w:ascii="宋体" w:hAnsi="宋体" w:eastAsia="宋体" w:cs="宋体"/>
                      <w:sz w:val="21"/>
                      <w:szCs w:val="21"/>
                    </w:rPr>
                  </w:pPr>
                  <w:r>
                    <w:rPr>
                      <w:rFonts w:hint="eastAsia" w:ascii="宋体" w:hAnsi="宋体" w:eastAsia="宋体" w:cs="宋体"/>
                      <w:sz w:val="21"/>
                      <w:szCs w:val="21"/>
                    </w:rPr>
                    <w:t>生活污水</w:t>
                  </w:r>
                </w:p>
              </w:tc>
              <w:tc>
                <w:tcPr>
                  <w:tcW w:w="1166" w:type="dxa"/>
                  <w:vAlign w:val="center"/>
                </w:tcPr>
                <w:p>
                  <w:pPr>
                    <w:pStyle w:val="109"/>
                    <w:rPr>
                      <w:rFonts w:ascii="宋体" w:hAnsi="宋体" w:eastAsia="宋体" w:cs="宋体"/>
                      <w:sz w:val="21"/>
                      <w:szCs w:val="21"/>
                    </w:rPr>
                  </w:pPr>
                  <w:r>
                    <w:rPr>
                      <w:rFonts w:hint="eastAsia" w:ascii="宋体" w:hAnsi="宋体" w:eastAsia="宋体" w:cs="宋体"/>
                      <w:sz w:val="21"/>
                      <w:szCs w:val="21"/>
                    </w:rPr>
                    <w:t>COD</w:t>
                  </w:r>
                </w:p>
              </w:tc>
              <w:tc>
                <w:tcPr>
                  <w:tcW w:w="1288" w:type="dxa"/>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0.11</w:t>
                  </w:r>
                </w:p>
              </w:tc>
              <w:tc>
                <w:tcPr>
                  <w:tcW w:w="1288" w:type="dxa"/>
                  <w:vMerge w:val="restart"/>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928" w:type="dxa"/>
                  <w:vMerge w:val="restart"/>
                  <w:vAlign w:val="center"/>
                </w:tcPr>
                <w:p>
                  <w:pPr>
                    <w:pStyle w:val="109"/>
                    <w:rPr>
                      <w:rFonts w:ascii="宋体" w:hAnsi="宋体" w:eastAsia="宋体" w:cs="宋体"/>
                      <w:sz w:val="21"/>
                      <w:szCs w:val="21"/>
                    </w:rPr>
                  </w:pPr>
                  <w:r>
                    <w:rPr>
                      <w:rFonts w:hint="eastAsia" w:ascii="宋体" w:hAnsi="宋体" w:eastAsia="宋体" w:cs="宋体"/>
                      <w:sz w:val="21"/>
                      <w:szCs w:val="21"/>
                    </w:rPr>
                    <w:t>生活污水经化粪池预处理后由附近居民定期清掏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 w:hRule="atLeast"/>
                <w:jc w:val="center"/>
              </w:trPr>
              <w:tc>
                <w:tcPr>
                  <w:tcW w:w="1145" w:type="dxa"/>
                  <w:vMerge w:val="continue"/>
                  <w:vAlign w:val="center"/>
                </w:tcPr>
                <w:p>
                  <w:pPr>
                    <w:pStyle w:val="109"/>
                  </w:pPr>
                </w:p>
              </w:tc>
              <w:tc>
                <w:tcPr>
                  <w:tcW w:w="1403" w:type="dxa"/>
                  <w:vMerge w:val="continue"/>
                  <w:vAlign w:val="center"/>
                </w:tcPr>
                <w:p>
                  <w:pPr>
                    <w:pStyle w:val="109"/>
                  </w:pPr>
                </w:p>
              </w:tc>
              <w:tc>
                <w:tcPr>
                  <w:tcW w:w="1166" w:type="dxa"/>
                  <w:vAlign w:val="center"/>
                </w:tcPr>
                <w:p>
                  <w:pPr>
                    <w:pStyle w:val="109"/>
                    <w:rPr>
                      <w:rFonts w:hint="eastAsia" w:ascii="宋体" w:hAnsi="宋体" w:eastAsia="宋体" w:cs="宋体"/>
                      <w:sz w:val="21"/>
                      <w:szCs w:val="21"/>
                    </w:rPr>
                  </w:pPr>
                  <w:r>
                    <w:rPr>
                      <w:rFonts w:hint="eastAsia" w:ascii="宋体" w:hAnsi="宋体" w:eastAsia="宋体" w:cs="宋体"/>
                      <w:sz w:val="21"/>
                      <w:szCs w:val="21"/>
                    </w:rPr>
                    <w:t>NH</w:t>
                  </w:r>
                  <w:r>
                    <w:rPr>
                      <w:rFonts w:hint="eastAsia" w:ascii="宋体" w:hAnsi="宋体" w:eastAsia="宋体" w:cs="宋体"/>
                      <w:sz w:val="21"/>
                      <w:szCs w:val="21"/>
                      <w:vertAlign w:val="subscript"/>
                    </w:rPr>
                    <w:t>3</w:t>
                  </w:r>
                  <w:r>
                    <w:rPr>
                      <w:rFonts w:hint="eastAsia" w:ascii="宋体" w:hAnsi="宋体" w:eastAsia="宋体" w:cs="宋体"/>
                      <w:sz w:val="21"/>
                      <w:szCs w:val="21"/>
                    </w:rPr>
                    <w:t>-N</w:t>
                  </w:r>
                </w:p>
              </w:tc>
              <w:tc>
                <w:tcPr>
                  <w:tcW w:w="1288" w:type="dxa"/>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0.015</w:t>
                  </w:r>
                </w:p>
              </w:tc>
              <w:tc>
                <w:tcPr>
                  <w:tcW w:w="1288" w:type="dxa"/>
                  <w:vMerge w:val="continue"/>
                  <w:vAlign w:val="center"/>
                </w:tcPr>
                <w:p>
                  <w:pPr>
                    <w:pStyle w:val="109"/>
                    <w:rPr>
                      <w:rFonts w:hint="eastAsia" w:ascii="宋体" w:hAnsi="宋体" w:eastAsia="宋体" w:cs="宋体"/>
                      <w:sz w:val="21"/>
                      <w:szCs w:val="21"/>
                    </w:rPr>
                  </w:pPr>
                </w:p>
              </w:tc>
              <w:tc>
                <w:tcPr>
                  <w:tcW w:w="1928" w:type="dxa"/>
                  <w:vMerge w:val="continue"/>
                  <w:vAlign w:val="center"/>
                </w:tcPr>
                <w:p>
                  <w:pPr>
                    <w:pStyle w:val="10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145" w:type="dxa"/>
                  <w:vMerge w:val="continue"/>
                  <w:vAlign w:val="center"/>
                </w:tcPr>
                <w:p>
                  <w:pPr>
                    <w:pStyle w:val="109"/>
                    <w:rPr>
                      <w:rFonts w:hint="eastAsia" w:ascii="宋体" w:hAnsi="宋体" w:eastAsia="宋体" w:cs="宋体"/>
                      <w:sz w:val="21"/>
                      <w:szCs w:val="21"/>
                    </w:rPr>
                  </w:pPr>
                </w:p>
              </w:tc>
              <w:tc>
                <w:tcPr>
                  <w:tcW w:w="1403" w:type="dxa"/>
                  <w:vMerge w:val="continue"/>
                  <w:vAlign w:val="center"/>
                </w:tcPr>
                <w:p>
                  <w:pPr>
                    <w:pStyle w:val="109"/>
                    <w:rPr>
                      <w:rFonts w:hint="eastAsia" w:ascii="宋体" w:hAnsi="宋体" w:eastAsia="宋体" w:cs="宋体"/>
                      <w:sz w:val="21"/>
                      <w:szCs w:val="21"/>
                    </w:rPr>
                  </w:pPr>
                </w:p>
              </w:tc>
              <w:tc>
                <w:tcPr>
                  <w:tcW w:w="1166" w:type="dxa"/>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BOD</w:t>
                  </w:r>
                  <w:r>
                    <w:rPr>
                      <w:rFonts w:hint="eastAsia" w:ascii="宋体" w:hAnsi="宋体" w:eastAsia="宋体" w:cs="宋体"/>
                      <w:sz w:val="21"/>
                      <w:szCs w:val="21"/>
                      <w:vertAlign w:val="subscript"/>
                      <w:lang w:val="en-US" w:eastAsia="zh-CN"/>
                    </w:rPr>
                    <w:t>5</w:t>
                  </w:r>
                </w:p>
              </w:tc>
              <w:tc>
                <w:tcPr>
                  <w:tcW w:w="1288" w:type="dxa"/>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0.06</w:t>
                  </w:r>
                </w:p>
              </w:tc>
              <w:tc>
                <w:tcPr>
                  <w:tcW w:w="1288" w:type="dxa"/>
                  <w:vMerge w:val="continue"/>
                  <w:vAlign w:val="center"/>
                </w:tcPr>
                <w:p>
                  <w:pPr>
                    <w:pStyle w:val="109"/>
                    <w:rPr>
                      <w:rFonts w:hint="eastAsia" w:ascii="宋体" w:hAnsi="宋体" w:eastAsia="宋体" w:cs="宋体"/>
                      <w:sz w:val="21"/>
                      <w:szCs w:val="21"/>
                    </w:rPr>
                  </w:pPr>
                </w:p>
              </w:tc>
              <w:tc>
                <w:tcPr>
                  <w:tcW w:w="1928" w:type="dxa"/>
                  <w:vMerge w:val="continue"/>
                  <w:vAlign w:val="center"/>
                </w:tcPr>
                <w:p>
                  <w:pPr>
                    <w:pStyle w:val="10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145" w:type="dxa"/>
                  <w:vMerge w:val="continue"/>
                  <w:vAlign w:val="center"/>
                </w:tcPr>
                <w:p>
                  <w:pPr>
                    <w:pStyle w:val="109"/>
                    <w:rPr>
                      <w:rFonts w:hint="eastAsia" w:ascii="宋体" w:hAnsi="宋体" w:eastAsia="宋体" w:cs="宋体"/>
                      <w:sz w:val="21"/>
                      <w:szCs w:val="21"/>
                    </w:rPr>
                  </w:pPr>
                </w:p>
              </w:tc>
              <w:tc>
                <w:tcPr>
                  <w:tcW w:w="1403" w:type="dxa"/>
                  <w:vMerge w:val="continue"/>
                  <w:vAlign w:val="center"/>
                </w:tcPr>
                <w:p>
                  <w:pPr>
                    <w:pStyle w:val="109"/>
                    <w:rPr>
                      <w:rFonts w:hint="eastAsia" w:ascii="宋体" w:hAnsi="宋体" w:eastAsia="宋体" w:cs="宋体"/>
                      <w:sz w:val="21"/>
                      <w:szCs w:val="21"/>
                    </w:rPr>
                  </w:pPr>
                </w:p>
              </w:tc>
              <w:tc>
                <w:tcPr>
                  <w:tcW w:w="1166" w:type="dxa"/>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SS</w:t>
                  </w:r>
                </w:p>
              </w:tc>
              <w:tc>
                <w:tcPr>
                  <w:tcW w:w="1288" w:type="dxa"/>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0.06</w:t>
                  </w:r>
                </w:p>
              </w:tc>
              <w:tc>
                <w:tcPr>
                  <w:tcW w:w="1288" w:type="dxa"/>
                  <w:vMerge w:val="continue"/>
                  <w:vAlign w:val="center"/>
                </w:tcPr>
                <w:p>
                  <w:pPr>
                    <w:pStyle w:val="109"/>
                    <w:rPr>
                      <w:rFonts w:hint="eastAsia" w:ascii="宋体" w:hAnsi="宋体" w:eastAsia="宋体" w:cs="宋体"/>
                      <w:sz w:val="21"/>
                      <w:szCs w:val="21"/>
                    </w:rPr>
                  </w:pPr>
                </w:p>
              </w:tc>
              <w:tc>
                <w:tcPr>
                  <w:tcW w:w="1928" w:type="dxa"/>
                  <w:vMerge w:val="continue"/>
                  <w:vAlign w:val="center"/>
                </w:tcPr>
                <w:p>
                  <w:pPr>
                    <w:pStyle w:val="10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Merge w:val="restart"/>
                  <w:vAlign w:val="center"/>
                </w:tcPr>
                <w:p>
                  <w:pPr>
                    <w:pStyle w:val="109"/>
                    <w:rPr>
                      <w:rFonts w:ascii="宋体" w:hAnsi="宋体" w:eastAsia="宋体" w:cs="宋体"/>
                      <w:sz w:val="21"/>
                      <w:szCs w:val="21"/>
                    </w:rPr>
                  </w:pPr>
                  <w:r>
                    <w:rPr>
                      <w:rFonts w:hint="eastAsia" w:ascii="宋体" w:hAnsi="宋体" w:eastAsia="宋体" w:cs="宋体"/>
                      <w:sz w:val="21"/>
                      <w:szCs w:val="21"/>
                    </w:rPr>
                    <w:t>固废</w:t>
                  </w:r>
                </w:p>
              </w:tc>
              <w:tc>
                <w:tcPr>
                  <w:tcW w:w="1403" w:type="dxa"/>
                  <w:vMerge w:val="restart"/>
                  <w:vAlign w:val="center"/>
                </w:tcPr>
                <w:p>
                  <w:pPr>
                    <w:pStyle w:val="109"/>
                    <w:rPr>
                      <w:rFonts w:ascii="宋体" w:hAnsi="宋体" w:eastAsia="宋体" w:cs="宋体"/>
                      <w:sz w:val="21"/>
                      <w:szCs w:val="21"/>
                    </w:rPr>
                  </w:pPr>
                  <w:r>
                    <w:rPr>
                      <w:rFonts w:hint="eastAsia" w:ascii="宋体" w:hAnsi="宋体" w:eastAsia="宋体" w:cs="宋体"/>
                      <w:sz w:val="21"/>
                      <w:szCs w:val="21"/>
                    </w:rPr>
                    <w:t>生产过程</w:t>
                  </w:r>
                </w:p>
              </w:tc>
              <w:tc>
                <w:tcPr>
                  <w:tcW w:w="1166" w:type="dxa"/>
                  <w:vAlign w:val="center"/>
                </w:tcPr>
                <w:p>
                  <w:pPr>
                    <w:pStyle w:val="109"/>
                    <w:rPr>
                      <w:rFonts w:ascii="宋体" w:hAnsi="宋体" w:eastAsia="宋体" w:cs="宋体"/>
                      <w:sz w:val="21"/>
                      <w:szCs w:val="21"/>
                    </w:rPr>
                  </w:pPr>
                  <w:r>
                    <w:rPr>
                      <w:rFonts w:hint="eastAsia" w:ascii="宋体" w:hAnsi="宋体" w:eastAsia="宋体" w:cs="宋体"/>
                      <w:sz w:val="21"/>
                      <w:szCs w:val="21"/>
                    </w:rPr>
                    <w:t>废机油</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0.06</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928" w:type="dxa"/>
                  <w:vMerge w:val="restart"/>
                  <w:vAlign w:val="center"/>
                </w:tcPr>
                <w:p>
                  <w:pPr>
                    <w:pStyle w:val="109"/>
                    <w:rPr>
                      <w:rFonts w:ascii="宋体" w:hAnsi="宋体" w:eastAsia="宋体" w:cs="宋体"/>
                      <w:sz w:val="21"/>
                      <w:szCs w:val="21"/>
                    </w:rPr>
                  </w:pPr>
                  <w:r>
                    <w:rPr>
                      <w:rFonts w:hint="eastAsia" w:ascii="宋体" w:hAnsi="宋体" w:eastAsia="宋体" w:cs="宋体"/>
                      <w:sz w:val="21"/>
                      <w:szCs w:val="21"/>
                    </w:rPr>
                    <w:t>暂存于危废暂存间，委托安徽超越环保科技有限公司处置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Merge w:val="continue"/>
                  <w:vAlign w:val="center"/>
                </w:tcPr>
                <w:p>
                  <w:pPr>
                    <w:pStyle w:val="109"/>
                    <w:rPr>
                      <w:rFonts w:ascii="宋体" w:hAnsi="宋体" w:eastAsia="宋体" w:cs="宋体"/>
                      <w:sz w:val="21"/>
                      <w:szCs w:val="21"/>
                    </w:rPr>
                  </w:pPr>
                </w:p>
              </w:tc>
              <w:tc>
                <w:tcPr>
                  <w:tcW w:w="1403" w:type="dxa"/>
                  <w:vMerge w:val="continue"/>
                  <w:vAlign w:val="center"/>
                </w:tcPr>
                <w:p>
                  <w:pPr>
                    <w:pStyle w:val="109"/>
                    <w:rPr>
                      <w:rFonts w:ascii="宋体" w:hAnsi="宋体" w:eastAsia="宋体" w:cs="宋体"/>
                      <w:sz w:val="21"/>
                      <w:szCs w:val="21"/>
                    </w:rPr>
                  </w:pPr>
                </w:p>
              </w:tc>
              <w:tc>
                <w:tcPr>
                  <w:tcW w:w="1166" w:type="dxa"/>
                  <w:vAlign w:val="center"/>
                </w:tcPr>
                <w:p>
                  <w:pPr>
                    <w:pStyle w:val="109"/>
                    <w:rPr>
                      <w:rFonts w:ascii="宋体" w:hAnsi="宋体" w:eastAsia="宋体" w:cs="宋体"/>
                      <w:sz w:val="21"/>
                      <w:szCs w:val="21"/>
                    </w:rPr>
                  </w:pPr>
                  <w:r>
                    <w:rPr>
                      <w:rFonts w:hint="eastAsia" w:ascii="宋体" w:hAnsi="宋体" w:eastAsia="宋体" w:cs="宋体"/>
                      <w:sz w:val="21"/>
                      <w:szCs w:val="21"/>
                    </w:rPr>
                    <w:t>废油墨桶</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0.208</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928" w:type="dxa"/>
                  <w:vMerge w:val="continue"/>
                  <w:vAlign w:val="center"/>
                </w:tcPr>
                <w:p>
                  <w:pPr>
                    <w:pStyle w:val="109"/>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Merge w:val="continue"/>
                  <w:vAlign w:val="center"/>
                </w:tcPr>
                <w:p>
                  <w:pPr>
                    <w:pStyle w:val="109"/>
                    <w:rPr>
                      <w:rFonts w:ascii="宋体" w:hAnsi="宋体" w:eastAsia="宋体" w:cs="宋体"/>
                      <w:sz w:val="21"/>
                      <w:szCs w:val="21"/>
                    </w:rPr>
                  </w:pPr>
                </w:p>
              </w:tc>
              <w:tc>
                <w:tcPr>
                  <w:tcW w:w="1403" w:type="dxa"/>
                  <w:vMerge w:val="continue"/>
                  <w:vAlign w:val="center"/>
                </w:tcPr>
                <w:p>
                  <w:pPr>
                    <w:pStyle w:val="109"/>
                    <w:rPr>
                      <w:rFonts w:ascii="宋体" w:hAnsi="宋体" w:eastAsia="宋体" w:cs="宋体"/>
                      <w:sz w:val="21"/>
                      <w:szCs w:val="21"/>
                    </w:rPr>
                  </w:pPr>
                </w:p>
              </w:tc>
              <w:tc>
                <w:tcPr>
                  <w:tcW w:w="1166" w:type="dxa"/>
                  <w:vAlign w:val="center"/>
                </w:tcPr>
                <w:p>
                  <w:pPr>
                    <w:pStyle w:val="109"/>
                    <w:rPr>
                      <w:rFonts w:ascii="宋体" w:hAnsi="宋体" w:eastAsia="宋体" w:cs="宋体"/>
                      <w:sz w:val="21"/>
                      <w:szCs w:val="21"/>
                    </w:rPr>
                  </w:pPr>
                  <w:r>
                    <w:rPr>
                      <w:rFonts w:hint="eastAsia" w:ascii="宋体" w:hAnsi="宋体" w:eastAsia="宋体" w:cs="宋体"/>
                      <w:sz w:val="21"/>
                      <w:szCs w:val="21"/>
                    </w:rPr>
                    <w:t>废边角料</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1.92</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928" w:type="dxa"/>
                  <w:vAlign w:val="center"/>
                </w:tcPr>
                <w:p>
                  <w:pPr>
                    <w:pStyle w:val="109"/>
                    <w:rPr>
                      <w:rFonts w:ascii="宋体" w:hAnsi="宋体" w:eastAsia="宋体" w:cs="宋体"/>
                      <w:sz w:val="21"/>
                      <w:szCs w:val="21"/>
                    </w:rPr>
                  </w:pPr>
                  <w:r>
                    <w:rPr>
                      <w:rFonts w:hint="eastAsia" w:ascii="宋体" w:hAnsi="宋体" w:eastAsia="宋体" w:cs="宋体"/>
                      <w:sz w:val="21"/>
                      <w:szCs w:val="21"/>
                    </w:rPr>
                    <w:t>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dxa"/>
                  <w:vMerge w:val="continue"/>
                  <w:vAlign w:val="center"/>
                </w:tcPr>
                <w:p>
                  <w:pPr>
                    <w:pStyle w:val="109"/>
                    <w:rPr>
                      <w:rFonts w:ascii="宋体" w:hAnsi="宋体" w:eastAsia="宋体" w:cs="宋体"/>
                      <w:sz w:val="21"/>
                      <w:szCs w:val="21"/>
                    </w:rPr>
                  </w:pPr>
                </w:p>
              </w:tc>
              <w:tc>
                <w:tcPr>
                  <w:tcW w:w="1403" w:type="dxa"/>
                  <w:vAlign w:val="center"/>
                </w:tcPr>
                <w:p>
                  <w:pPr>
                    <w:pStyle w:val="109"/>
                    <w:rPr>
                      <w:rFonts w:ascii="宋体" w:hAnsi="宋体" w:eastAsia="宋体" w:cs="宋体"/>
                      <w:sz w:val="21"/>
                      <w:szCs w:val="21"/>
                    </w:rPr>
                  </w:pPr>
                  <w:r>
                    <w:rPr>
                      <w:rFonts w:hint="eastAsia" w:ascii="宋体" w:hAnsi="宋体" w:eastAsia="宋体" w:cs="宋体"/>
                      <w:sz w:val="21"/>
                      <w:szCs w:val="21"/>
                    </w:rPr>
                    <w:t>员工生活</w:t>
                  </w:r>
                </w:p>
              </w:tc>
              <w:tc>
                <w:tcPr>
                  <w:tcW w:w="1166" w:type="dxa"/>
                  <w:vAlign w:val="center"/>
                </w:tcPr>
                <w:p>
                  <w:pPr>
                    <w:pStyle w:val="109"/>
                    <w:rPr>
                      <w:rFonts w:ascii="宋体" w:hAnsi="宋体" w:eastAsia="宋体" w:cs="宋体"/>
                      <w:sz w:val="21"/>
                      <w:szCs w:val="21"/>
                    </w:rPr>
                  </w:pPr>
                  <w:r>
                    <w:rPr>
                      <w:rFonts w:hint="eastAsia" w:ascii="宋体" w:hAnsi="宋体" w:eastAsia="宋体" w:cs="宋体"/>
                      <w:sz w:val="21"/>
                      <w:szCs w:val="21"/>
                    </w:rPr>
                    <w:t>生活垃圾</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10.2</w:t>
                  </w:r>
                </w:p>
              </w:tc>
              <w:tc>
                <w:tcPr>
                  <w:tcW w:w="1288" w:type="dxa"/>
                  <w:vAlign w:val="center"/>
                </w:tcPr>
                <w:p>
                  <w:pPr>
                    <w:pStyle w:val="109"/>
                    <w:rPr>
                      <w:rFonts w:ascii="宋体" w:hAnsi="宋体" w:eastAsia="宋体" w:cs="宋体"/>
                      <w:sz w:val="21"/>
                      <w:szCs w:val="21"/>
                    </w:rPr>
                  </w:pPr>
                  <w:r>
                    <w:rPr>
                      <w:rFonts w:hint="eastAsia" w:ascii="宋体" w:hAnsi="宋体" w:eastAsia="宋体" w:cs="宋体"/>
                      <w:sz w:val="21"/>
                      <w:szCs w:val="21"/>
                    </w:rPr>
                    <w:t>0</w:t>
                  </w:r>
                </w:p>
              </w:tc>
              <w:tc>
                <w:tcPr>
                  <w:tcW w:w="1928" w:type="dxa"/>
                  <w:vAlign w:val="center"/>
                </w:tcPr>
                <w:p>
                  <w:pPr>
                    <w:pStyle w:val="109"/>
                    <w:rPr>
                      <w:rFonts w:ascii="宋体" w:hAnsi="宋体" w:eastAsia="宋体" w:cs="宋体"/>
                      <w:sz w:val="21"/>
                      <w:szCs w:val="21"/>
                    </w:rPr>
                  </w:pPr>
                  <w:r>
                    <w:rPr>
                      <w:rFonts w:hint="eastAsia" w:ascii="宋体" w:hAnsi="宋体" w:eastAsia="宋体" w:cs="宋体"/>
                      <w:sz w:val="21"/>
                      <w:szCs w:val="21"/>
                    </w:rPr>
                    <w:t>环卫部分集中处置</w:t>
                  </w:r>
                </w:p>
              </w:tc>
            </w:tr>
          </w:tbl>
          <w:p>
            <w:pPr>
              <w:pStyle w:val="14"/>
              <w:rPr>
                <w:rFonts w:eastAsia="宋体"/>
              </w:rPr>
            </w:pPr>
            <w:r>
              <w:rPr>
                <w:rFonts w:hint="eastAsia" w:eastAsia="宋体"/>
              </w:rPr>
              <w:t>本项目早已建成运营，建成后无环保投诉及扰民情况，根据现场勘察情况以及后文分析，项目存在的环境问题及整改措施如下：</w:t>
            </w:r>
          </w:p>
          <w:p>
            <w:pPr>
              <w:pStyle w:val="14"/>
              <w:rPr>
                <w:rFonts w:eastAsia="宋体"/>
              </w:rPr>
            </w:pPr>
            <w:r>
              <w:rPr>
                <w:rFonts w:hint="eastAsia" w:eastAsia="宋体"/>
              </w:rPr>
              <w:t>存在的问题：</w:t>
            </w:r>
            <w:r>
              <w:rPr>
                <w:rFonts w:hint="eastAsia" w:eastAsia="宋体"/>
                <w:lang w:val="en-US" w:eastAsia="zh-CN"/>
              </w:rPr>
              <w:t>厂区</w:t>
            </w:r>
            <w:r>
              <w:rPr>
                <w:rFonts w:hint="eastAsia" w:eastAsia="宋体"/>
              </w:rPr>
              <w:t>的内部绿化较少；危废库中</w:t>
            </w:r>
            <w:r>
              <w:rPr>
                <w:rFonts w:hint="eastAsia" w:eastAsia="宋体"/>
                <w:lang w:val="en-US" w:eastAsia="zh-CN"/>
              </w:rPr>
              <w:t>未采取分类放置</w:t>
            </w:r>
            <w:r>
              <w:rPr>
                <w:rFonts w:hint="eastAsia" w:eastAsia="宋体"/>
              </w:rPr>
              <w:t>。</w:t>
            </w:r>
          </w:p>
          <w:p>
            <w:pPr>
              <w:pStyle w:val="14"/>
              <w:ind w:firstLineChars="0"/>
              <w:rPr>
                <w:rFonts w:eastAsia="宋体"/>
              </w:rPr>
            </w:pPr>
            <w:r>
              <w:rPr>
                <w:rFonts w:hint="eastAsia" w:eastAsia="宋体"/>
              </w:rPr>
              <w:t>整改措施：A、本环评要求建设单位适当增加</w:t>
            </w:r>
            <w:r>
              <w:rPr>
                <w:rFonts w:hint="eastAsia" w:eastAsia="宋体"/>
                <w:lang w:val="en-US" w:eastAsia="zh-CN"/>
              </w:rPr>
              <w:t>厂区</w:t>
            </w:r>
            <w:r>
              <w:rPr>
                <w:rFonts w:hint="eastAsia" w:eastAsia="宋体"/>
              </w:rPr>
              <w:t>内部绿化。B、要求建设单位危废库中</w:t>
            </w:r>
            <w:r>
              <w:rPr>
                <w:rFonts w:hint="eastAsia" w:eastAsia="宋体"/>
                <w:lang w:val="en-US" w:eastAsia="zh-CN"/>
              </w:rPr>
              <w:t>采取分类放置</w:t>
            </w:r>
            <w:r>
              <w:rPr>
                <w:rFonts w:hint="eastAsia" w:eastAsia="宋体"/>
              </w:rPr>
              <w:t>。</w:t>
            </w: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p>
            <w:pPr>
              <w:pStyle w:val="108"/>
              <w:ind w:firstLine="0" w:firstLineChars="0"/>
            </w:pPr>
          </w:p>
        </w:tc>
      </w:tr>
    </w:tbl>
    <w:p>
      <w:pPr>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Style w:val="3"/>
        <w:jc w:val="center"/>
        <w:rPr>
          <w:rFonts w:eastAsia="宋体"/>
        </w:rPr>
      </w:pPr>
      <w:r>
        <w:rPr>
          <w:rFonts w:hint="eastAsia" w:eastAsia="宋体"/>
        </w:rPr>
        <w:t>三</w:t>
      </w:r>
      <w:r>
        <w:rPr>
          <w:rFonts w:eastAsia="宋体"/>
        </w:rPr>
        <w:t>、</w:t>
      </w:r>
      <w:r>
        <w:rPr>
          <w:rFonts w:hint="eastAsia" w:eastAsia="宋体"/>
        </w:rPr>
        <w:t>区域环境质量现状、环境保护目标及评价标准</w:t>
      </w:r>
    </w:p>
    <w:tbl>
      <w:tblPr>
        <w:tblStyle w:val="26"/>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47"/>
        <w:gridCol w:w="844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PrEx>
        <w:trPr>
          <w:trHeight w:val="283" w:hRule="atLeast"/>
          <w:jc w:val="center"/>
        </w:trPr>
        <w:tc>
          <w:tcPr>
            <w:tcW w:w="847" w:type="dxa"/>
            <w:tcBorders>
              <w:top w:val="single" w:color="auto" w:sz="12" w:space="0"/>
              <w:left w:val="single" w:color="auto" w:sz="12" w:space="0"/>
              <w:bottom w:val="single" w:color="auto" w:sz="12" w:space="0"/>
              <w:right w:val="single" w:color="auto" w:sz="12" w:space="0"/>
            </w:tcBorders>
            <w:vAlign w:val="center"/>
          </w:tcPr>
          <w:p>
            <w:pPr>
              <w:spacing w:line="360" w:lineRule="auto"/>
              <w:jc w:val="center"/>
              <w:rPr>
                <w:rFonts w:ascii="宋体" w:eastAsia="宋体"/>
              </w:rPr>
            </w:pPr>
            <w:r>
              <w:rPr>
                <w:rFonts w:hint="eastAsia" w:ascii="宋体" w:eastAsia="宋体"/>
              </w:rPr>
              <w:t>区域环境</w:t>
            </w:r>
          </w:p>
          <w:p>
            <w:pPr>
              <w:spacing w:line="360" w:lineRule="auto"/>
              <w:jc w:val="center"/>
              <w:rPr>
                <w:rFonts w:eastAsia="宋体"/>
              </w:rPr>
            </w:pPr>
            <w:r>
              <w:rPr>
                <w:rFonts w:hint="eastAsia" w:ascii="宋体" w:eastAsia="宋体"/>
              </w:rPr>
              <w:t>质量现状</w:t>
            </w:r>
          </w:p>
        </w:tc>
        <w:tc>
          <w:tcPr>
            <w:tcW w:w="8441" w:type="dxa"/>
            <w:tcBorders>
              <w:left w:val="single" w:color="auto" w:sz="12" w:space="0"/>
              <w:bottom w:val="single" w:color="auto" w:sz="12" w:space="0"/>
            </w:tcBorders>
          </w:tcPr>
          <w:p>
            <w:pPr>
              <w:spacing w:line="360" w:lineRule="auto"/>
              <w:rPr>
                <w:rFonts w:ascii="黑体" w:hAnsi="黑体" w:eastAsia="黑体" w:cs="黑体"/>
                <w:sz w:val="24"/>
              </w:rPr>
            </w:pPr>
            <w:r>
              <w:rPr>
                <w:rFonts w:hint="eastAsia" w:ascii="黑体" w:hAnsi="黑体" w:eastAsia="黑体" w:cs="黑体"/>
                <w:sz w:val="24"/>
              </w:rPr>
              <w:t>建设项目环境质量现状及主要环境问题</w:t>
            </w:r>
          </w:p>
          <w:p>
            <w:pPr>
              <w:spacing w:line="360" w:lineRule="auto"/>
              <w:ind w:firstLine="480" w:firstLineChars="200"/>
              <w:rPr>
                <w:rFonts w:ascii="黑体" w:hAnsi="黑体" w:eastAsia="黑体" w:cs="黑体"/>
                <w:sz w:val="24"/>
              </w:rPr>
            </w:pPr>
            <w:r>
              <w:rPr>
                <w:rFonts w:hint="eastAsia" w:ascii="黑体" w:hAnsi="黑体" w:eastAsia="黑体" w:cs="黑体"/>
                <w:sz w:val="24"/>
              </w:rPr>
              <w:t>一、大气环境质量现状</w:t>
            </w:r>
          </w:p>
          <w:p>
            <w:pPr>
              <w:pStyle w:val="9"/>
              <w:spacing w:line="360" w:lineRule="auto"/>
              <w:ind w:firstLine="480" w:firstLineChars="200"/>
              <w:jc w:val="both"/>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ascii="Times New Roman" w:hAnsi="Times New Roman" w:eastAsia="宋体" w:cs="Times New Roman"/>
                <w:sz w:val="24"/>
              </w:rPr>
              <w:t>本次评价选择20</w:t>
            </w:r>
            <w:r>
              <w:rPr>
                <w:rFonts w:hint="eastAsia" w:ascii="Times New Roman" w:hAnsi="Times New Roman" w:eastAsia="宋体" w:cs="Times New Roman"/>
                <w:sz w:val="24"/>
              </w:rPr>
              <w:t>20</w:t>
            </w:r>
            <w:r>
              <w:rPr>
                <w:rFonts w:ascii="Times New Roman" w:hAnsi="Times New Roman" w:eastAsia="宋体" w:cs="Times New Roman"/>
                <w:sz w:val="24"/>
              </w:rPr>
              <w:t>年作为评价基准年，引用《20</w:t>
            </w:r>
            <w:r>
              <w:rPr>
                <w:rFonts w:hint="eastAsia" w:ascii="Times New Roman" w:hAnsi="Times New Roman" w:eastAsia="宋体" w:cs="Times New Roman"/>
                <w:sz w:val="24"/>
              </w:rPr>
              <w:t>20</w:t>
            </w:r>
            <w:r>
              <w:rPr>
                <w:rFonts w:ascii="Times New Roman" w:hAnsi="Times New Roman" w:eastAsia="宋体" w:cs="Times New Roman"/>
                <w:sz w:val="24"/>
              </w:rPr>
              <w:t>年淮南市环境质量状况公报》（http://www.huainan.gov.cn/public/118319849/1258729337.html）中环境空气质量部分内容，具体如下：</w:t>
            </w:r>
          </w:p>
          <w:p>
            <w:pPr>
              <w:pStyle w:val="9"/>
              <w:spacing w:line="360" w:lineRule="auto"/>
              <w:ind w:firstLine="480" w:firstLineChars="200"/>
              <w:jc w:val="both"/>
              <w:rPr>
                <w:rFonts w:ascii="Times New Roman" w:hAnsi="Times New Roman" w:eastAsia="宋体" w:cs="Times New Roman"/>
                <w:sz w:val="24"/>
              </w:rPr>
            </w:pPr>
            <w:r>
              <w:rPr>
                <w:rFonts w:hint="eastAsia" w:ascii="Times New Roman" w:hAnsi="Times New Roman" w:eastAsia="宋体" w:cs="Times New Roman"/>
                <w:sz w:val="24"/>
              </w:rPr>
              <w:t>2020年，淮南市市区环境空气中的主要污染物二氧化硫（SO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）年均浓度、二氧化氮（NO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）年均浓度、可吸入颗粒物（PM</w:t>
            </w:r>
            <w:r>
              <w:rPr>
                <w:rFonts w:hint="eastAsia" w:ascii="Times New Roman" w:hAnsi="Times New Roman" w:eastAsia="宋体" w:cs="Times New Roman"/>
                <w:sz w:val="24"/>
                <w:vertAlign w:val="subscript"/>
              </w:rPr>
              <w:t>10</w:t>
            </w:r>
            <w:r>
              <w:rPr>
                <w:rFonts w:hint="eastAsia" w:ascii="Times New Roman" w:hAnsi="Times New Roman" w:eastAsia="宋体" w:cs="Times New Roman"/>
                <w:sz w:val="24"/>
              </w:rPr>
              <w:t>）年均浓度、细颗粒物（PM</w:t>
            </w:r>
            <w:r>
              <w:rPr>
                <w:rFonts w:hint="eastAsia" w:ascii="Times New Roman" w:hAnsi="Times New Roman" w:eastAsia="宋体" w:cs="Times New Roman"/>
                <w:sz w:val="24"/>
                <w:vertAlign w:val="subscript"/>
              </w:rPr>
              <w:t>2.5</w:t>
            </w:r>
            <w:r>
              <w:rPr>
                <w:rFonts w:hint="eastAsia" w:ascii="Times New Roman" w:hAnsi="Times New Roman" w:eastAsia="宋体" w:cs="Times New Roman"/>
                <w:sz w:val="24"/>
              </w:rPr>
              <w:t>）年均浓度、一氧化碳（CO）日均值第95百分位浓度、臭氧（O</w:t>
            </w:r>
            <w:r>
              <w:rPr>
                <w:rFonts w:hint="eastAsia" w:ascii="Times New Roman" w:hAnsi="Times New Roman" w:eastAsia="宋体" w:cs="Times New Roman"/>
                <w:sz w:val="24"/>
                <w:vertAlign w:val="subscript"/>
              </w:rPr>
              <w:t>3</w:t>
            </w:r>
            <w:r>
              <w:rPr>
                <w:rFonts w:hint="eastAsia" w:ascii="Times New Roman" w:hAnsi="Times New Roman" w:eastAsia="宋体" w:cs="Times New Roman"/>
                <w:sz w:val="24"/>
              </w:rPr>
              <w:t>）日最大8小时平均第90百分位浓度分别为10微克/立方米、28微克/立方米、76微克/立方米、48微克/立方米、1.1毫克/立方米和160微克/立方米，二氧化硫（SO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）、二氧化氮（NO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）、一氧化碳（CO）、臭氧（O</w:t>
            </w:r>
            <w:r>
              <w:rPr>
                <w:rFonts w:hint="eastAsia" w:ascii="Times New Roman" w:hAnsi="Times New Roman" w:eastAsia="宋体" w:cs="Times New Roman"/>
                <w:sz w:val="24"/>
                <w:vertAlign w:val="subscript"/>
              </w:rPr>
              <w:t>3</w:t>
            </w:r>
            <w:r>
              <w:rPr>
                <w:rFonts w:hint="eastAsia" w:ascii="Times New Roman" w:hAnsi="Times New Roman" w:eastAsia="宋体" w:cs="Times New Roman"/>
                <w:sz w:val="24"/>
              </w:rPr>
              <w:t>）均符合《环境空气质量标准》（GB3095-2012）二级标准，可吸入颗粒物（PM</w:t>
            </w:r>
            <w:r>
              <w:rPr>
                <w:rFonts w:hint="eastAsia" w:ascii="Times New Roman" w:hAnsi="Times New Roman" w:eastAsia="宋体" w:cs="Times New Roman"/>
                <w:sz w:val="24"/>
                <w:vertAlign w:val="subscript"/>
              </w:rPr>
              <w:t>10</w:t>
            </w:r>
            <w:r>
              <w:rPr>
                <w:rFonts w:hint="eastAsia" w:ascii="Times New Roman" w:hAnsi="Times New Roman" w:eastAsia="宋体" w:cs="Times New Roman"/>
                <w:sz w:val="24"/>
              </w:rPr>
              <w:t>）年均浓度和细颗粒物（PM</w:t>
            </w:r>
            <w:r>
              <w:rPr>
                <w:rFonts w:hint="eastAsia" w:ascii="Times New Roman" w:hAnsi="Times New Roman" w:eastAsia="宋体" w:cs="Times New Roman"/>
                <w:sz w:val="24"/>
                <w:vertAlign w:val="subscript"/>
              </w:rPr>
              <w:t>2.5</w:t>
            </w:r>
            <w:r>
              <w:rPr>
                <w:rFonts w:hint="eastAsia" w:ascii="Times New Roman" w:hAnsi="Times New Roman" w:eastAsia="宋体" w:cs="Times New Roman"/>
                <w:sz w:val="24"/>
              </w:rPr>
              <w:t>）年均浓度分别超过《环境空气质量标准》（GB3095-2012）二级标准0.08倍和0.37倍。市区环境空气中的主要污染物二氧化硫（SO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）、二氧化氮（NO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）、可吸入颗粒物（PM</w:t>
            </w:r>
            <w:r>
              <w:rPr>
                <w:rFonts w:hint="eastAsia" w:ascii="Times New Roman" w:hAnsi="Times New Roman" w:eastAsia="宋体" w:cs="Times New Roman"/>
                <w:sz w:val="24"/>
                <w:vertAlign w:val="subscript"/>
              </w:rPr>
              <w:t>10</w:t>
            </w:r>
            <w:r>
              <w:rPr>
                <w:rFonts w:hint="eastAsia" w:ascii="Times New Roman" w:hAnsi="Times New Roman" w:eastAsia="宋体" w:cs="Times New Roman"/>
                <w:sz w:val="24"/>
              </w:rPr>
              <w:t>）、细颗粒物（PM</w:t>
            </w:r>
            <w:r>
              <w:rPr>
                <w:rFonts w:hint="eastAsia" w:ascii="Times New Roman" w:hAnsi="Times New Roman" w:eastAsia="宋体" w:cs="Times New Roman"/>
                <w:sz w:val="24"/>
                <w:vertAlign w:val="subscript"/>
              </w:rPr>
              <w:t>2.5</w:t>
            </w:r>
            <w:r>
              <w:rPr>
                <w:rFonts w:hint="eastAsia" w:ascii="Times New Roman" w:hAnsi="Times New Roman" w:eastAsia="宋体" w:cs="Times New Roman"/>
                <w:sz w:val="24"/>
              </w:rPr>
              <w:t>）、一氧化碳（CO）日均值第95百分位浓度和臭氧（O</w:t>
            </w:r>
            <w:r>
              <w:rPr>
                <w:rFonts w:hint="eastAsia" w:ascii="Times New Roman" w:hAnsi="Times New Roman" w:eastAsia="宋体" w:cs="Times New Roman"/>
                <w:sz w:val="24"/>
                <w:vertAlign w:val="subscript"/>
              </w:rPr>
              <w:t>3</w:t>
            </w:r>
            <w:r>
              <w:rPr>
                <w:rFonts w:hint="eastAsia" w:ascii="Times New Roman" w:hAnsi="Times New Roman" w:eastAsia="宋体" w:cs="Times New Roman"/>
                <w:sz w:val="24"/>
              </w:rPr>
              <w:t>）日最大8小时平均第90百分位浓度分别较上年减少28.6%、0%、16.8%、10.1%、0%、7.5%。</w:t>
            </w:r>
          </w:p>
          <w:p>
            <w:pPr>
              <w:adjustRightInd w:val="0"/>
              <w:snapToGrid w:val="0"/>
              <w:spacing w:line="480" w:lineRule="exact"/>
              <w:ind w:firstLine="480" w:firstLineChars="200"/>
              <w:rPr>
                <w:rFonts w:hint="eastAsia" w:ascii="Times New Roman" w:hAnsi="Times New Roman" w:eastAsia="宋体"/>
                <w:sz w:val="24"/>
              </w:rPr>
            </w:pPr>
            <w:r>
              <w:rPr>
                <w:rFonts w:ascii="Times New Roman" w:hAnsi="Times New Roman" w:eastAsia="宋体" w:cs="Times New Roman"/>
                <w:sz w:val="24"/>
              </w:rPr>
              <w:t>依据《20</w:t>
            </w:r>
            <w:r>
              <w:rPr>
                <w:rFonts w:hint="eastAsia" w:ascii="Times New Roman" w:hAnsi="Times New Roman" w:eastAsia="宋体" w:cs="Times New Roman"/>
                <w:sz w:val="24"/>
              </w:rPr>
              <w:t>20</w:t>
            </w:r>
            <w:r>
              <w:rPr>
                <w:rFonts w:ascii="Times New Roman" w:hAnsi="Times New Roman" w:eastAsia="宋体" w:cs="Times New Roman"/>
                <w:sz w:val="24"/>
              </w:rPr>
              <w:t>年淮南市环境质量状况公报》，淮南市属于环境空气质量不达标区域，超标污染物为</w:t>
            </w:r>
            <w:r>
              <w:rPr>
                <w:rFonts w:hint="eastAsia" w:ascii="Times New Roman" w:hAnsi="Times New Roman" w:eastAsia="宋体" w:cs="Times New Roman"/>
                <w:sz w:val="24"/>
              </w:rPr>
              <w:t>PM</w:t>
            </w:r>
            <w:r>
              <w:rPr>
                <w:rFonts w:hint="eastAsia" w:ascii="Times New Roman" w:hAnsi="Times New Roman" w:eastAsia="宋体" w:cs="Times New Roman"/>
                <w:sz w:val="24"/>
                <w:vertAlign w:val="subscript"/>
              </w:rPr>
              <w:t>10</w:t>
            </w:r>
            <w:r>
              <w:rPr>
                <w:rFonts w:ascii="Times New Roman" w:hAnsi="Times New Roman" w:eastAsia="宋体" w:cs="Times New Roman"/>
                <w:sz w:val="24"/>
              </w:rPr>
              <w:t>、</w:t>
            </w:r>
            <w:r>
              <w:rPr>
                <w:rFonts w:hint="eastAsia" w:ascii="Times New Roman" w:hAnsi="Times New Roman" w:eastAsia="宋体" w:cs="Times New Roman"/>
                <w:sz w:val="24"/>
              </w:rPr>
              <w:t>PM</w:t>
            </w:r>
            <w:r>
              <w:rPr>
                <w:rFonts w:hint="eastAsia" w:ascii="Times New Roman" w:hAnsi="Times New Roman" w:eastAsia="宋体" w:cs="Times New Roman"/>
                <w:sz w:val="24"/>
                <w:vertAlign w:val="subscript"/>
              </w:rPr>
              <w:t>2.5</w:t>
            </w:r>
            <w:r>
              <w:rPr>
                <w:rFonts w:hint="eastAsia" w:ascii="Times New Roman" w:hAnsi="Times New Roman" w:eastAsia="宋体"/>
                <w:sz w:val="24"/>
              </w:rPr>
              <w:t>。</w:t>
            </w:r>
          </w:p>
          <w:p>
            <w:pPr>
              <w:pStyle w:val="9"/>
              <w:spacing w:line="360" w:lineRule="auto"/>
              <w:ind w:firstLine="480" w:firstLineChars="200"/>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改善区域环境空气质量对应措施</w:t>
            </w:r>
          </w:p>
          <w:p>
            <w:pPr>
              <w:pStyle w:val="9"/>
              <w:spacing w:line="360" w:lineRule="auto"/>
              <w:ind w:firstLine="480" w:firstLineChars="200"/>
              <w:jc w:val="both"/>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区域SO</w:t>
            </w:r>
            <w:r>
              <w:rPr>
                <w:rFonts w:hint="eastAsia" w:ascii="Times New Roman" w:hAnsi="Times New Roman" w:eastAsia="宋体" w:cs="Times New Roman"/>
                <w:sz w:val="24"/>
                <w:vertAlign w:val="subscript"/>
                <w:lang w:val="en-US" w:eastAsia="zh-CN"/>
              </w:rPr>
              <w:t>2</w:t>
            </w:r>
            <w:r>
              <w:rPr>
                <w:rFonts w:hint="eastAsia" w:ascii="Times New Roman" w:hAnsi="Times New Roman" w:eastAsia="宋体" w:cs="Times New Roman"/>
                <w:sz w:val="24"/>
                <w:lang w:val="en-US" w:eastAsia="zh-CN"/>
              </w:rPr>
              <w:t>、CO、NO</w:t>
            </w:r>
            <w:r>
              <w:rPr>
                <w:rFonts w:hint="eastAsia" w:ascii="Times New Roman" w:hAnsi="Times New Roman" w:eastAsia="宋体" w:cs="Times New Roman"/>
                <w:sz w:val="24"/>
                <w:vertAlign w:val="subscript"/>
                <w:lang w:val="en-US" w:eastAsia="zh-CN"/>
              </w:rPr>
              <w:t>2</w:t>
            </w:r>
            <w:r>
              <w:rPr>
                <w:rFonts w:hint="eastAsia" w:ascii="Times New Roman" w:hAnsi="Times New Roman" w:eastAsia="宋体" w:cs="Times New Roman"/>
                <w:sz w:val="24"/>
                <w:lang w:val="en-US" w:eastAsia="zh-CN"/>
              </w:rPr>
              <w:t>、O</w:t>
            </w:r>
            <w:r>
              <w:rPr>
                <w:rFonts w:hint="eastAsia" w:ascii="Times New Roman" w:hAnsi="Times New Roman" w:eastAsia="宋体" w:cs="Times New Roman"/>
                <w:sz w:val="24"/>
                <w:vertAlign w:val="subscript"/>
                <w:lang w:val="en-US" w:eastAsia="zh-CN"/>
              </w:rPr>
              <w:t>3</w:t>
            </w:r>
            <w:r>
              <w:rPr>
                <w:rFonts w:hint="eastAsia" w:ascii="Times New Roman" w:hAnsi="Times New Roman" w:eastAsia="宋体" w:cs="Times New Roman"/>
                <w:sz w:val="24"/>
                <w:lang w:val="en-US" w:eastAsia="zh-CN"/>
              </w:rPr>
              <w:t>满足环境质量要求，PM</w:t>
            </w:r>
            <w:r>
              <w:rPr>
                <w:rFonts w:hint="eastAsia" w:ascii="Times New Roman" w:hAnsi="Times New Roman" w:eastAsia="宋体" w:cs="Times New Roman"/>
                <w:sz w:val="24"/>
                <w:vertAlign w:val="subscript"/>
                <w:lang w:val="en-US" w:eastAsia="zh-CN"/>
              </w:rPr>
              <w:t>10</w:t>
            </w:r>
            <w:r>
              <w:rPr>
                <w:rFonts w:hint="eastAsia" w:ascii="Times New Roman" w:hAnsi="Times New Roman" w:eastAsia="宋体" w:cs="Times New Roman"/>
                <w:sz w:val="24"/>
                <w:lang w:val="en-US" w:eastAsia="zh-CN"/>
              </w:rPr>
              <w:t>、PM</w:t>
            </w:r>
            <w:r>
              <w:rPr>
                <w:rFonts w:hint="eastAsia" w:ascii="Times New Roman" w:hAnsi="Times New Roman" w:eastAsia="宋体" w:cs="Times New Roman"/>
                <w:sz w:val="24"/>
                <w:vertAlign w:val="subscript"/>
                <w:lang w:val="en-US" w:eastAsia="zh-CN"/>
              </w:rPr>
              <w:t>2.5</w:t>
            </w:r>
            <w:r>
              <w:rPr>
                <w:rFonts w:hint="eastAsia" w:ascii="Times New Roman" w:hAnsi="Times New Roman" w:eastAsia="宋体" w:cs="Times New Roman"/>
                <w:sz w:val="24"/>
                <w:lang w:val="en-US" w:eastAsia="zh-CN"/>
              </w:rPr>
              <w:t>出现超标，本项目所在区域属于不达标区域；淮南市生态环境局就空气质量不达标提出一系列举措，2018年12月28日发布《关于转发（安徽省大气办关于开展打赢〈蓝天保卫战三年行动计划〉2018年实施情况自查的函）的函》（淮大气办[2018]193号）；2018年12月18日发布《关于进一步开展全市生活散煤治理工作的通知》（淮大气办[2018]192号）；2018年12月25日发布《关于转发《关于继续加强秸秆禁烧工作的紧急通知》的通知》（淮大气办[2018]194号）；2018年12月29日《关于印发2019年临时特别管控工业企业清单的通知》（淮大气办[2018]199号）；为确保淮南市大气污染防治工作有效推进，根据《淮南市2018-2019年秋冬季大气污染综合治理攻坚行动实施方案》（淮环委办〔2018〕204号）要求，根据《淮南市大气污染防治行动计划实施方案》等工作文件，淮南市通过集中专项整治“小散乱污”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淮南市人民政府将按照“淮南市‘十三五’环境保护规划”要求，持续推进大气污染防治行动计划，打赢蓝天保卫战，严格实行环境空气质量和大气污染防治工作“双考核”制度，推进以燃煤电厂为主的重点行业大气污染源深度治理、城市扬尘污染控制，持续降低可吸入颗粒物（PM</w:t>
            </w:r>
            <w:r>
              <w:rPr>
                <w:rFonts w:hint="eastAsia" w:ascii="Times New Roman" w:hAnsi="Times New Roman" w:eastAsia="宋体" w:cs="Times New Roman"/>
                <w:sz w:val="24"/>
                <w:vertAlign w:val="subscript"/>
                <w:lang w:val="en-US" w:eastAsia="zh-CN"/>
              </w:rPr>
              <w:t>10</w:t>
            </w:r>
            <w:r>
              <w:rPr>
                <w:rFonts w:hint="eastAsia" w:ascii="Times New Roman" w:hAnsi="Times New Roman" w:eastAsia="宋体" w:cs="Times New Roman"/>
                <w:sz w:val="24"/>
                <w:lang w:val="en-US" w:eastAsia="zh-CN"/>
              </w:rPr>
              <w:t>） 和细颗粒物（PM</w:t>
            </w:r>
            <w:r>
              <w:rPr>
                <w:rFonts w:hint="eastAsia" w:ascii="Times New Roman" w:hAnsi="Times New Roman" w:eastAsia="宋体" w:cs="Times New Roman"/>
                <w:sz w:val="24"/>
                <w:vertAlign w:val="subscript"/>
                <w:lang w:val="en-US" w:eastAsia="zh-CN"/>
              </w:rPr>
              <w:t>2.5</w:t>
            </w:r>
            <w:r>
              <w:rPr>
                <w:rFonts w:hint="eastAsia" w:ascii="Times New Roman" w:hAnsi="Times New Roman" w:eastAsia="宋体" w:cs="Times New Roman"/>
                <w:sz w:val="24"/>
                <w:lang w:val="en-US" w:eastAsia="zh-CN"/>
              </w:rPr>
              <w:t>）浓度，环境空气质量总体改善。</w:t>
            </w:r>
          </w:p>
          <w:p>
            <w:pPr>
              <w:numPr>
                <w:ilvl w:val="0"/>
                <w:numId w:val="1"/>
              </w:numPr>
              <w:spacing w:line="360" w:lineRule="auto"/>
              <w:ind w:firstLine="480" w:firstLineChars="200"/>
              <w:rPr>
                <w:rFonts w:ascii="黑体" w:hAnsi="黑体" w:eastAsia="黑体" w:cs="黑体"/>
                <w:sz w:val="24"/>
              </w:rPr>
            </w:pPr>
            <w:r>
              <w:rPr>
                <w:rFonts w:hint="eastAsia" w:ascii="黑体" w:hAnsi="黑体" w:eastAsia="黑体" w:cs="黑体"/>
                <w:sz w:val="24"/>
              </w:rPr>
              <w:t>水环境质量现状</w:t>
            </w:r>
          </w:p>
          <w:p>
            <w:pPr>
              <w:pStyle w:val="24"/>
              <w:spacing w:before="0" w:beforeAutospacing="0" w:after="0" w:afterAutospacing="0" w:line="360" w:lineRule="auto"/>
              <w:ind w:firstLine="480" w:firstLineChars="200"/>
              <w:jc w:val="both"/>
            </w:pPr>
            <w:r>
              <w:rPr>
                <w:rFonts w:hint="eastAsia" w:asciiTheme="minorEastAsia" w:hAnsiTheme="minorEastAsia" w:eastAsiaTheme="minorEastAsia" w:cstheme="minorEastAsia"/>
              </w:rPr>
              <w:t>项目拟建区域地表水为淮河，为Ⅲ类水体。本项目地表水现状监测数据引用淮南市生态环境局发布的</w:t>
            </w:r>
            <w:r>
              <w:rPr>
                <w:rFonts w:hint="eastAsia" w:ascii="Times New Roman" w:hAnsi="Times New Roman" w:eastAsia="宋体" w:cs="Times New Roman"/>
                <w:sz w:val="24"/>
              </w:rPr>
              <w:t>《2020年淮南市环境质量状况公报》，2020年，全市地表水21个监测断面（点位）中Ⅰ~Ⅲ类水质比例为76.2%，无劣Ⅴ类水质，总体水质状况为良好</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比上年增加9.2个百分点，水质状况由轻度污染转为良好，水质向好趋势</w:t>
            </w:r>
            <w:r>
              <w:rPr>
                <w:rFonts w:hint="eastAsia" w:asciiTheme="minorEastAsia" w:hAnsiTheme="minorEastAsia" w:eastAsiaTheme="minorEastAsia" w:cstheme="minorEastAsia"/>
                <w:color w:val="333333"/>
                <w:shd w:val="clear" w:color="auto" w:fill="FFFFFF"/>
              </w:rPr>
              <w:t>，与201</w:t>
            </w:r>
            <w:r>
              <w:rPr>
                <w:rFonts w:hint="eastAsia" w:asciiTheme="minorEastAsia" w:hAnsiTheme="minorEastAsia" w:eastAsiaTheme="minorEastAsia" w:cstheme="minorEastAsia"/>
                <w:color w:val="333333"/>
                <w:shd w:val="clear" w:color="auto" w:fill="FFFFFF"/>
                <w:lang w:val="en-US" w:eastAsia="zh-CN"/>
              </w:rPr>
              <w:t>9</w:t>
            </w:r>
            <w:r>
              <w:rPr>
                <w:rFonts w:hint="eastAsia" w:asciiTheme="minorEastAsia" w:hAnsiTheme="minorEastAsia" w:eastAsiaTheme="minorEastAsia" w:cstheme="minorEastAsia"/>
                <w:color w:val="333333"/>
                <w:shd w:val="clear" w:color="auto" w:fill="FFFFFF"/>
              </w:rPr>
              <w:t>年相比无明显变化.主要超标断面为丁家沟、枣林涵、中心沟和木台沟断面，水质均劣于《地表水环境质量标准》（GB3838-2002）Ⅲ类水质标准，其中丁家沟和木台沟断面水质为Ⅳ类，枣林涵、中心沟水质为V类,</w:t>
            </w:r>
            <w:r>
              <w:rPr>
                <w:rFonts w:hint="eastAsia" w:asciiTheme="minorEastAsia" w:hAnsiTheme="minorEastAsia" w:eastAsiaTheme="minorEastAsia" w:cstheme="minorEastAsia"/>
              </w:rPr>
              <w:t>该4个断面评价指标年均浓度值均符合《地表水环境质量标准》（GB3838-2002）中Ⅳ类标准。</w:t>
            </w:r>
          </w:p>
          <w:p>
            <w:pPr>
              <w:spacing w:line="360" w:lineRule="auto"/>
              <w:ind w:firstLine="480" w:firstLineChars="200"/>
              <w:rPr>
                <w:rFonts w:ascii="黑体" w:hAnsi="黑体" w:eastAsia="黑体" w:cs="黑体"/>
                <w:sz w:val="24"/>
              </w:rPr>
            </w:pPr>
            <w:r>
              <w:rPr>
                <w:rFonts w:hint="eastAsia" w:ascii="黑体" w:hAnsi="黑体" w:eastAsia="黑体" w:cs="黑体"/>
                <w:sz w:val="24"/>
              </w:rPr>
              <w:t>三、声环境质量现状</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根据淮南市宜青环境检测有限公司于2020年5月9日、5月10日对评价区域声环境现状监测情况，厂界噪声监测结果如下：</w:t>
            </w:r>
          </w:p>
          <w:p>
            <w:pPr>
              <w:spacing w:line="360" w:lineRule="auto"/>
              <w:ind w:firstLine="480" w:firstLineChars="200"/>
              <w:rPr>
                <w:rFonts w:ascii="Times New Roman" w:hAnsi="Times New Roman"/>
                <w:kern w:val="0"/>
                <w:sz w:val="24"/>
              </w:rPr>
            </w:pPr>
            <w:r>
              <w:rPr>
                <w:rFonts w:ascii="Times New Roman" w:hAnsi="Times New Roman"/>
                <w:kern w:val="0"/>
                <w:sz w:val="24"/>
              </w:rPr>
              <w:t>1、监测布点</w:t>
            </w:r>
          </w:p>
          <w:p>
            <w:pPr>
              <w:spacing w:line="360" w:lineRule="auto"/>
              <w:ind w:firstLine="480" w:firstLineChars="200"/>
              <w:rPr>
                <w:rFonts w:ascii="Times New Roman" w:hAnsi="Times New Roman"/>
                <w:kern w:val="0"/>
                <w:sz w:val="24"/>
                <w:szCs w:val="20"/>
              </w:rPr>
            </w:pPr>
            <w:r>
              <w:rPr>
                <w:rFonts w:ascii="Times New Roman" w:hAnsi="Times New Roman"/>
                <w:kern w:val="0"/>
                <w:sz w:val="24"/>
                <w:szCs w:val="20"/>
              </w:rPr>
              <w:t>厂界：厂界周围共布设</w:t>
            </w:r>
            <w:r>
              <w:rPr>
                <w:rFonts w:hint="eastAsia" w:ascii="Times New Roman" w:hAnsi="Times New Roman"/>
                <w:kern w:val="0"/>
                <w:sz w:val="24"/>
                <w:szCs w:val="20"/>
              </w:rPr>
              <w:t>10</w:t>
            </w:r>
            <w:r>
              <w:rPr>
                <w:rFonts w:ascii="Times New Roman" w:hAnsi="Times New Roman"/>
                <w:kern w:val="0"/>
                <w:sz w:val="24"/>
                <w:szCs w:val="20"/>
              </w:rPr>
              <w:t>个监测点位；</w:t>
            </w:r>
          </w:p>
          <w:p>
            <w:pPr>
              <w:spacing w:line="360" w:lineRule="auto"/>
              <w:ind w:firstLine="480" w:firstLineChars="200"/>
              <w:rPr>
                <w:rFonts w:ascii="Times New Roman" w:hAnsi="Times New Roman"/>
                <w:kern w:val="0"/>
                <w:sz w:val="24"/>
                <w:szCs w:val="20"/>
              </w:rPr>
            </w:pPr>
            <w:r>
              <w:rPr>
                <w:rFonts w:ascii="Times New Roman" w:hAnsi="Times New Roman"/>
                <w:kern w:val="0"/>
                <w:sz w:val="24"/>
                <w:szCs w:val="20"/>
              </w:rPr>
              <w:t>监测布点情况见图</w:t>
            </w:r>
            <w:r>
              <w:rPr>
                <w:rFonts w:hint="eastAsia" w:ascii="Times New Roman" w:hAnsi="Times New Roman"/>
                <w:kern w:val="0"/>
                <w:sz w:val="24"/>
                <w:szCs w:val="20"/>
              </w:rPr>
              <w:t>3</w:t>
            </w:r>
            <w:r>
              <w:rPr>
                <w:rFonts w:ascii="Times New Roman" w:hAnsi="Times New Roman"/>
                <w:kern w:val="0"/>
                <w:sz w:val="24"/>
                <w:szCs w:val="20"/>
              </w:rPr>
              <w:t>-1。</w:t>
            </w:r>
          </w:p>
          <w:p>
            <w:pPr>
              <w:pStyle w:val="23"/>
              <w:jc w:val="left"/>
            </w:pPr>
            <w:r>
              <w:rPr>
                <w:rFonts w:hint="eastAsia"/>
              </w:rPr>
              <w:drawing>
                <wp:inline distT="0" distB="0" distL="114300" distR="114300">
                  <wp:extent cx="5220970" cy="4114800"/>
                  <wp:effectExtent l="0" t="0" r="17780" b="0"/>
                  <wp:docPr id="16" name="图片 16" descr="9899254538bd708e08f1d44a5f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899254538bd708e08f1d44a5f72930"/>
                          <pic:cNvPicPr>
                            <a:picLocks noChangeAspect="1"/>
                          </pic:cNvPicPr>
                        </pic:nvPicPr>
                        <pic:blipFill>
                          <a:blip r:embed="rId9"/>
                          <a:stretch>
                            <a:fillRect/>
                          </a:stretch>
                        </pic:blipFill>
                        <pic:spPr>
                          <a:xfrm>
                            <a:off x="0" y="0"/>
                            <a:ext cx="5220970" cy="4114800"/>
                          </a:xfrm>
                          <a:prstGeom prst="rect">
                            <a:avLst/>
                          </a:prstGeom>
                        </pic:spPr>
                      </pic:pic>
                    </a:graphicData>
                  </a:graphic>
                </wp:inline>
              </w:drawing>
            </w:r>
          </w:p>
          <w:p>
            <w:pPr>
              <w:adjustRightInd w:val="0"/>
              <w:jc w:val="center"/>
              <w:rPr>
                <w:rFonts w:ascii="黑体" w:hAnsi="黑体" w:eastAsia="黑体" w:cs="黑体"/>
                <w:sz w:val="24"/>
              </w:rPr>
            </w:pPr>
            <w:r>
              <w:rPr>
                <w:rFonts w:hint="eastAsia" w:ascii="黑体" w:hAnsi="黑体" w:eastAsia="黑体" w:cs="Times New Roman"/>
                <w:sz w:val="24"/>
              </w:rPr>
              <w:t>图3-1噪声监测布点图</w:t>
            </w:r>
          </w:p>
          <w:p>
            <w:pPr>
              <w:spacing w:line="360" w:lineRule="auto"/>
              <w:ind w:firstLine="480" w:firstLineChars="200"/>
              <w:rPr>
                <w:rFonts w:ascii="黑体" w:hAnsi="黑体" w:eastAsia="黑体" w:cs="黑体"/>
                <w:sz w:val="24"/>
              </w:rPr>
            </w:pPr>
            <w:r>
              <w:rPr>
                <w:rFonts w:hint="eastAsia" w:ascii="Times New Roman" w:hAnsi="Times New Roman"/>
                <w:kern w:val="0"/>
                <w:sz w:val="24"/>
              </w:rPr>
              <w:t>2</w:t>
            </w:r>
            <w:r>
              <w:rPr>
                <w:rFonts w:ascii="Times New Roman" w:hAnsi="Times New Roman"/>
                <w:kern w:val="0"/>
                <w:sz w:val="24"/>
              </w:rPr>
              <w:t>、监测结果及评价</w:t>
            </w:r>
          </w:p>
          <w:p>
            <w:pPr>
              <w:adjustRightInd w:val="0"/>
              <w:jc w:val="center"/>
              <w:rPr>
                <w:rFonts w:ascii="黑体" w:hAnsi="黑体" w:eastAsia="黑体" w:cs="黑体"/>
                <w:sz w:val="24"/>
              </w:rPr>
            </w:pPr>
            <w:r>
              <w:rPr>
                <w:rFonts w:hint="eastAsia" w:ascii="黑体" w:hAnsi="黑体" w:eastAsia="黑体" w:cs="黑体"/>
                <w:sz w:val="24"/>
              </w:rPr>
              <w:t>表3-1项目厂界噪声监测结果</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304"/>
              <w:gridCol w:w="1371"/>
              <w:gridCol w:w="1244"/>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Merge w:val="restart"/>
                  <w:vAlign w:val="center"/>
                </w:tcPr>
                <w:p>
                  <w:pPr>
                    <w:pStyle w:val="109"/>
                    <w:rPr>
                      <w:rFonts w:ascii="宋体" w:hAnsi="宋体" w:eastAsia="宋体" w:cs="宋体"/>
                      <w:sz w:val="21"/>
                      <w:szCs w:val="21"/>
                    </w:rPr>
                  </w:pPr>
                  <w:r>
                    <w:rPr>
                      <w:rFonts w:hint="eastAsia" w:ascii="宋体" w:hAnsi="宋体" w:eastAsia="宋体" w:cs="宋体"/>
                      <w:sz w:val="21"/>
                      <w:szCs w:val="21"/>
                    </w:rPr>
                    <w:t>检测点位</w:t>
                  </w:r>
                </w:p>
              </w:tc>
              <w:tc>
                <w:tcPr>
                  <w:tcW w:w="2873" w:type="dxa"/>
                  <w:gridSpan w:val="2"/>
                  <w:vAlign w:val="center"/>
                </w:tcPr>
                <w:p>
                  <w:pPr>
                    <w:pStyle w:val="109"/>
                    <w:rPr>
                      <w:rFonts w:ascii="宋体" w:hAnsi="宋体" w:eastAsia="宋体" w:cs="宋体"/>
                      <w:sz w:val="21"/>
                      <w:szCs w:val="21"/>
                    </w:rPr>
                  </w:pPr>
                  <w:r>
                    <w:rPr>
                      <w:rFonts w:hint="eastAsia" w:ascii="宋体" w:hAnsi="宋体" w:eastAsia="宋体" w:cs="宋体"/>
                      <w:sz w:val="21"/>
                      <w:szCs w:val="21"/>
                    </w:rPr>
                    <w:t>2020年5月9日</w:t>
                  </w:r>
                </w:p>
              </w:tc>
              <w:tc>
                <w:tcPr>
                  <w:tcW w:w="2738" w:type="dxa"/>
                  <w:gridSpan w:val="2"/>
                  <w:vAlign w:val="center"/>
                </w:tcPr>
                <w:p>
                  <w:pPr>
                    <w:pStyle w:val="109"/>
                    <w:rPr>
                      <w:rFonts w:ascii="宋体" w:hAnsi="宋体" w:eastAsia="宋体" w:cs="宋体"/>
                      <w:sz w:val="21"/>
                      <w:szCs w:val="21"/>
                    </w:rPr>
                  </w:pPr>
                  <w:r>
                    <w:rPr>
                      <w:rFonts w:hint="eastAsia" w:ascii="宋体" w:hAnsi="宋体" w:eastAsia="宋体" w:cs="宋体"/>
                      <w:sz w:val="21"/>
                      <w:szCs w:val="21"/>
                    </w:rPr>
                    <w:t>2020年5月10日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3234" w:type="dxa"/>
                  <w:vMerge w:val="continue"/>
                  <w:vAlign w:val="center"/>
                </w:tcPr>
                <w:p>
                  <w:pPr>
                    <w:pStyle w:val="109"/>
                    <w:rPr>
                      <w:rFonts w:ascii="宋体" w:hAnsi="宋体" w:eastAsia="宋体" w:cs="宋体"/>
                      <w:sz w:val="21"/>
                      <w:szCs w:val="21"/>
                    </w:rPr>
                  </w:pP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昼间Leq</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夜间Leq</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昼间Leq</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夜间Leq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pPr>
                    <w:pStyle w:val="109"/>
                    <w:rPr>
                      <w:rFonts w:ascii="宋体" w:hAnsi="宋体" w:eastAsia="宋体" w:cs="宋体"/>
                      <w:sz w:val="21"/>
                      <w:szCs w:val="21"/>
                    </w:rPr>
                  </w:pPr>
                  <w:r>
                    <w:rPr>
                      <w:rFonts w:hint="eastAsia" w:ascii="宋体" w:hAnsi="宋体" w:eastAsia="宋体" w:cs="宋体"/>
                      <w:sz w:val="21"/>
                      <w:szCs w:val="21"/>
                    </w:rPr>
                    <w:t>1#（厂界）</w:t>
                  </w: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53.6</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48.3</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53.6</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34" w:type="dxa"/>
                  <w:vAlign w:val="center"/>
                </w:tcPr>
                <w:p>
                  <w:pPr>
                    <w:pStyle w:val="109"/>
                    <w:rPr>
                      <w:rFonts w:ascii="宋体" w:hAnsi="宋体" w:eastAsia="宋体" w:cs="宋体"/>
                      <w:sz w:val="21"/>
                      <w:szCs w:val="21"/>
                    </w:rPr>
                  </w:pPr>
                  <w:r>
                    <w:rPr>
                      <w:rFonts w:hint="eastAsia" w:ascii="宋体" w:hAnsi="宋体" w:eastAsia="宋体" w:cs="宋体"/>
                      <w:sz w:val="21"/>
                      <w:szCs w:val="21"/>
                    </w:rPr>
                    <w:t>2#（厂界）</w:t>
                  </w: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56.2</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40.8</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53.8</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pPr>
                    <w:pStyle w:val="109"/>
                    <w:rPr>
                      <w:rFonts w:ascii="宋体" w:hAnsi="宋体" w:eastAsia="宋体" w:cs="宋体"/>
                      <w:sz w:val="21"/>
                      <w:szCs w:val="21"/>
                    </w:rPr>
                  </w:pPr>
                  <w:r>
                    <w:rPr>
                      <w:rFonts w:hint="eastAsia" w:ascii="宋体" w:hAnsi="宋体" w:eastAsia="宋体" w:cs="宋体"/>
                      <w:sz w:val="21"/>
                      <w:szCs w:val="21"/>
                    </w:rPr>
                    <w:t>3#（厂界）</w:t>
                  </w: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53.6</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41.9</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54.4</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pPr>
                    <w:pStyle w:val="109"/>
                    <w:rPr>
                      <w:rFonts w:ascii="宋体" w:hAnsi="宋体" w:eastAsia="宋体" w:cs="宋体"/>
                      <w:sz w:val="21"/>
                      <w:szCs w:val="21"/>
                    </w:rPr>
                  </w:pPr>
                  <w:r>
                    <w:rPr>
                      <w:rFonts w:hint="eastAsia" w:ascii="宋体" w:hAnsi="宋体" w:eastAsia="宋体" w:cs="宋体"/>
                      <w:sz w:val="21"/>
                      <w:szCs w:val="21"/>
                    </w:rPr>
                    <w:t>4#（厂界）</w:t>
                  </w: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55.5</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39.8</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55.4</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pPr>
                    <w:pStyle w:val="109"/>
                    <w:rPr>
                      <w:rFonts w:ascii="宋体" w:hAnsi="宋体" w:eastAsia="宋体" w:cs="宋体"/>
                      <w:sz w:val="21"/>
                      <w:szCs w:val="21"/>
                    </w:rPr>
                  </w:pPr>
                  <w:r>
                    <w:rPr>
                      <w:rFonts w:hint="eastAsia" w:ascii="宋体" w:hAnsi="宋体" w:eastAsia="宋体" w:cs="宋体"/>
                      <w:sz w:val="21"/>
                      <w:szCs w:val="21"/>
                    </w:rPr>
                    <w:t>5#（厂界）</w:t>
                  </w: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62.5</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44.5</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61.4</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34" w:type="dxa"/>
                  <w:vAlign w:val="center"/>
                </w:tcPr>
                <w:p>
                  <w:pPr>
                    <w:pStyle w:val="109"/>
                    <w:rPr>
                      <w:rFonts w:ascii="宋体" w:hAnsi="宋体" w:eastAsia="宋体" w:cs="宋体"/>
                      <w:sz w:val="21"/>
                      <w:szCs w:val="21"/>
                    </w:rPr>
                  </w:pPr>
                  <w:r>
                    <w:rPr>
                      <w:rFonts w:hint="eastAsia" w:ascii="宋体" w:hAnsi="宋体" w:eastAsia="宋体" w:cs="宋体"/>
                      <w:sz w:val="21"/>
                      <w:szCs w:val="21"/>
                    </w:rPr>
                    <w:t>6#（厂界）</w:t>
                  </w: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57.8</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48.0</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54.2</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pPr>
                    <w:pStyle w:val="109"/>
                    <w:rPr>
                      <w:rFonts w:ascii="宋体" w:hAnsi="宋体" w:eastAsia="宋体" w:cs="宋体"/>
                      <w:sz w:val="21"/>
                      <w:szCs w:val="21"/>
                    </w:rPr>
                  </w:pPr>
                  <w:r>
                    <w:rPr>
                      <w:rFonts w:hint="eastAsia" w:ascii="宋体" w:hAnsi="宋体" w:eastAsia="宋体" w:cs="宋体"/>
                      <w:sz w:val="21"/>
                      <w:szCs w:val="21"/>
                    </w:rPr>
                    <w:t>7#（厂界）</w:t>
                  </w: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55.3</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39.6</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54.1</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pPr>
                    <w:pStyle w:val="109"/>
                    <w:rPr>
                      <w:rFonts w:ascii="宋体" w:hAnsi="宋体" w:eastAsia="宋体" w:cs="宋体"/>
                      <w:sz w:val="21"/>
                      <w:szCs w:val="21"/>
                    </w:rPr>
                  </w:pPr>
                  <w:r>
                    <w:rPr>
                      <w:rFonts w:hint="eastAsia" w:ascii="宋体" w:hAnsi="宋体" w:eastAsia="宋体" w:cs="宋体"/>
                      <w:sz w:val="21"/>
                      <w:szCs w:val="21"/>
                    </w:rPr>
                    <w:t>8#（厂界）</w:t>
                  </w: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54.5</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40.7</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53.4</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pPr>
                    <w:pStyle w:val="109"/>
                    <w:rPr>
                      <w:rFonts w:ascii="宋体" w:hAnsi="宋体" w:eastAsia="宋体" w:cs="宋体"/>
                      <w:sz w:val="21"/>
                      <w:szCs w:val="21"/>
                    </w:rPr>
                  </w:pPr>
                  <w:r>
                    <w:rPr>
                      <w:rFonts w:hint="eastAsia" w:ascii="宋体" w:hAnsi="宋体" w:eastAsia="宋体" w:cs="宋体"/>
                      <w:sz w:val="21"/>
                      <w:szCs w:val="21"/>
                    </w:rPr>
                    <w:t>9#（周边散户敏感点）</w:t>
                  </w: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55.6</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39.3</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53.1</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4" w:type="dxa"/>
                  <w:vAlign w:val="center"/>
                </w:tcPr>
                <w:p>
                  <w:pPr>
                    <w:pStyle w:val="109"/>
                    <w:rPr>
                      <w:rFonts w:ascii="宋体" w:hAnsi="宋体" w:eastAsia="宋体" w:cs="宋体"/>
                      <w:sz w:val="21"/>
                      <w:szCs w:val="21"/>
                    </w:rPr>
                  </w:pPr>
                  <w:r>
                    <w:rPr>
                      <w:rFonts w:hint="eastAsia" w:ascii="宋体" w:hAnsi="宋体" w:eastAsia="宋体" w:cs="宋体"/>
                      <w:sz w:val="21"/>
                      <w:szCs w:val="21"/>
                    </w:rPr>
                    <w:t>10#（老年公寓敏感点）</w:t>
                  </w:r>
                </w:p>
              </w:tc>
              <w:tc>
                <w:tcPr>
                  <w:tcW w:w="1400" w:type="dxa"/>
                  <w:vAlign w:val="center"/>
                </w:tcPr>
                <w:p>
                  <w:pPr>
                    <w:pStyle w:val="109"/>
                    <w:rPr>
                      <w:rFonts w:ascii="宋体" w:hAnsi="宋体" w:eastAsia="宋体" w:cs="宋体"/>
                      <w:sz w:val="21"/>
                      <w:szCs w:val="21"/>
                    </w:rPr>
                  </w:pPr>
                  <w:r>
                    <w:rPr>
                      <w:rFonts w:hint="eastAsia" w:ascii="宋体" w:hAnsi="宋体" w:eastAsia="宋体" w:cs="宋体"/>
                      <w:sz w:val="21"/>
                      <w:szCs w:val="21"/>
                    </w:rPr>
                    <w:t>54.9</w:t>
                  </w:r>
                </w:p>
              </w:tc>
              <w:tc>
                <w:tcPr>
                  <w:tcW w:w="1473" w:type="dxa"/>
                  <w:vAlign w:val="center"/>
                </w:tcPr>
                <w:p>
                  <w:pPr>
                    <w:pStyle w:val="109"/>
                    <w:rPr>
                      <w:rFonts w:ascii="宋体" w:hAnsi="宋体" w:eastAsia="宋体" w:cs="宋体"/>
                      <w:sz w:val="21"/>
                      <w:szCs w:val="21"/>
                    </w:rPr>
                  </w:pPr>
                  <w:r>
                    <w:rPr>
                      <w:rFonts w:hint="eastAsia" w:ascii="宋体" w:hAnsi="宋体" w:eastAsia="宋体" w:cs="宋体"/>
                      <w:sz w:val="21"/>
                      <w:szCs w:val="21"/>
                    </w:rPr>
                    <w:t>43.5</w:t>
                  </w:r>
                </w:p>
              </w:tc>
              <w:tc>
                <w:tcPr>
                  <w:tcW w:w="1334" w:type="dxa"/>
                  <w:vAlign w:val="center"/>
                </w:tcPr>
                <w:p>
                  <w:pPr>
                    <w:pStyle w:val="109"/>
                    <w:rPr>
                      <w:rFonts w:ascii="宋体" w:hAnsi="宋体" w:eastAsia="宋体" w:cs="宋体"/>
                      <w:sz w:val="21"/>
                      <w:szCs w:val="21"/>
                    </w:rPr>
                  </w:pPr>
                  <w:r>
                    <w:rPr>
                      <w:rFonts w:hint="eastAsia" w:ascii="宋体" w:hAnsi="宋体" w:eastAsia="宋体" w:cs="宋体"/>
                      <w:sz w:val="21"/>
                      <w:szCs w:val="21"/>
                    </w:rPr>
                    <w:t>54.3</w:t>
                  </w:r>
                </w:p>
              </w:tc>
              <w:tc>
                <w:tcPr>
                  <w:tcW w:w="1404" w:type="dxa"/>
                  <w:vAlign w:val="center"/>
                </w:tcPr>
                <w:p>
                  <w:pPr>
                    <w:pStyle w:val="109"/>
                    <w:rPr>
                      <w:rFonts w:ascii="宋体" w:hAnsi="宋体" w:eastAsia="宋体" w:cs="宋体"/>
                      <w:sz w:val="21"/>
                      <w:szCs w:val="21"/>
                    </w:rPr>
                  </w:pPr>
                  <w:r>
                    <w:rPr>
                      <w:rFonts w:hint="eastAsia" w:ascii="宋体" w:hAnsi="宋体" w:eastAsia="宋体" w:cs="宋体"/>
                      <w:sz w:val="21"/>
                      <w:szCs w:val="21"/>
                    </w:rPr>
                    <w:t>44.2</w:t>
                  </w:r>
                </w:p>
              </w:tc>
            </w:tr>
          </w:tbl>
          <w:p>
            <w:pPr>
              <w:pStyle w:val="108"/>
              <w:ind w:firstLine="480"/>
              <w:rPr>
                <w:rFonts w:eastAsia="宋体" w:cs="宋体"/>
              </w:rPr>
            </w:pPr>
            <w:r>
              <w:rPr>
                <w:rFonts w:hint="eastAsia" w:ascii="Times New Roman" w:hAnsi="Times New Roman" w:eastAsia="宋体"/>
              </w:rPr>
              <w:t>由上表可知，东、西、南、北厂界噪声均可满足《工业企业厂界环境噪声排放标准》（GB12348-2008）3类标准（昼间：65dB（A）；夜间：55dB（A）），敏感噪声均满足《声环境质量标准》（GB3096-2008）中2类标准（昼间：60dB（A）；夜间：50dB（A））。</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47" w:type="dxa"/>
            <w:tcBorders>
              <w:top w:val="single" w:color="auto" w:sz="12" w:space="0"/>
              <w:left w:val="single" w:color="auto" w:sz="4" w:space="0"/>
              <w:bottom w:val="single" w:color="auto" w:sz="4" w:space="0"/>
              <w:right w:val="single" w:color="auto" w:sz="4" w:space="0"/>
            </w:tcBorders>
            <w:vAlign w:val="center"/>
          </w:tcPr>
          <w:p>
            <w:pPr>
              <w:pStyle w:val="23"/>
              <w:spacing w:after="0" w:line="240" w:lineRule="auto"/>
              <w:jc w:val="center"/>
            </w:pPr>
            <w:r>
              <w:rPr>
                <w:rFonts w:hint="eastAsia" w:ascii="宋体" w:eastAsia="宋体"/>
              </w:rPr>
              <w:t>环境保护目标</w:t>
            </w:r>
          </w:p>
        </w:tc>
        <w:tc>
          <w:tcPr>
            <w:tcW w:w="8441" w:type="dxa"/>
            <w:tcBorders>
              <w:top w:val="single" w:color="auto" w:sz="12" w:space="0"/>
              <w:left w:val="single" w:color="auto" w:sz="4" w:space="0"/>
              <w:bottom w:val="single" w:color="auto" w:sz="12" w:space="0"/>
            </w:tcBorders>
            <w:vAlign w:val="center"/>
          </w:tcPr>
          <w:p>
            <w:pPr>
              <w:pStyle w:val="4"/>
            </w:pPr>
            <w:r>
              <w:rPr>
                <w:rFonts w:hint="eastAsia"/>
              </w:rPr>
              <w:t>主要环境保护目标(列出名单及保护级别)：</w:t>
            </w:r>
          </w:p>
          <w:p>
            <w:pPr>
              <w:pStyle w:val="108"/>
              <w:ind w:firstLine="480"/>
            </w:pPr>
            <w:r>
              <w:t>本项目位于</w:t>
            </w:r>
            <w:r>
              <w:rPr>
                <w:rFonts w:hint="eastAsia"/>
              </w:rPr>
              <w:t>淮南市八公山区八公山镇朱岗村</w:t>
            </w:r>
            <w:r>
              <w:t>，根据现场踏勘结果，项目评价范围内无自然保护区、风景名胜区、饮用水源保护区和文物古迹等需要特殊保护的环境敏感对象。保护目标为总体上不因本项目的实施而改变区域环境现有功能，具体环境保护目标如下</w:t>
            </w:r>
            <w:r>
              <w:rPr>
                <w:rFonts w:hint="eastAsia"/>
              </w:rPr>
              <w:t>。</w:t>
            </w:r>
          </w:p>
          <w:p>
            <w:pPr>
              <w:pStyle w:val="14"/>
              <w:numPr>
                <w:ilvl w:val="0"/>
                <w:numId w:val="2"/>
              </w:numPr>
              <w:spacing w:line="360" w:lineRule="auto"/>
            </w:pPr>
            <w:r>
              <w:rPr>
                <w:rFonts w:hint="eastAsia"/>
              </w:rPr>
              <w:t>项目区域环境空气满足《环境空气质量标准》（GB3095-2012）中的二级标准</w:t>
            </w:r>
          </w:p>
          <w:p>
            <w:pPr>
              <w:pStyle w:val="14"/>
              <w:spacing w:line="360" w:lineRule="auto"/>
            </w:pPr>
            <w:r>
              <w:rPr>
                <w:rFonts w:hint="eastAsia"/>
              </w:rPr>
              <w:t>2、</w:t>
            </w:r>
            <w:r>
              <w:t>厂界外500米范围内无地下水集中式饮用水水源和热水、矿泉水、温泉等特殊地下水资源</w:t>
            </w:r>
            <w:r>
              <w:rPr>
                <w:rFonts w:hint="eastAsia"/>
              </w:rPr>
              <w:t>，</w:t>
            </w:r>
            <w:r>
              <w:t>无地下水环境保护目标</w:t>
            </w:r>
            <w:r>
              <w:rPr>
                <w:rFonts w:hint="eastAsia"/>
              </w:rPr>
              <w:t>；</w:t>
            </w:r>
          </w:p>
          <w:p>
            <w:pPr>
              <w:pStyle w:val="14"/>
              <w:spacing w:line="360" w:lineRule="auto"/>
            </w:pPr>
            <w:r>
              <w:rPr>
                <w:rFonts w:hint="eastAsia"/>
              </w:rPr>
              <w:t>3、项目周边保护目标</w:t>
            </w:r>
            <w:r>
              <w:t>噪声执行《工业企业厂界环境噪声排放标准》（GB12348-2008）</w:t>
            </w:r>
            <w:r>
              <w:rPr>
                <w:rFonts w:hint="eastAsia"/>
                <w:lang w:val="en-US" w:eastAsia="zh-CN"/>
              </w:rPr>
              <w:t>3</w:t>
            </w:r>
            <w:r>
              <w:t>类标准</w:t>
            </w:r>
            <w:r>
              <w:rPr>
                <w:rFonts w:hint="eastAsia"/>
              </w:rPr>
              <w:t>；</w:t>
            </w:r>
          </w:p>
          <w:p>
            <w:pPr>
              <w:adjustRightInd w:val="0"/>
              <w:spacing w:line="360" w:lineRule="auto"/>
              <w:jc w:val="center"/>
              <w:rPr>
                <w:rFonts w:ascii="黑体" w:hAnsi="黑体" w:eastAsia="黑体" w:cs="黑体"/>
                <w:sz w:val="24"/>
              </w:rPr>
            </w:pPr>
            <w:r>
              <w:rPr>
                <w:rFonts w:hint="eastAsia" w:ascii="黑体" w:hAnsi="黑体" w:eastAsia="黑体" w:cs="黑体"/>
                <w:sz w:val="24"/>
              </w:rPr>
              <w:t>表3-2项目主要环境保护目标一览表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999"/>
              <w:gridCol w:w="1482"/>
              <w:gridCol w:w="1378"/>
              <w:gridCol w:w="725"/>
              <w:gridCol w:w="834"/>
              <w:gridCol w:w="381"/>
              <w:gridCol w:w="830"/>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restart"/>
                  <w:vAlign w:val="center"/>
                </w:tcPr>
                <w:p>
                  <w:pPr>
                    <w:jc w:val="center"/>
                    <w:rPr>
                      <w:rFonts w:ascii="宋体" w:hAnsi="宋体" w:eastAsia="宋体" w:cs="宋体"/>
                      <w:szCs w:val="21"/>
                    </w:rPr>
                  </w:pPr>
                  <w:r>
                    <w:rPr>
                      <w:rFonts w:hint="eastAsia" w:ascii="宋体" w:hAnsi="宋体" w:eastAsia="宋体" w:cs="宋体"/>
                      <w:szCs w:val="21"/>
                    </w:rPr>
                    <w:t>环境要素</w:t>
                  </w:r>
                </w:p>
              </w:tc>
              <w:tc>
                <w:tcPr>
                  <w:tcW w:w="999"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环境保护目标名称</w:t>
                  </w:r>
                </w:p>
              </w:tc>
              <w:tc>
                <w:tcPr>
                  <w:tcW w:w="2860" w:type="dxa"/>
                  <w:gridSpan w:val="2"/>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坐标（经纬度坐标）</w:t>
                  </w:r>
                </w:p>
              </w:tc>
              <w:tc>
                <w:tcPr>
                  <w:tcW w:w="725" w:type="dxa"/>
                  <w:vMerge w:val="restart"/>
                  <w:vAlign w:val="center"/>
                </w:tcPr>
                <w:p>
                  <w:pPr>
                    <w:jc w:val="center"/>
                    <w:rPr>
                      <w:rFonts w:ascii="宋体" w:hAnsi="宋体" w:eastAsia="宋体" w:cs="宋体"/>
                      <w:szCs w:val="21"/>
                    </w:rPr>
                  </w:pPr>
                  <w:r>
                    <w:rPr>
                      <w:rFonts w:hint="eastAsia" w:ascii="宋体" w:hAnsi="宋体" w:eastAsia="宋体" w:cs="宋体"/>
                      <w:szCs w:val="21"/>
                    </w:rPr>
                    <w:t>保护区域</w:t>
                  </w:r>
                </w:p>
              </w:tc>
              <w:tc>
                <w:tcPr>
                  <w:tcW w:w="834" w:type="dxa"/>
                  <w:vMerge w:val="restart"/>
                  <w:vAlign w:val="center"/>
                </w:tcPr>
                <w:p>
                  <w:pPr>
                    <w:jc w:val="center"/>
                    <w:rPr>
                      <w:rFonts w:ascii="宋体" w:hAnsi="宋体" w:eastAsia="宋体" w:cs="宋体"/>
                      <w:szCs w:val="21"/>
                    </w:rPr>
                  </w:pPr>
                  <w:r>
                    <w:rPr>
                      <w:rFonts w:hint="eastAsia" w:ascii="宋体" w:hAnsi="宋体" w:eastAsia="宋体" w:cs="宋体"/>
                      <w:szCs w:val="21"/>
                    </w:rPr>
                    <w:t>保护内容</w:t>
                  </w:r>
                </w:p>
              </w:tc>
              <w:tc>
                <w:tcPr>
                  <w:tcW w:w="381" w:type="dxa"/>
                  <w:vMerge w:val="restart"/>
                  <w:vAlign w:val="center"/>
                </w:tcPr>
                <w:p>
                  <w:pPr>
                    <w:jc w:val="center"/>
                    <w:rPr>
                      <w:rFonts w:ascii="宋体" w:hAnsi="宋体" w:eastAsia="宋体" w:cs="宋体"/>
                      <w:szCs w:val="21"/>
                    </w:rPr>
                  </w:pPr>
                  <w:r>
                    <w:rPr>
                      <w:rFonts w:hint="eastAsia" w:ascii="宋体" w:hAnsi="宋体" w:eastAsia="宋体" w:cs="宋体"/>
                      <w:szCs w:val="21"/>
                    </w:rPr>
                    <w:t>环境功能区</w:t>
                  </w:r>
                </w:p>
              </w:tc>
              <w:tc>
                <w:tcPr>
                  <w:tcW w:w="830" w:type="dxa"/>
                  <w:vMerge w:val="restart"/>
                  <w:vAlign w:val="center"/>
                </w:tcPr>
                <w:p>
                  <w:pPr>
                    <w:jc w:val="center"/>
                    <w:rPr>
                      <w:rFonts w:ascii="宋体" w:hAnsi="宋体" w:eastAsia="宋体" w:cs="宋体"/>
                      <w:szCs w:val="21"/>
                    </w:rPr>
                  </w:pPr>
                  <w:r>
                    <w:rPr>
                      <w:rFonts w:hint="eastAsia" w:ascii="宋体" w:hAnsi="宋体" w:eastAsia="宋体" w:cs="宋体"/>
                      <w:szCs w:val="21"/>
                    </w:rPr>
                    <w:t>相对厂址方位</w:t>
                  </w:r>
                </w:p>
              </w:tc>
              <w:tc>
                <w:tcPr>
                  <w:tcW w:w="879" w:type="dxa"/>
                  <w:vMerge w:val="restart"/>
                  <w:vAlign w:val="center"/>
                </w:tcPr>
                <w:p>
                  <w:pPr>
                    <w:jc w:val="center"/>
                    <w:rPr>
                      <w:rFonts w:ascii="宋体" w:hAnsi="宋体" w:eastAsia="宋体" w:cs="宋体"/>
                      <w:szCs w:val="21"/>
                    </w:rPr>
                  </w:pPr>
                  <w:r>
                    <w:rPr>
                      <w:rFonts w:hint="eastAsia" w:ascii="宋体" w:hAnsi="宋体" w:eastAsia="宋体" w:cs="宋体"/>
                      <w:szCs w:val="21"/>
                    </w:rPr>
                    <w:t>距厂界最近距离/m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pPr>
                    <w:jc w:val="center"/>
                    <w:rPr>
                      <w:rFonts w:ascii="宋体" w:hAnsi="宋体" w:eastAsia="宋体" w:cs="宋体"/>
                      <w:szCs w:val="21"/>
                    </w:rPr>
                  </w:pPr>
                </w:p>
              </w:tc>
              <w:tc>
                <w:tcPr>
                  <w:tcW w:w="999" w:type="dxa"/>
                  <w:vMerge w:val="continue"/>
                  <w:vAlign w:val="center"/>
                </w:tcPr>
                <w:p>
                  <w:pPr>
                    <w:adjustRightInd w:val="0"/>
                    <w:snapToGrid w:val="0"/>
                    <w:jc w:val="center"/>
                    <w:rPr>
                      <w:rFonts w:ascii="宋体" w:hAnsi="宋体" w:eastAsia="宋体" w:cs="宋体"/>
                      <w:szCs w:val="21"/>
                    </w:rPr>
                  </w:pPr>
                </w:p>
              </w:tc>
              <w:tc>
                <w:tcPr>
                  <w:tcW w:w="1482"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东经/°</w:t>
                  </w:r>
                </w:p>
              </w:tc>
              <w:tc>
                <w:tcPr>
                  <w:tcW w:w="13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北纬/°</w:t>
                  </w:r>
                </w:p>
              </w:tc>
              <w:tc>
                <w:tcPr>
                  <w:tcW w:w="725" w:type="dxa"/>
                  <w:vMerge w:val="continue"/>
                  <w:vAlign w:val="center"/>
                </w:tcPr>
                <w:p>
                  <w:pPr>
                    <w:jc w:val="center"/>
                    <w:rPr>
                      <w:rFonts w:ascii="宋体" w:hAnsi="宋体" w:eastAsia="宋体" w:cs="宋体"/>
                      <w:szCs w:val="21"/>
                    </w:rPr>
                  </w:pPr>
                </w:p>
              </w:tc>
              <w:tc>
                <w:tcPr>
                  <w:tcW w:w="834" w:type="dxa"/>
                  <w:vMerge w:val="continue"/>
                  <w:vAlign w:val="center"/>
                </w:tcPr>
                <w:p>
                  <w:pPr>
                    <w:jc w:val="center"/>
                    <w:rPr>
                      <w:rFonts w:ascii="宋体" w:hAnsi="宋体" w:eastAsia="宋体" w:cs="宋体"/>
                      <w:szCs w:val="21"/>
                    </w:rPr>
                  </w:pPr>
                </w:p>
              </w:tc>
              <w:tc>
                <w:tcPr>
                  <w:tcW w:w="381" w:type="dxa"/>
                  <w:vMerge w:val="continue"/>
                  <w:vAlign w:val="center"/>
                </w:tcPr>
                <w:p>
                  <w:pPr>
                    <w:jc w:val="center"/>
                    <w:rPr>
                      <w:rFonts w:ascii="宋体" w:hAnsi="宋体" w:eastAsia="宋体" w:cs="宋体"/>
                      <w:szCs w:val="21"/>
                    </w:rPr>
                  </w:pPr>
                </w:p>
              </w:tc>
              <w:tc>
                <w:tcPr>
                  <w:tcW w:w="830" w:type="dxa"/>
                  <w:vMerge w:val="continue"/>
                  <w:vAlign w:val="center"/>
                </w:tcPr>
                <w:p>
                  <w:pPr>
                    <w:jc w:val="center"/>
                    <w:rPr>
                      <w:rFonts w:ascii="宋体" w:hAnsi="宋体" w:eastAsia="宋体" w:cs="宋体"/>
                      <w:szCs w:val="21"/>
                    </w:rPr>
                  </w:pPr>
                </w:p>
              </w:tc>
              <w:tc>
                <w:tcPr>
                  <w:tcW w:w="879" w:type="dxa"/>
                  <w:vMerge w:val="continue"/>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restart"/>
                  <w:vAlign w:val="center"/>
                </w:tcPr>
                <w:p>
                  <w:pPr>
                    <w:spacing w:after="100"/>
                    <w:jc w:val="center"/>
                    <w:rPr>
                      <w:rFonts w:ascii="宋体" w:hAnsi="宋体" w:eastAsia="宋体" w:cs="宋体"/>
                      <w:szCs w:val="21"/>
                    </w:rPr>
                  </w:pPr>
                  <w:r>
                    <w:rPr>
                      <w:rFonts w:hint="eastAsia" w:ascii="宋体" w:hAnsi="宋体" w:eastAsia="宋体" w:cs="宋体"/>
                      <w:szCs w:val="21"/>
                    </w:rPr>
                    <w:t>大气环境</w:t>
                  </w:r>
                </w:p>
              </w:tc>
              <w:tc>
                <w:tcPr>
                  <w:tcW w:w="99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福安老年公寓</w:t>
                  </w:r>
                </w:p>
              </w:tc>
              <w:tc>
                <w:tcPr>
                  <w:tcW w:w="1482"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116.842362</w:t>
                  </w:r>
                </w:p>
              </w:tc>
              <w:tc>
                <w:tcPr>
                  <w:tcW w:w="13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32.605866</w:t>
                  </w:r>
                </w:p>
              </w:tc>
              <w:tc>
                <w:tcPr>
                  <w:tcW w:w="72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居民区</w:t>
                  </w:r>
                </w:p>
              </w:tc>
              <w:tc>
                <w:tcPr>
                  <w:tcW w:w="83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人群200人</w:t>
                  </w:r>
                </w:p>
              </w:tc>
              <w:tc>
                <w:tcPr>
                  <w:tcW w:w="381"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二类</w:t>
                  </w:r>
                </w:p>
              </w:tc>
              <w:tc>
                <w:tcPr>
                  <w:tcW w:w="830"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西南</w:t>
                  </w:r>
                </w:p>
              </w:tc>
              <w:tc>
                <w:tcPr>
                  <w:tcW w:w="87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pPr>
                    <w:spacing w:after="100"/>
                    <w:jc w:val="center"/>
                    <w:rPr>
                      <w:rFonts w:ascii="宋体" w:hAnsi="宋体" w:eastAsia="宋体" w:cs="宋体"/>
                      <w:szCs w:val="21"/>
                    </w:rPr>
                  </w:pPr>
                </w:p>
              </w:tc>
              <w:tc>
                <w:tcPr>
                  <w:tcW w:w="999" w:type="dxa"/>
                  <w:vAlign w:val="center"/>
                </w:tcPr>
                <w:p>
                  <w:pPr>
                    <w:jc w:val="center"/>
                    <w:rPr>
                      <w:rFonts w:ascii="宋体" w:hAnsi="宋体" w:eastAsia="宋体" w:cs="宋体"/>
                      <w:szCs w:val="21"/>
                    </w:rPr>
                  </w:pPr>
                  <w:r>
                    <w:rPr>
                      <w:rFonts w:hint="eastAsia" w:ascii="宋体" w:hAnsi="宋体" w:eastAsia="宋体" w:cs="宋体"/>
                      <w:szCs w:val="21"/>
                    </w:rPr>
                    <w:t>散户</w:t>
                  </w:r>
                </w:p>
              </w:tc>
              <w:tc>
                <w:tcPr>
                  <w:tcW w:w="1482"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116.841627</w:t>
                  </w:r>
                </w:p>
              </w:tc>
              <w:tc>
                <w:tcPr>
                  <w:tcW w:w="13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32.605196</w:t>
                  </w:r>
                </w:p>
              </w:tc>
              <w:tc>
                <w:tcPr>
                  <w:tcW w:w="725" w:type="dxa"/>
                  <w:vAlign w:val="center"/>
                </w:tcPr>
                <w:p>
                  <w:pPr>
                    <w:jc w:val="center"/>
                    <w:rPr>
                      <w:rFonts w:ascii="宋体" w:hAnsi="宋体" w:eastAsia="宋体" w:cs="宋体"/>
                      <w:szCs w:val="21"/>
                    </w:rPr>
                  </w:pPr>
                  <w:r>
                    <w:rPr>
                      <w:rFonts w:hint="eastAsia" w:ascii="宋体" w:hAnsi="宋体" w:eastAsia="宋体" w:cs="宋体"/>
                      <w:szCs w:val="21"/>
                    </w:rPr>
                    <w:t>居民区</w:t>
                  </w:r>
                </w:p>
              </w:tc>
              <w:tc>
                <w:tcPr>
                  <w:tcW w:w="834" w:type="dxa"/>
                  <w:vAlign w:val="center"/>
                </w:tcPr>
                <w:p>
                  <w:pPr>
                    <w:jc w:val="center"/>
                    <w:rPr>
                      <w:rFonts w:ascii="宋体" w:hAnsi="宋体" w:eastAsia="宋体" w:cs="宋体"/>
                      <w:szCs w:val="21"/>
                    </w:rPr>
                  </w:pPr>
                  <w:r>
                    <w:rPr>
                      <w:rFonts w:hint="eastAsia" w:ascii="宋体" w:hAnsi="宋体" w:eastAsia="宋体" w:cs="宋体"/>
                      <w:szCs w:val="21"/>
                    </w:rPr>
                    <w:t>人群50人</w:t>
                  </w:r>
                </w:p>
              </w:tc>
              <w:tc>
                <w:tcPr>
                  <w:tcW w:w="381" w:type="dxa"/>
                  <w:vMerge w:val="continue"/>
                  <w:vAlign w:val="center"/>
                </w:tcPr>
                <w:p>
                  <w:pPr>
                    <w:jc w:val="center"/>
                    <w:rPr>
                      <w:rFonts w:ascii="宋体" w:hAnsi="宋体" w:eastAsia="宋体" w:cs="宋体"/>
                      <w:szCs w:val="21"/>
                    </w:rPr>
                  </w:pPr>
                </w:p>
              </w:tc>
              <w:tc>
                <w:tcPr>
                  <w:tcW w:w="830" w:type="dxa"/>
                  <w:vAlign w:val="center"/>
                </w:tcPr>
                <w:p>
                  <w:pPr>
                    <w:jc w:val="center"/>
                    <w:rPr>
                      <w:rFonts w:ascii="宋体" w:hAnsi="宋体" w:eastAsia="宋体" w:cs="宋体"/>
                      <w:szCs w:val="21"/>
                    </w:rPr>
                  </w:pPr>
                  <w:r>
                    <w:rPr>
                      <w:rFonts w:hint="eastAsia" w:ascii="宋体" w:hAnsi="宋体" w:eastAsia="宋体" w:cs="宋体"/>
                      <w:szCs w:val="21"/>
                    </w:rPr>
                    <w:t>南</w:t>
                  </w:r>
                </w:p>
              </w:tc>
              <w:tc>
                <w:tcPr>
                  <w:tcW w:w="879" w:type="dxa"/>
                  <w:vAlign w:val="center"/>
                </w:tcPr>
                <w:p>
                  <w:pPr>
                    <w:jc w:val="center"/>
                    <w:rPr>
                      <w:rFonts w:ascii="宋体" w:hAnsi="宋体" w:eastAsia="宋体" w:cs="宋体"/>
                      <w:szCs w:val="21"/>
                    </w:rPr>
                  </w:pPr>
                  <w:r>
                    <w:rPr>
                      <w:rFonts w:hint="eastAsia" w:ascii="宋体" w:hAnsi="宋体" w:eastAsia="宋体" w:cs="宋体"/>
                      <w:szCs w:val="21"/>
                    </w:rPr>
                    <w:t>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pPr>
                    <w:spacing w:after="100"/>
                    <w:jc w:val="center"/>
                    <w:rPr>
                      <w:rFonts w:ascii="宋体" w:hAnsi="宋体" w:eastAsia="宋体" w:cs="宋体"/>
                      <w:szCs w:val="21"/>
                    </w:rPr>
                  </w:pPr>
                </w:p>
              </w:tc>
              <w:tc>
                <w:tcPr>
                  <w:tcW w:w="99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淮南市震泽商贸有限公司</w:t>
                  </w:r>
                </w:p>
              </w:tc>
              <w:tc>
                <w:tcPr>
                  <w:tcW w:w="1482"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116.840533</w:t>
                  </w:r>
                </w:p>
              </w:tc>
              <w:tc>
                <w:tcPr>
                  <w:tcW w:w="13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32.607948</w:t>
                  </w:r>
                </w:p>
              </w:tc>
              <w:tc>
                <w:tcPr>
                  <w:tcW w:w="72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办公区</w:t>
                  </w:r>
                </w:p>
              </w:tc>
              <w:tc>
                <w:tcPr>
                  <w:tcW w:w="83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人群100人</w:t>
                  </w:r>
                </w:p>
              </w:tc>
              <w:tc>
                <w:tcPr>
                  <w:tcW w:w="381" w:type="dxa"/>
                  <w:vMerge w:val="continue"/>
                  <w:vAlign w:val="center"/>
                </w:tcPr>
                <w:p>
                  <w:pPr>
                    <w:adjustRightInd w:val="0"/>
                    <w:snapToGrid w:val="0"/>
                    <w:jc w:val="center"/>
                    <w:rPr>
                      <w:rFonts w:ascii="宋体" w:hAnsi="宋体" w:eastAsia="宋体" w:cs="宋体"/>
                      <w:szCs w:val="21"/>
                    </w:rPr>
                  </w:pPr>
                </w:p>
              </w:tc>
              <w:tc>
                <w:tcPr>
                  <w:tcW w:w="830"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北</w:t>
                  </w:r>
                </w:p>
              </w:tc>
              <w:tc>
                <w:tcPr>
                  <w:tcW w:w="87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230m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vAlign w:val="center"/>
                </w:tcPr>
                <w:p>
                  <w:pPr>
                    <w:spacing w:after="100"/>
                    <w:jc w:val="center"/>
                    <w:rPr>
                      <w:rFonts w:ascii="宋体" w:hAnsi="宋体" w:eastAsia="宋体" w:cs="宋体"/>
                      <w:szCs w:val="21"/>
                    </w:rPr>
                  </w:pPr>
                </w:p>
              </w:tc>
              <w:tc>
                <w:tcPr>
                  <w:tcW w:w="99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桂园小区</w:t>
                  </w:r>
                </w:p>
              </w:tc>
              <w:tc>
                <w:tcPr>
                  <w:tcW w:w="1482"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116.845565</w:t>
                  </w:r>
                </w:p>
              </w:tc>
              <w:tc>
                <w:tcPr>
                  <w:tcW w:w="13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32.606982</w:t>
                  </w:r>
                </w:p>
              </w:tc>
              <w:tc>
                <w:tcPr>
                  <w:tcW w:w="72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居民区</w:t>
                  </w:r>
                </w:p>
              </w:tc>
              <w:tc>
                <w:tcPr>
                  <w:tcW w:w="83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人群1500人</w:t>
                  </w:r>
                </w:p>
              </w:tc>
              <w:tc>
                <w:tcPr>
                  <w:tcW w:w="381" w:type="dxa"/>
                  <w:vMerge w:val="continue"/>
                  <w:vAlign w:val="center"/>
                </w:tcPr>
                <w:p>
                  <w:pPr>
                    <w:adjustRightInd w:val="0"/>
                    <w:snapToGrid w:val="0"/>
                    <w:jc w:val="center"/>
                    <w:rPr>
                      <w:rFonts w:ascii="宋体" w:hAnsi="宋体" w:eastAsia="宋体" w:cs="宋体"/>
                      <w:szCs w:val="21"/>
                    </w:rPr>
                  </w:pPr>
                </w:p>
              </w:tc>
              <w:tc>
                <w:tcPr>
                  <w:tcW w:w="830"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东</w:t>
                  </w:r>
                </w:p>
              </w:tc>
              <w:tc>
                <w:tcPr>
                  <w:tcW w:w="87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Align w:val="center"/>
                </w:tcPr>
                <w:p>
                  <w:pPr>
                    <w:jc w:val="center"/>
                    <w:rPr>
                      <w:rFonts w:ascii="宋体" w:hAnsi="宋体" w:eastAsia="宋体" w:cs="宋体"/>
                      <w:szCs w:val="21"/>
                    </w:rPr>
                  </w:pPr>
                  <w:r>
                    <w:rPr>
                      <w:rFonts w:hint="eastAsia" w:ascii="宋体" w:hAnsi="宋体" w:eastAsia="宋体" w:cs="宋体"/>
                      <w:szCs w:val="21"/>
                    </w:rPr>
                    <w:t>地表水环境</w:t>
                  </w:r>
                </w:p>
              </w:tc>
              <w:tc>
                <w:tcPr>
                  <w:tcW w:w="99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淮河</w:t>
                  </w:r>
                </w:p>
              </w:tc>
              <w:tc>
                <w:tcPr>
                  <w:tcW w:w="1482" w:type="dxa"/>
                  <w:vAlign w:val="center"/>
                </w:tcPr>
                <w:p>
                  <w:pPr>
                    <w:jc w:val="center"/>
                    <w:rPr>
                      <w:rFonts w:ascii="宋体" w:hAnsi="宋体" w:eastAsia="宋体" w:cs="宋体"/>
                      <w:szCs w:val="21"/>
                    </w:rPr>
                  </w:pPr>
                  <w:r>
                    <w:rPr>
                      <w:rFonts w:hint="eastAsia" w:ascii="宋体" w:hAnsi="宋体" w:eastAsia="宋体" w:cs="宋体"/>
                      <w:szCs w:val="21"/>
                    </w:rPr>
                    <w:t>116.91047574</w:t>
                  </w:r>
                </w:p>
              </w:tc>
              <w:tc>
                <w:tcPr>
                  <w:tcW w:w="1378" w:type="dxa"/>
                  <w:vAlign w:val="center"/>
                </w:tcPr>
                <w:p>
                  <w:pPr>
                    <w:jc w:val="center"/>
                    <w:rPr>
                      <w:rFonts w:ascii="宋体" w:hAnsi="宋体" w:eastAsia="宋体" w:cs="宋体"/>
                      <w:szCs w:val="21"/>
                    </w:rPr>
                  </w:pPr>
                  <w:r>
                    <w:rPr>
                      <w:rFonts w:hint="eastAsia" w:ascii="宋体" w:hAnsi="宋体" w:eastAsia="宋体" w:cs="宋体"/>
                      <w:szCs w:val="21"/>
                    </w:rPr>
                    <w:t>32.63919031</w:t>
                  </w:r>
                </w:p>
              </w:tc>
              <w:tc>
                <w:tcPr>
                  <w:tcW w:w="72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河流</w:t>
                  </w:r>
                </w:p>
              </w:tc>
              <w:tc>
                <w:tcPr>
                  <w:tcW w:w="83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水质</w:t>
                  </w:r>
                </w:p>
              </w:tc>
              <w:tc>
                <w:tcPr>
                  <w:tcW w:w="381"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Ⅲ类</w:t>
                  </w:r>
                </w:p>
              </w:tc>
              <w:tc>
                <w:tcPr>
                  <w:tcW w:w="830"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西</w:t>
                  </w:r>
                </w:p>
              </w:tc>
              <w:tc>
                <w:tcPr>
                  <w:tcW w:w="87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5200m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Align w:val="center"/>
                </w:tcPr>
                <w:p>
                  <w:r>
                    <w:rPr>
                      <w:rFonts w:hint="eastAsia"/>
                    </w:rPr>
                    <w:t>生态</w:t>
                  </w:r>
                </w:p>
                <w:p>
                  <w:pPr>
                    <w:pStyle w:val="2"/>
                  </w:pPr>
                  <w:r>
                    <w:rPr>
                      <w:rFonts w:hint="eastAsia" w:ascii="宋体" w:hAnsi="宋体" w:cs="宋体"/>
                      <w:szCs w:val="21"/>
                    </w:rPr>
                    <w:t>环境</w:t>
                  </w:r>
                </w:p>
              </w:tc>
              <w:tc>
                <w:tcPr>
                  <w:tcW w:w="99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八公山风景名胜区</w:t>
                  </w:r>
                </w:p>
              </w:tc>
              <w:tc>
                <w:tcPr>
                  <w:tcW w:w="1482" w:type="dxa"/>
                  <w:vAlign w:val="center"/>
                </w:tcPr>
                <w:p>
                  <w:pPr>
                    <w:jc w:val="center"/>
                    <w:rPr>
                      <w:rFonts w:ascii="宋体" w:hAnsi="宋体" w:eastAsia="宋体" w:cs="宋体"/>
                      <w:szCs w:val="21"/>
                    </w:rPr>
                  </w:pPr>
                  <w:r>
                    <w:rPr>
                      <w:rFonts w:hint="eastAsia" w:ascii="宋体" w:hAnsi="宋体" w:eastAsia="宋体" w:cs="宋体"/>
                      <w:szCs w:val="21"/>
                    </w:rPr>
                    <w:t>116.826897</w:t>
                  </w:r>
                </w:p>
              </w:tc>
              <w:tc>
                <w:tcPr>
                  <w:tcW w:w="1378" w:type="dxa"/>
                  <w:vAlign w:val="center"/>
                </w:tcPr>
                <w:p>
                  <w:pPr>
                    <w:jc w:val="center"/>
                    <w:rPr>
                      <w:rFonts w:ascii="宋体" w:hAnsi="宋体" w:eastAsia="宋体" w:cs="宋体"/>
                      <w:szCs w:val="21"/>
                    </w:rPr>
                  </w:pPr>
                  <w:r>
                    <w:rPr>
                      <w:rFonts w:hint="eastAsia" w:ascii="宋体" w:hAnsi="宋体" w:eastAsia="宋体" w:cs="宋体"/>
                      <w:szCs w:val="21"/>
                    </w:rPr>
                    <w:t>32.619138</w:t>
                  </w:r>
                </w:p>
              </w:tc>
              <w:tc>
                <w:tcPr>
                  <w:tcW w:w="72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风景名胜区</w:t>
                  </w:r>
                </w:p>
              </w:tc>
              <w:tc>
                <w:tcPr>
                  <w:tcW w:w="83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风景区</w:t>
                  </w:r>
                </w:p>
              </w:tc>
              <w:tc>
                <w:tcPr>
                  <w:tcW w:w="381"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w:t>
                  </w:r>
                </w:p>
              </w:tc>
              <w:tc>
                <w:tcPr>
                  <w:tcW w:w="830"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西北</w:t>
                  </w:r>
                </w:p>
              </w:tc>
              <w:tc>
                <w:tcPr>
                  <w:tcW w:w="87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1600m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restart"/>
                  <w:vAlign w:val="center"/>
                </w:tcPr>
                <w:p>
                  <w:pPr>
                    <w:jc w:val="center"/>
                    <w:rPr>
                      <w:rFonts w:ascii="宋体" w:hAnsi="宋体" w:eastAsia="宋体" w:cs="宋体"/>
                      <w:szCs w:val="21"/>
                    </w:rPr>
                  </w:pPr>
                  <w:r>
                    <w:rPr>
                      <w:rFonts w:hint="eastAsia" w:ascii="宋体" w:hAnsi="宋体" w:eastAsia="宋体" w:cs="宋体"/>
                      <w:szCs w:val="21"/>
                    </w:rPr>
                    <w:t>声环境</w:t>
                  </w:r>
                </w:p>
              </w:tc>
              <w:tc>
                <w:tcPr>
                  <w:tcW w:w="999"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福安老年公寓</w:t>
                  </w:r>
                </w:p>
              </w:tc>
              <w:tc>
                <w:tcPr>
                  <w:tcW w:w="1482"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116.842362</w:t>
                  </w:r>
                </w:p>
              </w:tc>
              <w:tc>
                <w:tcPr>
                  <w:tcW w:w="1378"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32.605866</w:t>
                  </w:r>
                </w:p>
              </w:tc>
              <w:tc>
                <w:tcPr>
                  <w:tcW w:w="725"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居民区</w:t>
                  </w:r>
                </w:p>
              </w:tc>
              <w:tc>
                <w:tcPr>
                  <w:tcW w:w="834" w:type="dxa"/>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人群200人</w:t>
                  </w:r>
                </w:p>
              </w:tc>
              <w:tc>
                <w:tcPr>
                  <w:tcW w:w="381" w:type="dxa"/>
                  <w:vMerge w:val="restart"/>
                  <w:vAlign w:val="center"/>
                </w:tcPr>
                <w:p>
                  <w:pPr>
                    <w:adjustRightInd w:val="0"/>
                    <w:snapToGrid w:val="0"/>
                    <w:jc w:val="center"/>
                    <w:rPr>
                      <w:rFonts w:ascii="宋体" w:hAnsi="宋体" w:eastAsia="宋体" w:cs="宋体"/>
                      <w:szCs w:val="21"/>
                    </w:rPr>
                  </w:pPr>
                  <w:r>
                    <w:rPr>
                      <w:rFonts w:hint="eastAsia" w:ascii="宋体" w:hAnsi="宋体" w:eastAsia="宋体" w:cs="宋体"/>
                      <w:szCs w:val="21"/>
                    </w:rPr>
                    <w:t>二类</w:t>
                  </w:r>
                </w:p>
              </w:tc>
              <w:tc>
                <w:tcPr>
                  <w:tcW w:w="830" w:type="dxa"/>
                  <w:vAlign w:val="center"/>
                </w:tcPr>
                <w:p>
                  <w:pPr>
                    <w:jc w:val="center"/>
                    <w:rPr>
                      <w:rFonts w:ascii="宋体" w:hAnsi="宋体" w:eastAsia="宋体" w:cs="宋体"/>
                      <w:szCs w:val="21"/>
                    </w:rPr>
                  </w:pPr>
                  <w:r>
                    <w:rPr>
                      <w:rFonts w:hint="eastAsia" w:ascii="宋体" w:hAnsi="宋体" w:eastAsia="宋体" w:cs="宋体"/>
                      <w:szCs w:val="21"/>
                    </w:rPr>
                    <w:t>西南</w:t>
                  </w:r>
                </w:p>
              </w:tc>
              <w:tc>
                <w:tcPr>
                  <w:tcW w:w="879" w:type="dxa"/>
                  <w:vAlign w:val="center"/>
                </w:tcPr>
                <w:p>
                  <w:pPr>
                    <w:jc w:val="center"/>
                    <w:rPr>
                      <w:rFonts w:ascii="宋体" w:hAnsi="宋体" w:eastAsia="宋体" w:cs="宋体"/>
                      <w:szCs w:val="21"/>
                    </w:rPr>
                  </w:pPr>
                  <w:r>
                    <w:rPr>
                      <w:rFonts w:hint="eastAsia" w:ascii="宋体" w:hAnsi="宋体" w:eastAsia="宋体" w:cs="宋体"/>
                      <w:szCs w:val="21"/>
                    </w:rPr>
                    <w:t>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dxa"/>
                  <w:vMerge w:val="continue"/>
                  <w:tcBorders/>
                  <w:vAlign w:val="center"/>
                </w:tcPr>
                <w:p>
                  <w:pPr>
                    <w:jc w:val="center"/>
                    <w:rPr>
                      <w:rFonts w:hint="eastAsia" w:ascii="宋体" w:hAnsi="宋体" w:eastAsia="宋体" w:cs="宋体"/>
                      <w:szCs w:val="21"/>
                    </w:rPr>
                  </w:pPr>
                </w:p>
              </w:tc>
              <w:tc>
                <w:tcPr>
                  <w:tcW w:w="999" w:type="dxa"/>
                  <w:vAlign w:val="center"/>
                </w:tcPr>
                <w:p>
                  <w:pPr>
                    <w:adjustRightInd w:val="0"/>
                    <w:snapToGrid w:val="0"/>
                    <w:jc w:val="center"/>
                    <w:rPr>
                      <w:rFonts w:hint="eastAsia" w:ascii="宋体" w:hAnsi="宋体" w:eastAsia="宋体" w:cs="宋体"/>
                      <w:szCs w:val="21"/>
                    </w:rPr>
                  </w:pPr>
                  <w:r>
                    <w:rPr>
                      <w:rFonts w:hint="eastAsia" w:ascii="宋体" w:hAnsi="宋体" w:eastAsia="宋体" w:cs="宋体"/>
                      <w:sz w:val="21"/>
                      <w:szCs w:val="21"/>
                    </w:rPr>
                    <w:t>周边散户</w:t>
                  </w:r>
                </w:p>
              </w:tc>
              <w:tc>
                <w:tcPr>
                  <w:tcW w:w="1482" w:type="dxa"/>
                  <w:vAlign w:val="center"/>
                </w:tcPr>
                <w:p>
                  <w:pPr>
                    <w:adjustRightInd w:val="0"/>
                    <w:snapToGrid w:val="0"/>
                    <w:jc w:val="center"/>
                    <w:rPr>
                      <w:rFonts w:hint="eastAsia" w:ascii="宋体" w:hAnsi="宋体" w:eastAsia="宋体" w:cs="宋体"/>
                      <w:szCs w:val="21"/>
                    </w:rPr>
                  </w:pPr>
                  <w:r>
                    <w:rPr>
                      <w:rFonts w:hint="eastAsia" w:ascii="宋体" w:hAnsi="宋体" w:eastAsia="宋体" w:cs="宋体"/>
                      <w:szCs w:val="21"/>
                    </w:rPr>
                    <w:t>116.841627</w:t>
                  </w:r>
                </w:p>
              </w:tc>
              <w:tc>
                <w:tcPr>
                  <w:tcW w:w="1378" w:type="dxa"/>
                  <w:vAlign w:val="center"/>
                </w:tcPr>
                <w:p>
                  <w:pPr>
                    <w:adjustRightInd w:val="0"/>
                    <w:snapToGrid w:val="0"/>
                    <w:jc w:val="center"/>
                    <w:rPr>
                      <w:rFonts w:hint="eastAsia" w:ascii="宋体" w:hAnsi="宋体" w:eastAsia="宋体" w:cs="宋体"/>
                      <w:szCs w:val="21"/>
                    </w:rPr>
                  </w:pPr>
                  <w:r>
                    <w:rPr>
                      <w:rFonts w:hint="eastAsia" w:ascii="宋体" w:hAnsi="宋体" w:eastAsia="宋体" w:cs="宋体"/>
                      <w:szCs w:val="21"/>
                    </w:rPr>
                    <w:t>32.605196</w:t>
                  </w:r>
                </w:p>
              </w:tc>
              <w:tc>
                <w:tcPr>
                  <w:tcW w:w="725" w:type="dxa"/>
                  <w:vAlign w:val="center"/>
                </w:tcPr>
                <w:p>
                  <w:pPr>
                    <w:adjustRightInd w:val="0"/>
                    <w:snapToGrid w:val="0"/>
                    <w:jc w:val="center"/>
                    <w:rPr>
                      <w:rFonts w:hint="eastAsia" w:ascii="宋体" w:hAnsi="宋体" w:eastAsia="宋体" w:cs="宋体"/>
                      <w:szCs w:val="21"/>
                    </w:rPr>
                  </w:pPr>
                  <w:r>
                    <w:rPr>
                      <w:rFonts w:hint="eastAsia" w:ascii="宋体" w:hAnsi="宋体" w:eastAsia="宋体" w:cs="宋体"/>
                      <w:szCs w:val="21"/>
                    </w:rPr>
                    <w:t>居民区</w:t>
                  </w:r>
                </w:p>
              </w:tc>
              <w:tc>
                <w:tcPr>
                  <w:tcW w:w="834" w:type="dxa"/>
                  <w:vAlign w:val="center"/>
                </w:tcPr>
                <w:p>
                  <w:pPr>
                    <w:adjustRightInd w:val="0"/>
                    <w:snapToGrid w:val="0"/>
                    <w:jc w:val="center"/>
                    <w:rPr>
                      <w:rFonts w:hint="eastAsia" w:ascii="宋体" w:hAnsi="宋体" w:eastAsia="宋体" w:cs="宋体"/>
                      <w:szCs w:val="21"/>
                    </w:rPr>
                  </w:pPr>
                  <w:r>
                    <w:rPr>
                      <w:rFonts w:hint="eastAsia" w:ascii="宋体" w:hAnsi="宋体" w:eastAsia="宋体" w:cs="宋体"/>
                      <w:szCs w:val="21"/>
                    </w:rPr>
                    <w:t>人群50人</w:t>
                  </w:r>
                </w:p>
              </w:tc>
              <w:tc>
                <w:tcPr>
                  <w:tcW w:w="381" w:type="dxa"/>
                  <w:vMerge w:val="continue"/>
                  <w:tcBorders/>
                  <w:vAlign w:val="center"/>
                </w:tcPr>
                <w:p>
                  <w:pPr>
                    <w:adjustRightInd w:val="0"/>
                    <w:snapToGrid w:val="0"/>
                    <w:jc w:val="center"/>
                    <w:rPr>
                      <w:rFonts w:hint="eastAsia" w:ascii="宋体" w:hAnsi="宋体" w:eastAsia="宋体" w:cs="宋体"/>
                      <w:szCs w:val="21"/>
                    </w:rPr>
                  </w:pPr>
                </w:p>
              </w:tc>
              <w:tc>
                <w:tcPr>
                  <w:tcW w:w="830" w:type="dxa"/>
                  <w:vAlign w:val="center"/>
                </w:tcPr>
                <w:p>
                  <w:pPr>
                    <w:jc w:val="center"/>
                    <w:rPr>
                      <w:rFonts w:hint="eastAsia" w:ascii="宋体" w:hAnsi="宋体" w:eastAsia="宋体" w:cs="宋体"/>
                      <w:szCs w:val="21"/>
                    </w:rPr>
                  </w:pPr>
                  <w:r>
                    <w:rPr>
                      <w:rFonts w:hint="eastAsia" w:ascii="宋体" w:hAnsi="宋体" w:eastAsia="宋体" w:cs="宋体"/>
                      <w:szCs w:val="21"/>
                    </w:rPr>
                    <w:t>南</w:t>
                  </w:r>
                </w:p>
              </w:tc>
              <w:tc>
                <w:tcPr>
                  <w:tcW w:w="879" w:type="dxa"/>
                  <w:vAlign w:val="center"/>
                </w:tcPr>
                <w:p>
                  <w:pPr>
                    <w:jc w:val="center"/>
                    <w:rPr>
                      <w:rFonts w:hint="eastAsia" w:ascii="宋体" w:hAnsi="宋体" w:eastAsia="宋体" w:cs="宋体"/>
                      <w:szCs w:val="21"/>
                    </w:rPr>
                  </w:pPr>
                  <w:r>
                    <w:rPr>
                      <w:rFonts w:hint="eastAsia" w:ascii="宋体" w:hAnsi="宋体" w:eastAsia="宋体" w:cs="宋体"/>
                      <w:szCs w:val="21"/>
                    </w:rPr>
                    <w:t>100m</w:t>
                  </w:r>
                </w:p>
              </w:tc>
            </w:tr>
          </w:tbl>
          <w:p>
            <w:pPr>
              <w:pStyle w:val="2"/>
              <w:ind w:firstLine="480" w:firstLineChars="200"/>
            </w:pPr>
            <w:r>
              <w:rPr>
                <w:rFonts w:hint="eastAsia" w:ascii="宋体" w:hAnsi="宋体" w:cs="宋体"/>
                <w:sz w:val="24"/>
              </w:rPr>
              <w:t>环境保护目标敏感点分布图见附图3</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eastAsia="宋体" w:cs="Times New Roman"/>
                <w:szCs w:val="21"/>
              </w:rPr>
              <w:t>污染物排放标准</w:t>
            </w:r>
          </w:p>
        </w:tc>
        <w:tc>
          <w:tcPr>
            <w:tcW w:w="8441" w:type="dxa"/>
            <w:tcBorders>
              <w:top w:val="single" w:color="auto" w:sz="12" w:space="0"/>
              <w:left w:val="single" w:color="auto" w:sz="4" w:space="0"/>
              <w:bottom w:val="single" w:color="auto" w:sz="4" w:space="0"/>
            </w:tcBorders>
            <w:vAlign w:val="center"/>
          </w:tcPr>
          <w:p>
            <w:pPr>
              <w:pStyle w:val="20"/>
              <w:ind w:firstLine="480"/>
              <w:rPr>
                <w:rFonts w:ascii="黑体" w:hAnsi="黑体" w:eastAsia="黑体" w:cs="黑体"/>
                <w:b w:val="0"/>
                <w:bCs/>
              </w:rPr>
            </w:pPr>
            <w:r>
              <w:rPr>
                <w:rFonts w:hint="eastAsia" w:ascii="黑体" w:hAnsi="黑体" w:eastAsia="黑体" w:cs="黑体"/>
                <w:b w:val="0"/>
                <w:bCs/>
              </w:rPr>
              <w:t>四、大气污染物排放标准</w:t>
            </w:r>
          </w:p>
          <w:p>
            <w:pPr>
              <w:pStyle w:val="5"/>
              <w:spacing w:line="360" w:lineRule="auto"/>
              <w:ind w:firstLine="480" w:firstLineChars="200"/>
              <w:rPr>
                <w:rFonts w:hint="eastAsia" w:ascii="宋体" w:hAnsi="宋体" w:eastAsiaTheme="minorEastAsia" w:cstheme="minorBidi"/>
                <w:b w:val="0"/>
                <w:bCs w:val="0"/>
                <w:kern w:val="2"/>
                <w:sz w:val="24"/>
                <w:szCs w:val="24"/>
                <w:lang w:val="en-US" w:eastAsia="zh-CN" w:bidi="ar-SA"/>
              </w:rPr>
            </w:pPr>
            <w:r>
              <w:rPr>
                <w:rFonts w:hint="eastAsia" w:ascii="宋体" w:hAnsi="宋体" w:eastAsiaTheme="minorEastAsia" w:cstheme="minorBidi"/>
                <w:b w:val="0"/>
                <w:bCs w:val="0"/>
                <w:kern w:val="2"/>
                <w:sz w:val="24"/>
                <w:szCs w:val="24"/>
                <w:lang w:val="en-US" w:eastAsia="zh-CN" w:bidi="ar-SA"/>
              </w:rPr>
              <w:t>VOCs废气排放参照执行《大气污染物综合排放标准》（DB31/933-2015）中</w:t>
            </w:r>
            <w:r>
              <w:rPr>
                <w:rFonts w:hint="eastAsia" w:ascii="宋体" w:hAnsi="宋体" w:cstheme="minorBidi"/>
                <w:b w:val="0"/>
                <w:bCs w:val="0"/>
                <w:kern w:val="2"/>
                <w:sz w:val="24"/>
                <w:szCs w:val="24"/>
                <w:lang w:val="en-US" w:eastAsia="zh-CN" w:bidi="ar-SA"/>
              </w:rPr>
              <w:t>表1</w:t>
            </w:r>
            <w:r>
              <w:rPr>
                <w:rFonts w:hint="eastAsia" w:ascii="宋体" w:hAnsi="宋体" w:eastAsiaTheme="minorEastAsia" w:cstheme="minorBidi"/>
                <w:b w:val="0"/>
                <w:bCs w:val="0"/>
                <w:kern w:val="2"/>
                <w:sz w:val="24"/>
                <w:szCs w:val="24"/>
                <w:lang w:val="en-US" w:eastAsia="zh-CN" w:bidi="ar-SA"/>
              </w:rPr>
              <w:t>标准限值，</w:t>
            </w:r>
            <w:r>
              <w:rPr>
                <w:rFonts w:hint="eastAsia" w:ascii="宋体" w:hAnsi="宋体" w:cstheme="minorBidi"/>
                <w:b w:val="0"/>
                <w:bCs w:val="0"/>
                <w:kern w:val="2"/>
                <w:sz w:val="24"/>
                <w:szCs w:val="24"/>
                <w:lang w:val="en-US" w:eastAsia="zh-CN" w:bidi="ar-SA"/>
              </w:rPr>
              <w:t>厂界内无组织执行</w:t>
            </w:r>
            <w:r>
              <w:rPr>
                <w:rFonts w:hint="eastAsia" w:ascii="宋体" w:hAnsi="宋体" w:eastAsiaTheme="minorEastAsia" w:cstheme="minorBidi"/>
                <w:b w:val="0"/>
                <w:bCs w:val="0"/>
                <w:kern w:val="2"/>
                <w:sz w:val="24"/>
                <w:szCs w:val="24"/>
                <w:lang w:val="en-US" w:eastAsia="zh-CN" w:bidi="ar-SA"/>
              </w:rPr>
              <w:t>《大气污染物综合排放标准》（DB31/933-2015）中</w:t>
            </w:r>
            <w:r>
              <w:rPr>
                <w:rFonts w:hint="eastAsia" w:ascii="宋体" w:hAnsi="宋体" w:cstheme="minorBidi"/>
                <w:b w:val="0"/>
                <w:bCs w:val="0"/>
                <w:kern w:val="2"/>
                <w:sz w:val="24"/>
                <w:szCs w:val="24"/>
                <w:lang w:val="en-US" w:eastAsia="zh-CN" w:bidi="ar-SA"/>
              </w:rPr>
              <w:t>表3</w:t>
            </w:r>
            <w:r>
              <w:rPr>
                <w:rFonts w:hint="eastAsia" w:ascii="宋体" w:hAnsi="宋体" w:eastAsiaTheme="minorEastAsia" w:cstheme="minorBidi"/>
                <w:b w:val="0"/>
                <w:bCs w:val="0"/>
                <w:kern w:val="2"/>
                <w:sz w:val="24"/>
                <w:szCs w:val="24"/>
                <w:lang w:val="en-US" w:eastAsia="zh-CN" w:bidi="ar-SA"/>
              </w:rPr>
              <w:t>标准限值，企业厂区内VOCs无组织排放监控点浓度执行《挥发性有机物无组织排放控制标准》（GB 37822-2019）中表A.1规定的限值。</w:t>
            </w:r>
          </w:p>
          <w:p>
            <w:pPr>
              <w:pStyle w:val="110"/>
            </w:pPr>
            <w:r>
              <w:t>表</w:t>
            </w:r>
            <w:r>
              <w:rPr>
                <w:rFonts w:hint="eastAsia"/>
              </w:rPr>
              <w:t>3</w:t>
            </w:r>
            <w:r>
              <w:t>-</w:t>
            </w:r>
            <w:r>
              <w:rPr>
                <w:rFonts w:hint="eastAsia"/>
              </w:rPr>
              <w:t xml:space="preserve">3 </w:t>
            </w:r>
            <w:r>
              <w:rPr>
                <w:rFonts w:hint="eastAsia"/>
                <w:lang w:val="en-US" w:eastAsia="zh-CN"/>
              </w:rPr>
              <w:t>大气污染物综合</w:t>
            </w:r>
            <w:r>
              <w:t>排放标准</w:t>
            </w:r>
          </w:p>
          <w:tbl>
            <w:tblPr>
              <w:tblStyle w:val="26"/>
              <w:tblW w:w="497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770"/>
              <w:gridCol w:w="1127"/>
              <w:gridCol w:w="1579"/>
              <w:gridCol w:w="954"/>
              <w:gridCol w:w="1101"/>
              <w:gridCol w:w="1371"/>
              <w:gridCol w:w="12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22" w:hRule="atLeast"/>
                <w:jc w:val="center"/>
              </w:trPr>
              <w:tc>
                <w:tcPr>
                  <w:tcW w:w="470" w:type="pct"/>
                  <w:vMerge w:val="restart"/>
                  <w:vAlign w:val="center"/>
                </w:tcPr>
                <w:p>
                  <w:pPr>
                    <w:pStyle w:val="107"/>
                    <w:rPr>
                      <w:rFonts w:ascii="宋体" w:hAnsi="宋体" w:eastAsia="宋体" w:cs="宋体"/>
                      <w:szCs w:val="21"/>
                    </w:rPr>
                  </w:pPr>
                  <w:r>
                    <w:rPr>
                      <w:rFonts w:hint="eastAsia" w:ascii="宋体" w:hAnsi="宋体" w:eastAsia="宋体" w:cs="宋体"/>
                      <w:szCs w:val="21"/>
                    </w:rPr>
                    <w:t>污染物</w:t>
                  </w:r>
                </w:p>
              </w:tc>
              <w:tc>
                <w:tcPr>
                  <w:tcW w:w="688" w:type="pct"/>
                  <w:vMerge w:val="restart"/>
                  <w:vAlign w:val="center"/>
                </w:tcPr>
                <w:p>
                  <w:pPr>
                    <w:pStyle w:val="107"/>
                    <w:rPr>
                      <w:rFonts w:ascii="宋体" w:hAnsi="宋体" w:eastAsia="宋体" w:cs="宋体"/>
                      <w:szCs w:val="21"/>
                    </w:rPr>
                  </w:pPr>
                  <w:r>
                    <w:rPr>
                      <w:rFonts w:hint="eastAsia" w:ascii="宋体" w:hAnsi="宋体" w:eastAsia="宋体" w:cs="宋体"/>
                      <w:szCs w:val="21"/>
                    </w:rPr>
                    <w:t>最高允许排放浓度（mg/m</w:t>
                  </w:r>
                  <w:r>
                    <w:rPr>
                      <w:rFonts w:hint="eastAsia" w:ascii="宋体" w:hAnsi="宋体" w:eastAsia="宋体" w:cs="宋体"/>
                      <w:szCs w:val="21"/>
                      <w:vertAlign w:val="superscript"/>
                    </w:rPr>
                    <w:t>3</w:t>
                  </w:r>
                  <w:r>
                    <w:rPr>
                      <w:rFonts w:hint="eastAsia" w:ascii="宋体" w:hAnsi="宋体" w:eastAsia="宋体" w:cs="宋体"/>
                      <w:szCs w:val="21"/>
                    </w:rPr>
                    <w:t>）</w:t>
                  </w:r>
                </w:p>
              </w:tc>
              <w:tc>
                <w:tcPr>
                  <w:tcW w:w="1548" w:type="pct"/>
                  <w:gridSpan w:val="2"/>
                  <w:vAlign w:val="center"/>
                </w:tcPr>
                <w:p>
                  <w:pPr>
                    <w:pStyle w:val="107"/>
                    <w:rPr>
                      <w:rFonts w:ascii="宋体" w:hAnsi="宋体" w:eastAsia="宋体" w:cs="宋体"/>
                      <w:szCs w:val="21"/>
                    </w:rPr>
                  </w:pPr>
                  <w:r>
                    <w:rPr>
                      <w:rFonts w:hint="eastAsia" w:ascii="宋体" w:hAnsi="宋体" w:eastAsia="宋体" w:cs="宋体"/>
                      <w:szCs w:val="21"/>
                    </w:rPr>
                    <w:t>最高允许排放速率（kg/h）</w:t>
                  </w:r>
                </w:p>
              </w:tc>
              <w:tc>
                <w:tcPr>
                  <w:tcW w:w="1511" w:type="pct"/>
                  <w:gridSpan w:val="2"/>
                  <w:vAlign w:val="center"/>
                </w:tcPr>
                <w:p>
                  <w:pPr>
                    <w:pStyle w:val="107"/>
                    <w:rPr>
                      <w:rFonts w:ascii="宋体" w:hAnsi="宋体" w:eastAsia="宋体" w:cs="宋体"/>
                      <w:szCs w:val="21"/>
                    </w:rPr>
                  </w:pPr>
                  <w:r>
                    <w:rPr>
                      <w:rFonts w:hint="eastAsia" w:ascii="宋体" w:hAnsi="宋体" w:eastAsia="宋体" w:cs="宋体"/>
                      <w:szCs w:val="21"/>
                    </w:rPr>
                    <w:t>无组织排放监控浓度限值</w:t>
                  </w:r>
                </w:p>
              </w:tc>
              <w:tc>
                <w:tcPr>
                  <w:tcW w:w="781" w:type="pct"/>
                  <w:vAlign w:val="center"/>
                </w:tcPr>
                <w:p>
                  <w:pPr>
                    <w:pStyle w:val="107"/>
                    <w:rPr>
                      <w:rFonts w:ascii="宋体" w:hAnsi="宋体" w:eastAsia="宋体" w:cs="宋体"/>
                      <w:szCs w:val="21"/>
                    </w:rPr>
                  </w:pPr>
                  <w:r>
                    <w:rPr>
                      <w:rFonts w:hint="eastAsia" w:ascii="宋体" w:hAnsi="宋体" w:eastAsia="宋体" w:cs="宋体"/>
                      <w:szCs w:val="21"/>
                    </w:rPr>
                    <w:t>标准</w:t>
                  </w:r>
                </w:p>
                <w:p>
                  <w:pPr>
                    <w:pStyle w:val="107"/>
                    <w:rPr>
                      <w:rFonts w:ascii="宋体" w:hAnsi="宋体" w:eastAsia="宋体" w:cs="宋体"/>
                      <w:szCs w:val="21"/>
                    </w:rPr>
                  </w:pPr>
                  <w:r>
                    <w:rPr>
                      <w:rFonts w:hint="eastAsia" w:ascii="宋体" w:hAnsi="宋体" w:eastAsia="宋体" w:cs="宋体"/>
                      <w:szCs w:val="21"/>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81" w:hRule="atLeast"/>
                <w:jc w:val="center"/>
              </w:trPr>
              <w:tc>
                <w:tcPr>
                  <w:tcW w:w="470" w:type="pct"/>
                  <w:vMerge w:val="continue"/>
                  <w:vAlign w:val="center"/>
                </w:tcPr>
                <w:p>
                  <w:pPr>
                    <w:pStyle w:val="107"/>
                    <w:rPr>
                      <w:rFonts w:ascii="宋体" w:hAnsi="宋体" w:eastAsia="宋体" w:cs="宋体"/>
                      <w:szCs w:val="21"/>
                    </w:rPr>
                  </w:pPr>
                </w:p>
              </w:tc>
              <w:tc>
                <w:tcPr>
                  <w:tcW w:w="688" w:type="pct"/>
                  <w:vMerge w:val="continue"/>
                  <w:vAlign w:val="center"/>
                </w:tcPr>
                <w:p>
                  <w:pPr>
                    <w:pStyle w:val="107"/>
                    <w:rPr>
                      <w:rFonts w:ascii="宋体" w:hAnsi="宋体" w:eastAsia="宋体" w:cs="宋体"/>
                      <w:szCs w:val="21"/>
                    </w:rPr>
                  </w:pPr>
                </w:p>
              </w:tc>
              <w:tc>
                <w:tcPr>
                  <w:tcW w:w="965" w:type="pct"/>
                  <w:vAlign w:val="center"/>
                </w:tcPr>
                <w:p>
                  <w:pPr>
                    <w:pStyle w:val="107"/>
                    <w:rPr>
                      <w:rFonts w:ascii="宋体" w:hAnsi="宋体" w:eastAsia="宋体" w:cs="宋体"/>
                      <w:szCs w:val="21"/>
                    </w:rPr>
                  </w:pPr>
                  <w:r>
                    <w:rPr>
                      <w:rFonts w:hint="eastAsia" w:ascii="宋体" w:hAnsi="宋体" w:eastAsia="宋体" w:cs="宋体"/>
                      <w:szCs w:val="21"/>
                    </w:rPr>
                    <w:t>排气筒高度（m）</w:t>
                  </w:r>
                </w:p>
              </w:tc>
              <w:tc>
                <w:tcPr>
                  <w:tcW w:w="583" w:type="pct"/>
                  <w:vAlign w:val="center"/>
                </w:tcPr>
                <w:p>
                  <w:pPr>
                    <w:pStyle w:val="107"/>
                    <w:rPr>
                      <w:rFonts w:ascii="宋体" w:hAnsi="宋体" w:eastAsia="宋体" w:cs="宋体"/>
                      <w:szCs w:val="21"/>
                    </w:rPr>
                  </w:pPr>
                  <w:r>
                    <w:rPr>
                      <w:rFonts w:hint="eastAsia" w:ascii="宋体" w:hAnsi="宋体" w:eastAsia="宋体" w:cs="宋体"/>
                      <w:szCs w:val="21"/>
                    </w:rPr>
                    <w:t>二级</w:t>
                  </w:r>
                </w:p>
              </w:tc>
              <w:tc>
                <w:tcPr>
                  <w:tcW w:w="672" w:type="pct"/>
                  <w:vAlign w:val="center"/>
                </w:tcPr>
                <w:p>
                  <w:pPr>
                    <w:pStyle w:val="107"/>
                    <w:rPr>
                      <w:rFonts w:ascii="宋体" w:hAnsi="宋体" w:eastAsia="宋体" w:cs="宋体"/>
                      <w:szCs w:val="21"/>
                    </w:rPr>
                  </w:pPr>
                  <w:r>
                    <w:rPr>
                      <w:rFonts w:hint="eastAsia" w:ascii="宋体" w:hAnsi="宋体" w:eastAsia="宋体" w:cs="宋体"/>
                      <w:szCs w:val="21"/>
                    </w:rPr>
                    <w:t>监控点</w:t>
                  </w:r>
                </w:p>
              </w:tc>
              <w:tc>
                <w:tcPr>
                  <w:tcW w:w="838" w:type="pct"/>
                  <w:vAlign w:val="center"/>
                </w:tcPr>
                <w:p>
                  <w:pPr>
                    <w:pStyle w:val="107"/>
                    <w:rPr>
                      <w:rFonts w:ascii="宋体" w:hAnsi="宋体" w:eastAsia="宋体" w:cs="宋体"/>
                      <w:szCs w:val="21"/>
                    </w:rPr>
                  </w:pPr>
                  <w:r>
                    <w:rPr>
                      <w:rFonts w:hint="eastAsia" w:ascii="宋体" w:hAnsi="宋体" w:eastAsia="宋体" w:cs="宋体"/>
                      <w:szCs w:val="21"/>
                    </w:rPr>
                    <w:t>浓度（mg/m</w:t>
                  </w:r>
                  <w:r>
                    <w:rPr>
                      <w:rFonts w:hint="eastAsia" w:ascii="宋体" w:hAnsi="宋体" w:eastAsia="宋体" w:cs="宋体"/>
                      <w:szCs w:val="21"/>
                      <w:vertAlign w:val="superscript"/>
                    </w:rPr>
                    <w:t>3</w:t>
                  </w:r>
                  <w:r>
                    <w:rPr>
                      <w:rFonts w:hint="eastAsia" w:ascii="宋体" w:hAnsi="宋体" w:eastAsia="宋体" w:cs="宋体"/>
                      <w:szCs w:val="21"/>
                    </w:rPr>
                    <w:t>）</w:t>
                  </w:r>
                </w:p>
              </w:tc>
              <w:tc>
                <w:tcPr>
                  <w:tcW w:w="781" w:type="pct"/>
                  <w:vMerge w:val="restart"/>
                  <w:vAlign w:val="center"/>
                </w:tcPr>
                <w:p>
                  <w:pPr>
                    <w:pStyle w:val="107"/>
                    <w:rPr>
                      <w:rFonts w:ascii="宋体" w:hAnsi="宋体" w:eastAsia="宋体" w:cs="宋体"/>
                      <w:szCs w:val="21"/>
                    </w:rPr>
                  </w:pPr>
                  <w:r>
                    <w:rPr>
                      <w:rFonts w:hint="eastAsia" w:ascii="宋体" w:hAnsi="宋体" w:eastAsiaTheme="minorEastAsia" w:cstheme="minorBidi"/>
                      <w:b w:val="0"/>
                      <w:bCs w:val="0"/>
                      <w:kern w:val="2"/>
                      <w:sz w:val="24"/>
                      <w:szCs w:val="24"/>
                      <w:lang w:val="en-US" w:eastAsia="zh-CN" w:bidi="ar-SA"/>
                    </w:rPr>
                    <w:t>《大气污染物综合排放标准》（DB31/933-2015）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36" w:hRule="atLeast"/>
                <w:jc w:val="center"/>
              </w:trPr>
              <w:tc>
                <w:tcPr>
                  <w:tcW w:w="470" w:type="pct"/>
                  <w:vAlign w:val="center"/>
                </w:tcPr>
                <w:p>
                  <w:pPr>
                    <w:pStyle w:val="107"/>
                    <w:rPr>
                      <w:rFonts w:ascii="宋体" w:hAnsi="宋体" w:eastAsia="宋体" w:cs="宋体"/>
                      <w:szCs w:val="21"/>
                    </w:rPr>
                  </w:pPr>
                  <w:r>
                    <w:rPr>
                      <w:rFonts w:hint="eastAsia" w:ascii="宋体" w:hAnsi="宋体" w:eastAsia="宋体" w:cs="宋体"/>
                      <w:szCs w:val="21"/>
                    </w:rPr>
                    <w:t>非甲烷总烃</w:t>
                  </w:r>
                </w:p>
              </w:tc>
              <w:tc>
                <w:tcPr>
                  <w:tcW w:w="688" w:type="pct"/>
                  <w:vAlign w:val="center"/>
                </w:tcPr>
                <w:p>
                  <w:pPr>
                    <w:pStyle w:val="107"/>
                    <w:rPr>
                      <w:rFonts w:ascii="宋体" w:hAnsi="宋体" w:eastAsia="宋体" w:cs="宋体"/>
                      <w:szCs w:val="21"/>
                    </w:rPr>
                  </w:pPr>
                  <w:r>
                    <w:rPr>
                      <w:rFonts w:hint="eastAsia" w:ascii="宋体" w:hAnsi="宋体" w:eastAsia="宋体" w:cs="宋体"/>
                      <w:szCs w:val="21"/>
                    </w:rPr>
                    <w:t>70</w:t>
                  </w:r>
                </w:p>
              </w:tc>
              <w:tc>
                <w:tcPr>
                  <w:tcW w:w="965" w:type="pct"/>
                  <w:vAlign w:val="center"/>
                </w:tcPr>
                <w:p>
                  <w:pPr>
                    <w:pStyle w:val="107"/>
                    <w:rPr>
                      <w:rFonts w:ascii="宋体" w:hAnsi="宋体" w:eastAsia="宋体" w:cs="宋体"/>
                      <w:szCs w:val="21"/>
                    </w:rPr>
                  </w:pPr>
                  <w:r>
                    <w:rPr>
                      <w:rFonts w:hint="eastAsia" w:ascii="宋体" w:hAnsi="宋体" w:eastAsia="宋体" w:cs="宋体"/>
                      <w:szCs w:val="21"/>
                    </w:rPr>
                    <w:t>15</w:t>
                  </w:r>
                </w:p>
              </w:tc>
              <w:tc>
                <w:tcPr>
                  <w:tcW w:w="583" w:type="pct"/>
                  <w:vAlign w:val="center"/>
                </w:tcPr>
                <w:p>
                  <w:pPr>
                    <w:pStyle w:val="107"/>
                    <w:rPr>
                      <w:rFonts w:ascii="宋体" w:hAnsi="宋体" w:eastAsia="宋体" w:cs="宋体"/>
                      <w:szCs w:val="21"/>
                    </w:rPr>
                  </w:pPr>
                  <w:r>
                    <w:rPr>
                      <w:rFonts w:hint="eastAsia" w:ascii="宋体" w:hAnsi="宋体" w:eastAsia="宋体" w:cs="宋体"/>
                      <w:szCs w:val="21"/>
                    </w:rPr>
                    <w:t>3.0</w:t>
                  </w:r>
                </w:p>
              </w:tc>
              <w:tc>
                <w:tcPr>
                  <w:tcW w:w="672" w:type="pct"/>
                  <w:vAlign w:val="center"/>
                </w:tcPr>
                <w:p>
                  <w:pPr>
                    <w:pStyle w:val="107"/>
                    <w:rPr>
                      <w:rFonts w:ascii="宋体" w:hAnsi="宋体" w:eastAsia="宋体" w:cs="宋体"/>
                      <w:szCs w:val="21"/>
                    </w:rPr>
                  </w:pPr>
                  <w:r>
                    <w:rPr>
                      <w:rFonts w:hint="eastAsia" w:ascii="宋体" w:hAnsi="宋体" w:eastAsia="宋体" w:cs="宋体"/>
                      <w:szCs w:val="21"/>
                    </w:rPr>
                    <w:t>周界外浓度最高点</w:t>
                  </w:r>
                </w:p>
              </w:tc>
              <w:tc>
                <w:tcPr>
                  <w:tcW w:w="838" w:type="pct"/>
                  <w:vAlign w:val="center"/>
                </w:tcPr>
                <w:p>
                  <w:pPr>
                    <w:pStyle w:val="107"/>
                    <w:rPr>
                      <w:rFonts w:ascii="宋体" w:hAnsi="宋体" w:eastAsia="宋体" w:cs="宋体"/>
                      <w:szCs w:val="21"/>
                    </w:rPr>
                  </w:pPr>
                  <w:r>
                    <w:rPr>
                      <w:rFonts w:hint="eastAsia" w:ascii="宋体" w:hAnsi="宋体" w:eastAsia="宋体" w:cs="宋体"/>
                      <w:szCs w:val="21"/>
                    </w:rPr>
                    <w:t>4.0</w:t>
                  </w:r>
                </w:p>
              </w:tc>
              <w:tc>
                <w:tcPr>
                  <w:tcW w:w="781" w:type="pct"/>
                  <w:vMerge w:val="continue"/>
                  <w:tcBorders/>
                  <w:vAlign w:val="center"/>
                </w:tcPr>
                <w:p>
                  <w:pPr>
                    <w:pStyle w:val="107"/>
                    <w:rPr>
                      <w:rFonts w:ascii="宋体" w:hAnsi="宋体" w:eastAsia="宋体" w:cs="宋体"/>
                      <w:szCs w:val="21"/>
                    </w:rPr>
                  </w:pPr>
                </w:p>
              </w:tc>
            </w:tr>
          </w:tbl>
          <w:p>
            <w:pPr>
              <w:pStyle w:val="5"/>
              <w:spacing w:line="360" w:lineRule="auto"/>
              <w:ind w:firstLine="480" w:firstLineChars="200"/>
              <w:rPr>
                <w:rFonts w:ascii="宋体" w:hAnsi="宋体"/>
                <w:b w:val="0"/>
                <w:sz w:val="24"/>
                <w:szCs w:val="22"/>
              </w:rPr>
            </w:pPr>
            <w:r>
              <w:rPr>
                <w:rFonts w:hint="eastAsia" w:ascii="宋体" w:hAnsi="宋体"/>
                <w:b w:val="0"/>
                <w:sz w:val="24"/>
                <w:szCs w:val="22"/>
              </w:rPr>
              <w:t>VOCs 无组织排放废气</w:t>
            </w:r>
            <w:r>
              <w:rPr>
                <w:rFonts w:ascii="宋体" w:hAnsi="宋体"/>
                <w:b w:val="0"/>
                <w:sz w:val="24"/>
                <w:szCs w:val="22"/>
              </w:rPr>
              <w:t>执行《挥发性有机物无组织排放控制标准》（GB 37822-2019）中表A.1规定的限值</w:t>
            </w:r>
            <w:r>
              <w:rPr>
                <w:rFonts w:hint="eastAsia" w:ascii="宋体" w:hAnsi="宋体"/>
                <w:b w:val="0"/>
                <w:sz w:val="24"/>
                <w:szCs w:val="22"/>
              </w:rPr>
              <w:t>。具体见下表</w:t>
            </w:r>
          </w:p>
          <w:p>
            <w:pPr>
              <w:pStyle w:val="110"/>
              <w:rPr>
                <w:rFonts w:ascii="宋体" w:hAnsi="宋体"/>
              </w:rPr>
            </w:pPr>
            <w:r>
              <w:rPr>
                <w:rFonts w:hint="eastAsia" w:ascii="宋体" w:hAnsi="宋体"/>
              </w:rPr>
              <w:t>表3-4</w:t>
            </w:r>
            <w:r>
              <w:rPr>
                <w:rFonts w:ascii="宋体" w:hAnsi="宋体"/>
              </w:rPr>
              <w:t>挥发性有机物无组织排放控制标准</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2331"/>
              <w:gridCol w:w="2488"/>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73" w:type="dxa"/>
                  <w:vAlign w:val="center"/>
                </w:tcPr>
                <w:p>
                  <w:pPr>
                    <w:pStyle w:val="107"/>
                    <w:rPr>
                      <w:rFonts w:ascii="宋体" w:hAnsi="宋体" w:eastAsia="宋体" w:cs="宋体"/>
                      <w:szCs w:val="21"/>
                    </w:rPr>
                  </w:pPr>
                  <w:r>
                    <w:rPr>
                      <w:rFonts w:hint="eastAsia" w:ascii="宋体" w:hAnsi="宋体" w:eastAsia="宋体" w:cs="宋体"/>
                      <w:szCs w:val="21"/>
                    </w:rPr>
                    <w:t>污染物</w:t>
                  </w:r>
                </w:p>
              </w:tc>
              <w:tc>
                <w:tcPr>
                  <w:tcW w:w="2430" w:type="dxa"/>
                  <w:vAlign w:val="center"/>
                </w:tcPr>
                <w:p>
                  <w:pPr>
                    <w:pStyle w:val="107"/>
                    <w:rPr>
                      <w:rFonts w:ascii="宋体" w:hAnsi="宋体" w:eastAsia="宋体" w:cs="宋体"/>
                      <w:szCs w:val="21"/>
                    </w:rPr>
                  </w:pPr>
                  <w:r>
                    <w:rPr>
                      <w:rFonts w:hint="eastAsia" w:ascii="宋体" w:hAnsi="宋体" w:eastAsia="宋体" w:cs="宋体"/>
                      <w:szCs w:val="21"/>
                    </w:rPr>
                    <w:t>特别排放限值（mg/m</w:t>
                  </w:r>
                  <w:r>
                    <w:rPr>
                      <w:rFonts w:hint="eastAsia" w:ascii="宋体" w:hAnsi="宋体" w:eastAsia="宋体" w:cs="宋体"/>
                      <w:szCs w:val="21"/>
                      <w:vertAlign w:val="superscript"/>
                    </w:rPr>
                    <w:t>3</w:t>
                  </w:r>
                  <w:r>
                    <w:rPr>
                      <w:rFonts w:hint="eastAsia" w:ascii="宋体" w:hAnsi="宋体" w:eastAsia="宋体" w:cs="宋体"/>
                      <w:szCs w:val="21"/>
                    </w:rPr>
                    <w:t>）</w:t>
                  </w:r>
                </w:p>
              </w:tc>
              <w:tc>
                <w:tcPr>
                  <w:tcW w:w="2595" w:type="dxa"/>
                  <w:vAlign w:val="center"/>
                </w:tcPr>
                <w:p>
                  <w:pPr>
                    <w:pStyle w:val="107"/>
                    <w:rPr>
                      <w:rFonts w:ascii="宋体" w:hAnsi="宋体" w:eastAsia="宋体" w:cs="宋体"/>
                      <w:szCs w:val="21"/>
                    </w:rPr>
                  </w:pPr>
                  <w:r>
                    <w:rPr>
                      <w:rFonts w:hint="eastAsia" w:ascii="宋体" w:hAnsi="宋体" w:eastAsia="宋体" w:cs="宋体"/>
                      <w:szCs w:val="21"/>
                    </w:rPr>
                    <w:t>限值含义</w:t>
                  </w:r>
                </w:p>
              </w:tc>
              <w:tc>
                <w:tcPr>
                  <w:tcW w:w="2162" w:type="dxa"/>
                  <w:vAlign w:val="center"/>
                </w:tcPr>
                <w:p>
                  <w:pPr>
                    <w:pStyle w:val="107"/>
                    <w:rPr>
                      <w:rFonts w:ascii="宋体" w:hAnsi="宋体" w:eastAsia="宋体" w:cs="宋体"/>
                      <w:szCs w:val="21"/>
                    </w:rPr>
                  </w:pPr>
                  <w:r>
                    <w:rPr>
                      <w:rFonts w:hint="eastAsia" w:ascii="宋体" w:hAnsi="宋体" w:eastAsia="宋体" w:cs="宋体"/>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3" w:type="dxa"/>
                  <w:vMerge w:val="restart"/>
                  <w:vAlign w:val="center"/>
                </w:tcPr>
                <w:p>
                  <w:pPr>
                    <w:pStyle w:val="107"/>
                    <w:rPr>
                      <w:rFonts w:ascii="宋体" w:hAnsi="宋体" w:eastAsia="宋体" w:cs="宋体"/>
                      <w:szCs w:val="21"/>
                    </w:rPr>
                  </w:pPr>
                  <w:r>
                    <w:rPr>
                      <w:rFonts w:hint="eastAsia" w:ascii="宋体" w:hAnsi="宋体" w:eastAsia="宋体" w:cs="宋体"/>
                      <w:szCs w:val="21"/>
                    </w:rPr>
                    <w:t>非甲烷总烃</w:t>
                  </w:r>
                </w:p>
              </w:tc>
              <w:tc>
                <w:tcPr>
                  <w:tcW w:w="2430" w:type="dxa"/>
                  <w:vAlign w:val="center"/>
                </w:tcPr>
                <w:p>
                  <w:pPr>
                    <w:pStyle w:val="107"/>
                    <w:rPr>
                      <w:rFonts w:ascii="宋体" w:hAnsi="宋体" w:eastAsia="宋体" w:cs="宋体"/>
                      <w:szCs w:val="21"/>
                    </w:rPr>
                  </w:pPr>
                  <w:r>
                    <w:rPr>
                      <w:rFonts w:hint="eastAsia" w:ascii="宋体" w:hAnsi="宋体" w:eastAsia="宋体" w:cs="宋体"/>
                      <w:szCs w:val="21"/>
                    </w:rPr>
                    <w:t>6</w:t>
                  </w:r>
                </w:p>
              </w:tc>
              <w:tc>
                <w:tcPr>
                  <w:tcW w:w="2595" w:type="dxa"/>
                  <w:vAlign w:val="center"/>
                </w:tcPr>
                <w:p>
                  <w:pPr>
                    <w:pStyle w:val="107"/>
                    <w:rPr>
                      <w:rFonts w:ascii="宋体" w:hAnsi="宋体" w:eastAsia="宋体" w:cs="宋体"/>
                      <w:szCs w:val="21"/>
                    </w:rPr>
                  </w:pPr>
                  <w:r>
                    <w:rPr>
                      <w:rFonts w:hint="eastAsia" w:ascii="宋体" w:hAnsi="宋体" w:eastAsia="宋体" w:cs="宋体"/>
                      <w:szCs w:val="21"/>
                    </w:rPr>
                    <w:t>监控点处1h平均浓度值</w:t>
                  </w:r>
                </w:p>
              </w:tc>
              <w:tc>
                <w:tcPr>
                  <w:tcW w:w="2162" w:type="dxa"/>
                  <w:vMerge w:val="restart"/>
                  <w:vAlign w:val="center"/>
                </w:tcPr>
                <w:p>
                  <w:pPr>
                    <w:pStyle w:val="107"/>
                    <w:rPr>
                      <w:rFonts w:ascii="宋体" w:hAnsi="宋体" w:eastAsia="宋体" w:cs="宋体"/>
                      <w:szCs w:val="21"/>
                    </w:rPr>
                  </w:pPr>
                  <w:r>
                    <w:rPr>
                      <w:rFonts w:hint="eastAsia" w:ascii="宋体" w:hAnsi="宋体" w:eastAsia="宋体" w:cs="宋体"/>
                      <w:szCs w:val="21"/>
                    </w:rPr>
                    <w:t>在厂外设置监控点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3" w:type="dxa"/>
                  <w:vMerge w:val="continue"/>
                  <w:vAlign w:val="center"/>
                </w:tcPr>
                <w:p>
                  <w:pPr>
                    <w:pStyle w:val="107"/>
                    <w:rPr>
                      <w:rFonts w:ascii="宋体" w:hAnsi="宋体" w:eastAsia="宋体" w:cs="宋体"/>
                      <w:szCs w:val="21"/>
                    </w:rPr>
                  </w:pPr>
                </w:p>
              </w:tc>
              <w:tc>
                <w:tcPr>
                  <w:tcW w:w="2430" w:type="dxa"/>
                  <w:vAlign w:val="center"/>
                </w:tcPr>
                <w:p>
                  <w:pPr>
                    <w:pStyle w:val="107"/>
                    <w:rPr>
                      <w:rFonts w:ascii="宋体" w:hAnsi="宋体" w:eastAsia="宋体" w:cs="宋体"/>
                      <w:szCs w:val="21"/>
                    </w:rPr>
                  </w:pPr>
                  <w:r>
                    <w:rPr>
                      <w:rFonts w:hint="eastAsia" w:ascii="宋体" w:hAnsi="宋体" w:eastAsia="宋体" w:cs="宋体"/>
                      <w:szCs w:val="21"/>
                    </w:rPr>
                    <w:t>20</w:t>
                  </w:r>
                </w:p>
              </w:tc>
              <w:tc>
                <w:tcPr>
                  <w:tcW w:w="2595" w:type="dxa"/>
                  <w:vAlign w:val="center"/>
                </w:tcPr>
                <w:p>
                  <w:pPr>
                    <w:pStyle w:val="107"/>
                    <w:rPr>
                      <w:rFonts w:ascii="宋体" w:hAnsi="宋体" w:eastAsia="宋体" w:cs="宋体"/>
                      <w:szCs w:val="21"/>
                    </w:rPr>
                  </w:pPr>
                  <w:r>
                    <w:rPr>
                      <w:rFonts w:hint="eastAsia" w:ascii="宋体" w:hAnsi="宋体" w:eastAsia="宋体" w:cs="宋体"/>
                      <w:szCs w:val="21"/>
                    </w:rPr>
                    <w:t>监控点处任意一次浓度值</w:t>
                  </w:r>
                </w:p>
              </w:tc>
              <w:tc>
                <w:tcPr>
                  <w:tcW w:w="2162" w:type="dxa"/>
                  <w:vMerge w:val="continue"/>
                  <w:vAlign w:val="center"/>
                </w:tcPr>
                <w:p>
                  <w:pPr>
                    <w:pStyle w:val="107"/>
                    <w:rPr>
                      <w:rFonts w:ascii="宋体" w:hAnsi="宋体" w:eastAsia="宋体" w:cs="宋体"/>
                      <w:szCs w:val="21"/>
                    </w:rPr>
                  </w:pPr>
                </w:p>
              </w:tc>
            </w:tr>
          </w:tbl>
          <w:p>
            <w:pPr>
              <w:pStyle w:val="20"/>
              <w:ind w:firstLine="480"/>
              <w:rPr>
                <w:rFonts w:ascii="黑体" w:hAnsi="黑体" w:eastAsia="黑体" w:cs="黑体"/>
                <w:b w:val="0"/>
                <w:bCs/>
              </w:rPr>
            </w:pPr>
            <w:r>
              <w:rPr>
                <w:rFonts w:hint="eastAsia" w:ascii="黑体" w:hAnsi="黑体" w:eastAsia="黑体" w:cs="黑体"/>
                <w:b w:val="0"/>
                <w:bCs/>
              </w:rPr>
              <w:t>五、水污染物排放标准</w:t>
            </w:r>
          </w:p>
          <w:p>
            <w:pPr>
              <w:pStyle w:val="108"/>
              <w:ind w:firstLine="480"/>
            </w:pPr>
            <w:r>
              <w:rPr>
                <w:rFonts w:hint="eastAsia"/>
              </w:rPr>
              <w:t>本项目运行期间的废水包括：厂区职工的生活污水；生产废水。根据厂区实际情况调查，项目厂区生活污水经化粪池预处理后由附近居民定期清掏，不外排；生产废水自建污水处理设施，回用于生产，不外排。</w:t>
            </w:r>
          </w:p>
          <w:p>
            <w:pPr>
              <w:pStyle w:val="20"/>
              <w:ind w:firstLine="480"/>
              <w:rPr>
                <w:rFonts w:ascii="黑体" w:hAnsi="黑体" w:eastAsia="黑体" w:cs="黑体"/>
                <w:b w:val="0"/>
                <w:bCs/>
              </w:rPr>
            </w:pPr>
            <w:r>
              <w:rPr>
                <w:rFonts w:hint="eastAsia" w:ascii="黑体" w:hAnsi="黑体" w:eastAsia="黑体" w:cs="黑体"/>
                <w:b w:val="0"/>
                <w:bCs/>
              </w:rPr>
              <w:t>六、噪声污染物排放标准</w:t>
            </w:r>
          </w:p>
          <w:p>
            <w:pPr>
              <w:pStyle w:val="108"/>
              <w:ind w:firstLine="480"/>
            </w:pPr>
            <w:r>
              <w:t>营运期噪声执行《工业企业厂界环境噪声排放标准》（GB12348-2008）</w:t>
            </w:r>
            <w:r>
              <w:rPr>
                <w:rFonts w:hint="eastAsia"/>
                <w:lang w:val="en-US" w:eastAsia="zh-CN"/>
              </w:rPr>
              <w:t>3</w:t>
            </w:r>
            <w:r>
              <w:t>类标准，具体标准值见下表。</w:t>
            </w:r>
          </w:p>
          <w:p>
            <w:pPr>
              <w:pStyle w:val="40"/>
              <w:rPr>
                <w:rStyle w:val="55"/>
                <w:rFonts w:ascii="Times New Roman" w:hAnsi="Times New Roman" w:eastAsia="黑体" w:cs="Times New Roman"/>
                <w:b w:val="0"/>
                <w:bCs/>
                <w:sz w:val="24"/>
              </w:rPr>
            </w:pPr>
            <w:r>
              <w:rPr>
                <w:rStyle w:val="55"/>
                <w:rFonts w:ascii="Times New Roman" w:hAnsi="Times New Roman" w:eastAsia="黑体" w:cs="Times New Roman"/>
                <w:b w:val="0"/>
                <w:bCs/>
                <w:sz w:val="24"/>
              </w:rPr>
              <w:t>表</w:t>
            </w:r>
            <w:r>
              <w:rPr>
                <w:rStyle w:val="55"/>
                <w:rFonts w:hint="eastAsia" w:ascii="Times New Roman" w:hAnsi="Times New Roman" w:eastAsia="黑体" w:cs="Times New Roman"/>
                <w:b w:val="0"/>
                <w:bCs/>
                <w:sz w:val="24"/>
              </w:rPr>
              <w:t>3-</w:t>
            </w:r>
            <w:r>
              <w:rPr>
                <w:rStyle w:val="55"/>
                <w:rFonts w:hint="eastAsia" w:eastAsia="黑体" w:cs="Times New Roman"/>
                <w:b w:val="0"/>
                <w:bCs/>
                <w:sz w:val="24"/>
              </w:rPr>
              <w:t>5</w:t>
            </w:r>
            <w:r>
              <w:rPr>
                <w:rStyle w:val="55"/>
                <w:rFonts w:ascii="Times New Roman" w:hAnsi="Times New Roman" w:eastAsia="黑体" w:cs="Times New Roman"/>
                <w:b w:val="0"/>
                <w:bCs/>
                <w:sz w:val="24"/>
              </w:rPr>
              <w:t>环境噪声排放标准表单位：dB（A）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2152"/>
              <w:gridCol w:w="2072"/>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3" w:type="dxa"/>
                  <w:gridSpan w:val="2"/>
                  <w:vMerge w:val="restart"/>
                  <w:vAlign w:val="center"/>
                </w:tcPr>
                <w:p>
                  <w:pPr>
                    <w:pStyle w:val="43"/>
                    <w:rPr>
                      <w:rFonts w:ascii="宋体" w:hAnsi="宋体" w:cs="宋体"/>
                      <w:szCs w:val="21"/>
                    </w:rPr>
                  </w:pPr>
                  <w:r>
                    <w:rPr>
                      <w:rFonts w:hint="eastAsia" w:ascii="宋体" w:hAnsi="宋体" w:cs="宋体"/>
                      <w:szCs w:val="21"/>
                    </w:rPr>
                    <w:t>类别</w:t>
                  </w:r>
                </w:p>
              </w:tc>
              <w:tc>
                <w:tcPr>
                  <w:tcW w:w="3913" w:type="dxa"/>
                  <w:gridSpan w:val="2"/>
                  <w:vAlign w:val="center"/>
                </w:tcPr>
                <w:p>
                  <w:pPr>
                    <w:pStyle w:val="43"/>
                    <w:rPr>
                      <w:rFonts w:ascii="宋体" w:hAnsi="宋体" w:cs="宋体"/>
                      <w:szCs w:val="21"/>
                    </w:rPr>
                  </w:pPr>
                  <w:r>
                    <w:rPr>
                      <w:rFonts w:hint="eastAsia" w:ascii="宋体" w:hAnsi="宋体" w:cs="宋体"/>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3" w:type="dxa"/>
                  <w:gridSpan w:val="2"/>
                  <w:vMerge w:val="continue"/>
                  <w:vAlign w:val="center"/>
                </w:tcPr>
                <w:p>
                  <w:pPr>
                    <w:pStyle w:val="43"/>
                    <w:rPr>
                      <w:rFonts w:ascii="宋体" w:hAnsi="宋体" w:cs="宋体"/>
                      <w:szCs w:val="21"/>
                    </w:rPr>
                  </w:pPr>
                </w:p>
              </w:tc>
              <w:tc>
                <w:tcPr>
                  <w:tcW w:w="2072" w:type="dxa"/>
                  <w:vAlign w:val="center"/>
                </w:tcPr>
                <w:p>
                  <w:pPr>
                    <w:pStyle w:val="43"/>
                    <w:rPr>
                      <w:rFonts w:ascii="宋体" w:hAnsi="宋体" w:cs="宋体"/>
                      <w:szCs w:val="21"/>
                    </w:rPr>
                  </w:pPr>
                  <w:r>
                    <w:rPr>
                      <w:rFonts w:hint="eastAsia" w:ascii="宋体" w:hAnsi="宋体" w:cs="宋体"/>
                      <w:szCs w:val="21"/>
                    </w:rPr>
                    <w:t>昼间</w:t>
                  </w:r>
                </w:p>
              </w:tc>
              <w:tc>
                <w:tcPr>
                  <w:tcW w:w="1841" w:type="dxa"/>
                  <w:vAlign w:val="center"/>
                </w:tcPr>
                <w:p>
                  <w:pPr>
                    <w:pStyle w:val="43"/>
                    <w:rPr>
                      <w:rFonts w:ascii="宋体" w:hAnsi="宋体" w:cs="宋体"/>
                      <w:szCs w:val="21"/>
                    </w:rPr>
                  </w:pPr>
                  <w:r>
                    <w:rPr>
                      <w:rFonts w:hint="eastAsia" w:ascii="宋体" w:hAnsi="宋体" w:cs="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2151" w:type="dxa"/>
                  <w:vAlign w:val="center"/>
                </w:tcPr>
                <w:p>
                  <w:pPr>
                    <w:pStyle w:val="43"/>
                    <w:rPr>
                      <w:rFonts w:ascii="宋体" w:hAnsi="宋体" w:cs="宋体"/>
                      <w:szCs w:val="21"/>
                    </w:rPr>
                  </w:pPr>
                  <w:r>
                    <w:rPr>
                      <w:rFonts w:hint="eastAsia" w:ascii="宋体" w:hAnsi="宋体" w:cs="宋体"/>
                      <w:szCs w:val="21"/>
                    </w:rPr>
                    <w:t>《</w:t>
                  </w:r>
                  <w:r>
                    <w:t>工业企业厂界环境噪声排放标准</w:t>
                  </w:r>
                  <w:r>
                    <w:rPr>
                      <w:rFonts w:hint="eastAsia" w:ascii="宋体" w:hAnsi="宋体" w:cs="宋体"/>
                      <w:szCs w:val="21"/>
                    </w:rPr>
                    <w:t>》（GB22337-2008）</w:t>
                  </w:r>
                </w:p>
              </w:tc>
              <w:tc>
                <w:tcPr>
                  <w:tcW w:w="2152" w:type="dxa"/>
                  <w:vAlign w:val="center"/>
                </w:tcPr>
                <w:p>
                  <w:pPr>
                    <w:pStyle w:val="43"/>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类</w:t>
                  </w:r>
                </w:p>
              </w:tc>
              <w:tc>
                <w:tcPr>
                  <w:tcW w:w="2072" w:type="dxa"/>
                  <w:vAlign w:val="center"/>
                </w:tcPr>
                <w:p>
                  <w:pPr>
                    <w:pStyle w:val="43"/>
                    <w:rPr>
                      <w:rFonts w:hint="eastAsia" w:ascii="宋体" w:hAnsi="宋体" w:eastAsia="宋体" w:cs="宋体"/>
                      <w:szCs w:val="21"/>
                      <w:lang w:eastAsia="zh-CN"/>
                    </w:rPr>
                  </w:pPr>
                  <w:r>
                    <w:rPr>
                      <w:rFonts w:hint="eastAsia" w:ascii="宋体" w:hAnsi="宋体" w:cs="宋体"/>
                      <w:szCs w:val="21"/>
                    </w:rPr>
                    <w:t>6</w:t>
                  </w:r>
                  <w:r>
                    <w:rPr>
                      <w:rFonts w:hint="eastAsia" w:ascii="宋体" w:hAnsi="宋体" w:cs="宋体"/>
                      <w:szCs w:val="21"/>
                      <w:lang w:val="en-US" w:eastAsia="zh-CN"/>
                    </w:rPr>
                    <w:t>5</w:t>
                  </w:r>
                </w:p>
              </w:tc>
              <w:tc>
                <w:tcPr>
                  <w:tcW w:w="1841" w:type="dxa"/>
                  <w:vAlign w:val="center"/>
                </w:tcPr>
                <w:p>
                  <w:pPr>
                    <w:pStyle w:val="43"/>
                    <w:rPr>
                      <w:rFonts w:hint="eastAsia" w:ascii="宋体" w:hAnsi="宋体" w:eastAsia="宋体" w:cs="宋体"/>
                      <w:szCs w:val="21"/>
                      <w:lang w:eastAsia="zh-CN"/>
                    </w:rPr>
                  </w:pPr>
                  <w:r>
                    <w:rPr>
                      <w:rFonts w:hint="eastAsia" w:ascii="宋体" w:hAnsi="宋体" w:cs="宋体"/>
                      <w:szCs w:val="21"/>
                    </w:rPr>
                    <w:t>5</w:t>
                  </w:r>
                  <w:r>
                    <w:rPr>
                      <w:rFonts w:hint="eastAsia" w:ascii="宋体" w:hAnsi="宋体" w:cs="宋体"/>
                      <w:szCs w:val="21"/>
                      <w:lang w:val="en-US" w:eastAsia="zh-CN"/>
                    </w:rPr>
                    <w:t>5</w:t>
                  </w:r>
                </w:p>
              </w:tc>
            </w:tr>
          </w:tbl>
          <w:p>
            <w:pPr>
              <w:spacing w:line="480" w:lineRule="exact"/>
              <w:ind w:firstLine="480" w:firstLineChars="200"/>
              <w:rPr>
                <w:rStyle w:val="47"/>
                <w:rFonts w:ascii="黑体" w:hAnsi="黑体" w:eastAsia="黑体" w:cs="黑体"/>
                <w:b w:val="0"/>
                <w:bCs/>
              </w:rPr>
            </w:pPr>
            <w:r>
              <w:rPr>
                <w:rFonts w:hint="eastAsia" w:ascii="黑体" w:hAnsi="黑体" w:eastAsia="黑体" w:cs="黑体"/>
                <w:bCs/>
                <w:sz w:val="24"/>
              </w:rPr>
              <w:t>八、</w:t>
            </w:r>
            <w:r>
              <w:rPr>
                <w:rStyle w:val="47"/>
                <w:rFonts w:hint="eastAsia" w:ascii="黑体" w:hAnsi="黑体" w:eastAsia="黑体" w:cs="黑体"/>
                <w:b w:val="0"/>
                <w:bCs/>
              </w:rPr>
              <w:t>固废污染物排放标准</w:t>
            </w:r>
          </w:p>
          <w:p>
            <w:pPr>
              <w:spacing w:line="480" w:lineRule="exact"/>
              <w:ind w:firstLine="480" w:firstLineChars="200"/>
            </w:pPr>
            <w:r>
              <w:rPr>
                <w:rFonts w:ascii="宋体" w:hAnsi="宋体"/>
                <w:sz w:val="24"/>
              </w:rPr>
              <w:t>一般工业固废贮存执行</w:t>
            </w:r>
            <w:r>
              <w:rPr>
                <w:rFonts w:hint="eastAsia" w:ascii="Times New Roman" w:hAnsi="Times New Roman" w:eastAsia="宋体"/>
                <w:sz w:val="24"/>
                <w:szCs w:val="32"/>
              </w:rPr>
              <w:t>GB18599-2020《一般工业固体废物贮存和填埋场污染控制标准》</w:t>
            </w:r>
            <w:r>
              <w:rPr>
                <w:rFonts w:ascii="宋体" w:hAnsi="宋体"/>
                <w:sz w:val="24"/>
              </w:rPr>
              <w:t>；危险废物临时贮存执行《危险废物贮存污染控制标准》（GB18597-2001）</w:t>
            </w:r>
            <w:r>
              <w:rPr>
                <w:rFonts w:hint="eastAsia" w:ascii="宋体" w:hAnsi="宋体"/>
                <w:sz w:val="24"/>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 w:val="28"/>
                <w:szCs w:val="28"/>
              </w:rPr>
            </w:pPr>
            <w:r>
              <w:rPr>
                <w:rFonts w:ascii="Times New Roman" w:hAnsi="Times New Roman" w:eastAsia="宋体" w:cs="Times New Roman"/>
                <w:szCs w:val="21"/>
              </w:rPr>
              <w:t>总量控制指标</w:t>
            </w:r>
          </w:p>
        </w:tc>
        <w:tc>
          <w:tcPr>
            <w:tcW w:w="8441" w:type="dxa"/>
            <w:tcBorders>
              <w:top w:val="single" w:color="auto" w:sz="4" w:space="0"/>
              <w:left w:val="single" w:color="auto" w:sz="4" w:space="0"/>
              <w:bottom w:val="single" w:color="auto" w:sz="4" w:space="0"/>
              <w:right w:val="single" w:color="auto" w:sz="4" w:space="0"/>
            </w:tcBorders>
            <w:vAlign w:val="center"/>
          </w:tcPr>
          <w:p>
            <w:pPr>
              <w:pStyle w:val="108"/>
              <w:ind w:firstLine="480"/>
            </w:pPr>
            <w:r>
              <w:t>“十三五”期间国家对化学需氧量、氨氮、二氧化硫、氮氧化物等主要污染物实行排放总量控制计划管理。根据《安徽省环保厅关于进一步加强建设项目新增大气主要污染物总量指标管理工作的通知》（皖环发〔2017〕19号），“自2017年4月起，新增大气主要污染物排放的建设项目环境影响评价文件审批前必须取得的总量指标从两项增加为四项。在二氧化硫（SO</w:t>
            </w:r>
            <w:r>
              <w:rPr>
                <w:vertAlign w:val="subscript"/>
              </w:rPr>
              <w:t>2</w:t>
            </w:r>
            <w:r>
              <w:t>）、氮氧化物（NO</w:t>
            </w:r>
            <w:r>
              <w:rPr>
                <w:vertAlign w:val="subscript"/>
              </w:rPr>
              <w:t>x</w:t>
            </w:r>
            <w:r>
              <w:t>）的基础上增加烟（粉）尘、挥发性有机物（VOCs）两项指标”。</w:t>
            </w:r>
          </w:p>
          <w:p>
            <w:pPr>
              <w:pStyle w:val="108"/>
              <w:ind w:firstLine="480"/>
            </w:pPr>
            <w:r>
              <w:rPr>
                <w:rFonts w:hint="eastAsia"/>
              </w:rPr>
              <w:t>本项目</w:t>
            </w:r>
            <w:r>
              <w:t>生活污水经化粪池预处理后由附近居民定期清掏</w:t>
            </w:r>
            <w:r>
              <w:rPr>
                <w:rFonts w:hint="eastAsia"/>
              </w:rPr>
              <w:t>，无需申请总量。</w:t>
            </w:r>
          </w:p>
          <w:p>
            <w:pPr>
              <w:pStyle w:val="108"/>
              <w:ind w:firstLine="480"/>
            </w:pPr>
            <w:r>
              <w:t>根据工程分析，该项目投产并切实实施污染防治措施后，控制污染物的排放总量建议指标建议拟</w:t>
            </w:r>
            <w:r>
              <w:rPr>
                <w:rFonts w:hint="eastAsia"/>
              </w:rPr>
              <w:t>扩建</w:t>
            </w:r>
            <w:r>
              <w:t>建项目VOCs总量控制指标为</w:t>
            </w:r>
            <w:r>
              <w:rPr>
                <w:rFonts w:hint="eastAsia"/>
                <w:lang w:val="en-US" w:eastAsia="zh-CN"/>
              </w:rPr>
              <w:t>0.12525</w:t>
            </w:r>
            <w:r>
              <w:rPr>
                <w:rFonts w:hint="eastAsia"/>
              </w:rPr>
              <w:t>t</w:t>
            </w:r>
            <w:r>
              <w:t>/a。</w:t>
            </w:r>
          </w:p>
          <w:p>
            <w:pPr>
              <w:pStyle w:val="2"/>
            </w:pPr>
          </w:p>
          <w:p/>
          <w:p>
            <w:pPr>
              <w:pStyle w:val="2"/>
            </w:pPr>
          </w:p>
          <w:p/>
          <w:p/>
          <w:p/>
        </w:tc>
      </w:tr>
    </w:tbl>
    <w:p>
      <w:pPr>
        <w:outlineLvl w:val="0"/>
        <w:rPr>
          <w:rFonts w:ascii="Times New Roman" w:hAnsi="Times New Roman" w:eastAsia="宋体" w:cs="Times New Roman"/>
          <w:b/>
          <w:sz w:val="32"/>
          <w:szCs w:val="32"/>
        </w:rPr>
      </w:pPr>
      <w:r>
        <w:rPr>
          <w:rFonts w:ascii="Times New Roman" w:hAnsi="Times New Roman" w:eastAsia="宋体" w:cs="Times New Roman"/>
          <w:b/>
          <w:sz w:val="32"/>
          <w:szCs w:val="32"/>
        </w:rPr>
        <w:br w:type="page"/>
      </w:r>
    </w:p>
    <w:p>
      <w:pPr>
        <w:pStyle w:val="3"/>
        <w:jc w:val="center"/>
        <w:rPr>
          <w:rFonts w:eastAsia="宋体"/>
        </w:rPr>
      </w:pPr>
      <w:r>
        <w:rPr>
          <w:rFonts w:hint="eastAsia" w:eastAsia="宋体"/>
        </w:rPr>
        <w:t>四</w:t>
      </w:r>
      <w:r>
        <w:rPr>
          <w:rFonts w:eastAsia="宋体"/>
        </w:rPr>
        <w:t>、</w:t>
      </w:r>
      <w:r>
        <w:rPr>
          <w:rFonts w:hint="eastAsia" w:eastAsia="宋体"/>
        </w:rPr>
        <w:t>主要环境影响和保护措施</w:t>
      </w:r>
    </w:p>
    <w:tbl>
      <w:tblPr>
        <w:tblStyle w:val="26"/>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4"/>
        <w:gridCol w:w="85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343" w:hRule="atLeast"/>
        </w:trPr>
        <w:tc>
          <w:tcPr>
            <w:tcW w:w="744" w:type="dxa"/>
            <w:vAlign w:val="center"/>
          </w:tcPr>
          <w:p>
            <w:pPr>
              <w:spacing w:after="156" w:afterLines="50"/>
              <w:jc w:val="center"/>
              <w:rPr>
                <w:rFonts w:ascii="Times New Roman" w:hAnsi="Times New Roman" w:eastAsia="宋体" w:cs="Times New Roman"/>
                <w:sz w:val="28"/>
                <w:szCs w:val="28"/>
              </w:rPr>
            </w:pPr>
            <w:r>
              <w:rPr>
                <w:rFonts w:hint="eastAsia" w:ascii="Times New Roman" w:hAnsi="Times New Roman" w:eastAsia="宋体" w:cs="Times New Roman"/>
                <w:szCs w:val="21"/>
              </w:rPr>
              <w:t>施工期环境保护措施</w:t>
            </w:r>
          </w:p>
        </w:tc>
        <w:tc>
          <w:tcPr>
            <w:tcW w:w="8544" w:type="dxa"/>
            <w:vAlign w:val="center"/>
          </w:tcPr>
          <w:p>
            <w:pPr>
              <w:pStyle w:val="75"/>
              <w:snapToGrid/>
              <w:spacing w:before="0" w:after="0"/>
              <w:ind w:firstLine="0" w:firstLineChars="0"/>
            </w:pPr>
            <w:r>
              <w:rPr>
                <w:rFonts w:hint="eastAsia"/>
              </w:rPr>
              <w:t>1、施工期工程分析</w:t>
            </w:r>
          </w:p>
          <w:p>
            <w:pPr>
              <w:pStyle w:val="108"/>
              <w:ind w:firstLine="480"/>
            </w:pPr>
            <w:r>
              <w:rPr>
                <w:rFonts w:hint="eastAsia"/>
              </w:rPr>
              <w:t>项目在现有厂区进行项目建设，厂房等已建设完成，</w:t>
            </w:r>
            <w:r>
              <w:t>无土方开挖、结构、装饰等施工期作业</w:t>
            </w:r>
            <w:r>
              <w:rPr>
                <w:rFonts w:hint="eastAsia"/>
              </w:rPr>
              <w:t>，主要为设备安装时施工人员产生的少量生活废水和生活垃圾等。</w:t>
            </w:r>
          </w:p>
          <w:p>
            <w:pPr>
              <w:pStyle w:val="108"/>
              <w:ind w:firstLine="480"/>
            </w:pPr>
            <w:r>
              <w:rPr>
                <w:rFonts w:hint="eastAsia"/>
              </w:rPr>
              <w:t>目前项目已建成投产，施工期环境影响已消除，本次环评对施工期的环境影响不做分析。</w:t>
            </w:r>
          </w:p>
          <w:p>
            <w:pPr>
              <w:pStyle w:val="75"/>
              <w:snapToGrid/>
              <w:spacing w:before="0" w:after="0"/>
              <w:ind w:firstLine="0" w:firstLineChars="0"/>
            </w:pPr>
            <w:r>
              <w:rPr>
                <w:rFonts w:hint="eastAsia"/>
              </w:rPr>
              <w:t>2、生态环境影响分析</w:t>
            </w:r>
          </w:p>
          <w:p>
            <w:pPr>
              <w:pStyle w:val="108"/>
              <w:ind w:firstLine="480"/>
            </w:pPr>
            <w:r>
              <w:rPr>
                <w:rFonts w:hint="eastAsia"/>
              </w:rPr>
              <w:t>施工期间主要的生态环境影响是地表植被破坏导致的水土流失。由于项目在现有厂区惊喜项目建设，故项目建设对周边生态环境的影响较小。</w:t>
            </w: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108"/>
              <w:ind w:firstLine="480"/>
            </w:pPr>
          </w:p>
          <w:p>
            <w:pPr>
              <w:pStyle w:val="5"/>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17" w:hRule="atLeast"/>
        </w:trPr>
        <w:tc>
          <w:tcPr>
            <w:tcW w:w="744" w:type="dxa"/>
            <w:tcBorders>
              <w:bottom w:val="single" w:color="auto" w:sz="12" w:space="0"/>
            </w:tcBorders>
            <w:vAlign w:val="center"/>
          </w:tcPr>
          <w:p>
            <w:pPr>
              <w:spacing w:after="312" w:afterLines="100"/>
              <w:jc w:val="center"/>
              <w:rPr>
                <w:rFonts w:ascii="Times New Roman" w:hAnsi="Times New Roman" w:eastAsia="宋体" w:cs="Times New Roman"/>
                <w:sz w:val="28"/>
                <w:szCs w:val="28"/>
              </w:rPr>
            </w:pPr>
            <w:r>
              <w:rPr>
                <w:rFonts w:hint="eastAsia" w:ascii="宋体" w:eastAsia="宋体"/>
              </w:rPr>
              <w:t>运营期环境影响和保护措施</w:t>
            </w:r>
          </w:p>
        </w:tc>
        <w:tc>
          <w:tcPr>
            <w:tcW w:w="8544" w:type="dxa"/>
            <w:tcBorders>
              <w:bottom w:val="single" w:color="auto" w:sz="12" w:space="0"/>
            </w:tcBorders>
            <w:vAlign w:val="center"/>
          </w:tcPr>
          <w:p>
            <w:pPr>
              <w:pStyle w:val="75"/>
              <w:snapToGrid/>
              <w:spacing w:before="0" w:after="0"/>
              <w:ind w:firstLine="0" w:firstLineChars="0"/>
              <w:rPr>
                <w:rFonts w:ascii="黑体" w:hAnsi="黑体" w:eastAsia="黑体" w:cs="黑体"/>
              </w:rPr>
            </w:pPr>
            <w:r>
              <w:rPr>
                <w:rFonts w:hint="eastAsia" w:ascii="黑体" w:hAnsi="黑体" w:eastAsia="黑体" w:cs="黑体"/>
              </w:rPr>
              <w:t>营运期环境影响分析</w:t>
            </w:r>
          </w:p>
          <w:p>
            <w:pPr>
              <w:pStyle w:val="14"/>
              <w:rPr>
                <w:rFonts w:ascii="黑体" w:hAnsi="黑体" w:eastAsia="黑体" w:cs="黑体"/>
              </w:rPr>
            </w:pPr>
            <w:r>
              <w:rPr>
                <w:rFonts w:hint="eastAsia" w:ascii="黑体" w:hAnsi="黑体" w:eastAsia="黑体" w:cs="黑体"/>
              </w:rPr>
              <w:t>一、废水</w:t>
            </w:r>
          </w:p>
          <w:p>
            <w:pPr>
              <w:spacing w:line="480" w:lineRule="exact"/>
              <w:ind w:firstLine="480" w:firstLineChars="200"/>
              <w:rPr>
                <w:rFonts w:ascii="Times New Roman" w:hAnsi="Times New Roman" w:eastAsia="宋体"/>
                <w:sz w:val="24"/>
              </w:rPr>
            </w:pPr>
            <w:r>
              <w:rPr>
                <w:rFonts w:hint="eastAsia" w:ascii="Times New Roman" w:hAnsi="Times New Roman" w:eastAsia="宋体"/>
                <w:sz w:val="24"/>
              </w:rPr>
              <w:t>废水来源</w:t>
            </w:r>
          </w:p>
          <w:p>
            <w:pPr>
              <w:pStyle w:val="108"/>
              <w:ind w:firstLine="480"/>
            </w:pPr>
            <w:r>
              <w:rPr>
                <w:rFonts w:hint="eastAsia"/>
              </w:rPr>
              <w:t>项目用水包括制胶用水、印刷机清洗用水、生活污水。</w:t>
            </w:r>
          </w:p>
          <w:p>
            <w:pPr>
              <w:pStyle w:val="108"/>
              <w:ind w:firstLine="480"/>
            </w:pPr>
            <w:r>
              <w:t>（1）供水</w:t>
            </w:r>
          </w:p>
          <w:p>
            <w:pPr>
              <w:pStyle w:val="108"/>
              <w:ind w:firstLine="480"/>
              <w:rPr>
                <w:szCs w:val="22"/>
              </w:rPr>
            </w:pPr>
            <w:r>
              <w:rPr>
                <w:szCs w:val="22"/>
              </w:rPr>
              <w:fldChar w:fldCharType="begin"/>
            </w:r>
            <w:r>
              <w:rPr>
                <w:szCs w:val="22"/>
              </w:rPr>
              <w:instrText xml:space="preserve"> = 1 \* GB3 \* MERGEFORMAT </w:instrText>
            </w:r>
            <w:r>
              <w:rPr>
                <w:szCs w:val="22"/>
              </w:rPr>
              <w:fldChar w:fldCharType="separate"/>
            </w:r>
            <w:r>
              <w:rPr>
                <w:szCs w:val="22"/>
              </w:rPr>
              <w:t>①</w:t>
            </w:r>
            <w:r>
              <w:rPr>
                <w:szCs w:val="22"/>
              </w:rPr>
              <w:fldChar w:fldCharType="end"/>
            </w:r>
            <w:r>
              <w:rPr>
                <w:szCs w:val="22"/>
              </w:rPr>
              <w:t>、</w:t>
            </w:r>
            <w:r>
              <w:rPr>
                <w:rFonts w:hint="eastAsia"/>
                <w:szCs w:val="22"/>
              </w:rPr>
              <w:t>制胶用水</w:t>
            </w:r>
          </w:p>
          <w:p>
            <w:pPr>
              <w:pStyle w:val="108"/>
              <w:ind w:firstLine="480"/>
            </w:pPr>
            <w:r>
              <w:rPr>
                <w:rFonts w:hint="eastAsia" w:ascii="Times New Roman"/>
                <w:szCs w:val="22"/>
              </w:rPr>
              <w:t>项目粘合工艺选用的粘合剂为玉米淀粉胶，玉米淀粉胶以玉米淀粉为主要原料。根据企业所提供的资料，项目制胶年用水量为24t/a。该部分水进入胶水中不外排。</w:t>
            </w:r>
          </w:p>
          <w:p>
            <w:pPr>
              <w:pStyle w:val="108"/>
              <w:ind w:firstLine="480"/>
              <w:rPr>
                <w:szCs w:val="22"/>
              </w:rPr>
            </w:pPr>
            <w:r>
              <w:rPr>
                <w:szCs w:val="22"/>
              </w:rPr>
              <w:t>②、</w:t>
            </w:r>
            <w:r>
              <w:rPr>
                <w:rFonts w:hint="eastAsia"/>
                <w:szCs w:val="22"/>
              </w:rPr>
              <w:t>水墨印刷机清洗用水</w:t>
            </w:r>
          </w:p>
          <w:p>
            <w:pPr>
              <w:pStyle w:val="108"/>
              <w:ind w:firstLine="480"/>
              <w:rPr>
                <w:szCs w:val="22"/>
              </w:rPr>
            </w:pPr>
            <w:r>
              <w:rPr>
                <w:rFonts w:hint="eastAsia"/>
                <w:szCs w:val="22"/>
              </w:rPr>
              <w:t>高速水墨印刷分压切角开槽模切机所使用油墨为水性油墨，本项目印刷机每天工作完成后需进行清洗，此过程会产生清洗废水，本项目清洗废水经自建的废水处理设施1#处理达到《城市污水再生利用 工业用水水质》（GB/T19923-2005）中洗涤用水标准后回用，不外排，仅需定期补充蒸发损耗的水。</w:t>
            </w:r>
          </w:p>
          <w:p>
            <w:pPr>
              <w:pStyle w:val="108"/>
              <w:ind w:firstLine="480"/>
              <w:rPr>
                <w:b/>
                <w:bCs/>
                <w:szCs w:val="22"/>
              </w:rPr>
            </w:pPr>
            <w:r>
              <w:rPr>
                <w:rFonts w:hint="eastAsia"/>
                <w:szCs w:val="22"/>
              </w:rPr>
              <w:t>根据企业提供资料，清洗用水量约为0.02t/d（6t/a），清洗废水存储与储水池中，一个星期处理一次，企业每个星期按照6天工作日，损耗按10%计，则每次处理废水量为0.108t，工作时间按照300d/a、50周/a计，则废水处理量为5.4t/a，水汽蒸发损耗按照用水量的2%计，则补充水量为0.0004t/d（0.12t/a）。</w:t>
            </w:r>
          </w:p>
          <w:p>
            <w:pPr>
              <w:pStyle w:val="108"/>
              <w:ind w:firstLine="480"/>
            </w:pPr>
            <w:r>
              <w:rPr>
                <w:szCs w:val="22"/>
              </w:rPr>
              <w:t>③、</w:t>
            </w:r>
            <w:r>
              <w:rPr>
                <w:rFonts w:hint="eastAsia"/>
                <w:szCs w:val="22"/>
              </w:rPr>
              <w:t>生活用水</w:t>
            </w:r>
          </w:p>
          <w:p>
            <w:pPr>
              <w:pStyle w:val="108"/>
              <w:ind w:firstLine="480"/>
              <w:rPr>
                <w:szCs w:val="22"/>
              </w:rPr>
            </w:pPr>
            <w:r>
              <w:rPr>
                <w:szCs w:val="22"/>
              </w:rPr>
              <w:t>项目劳动员工</w:t>
            </w:r>
            <w:r>
              <w:rPr>
                <w:rFonts w:hint="eastAsia"/>
                <w:szCs w:val="22"/>
              </w:rPr>
              <w:t>18</w:t>
            </w:r>
            <w:r>
              <w:rPr>
                <w:szCs w:val="22"/>
              </w:rPr>
              <w:t>人，</w:t>
            </w:r>
            <w:r>
              <w:rPr>
                <w:rFonts w:hint="eastAsia"/>
                <w:szCs w:val="22"/>
              </w:rPr>
              <w:t>建设单位不为员工提供食宿</w:t>
            </w:r>
            <w:r>
              <w:rPr>
                <w:szCs w:val="22"/>
              </w:rPr>
              <w:t>，</w:t>
            </w:r>
            <w:r>
              <w:rPr>
                <w:rFonts w:hint="eastAsia"/>
                <w:szCs w:val="22"/>
              </w:rPr>
              <w:t>则</w:t>
            </w:r>
            <w:r>
              <w:rPr>
                <w:szCs w:val="22"/>
              </w:rPr>
              <w:t>员工每人每天平均用水按</w:t>
            </w:r>
            <w:r>
              <w:rPr>
                <w:rFonts w:hint="eastAsia"/>
                <w:szCs w:val="22"/>
              </w:rPr>
              <w:t>5</w:t>
            </w:r>
            <w:r>
              <w:rPr>
                <w:szCs w:val="22"/>
              </w:rPr>
              <w:t>0L计，则项目工作人员日平均用水量为</w:t>
            </w:r>
            <w:r>
              <w:rPr>
                <w:rFonts w:hint="eastAsia"/>
                <w:szCs w:val="22"/>
              </w:rPr>
              <w:t>0.9t</w:t>
            </w:r>
            <w:r>
              <w:rPr>
                <w:szCs w:val="22"/>
              </w:rPr>
              <w:t>，按年工作时间3</w:t>
            </w:r>
            <w:r>
              <w:rPr>
                <w:rFonts w:hint="eastAsia"/>
                <w:szCs w:val="22"/>
              </w:rPr>
              <w:t>0</w:t>
            </w:r>
            <w:r>
              <w:rPr>
                <w:szCs w:val="22"/>
              </w:rPr>
              <w:t>0天，则项目员工用水量为</w:t>
            </w:r>
            <w:r>
              <w:rPr>
                <w:rFonts w:hint="eastAsia"/>
                <w:szCs w:val="22"/>
              </w:rPr>
              <w:t>270</w:t>
            </w:r>
            <w:r>
              <w:rPr>
                <w:szCs w:val="22"/>
              </w:rPr>
              <w:t>t/a。污水排放量按用水量80%计，则接待污水排放量为</w:t>
            </w:r>
            <w:r>
              <w:rPr>
                <w:rFonts w:hint="eastAsia"/>
                <w:szCs w:val="22"/>
              </w:rPr>
              <w:t>0.72</w:t>
            </w:r>
            <w:r>
              <w:rPr>
                <w:szCs w:val="22"/>
              </w:rPr>
              <w:t>t/d，</w:t>
            </w:r>
            <w:r>
              <w:rPr>
                <w:rFonts w:hint="eastAsia"/>
                <w:szCs w:val="22"/>
              </w:rPr>
              <w:t>216</w:t>
            </w:r>
            <w:r>
              <w:rPr>
                <w:szCs w:val="22"/>
              </w:rPr>
              <w:t>t/a。</w:t>
            </w:r>
          </w:p>
          <w:p>
            <w:pPr>
              <w:pStyle w:val="108"/>
              <w:ind w:firstLine="480"/>
            </w:pPr>
            <w:r>
              <w:t>（2）排水</w:t>
            </w:r>
          </w:p>
          <w:p>
            <w:pPr>
              <w:pStyle w:val="108"/>
              <w:ind w:firstLine="480"/>
            </w:pPr>
            <w:r>
              <w:t>建设项目实行雨、污分流制，</w:t>
            </w:r>
            <w:r>
              <w:rPr>
                <w:rFonts w:hint="eastAsia"/>
              </w:rPr>
              <w:t>生产废水不外排、</w:t>
            </w:r>
            <w:r>
              <w:t>生活污水经化粪池预处理后由附近居民定期清掏。</w:t>
            </w:r>
          </w:p>
          <w:p>
            <w:pPr>
              <w:pStyle w:val="108"/>
              <w:ind w:firstLine="480"/>
            </w:pPr>
            <w:r>
              <w:t>建设项目日用水量平衡图见</w:t>
            </w:r>
            <w:r>
              <w:rPr>
                <w:rFonts w:hint="eastAsia"/>
              </w:rPr>
              <w:t>下</w:t>
            </w:r>
            <w:r>
              <w:t>图。</w:t>
            </w:r>
          </w:p>
          <w:p>
            <w:pPr>
              <w:spacing w:line="480" w:lineRule="exact"/>
              <w:ind w:firstLine="378" w:firstLineChars="200"/>
              <w:jc w:val="center"/>
              <w:rPr>
                <w:rFonts w:ascii="宋体" w:hAnsi="宋体" w:eastAsia="宋体" w:cs="宋体"/>
                <w:sz w:val="24"/>
              </w:rPr>
            </w:pPr>
            <w:r>
              <w:rPr>
                <w:rFonts w:hint="eastAsia" w:ascii="宋体" w:hAnsi="宋体" w:eastAsia="宋体" w:cs="宋体"/>
                <w:b/>
                <w:spacing w:val="-26"/>
                <w:sz w:val="24"/>
              </w:rPr>
              <w:t>表</w:t>
            </w:r>
            <w:r>
              <w:rPr>
                <w:rFonts w:hint="eastAsia" w:ascii="宋体" w:hAnsi="宋体" w:eastAsia="宋体" w:cs="宋体"/>
                <w:b/>
                <w:sz w:val="24"/>
              </w:rPr>
              <w:t>4-1建设项目用水水量分析表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54"/>
              <w:gridCol w:w="1188"/>
              <w:gridCol w:w="1189"/>
              <w:gridCol w:w="1189"/>
              <w:gridCol w:w="1189"/>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序号</w:t>
                  </w:r>
                </w:p>
              </w:tc>
              <w:tc>
                <w:tcPr>
                  <w:tcW w:w="1654"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名称</w:t>
                  </w:r>
                </w:p>
              </w:tc>
              <w:tc>
                <w:tcPr>
                  <w:tcW w:w="1188"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日用水量（t/d）</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年用水量（t/a）</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排污系数</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日排水量（t/d）</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年排水量（t/a）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1</w:t>
                  </w:r>
                </w:p>
              </w:tc>
              <w:tc>
                <w:tcPr>
                  <w:tcW w:w="1654"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生活用水</w:t>
                  </w:r>
                </w:p>
              </w:tc>
              <w:tc>
                <w:tcPr>
                  <w:tcW w:w="1188"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0.9</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270</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0.8</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0.72</w:t>
                  </w:r>
                </w:p>
              </w:tc>
              <w:tc>
                <w:tcPr>
                  <w:tcW w:w="1189" w:type="dxa"/>
                  <w:vAlign w:val="center"/>
                </w:tcPr>
                <w:p>
                  <w:pPr>
                    <w:spacing w:line="48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2</w:t>
                  </w:r>
                </w:p>
              </w:tc>
              <w:tc>
                <w:tcPr>
                  <w:tcW w:w="1654"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制胶用水</w:t>
                  </w:r>
                </w:p>
              </w:tc>
              <w:tc>
                <w:tcPr>
                  <w:tcW w:w="1188"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0.08</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24</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0</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3</w:t>
                  </w:r>
                </w:p>
              </w:tc>
              <w:tc>
                <w:tcPr>
                  <w:tcW w:w="1654"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水墨印刷机清洗用水</w:t>
                  </w:r>
                </w:p>
              </w:tc>
              <w:tc>
                <w:tcPr>
                  <w:tcW w:w="1188"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0.02</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6</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0</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4" w:type="dxa"/>
                  <w:gridSpan w:val="2"/>
                  <w:vAlign w:val="center"/>
                </w:tcPr>
                <w:p>
                  <w:pPr>
                    <w:spacing w:line="480" w:lineRule="exact"/>
                    <w:jc w:val="center"/>
                    <w:rPr>
                      <w:rFonts w:ascii="宋体" w:hAnsi="宋体" w:eastAsia="宋体" w:cs="宋体"/>
                      <w:szCs w:val="21"/>
                    </w:rPr>
                  </w:pPr>
                  <w:r>
                    <w:rPr>
                      <w:rFonts w:hint="eastAsia" w:ascii="宋体" w:hAnsi="宋体" w:eastAsia="宋体" w:cs="宋体"/>
                      <w:szCs w:val="21"/>
                    </w:rPr>
                    <w:t>总量</w:t>
                  </w:r>
                </w:p>
              </w:tc>
              <w:tc>
                <w:tcPr>
                  <w:tcW w:w="1188"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1</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300</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w:t>
                  </w:r>
                </w:p>
              </w:tc>
              <w:tc>
                <w:tcPr>
                  <w:tcW w:w="1189" w:type="dxa"/>
                  <w:vAlign w:val="center"/>
                </w:tcPr>
                <w:p>
                  <w:pPr>
                    <w:spacing w:line="480" w:lineRule="exact"/>
                    <w:jc w:val="center"/>
                    <w:rPr>
                      <w:rFonts w:ascii="宋体" w:hAnsi="宋体" w:eastAsia="宋体" w:cs="宋体"/>
                      <w:szCs w:val="21"/>
                    </w:rPr>
                  </w:pPr>
                  <w:r>
                    <w:rPr>
                      <w:rFonts w:hint="eastAsia" w:ascii="宋体" w:hAnsi="宋体" w:eastAsia="宋体" w:cs="宋体"/>
                      <w:szCs w:val="21"/>
                    </w:rPr>
                    <w:t>0.72</w:t>
                  </w:r>
                </w:p>
              </w:tc>
              <w:tc>
                <w:tcPr>
                  <w:tcW w:w="1189" w:type="dxa"/>
                  <w:vAlign w:val="center"/>
                </w:tcPr>
                <w:p>
                  <w:pPr>
                    <w:spacing w:line="48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216</w:t>
                  </w:r>
                </w:p>
              </w:tc>
            </w:tr>
          </w:tbl>
          <w:p>
            <w:pPr>
              <w:numPr>
                <w:ilvl w:val="0"/>
                <w:numId w:val="3"/>
              </w:numPr>
              <w:spacing w:line="480" w:lineRule="exact"/>
              <w:ind w:firstLine="420" w:firstLineChars="200"/>
              <w:rPr>
                <w:rFonts w:ascii="Times New Roman" w:hAnsi="Times New Roman" w:eastAsia="宋体"/>
                <w:sz w:val="24"/>
              </w:rPr>
            </w:pPr>
            <w:r>
              <mc:AlternateContent>
                <mc:Choice Requires="wps">
                  <w:drawing>
                    <wp:anchor distT="0" distB="0" distL="114300" distR="114300" simplePos="0" relativeHeight="251669504" behindDoc="0" locked="0" layoutInCell="1" allowOverlap="1">
                      <wp:simplePos x="0" y="0"/>
                      <wp:positionH relativeFrom="column">
                        <wp:posOffset>1930400</wp:posOffset>
                      </wp:positionH>
                      <wp:positionV relativeFrom="paragraph">
                        <wp:posOffset>160655</wp:posOffset>
                      </wp:positionV>
                      <wp:extent cx="561975" cy="266700"/>
                      <wp:effectExtent l="0" t="0" r="0" b="0"/>
                      <wp:wrapNone/>
                      <wp:docPr id="13" name="矩形 164"/>
                      <wp:cNvGraphicFramePr/>
                      <a:graphic xmlns:a="http://schemas.openxmlformats.org/drawingml/2006/main">
                        <a:graphicData uri="http://schemas.microsoft.com/office/word/2010/wordprocessingShape">
                          <wps:wsp>
                            <wps:cNvSpPr/>
                            <wps:spPr>
                              <a:xfrm>
                                <a:off x="0" y="0"/>
                                <a:ext cx="561975" cy="266700"/>
                              </a:xfrm>
                              <a:prstGeom prst="rect">
                                <a:avLst/>
                              </a:prstGeom>
                              <a:solidFill>
                                <a:srgbClr val="FFFFFF">
                                  <a:alpha val="0"/>
                                </a:srgbClr>
                              </a:solidFill>
                              <a:ln>
                                <a:noFill/>
                              </a:ln>
                              <a:effectLst/>
                            </wps:spPr>
                            <wps:txbx>
                              <w:txbxContent>
                                <w:p>
                                  <w:r>
                                    <w:rPr>
                                      <w:rFonts w:hint="eastAsia"/>
                                    </w:rPr>
                                    <w:t>0.18</w:t>
                                  </w:r>
                                </w:p>
                              </w:txbxContent>
                            </wps:txbx>
                            <wps:bodyPr upright="1"/>
                          </wps:wsp>
                        </a:graphicData>
                      </a:graphic>
                    </wp:anchor>
                  </w:drawing>
                </mc:Choice>
                <mc:Fallback>
                  <w:pict>
                    <v:rect id="矩形 164" o:spid="_x0000_s1026" o:spt="1" style="position:absolute;left:0pt;margin-left:152pt;margin-top:12.65pt;height:21pt;width:44.25pt;z-index:251669504;mso-width-relative:page;mso-height-relative:page;" fillcolor="#FFFFFF" filled="t" stroked="f" coordsize="21600,21600" o:gfxdata="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Sq3zl2QAAAAkBAAAPAAAAAAAAAAEAIAAAACIAAABkcnMv&#10;ZG93bnJldi54bWxQSwECFAAUAAAACACHTuJA9bM7VckBAACXAwAADgAAAAAAAAABACAAAAAoAQAA&#10;ZHJzL2Uyb0RvYy54bWxQSwUGAAAAAAYABgBZAQAAYwUAAAAA&#10;">
                      <v:fill on="t" opacity="0f" focussize="0,0"/>
                      <v:stroke on="f"/>
                      <v:imagedata o:title=""/>
                      <o:lock v:ext="edit" aspectratio="f"/>
                      <v:textbox>
                        <w:txbxContent>
                          <w:p>
                            <w:r>
                              <w:rPr>
                                <w:rFonts w:hint="eastAsia"/>
                              </w:rPr>
                              <w:t>0.18</w:t>
                            </w:r>
                          </w:p>
                        </w:txbxContent>
                      </v:textbox>
                    </v:rect>
                  </w:pict>
                </mc:Fallback>
              </mc:AlternateContent>
            </w:r>
            <w:r>
              <w:rPr>
                <w:rFonts w:hint="eastAsia" w:ascii="Times New Roman" w:hAnsi="Times New Roman" w:eastAsia="宋体"/>
                <w:sz w:val="24"/>
              </w:rPr>
              <w:t>项目水量平衡图</w:t>
            </w:r>
          </w:p>
          <w:p>
            <w:pPr>
              <w:pStyle w:val="2"/>
            </w:pPr>
            <w:r>
              <mc:AlternateContent>
                <mc:Choice Requires="wps">
                  <w:drawing>
                    <wp:anchor distT="0" distB="0" distL="114300" distR="114300" simplePos="0" relativeHeight="251673600" behindDoc="0" locked="0" layoutInCell="1" allowOverlap="1">
                      <wp:simplePos x="0" y="0"/>
                      <wp:positionH relativeFrom="column">
                        <wp:posOffset>2135505</wp:posOffset>
                      </wp:positionH>
                      <wp:positionV relativeFrom="paragraph">
                        <wp:posOffset>1287145</wp:posOffset>
                      </wp:positionV>
                      <wp:extent cx="951230" cy="266700"/>
                      <wp:effectExtent l="0" t="0" r="0" b="0"/>
                      <wp:wrapNone/>
                      <wp:docPr id="12" name="矩形 178"/>
                      <wp:cNvGraphicFramePr/>
                      <a:graphic xmlns:a="http://schemas.openxmlformats.org/drawingml/2006/main">
                        <a:graphicData uri="http://schemas.microsoft.com/office/word/2010/wordprocessingShape">
                          <wps:wsp>
                            <wps:cNvSpPr/>
                            <wps:spPr>
                              <a:xfrm>
                                <a:off x="0" y="0"/>
                                <a:ext cx="951230" cy="266700"/>
                              </a:xfrm>
                              <a:prstGeom prst="rect">
                                <a:avLst/>
                              </a:prstGeom>
                              <a:solidFill>
                                <a:srgbClr val="FFFFFF">
                                  <a:alpha val="0"/>
                                </a:srgbClr>
                              </a:solidFill>
                              <a:ln>
                                <a:noFill/>
                              </a:ln>
                              <a:effectLst/>
                            </wps:spPr>
                            <wps:txbx>
                              <w:txbxContent>
                                <w:p>
                                  <w:r>
                                    <w:rPr>
                                      <w:rFonts w:hint="eastAsia"/>
                                    </w:rPr>
                                    <w:t>循环量2</w:t>
                                  </w:r>
                                </w:p>
                              </w:txbxContent>
                            </wps:txbx>
                            <wps:bodyPr upright="1"/>
                          </wps:wsp>
                        </a:graphicData>
                      </a:graphic>
                    </wp:anchor>
                  </w:drawing>
                </mc:Choice>
                <mc:Fallback>
                  <w:pict>
                    <v:rect id="矩形 178" o:spid="_x0000_s1026" o:spt="1" style="position:absolute;left:0pt;margin-left:168.15pt;margin-top:101.35pt;height:21pt;width:74.9pt;z-index:251673600;mso-width-relative:page;mso-height-relative:page;" fillcolor="#FFFFFF" filled="t" stroked="f" coordsize="21600,21600" o:gfxdata="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dIzArbAAAACwEAAA8AAAAAAAAAAQAgAAAAIgAAAGRy&#10;cy9kb3ducmV2LnhtbFBLAQIUABQAAAAIAIdO4kCZUR50yQEAAJcDAAAOAAAAAAAAAAEAIAAAACoB&#10;AABkcnMvZTJvRG9jLnhtbFBLBQYAAAAABgAGAFkBAABlBQAAAAA=&#10;">
                      <v:fill on="t" opacity="0f" focussize="0,0"/>
                      <v:stroke on="f"/>
                      <v:imagedata o:title=""/>
                      <o:lock v:ext="edit" aspectratio="f"/>
                      <v:textbox>
                        <w:txbxContent>
                          <w:p>
                            <w:r>
                              <w:rPr>
                                <w:rFonts w:hint="eastAsia"/>
                              </w:rPr>
                              <w:t>循环量2</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3255645</wp:posOffset>
                      </wp:positionH>
                      <wp:positionV relativeFrom="paragraph">
                        <wp:posOffset>528320</wp:posOffset>
                      </wp:positionV>
                      <wp:extent cx="561975" cy="266700"/>
                      <wp:effectExtent l="0" t="0" r="0" b="0"/>
                      <wp:wrapNone/>
                      <wp:docPr id="11" name="矩形 178"/>
                      <wp:cNvGraphicFramePr/>
                      <a:graphic xmlns:a="http://schemas.openxmlformats.org/drawingml/2006/main">
                        <a:graphicData uri="http://schemas.microsoft.com/office/word/2010/wordprocessingShape">
                          <wps:wsp>
                            <wps:cNvSpPr/>
                            <wps:spPr>
                              <a:xfrm>
                                <a:off x="0" y="0"/>
                                <a:ext cx="561975" cy="266700"/>
                              </a:xfrm>
                              <a:prstGeom prst="rect">
                                <a:avLst/>
                              </a:prstGeom>
                              <a:solidFill>
                                <a:srgbClr val="FFFFFF">
                                  <a:alpha val="0"/>
                                </a:srgbClr>
                              </a:solidFill>
                              <a:ln>
                                <a:noFill/>
                              </a:ln>
                              <a:effectLst/>
                            </wps:spPr>
                            <wps:txbx>
                              <w:txbxContent>
                                <w:p>
                                  <w:r>
                                    <w:rPr>
                                      <w:rFonts w:hint="eastAsia"/>
                                    </w:rPr>
                                    <w:t>0.0004</w:t>
                                  </w:r>
                                </w:p>
                              </w:txbxContent>
                            </wps:txbx>
                            <wps:bodyPr upright="1"/>
                          </wps:wsp>
                        </a:graphicData>
                      </a:graphic>
                    </wp:anchor>
                  </w:drawing>
                </mc:Choice>
                <mc:Fallback>
                  <w:pict>
                    <v:rect id="矩形 178" o:spid="_x0000_s1026" o:spt="1" style="position:absolute;left:0pt;margin-left:256.35pt;margin-top:41.6pt;height:21pt;width:44.25pt;z-index:251672576;mso-width-relative:page;mso-height-relative:page;" fillcolor="#FFFFFF" filled="t" stroked="f" coordsize="21600,21600" o:gfxdata="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bjZWE2QAAAAoBAAAPAAAAAAAAAAEAIAAAACIAAABkcnMv&#10;ZG93bnJldi54bWxQSwECFAAUAAAACACHTuJAAQOtaMkBAACXAwAADgAAAAAAAAABACAAAAAoAQAA&#10;ZHJzL2Uyb0RvYy54bWxQSwUGAAAAAAYABgBZAQAAYwUAAAAA&#10;">
                      <v:fill on="t" opacity="0f" focussize="0,0"/>
                      <v:stroke on="f"/>
                      <v:imagedata o:title=""/>
                      <o:lock v:ext="edit" aspectratio="f"/>
                      <v:textbox>
                        <w:txbxContent>
                          <w:p>
                            <w:r>
                              <w:rPr>
                                <w:rFonts w:hint="eastAsia"/>
                              </w:rPr>
                              <w:t>0.0004</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3103245</wp:posOffset>
                      </wp:positionH>
                      <wp:positionV relativeFrom="paragraph">
                        <wp:posOffset>709930</wp:posOffset>
                      </wp:positionV>
                      <wp:extent cx="226060" cy="163830"/>
                      <wp:effectExtent l="0" t="38100" r="59690" b="26670"/>
                      <wp:wrapNone/>
                      <wp:docPr id="6" name="任意多边形 144"/>
                      <wp:cNvGraphicFramePr/>
                      <a:graphic xmlns:a="http://schemas.openxmlformats.org/drawingml/2006/main">
                        <a:graphicData uri="http://schemas.microsoft.com/office/word/2010/wordprocessingShape">
                          <wps:wsp>
                            <wps:cNvSpPr/>
                            <wps:spPr>
                              <a:xfrm>
                                <a:off x="0" y="0"/>
                                <a:ext cx="226060" cy="163830"/>
                              </a:xfrm>
                              <a:custGeom>
                                <a:avLst/>
                                <a:gdLst/>
                                <a:ahLst/>
                                <a:cxnLst/>
                                <a:rect l="0" t="0" r="0" b="0"/>
                                <a:pathLst>
                                  <a:path w="805" h="774">
                                    <a:moveTo>
                                      <a:pt x="0" y="774"/>
                                    </a:moveTo>
                                    <a:cubicBezTo>
                                      <a:pt x="144" y="468"/>
                                      <a:pt x="289" y="163"/>
                                      <a:pt x="360" y="150"/>
                                    </a:cubicBezTo>
                                    <a:cubicBezTo>
                                      <a:pt x="431" y="137"/>
                                      <a:pt x="351" y="721"/>
                                      <a:pt x="425" y="696"/>
                                    </a:cubicBezTo>
                                    <a:cubicBezTo>
                                      <a:pt x="499" y="671"/>
                                      <a:pt x="652" y="335"/>
                                      <a:pt x="805" y="0"/>
                                    </a:cubicBezTo>
                                  </a:path>
                                </a:pathLst>
                              </a:custGeom>
                              <a:noFill/>
                              <a:ln w="9525" cap="flat" cmpd="sng">
                                <a:solidFill>
                                  <a:srgbClr val="000000"/>
                                </a:solidFill>
                                <a:prstDash val="solid"/>
                                <a:headEnd type="none" w="med" len="med"/>
                                <a:tailEnd type="stealth" w="med" len="med"/>
                              </a:ln>
                              <a:effectLst/>
                            </wps:spPr>
                            <wps:bodyPr upright="1"/>
                          </wps:wsp>
                        </a:graphicData>
                      </a:graphic>
                    </wp:anchor>
                  </w:drawing>
                </mc:Choice>
                <mc:Fallback>
                  <w:pict>
                    <v:shape id="任意多边形 144" o:spid="_x0000_s1026" o:spt="100" style="position:absolute;left:0pt;margin-left:244.35pt;margin-top:55.9pt;height:12.9pt;width:17.8pt;z-index:251671552;mso-width-relative:page;mso-height-relative:page;" filled="f" stroked="t" coordsize="805,774" o:gfxdata="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wwhU52wAAAAsBAAAPAAAAAAAAAAEAIAAAACIAAABkcnMvZG93bnJldi54&#10;bWxQSwECFAAUAAAACACHTuJA5oUqcqICAADABQAADgAAAAAAAAABACAAAAAqAQAAZHJzL2Uyb0Rv&#10;Yy54bWxQSwUGAAAAAAYABgBZAQAAPgYAAAAA&#10;" path="m0,774c144,468,289,163,360,150c431,137,351,721,425,696c499,671,652,335,805,0e">
                      <v:fill on="f" focussize="0,0"/>
                      <v:stroke color="#000000" joinstyle="round" endarrow="classic"/>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1734185</wp:posOffset>
                      </wp:positionH>
                      <wp:positionV relativeFrom="paragraph">
                        <wp:posOffset>1349375</wp:posOffset>
                      </wp:positionV>
                      <wp:extent cx="0" cy="184785"/>
                      <wp:effectExtent l="57785" t="15875" r="56515" b="8890"/>
                      <wp:wrapNone/>
                      <wp:docPr id="5" name="AutoShape 35"/>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000000"/>
                                </a:solidFill>
                                <a:round/>
                                <a:tailEnd type="triangle" w="med" len="med"/>
                              </a:ln>
                            </wps:spPr>
                            <wps:bodyPr/>
                          </wps:wsp>
                        </a:graphicData>
                      </a:graphic>
                    </wp:anchor>
                  </w:drawing>
                </mc:Choice>
                <mc:Fallback>
                  <w:pict>
                    <v:shape id="AutoShape 35" o:spid="_x0000_s1026" o:spt="32" type="#_x0000_t32" style="position:absolute;left:0pt;flip:y;margin-left:136.55pt;margin-top:106.25pt;height:14.55pt;width:0pt;z-index:251670528;mso-width-relative:page;mso-height-relative:page;" filled="f" stroked="t" coordsize="21600,21600" o:gfxdata="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pBjY2AAAAAsBAAAPAAAAAAAAAAEAIAAAACIAAABkcnMvZG93bnJldi54bWxQSwEC&#10;FAAUAAAACACHTuJAIds9NfQBAADqAwAADgAAAAAAAAABACAAAAAnAQAAZHJzL2Uyb0RvYy54bWxQ&#10;SwUGAAAAAAYABgBZAQAAj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1729740</wp:posOffset>
                      </wp:positionH>
                      <wp:positionV relativeFrom="paragraph">
                        <wp:posOffset>1513205</wp:posOffset>
                      </wp:positionV>
                      <wp:extent cx="1550035" cy="635"/>
                      <wp:effectExtent l="5715" t="8255" r="6350" b="10160"/>
                      <wp:wrapNone/>
                      <wp:docPr id="4" name="Freeform 34"/>
                      <wp:cNvGraphicFramePr/>
                      <a:graphic xmlns:a="http://schemas.openxmlformats.org/drawingml/2006/main">
                        <a:graphicData uri="http://schemas.microsoft.com/office/word/2010/wordprocessingShape">
                          <wps:wsp>
                            <wps:cNvSpPr/>
                            <wps:spPr bwMode="auto">
                              <a:xfrm>
                                <a:off x="0" y="0"/>
                                <a:ext cx="1550035" cy="635"/>
                              </a:xfrm>
                              <a:custGeom>
                                <a:avLst/>
                                <a:gdLst>
                                  <a:gd name="T0" fmla="*/ 2441 w 2441"/>
                                  <a:gd name="T1" fmla="*/ 0 h 1"/>
                                  <a:gd name="T2" fmla="*/ 0 w 2441"/>
                                  <a:gd name="T3" fmla="*/ 0 h 1"/>
                                </a:gdLst>
                                <a:ahLst/>
                                <a:cxnLst>
                                  <a:cxn ang="0">
                                    <a:pos x="T0" y="T1"/>
                                  </a:cxn>
                                  <a:cxn ang="0">
                                    <a:pos x="T2" y="T3"/>
                                  </a:cxn>
                                </a:cxnLst>
                                <a:rect l="0" t="0" r="r" b="b"/>
                                <a:pathLst>
                                  <a:path w="2441" h="1">
                                    <a:moveTo>
                                      <a:pt x="2441" y="0"/>
                                    </a:moveTo>
                                    <a:lnTo>
                                      <a:pt x="0" y="0"/>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Freeform 34" o:spid="_x0000_s1026" o:spt="100" style="position:absolute;left:0pt;margin-left:136.2pt;margin-top:119.15pt;height:0.05pt;width:122.05pt;z-index:251664384;mso-width-relative:page;mso-height-relative:page;" filled="f" stroked="t" coordsize="2441,1" o:gfxdata="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pV5H2QAAAAsBAAAPAAAAAAAAAAEAIAAAACIAAABkcnMvZG93bnJldi54bWxQSwECFAAU&#10;AAAACACHTuJAIL6n0psCAAC9BQAADgAAAAAAAAABACAAAAAoAQAAZHJzL2Uyb0RvYy54bWxQSwUG&#10;AAAAAAYABgBZAQAANQYAAAAA&#10;" path="m2441,0l0,0e">
                      <v:path o:connectlocs="1550035,0;0,0" o:connectangles="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3279775</wp:posOffset>
                      </wp:positionH>
                      <wp:positionV relativeFrom="paragraph">
                        <wp:posOffset>1357630</wp:posOffset>
                      </wp:positionV>
                      <wp:extent cx="635" cy="163830"/>
                      <wp:effectExtent l="12700" t="5080" r="5715" b="12065"/>
                      <wp:wrapNone/>
                      <wp:docPr id="3" name="Freeform 32"/>
                      <wp:cNvGraphicFramePr/>
                      <a:graphic xmlns:a="http://schemas.openxmlformats.org/drawingml/2006/main">
                        <a:graphicData uri="http://schemas.microsoft.com/office/word/2010/wordprocessingShape">
                          <wps:wsp>
                            <wps:cNvSpPr/>
                            <wps:spPr bwMode="auto">
                              <a:xfrm>
                                <a:off x="0" y="0"/>
                                <a:ext cx="635" cy="163830"/>
                              </a:xfrm>
                              <a:custGeom>
                                <a:avLst/>
                                <a:gdLst>
                                  <a:gd name="T0" fmla="*/ 0 w 1"/>
                                  <a:gd name="T1" fmla="*/ 0 h 258"/>
                                  <a:gd name="T2" fmla="*/ 0 w 1"/>
                                  <a:gd name="T3" fmla="*/ 258 h 258"/>
                                </a:gdLst>
                                <a:ahLst/>
                                <a:cxnLst>
                                  <a:cxn ang="0">
                                    <a:pos x="T0" y="T1"/>
                                  </a:cxn>
                                  <a:cxn ang="0">
                                    <a:pos x="T2" y="T3"/>
                                  </a:cxn>
                                </a:cxnLst>
                                <a:rect l="0" t="0" r="r" b="b"/>
                                <a:pathLst>
                                  <a:path w="1" h="258">
                                    <a:moveTo>
                                      <a:pt x="0" y="0"/>
                                    </a:moveTo>
                                    <a:lnTo>
                                      <a:pt x="0" y="258"/>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Freeform 32" o:spid="_x0000_s1026" o:spt="100" style="position:absolute;left:0pt;margin-left:258.25pt;margin-top:106.9pt;height:12.9pt;width:0.05pt;z-index:251662336;mso-width-relative:page;mso-height-relative:page;" filled="f" stroked="t" coordsize="1,258" o:gfxdata="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Rp2CZtkAAAALAQAADwAAAAAAAAABACAAAAAiAAAAZHJzL2Rvd25yZXYueG1sUEsBAhQAFAAAAAgA&#10;h07iQI69cpuWAgAAtwUAAA4AAAAAAAAAAQAgAAAAKAEAAGRycy9lMm9Eb2MueG1sUEsFBgAAAAAG&#10;AAYAWQEAADAGAAAAAA==&#10;" path="m0,0l0,258e">
                      <v:path o:connectlocs="0,0;0,163830" o:connectangles="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2780665</wp:posOffset>
                      </wp:positionH>
                      <wp:positionV relativeFrom="paragraph">
                        <wp:posOffset>868045</wp:posOffset>
                      </wp:positionV>
                      <wp:extent cx="1063625" cy="471170"/>
                      <wp:effectExtent l="0" t="0" r="22225" b="24130"/>
                      <wp:wrapNone/>
                      <wp:docPr id="20" name="矩形 147"/>
                      <wp:cNvGraphicFramePr/>
                      <a:graphic xmlns:a="http://schemas.openxmlformats.org/drawingml/2006/main">
                        <a:graphicData uri="http://schemas.microsoft.com/office/word/2010/wordprocessingShape">
                          <wps:wsp>
                            <wps:cNvSpPr/>
                            <wps:spPr>
                              <a:xfrm>
                                <a:off x="0" y="0"/>
                                <a:ext cx="1063625" cy="4711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自建废水处理设施</w:t>
                                  </w:r>
                                </w:p>
                              </w:txbxContent>
                            </wps:txbx>
                            <wps:bodyPr upright="1"/>
                          </wps:wsp>
                        </a:graphicData>
                      </a:graphic>
                    </wp:anchor>
                  </w:drawing>
                </mc:Choice>
                <mc:Fallback>
                  <w:pict>
                    <v:rect id="矩形 147" o:spid="_x0000_s1026" o:spt="1" style="position:absolute;left:0pt;margin-left:218.95pt;margin-top:68.35pt;height:37.1pt;width:83.75pt;z-index:251667456;mso-width-relative:page;mso-height-relative:page;" fillcolor="#FFFFFF" filled="t" stroked="t" coordsize="21600,21600" o:gfxdata="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QJK/nZAAAACwEAAA8AAAAAAAAAAQAgAAAA&#10;IgAAAGRycy9kb3ducmV2LnhtbFBLAQIUABQAAAAIAIdO4kBLKVGVCgIAADoEAAAOAAAAAAAAAAEA&#10;IAAAACgBAABkcnMvZTJvRG9jLnhtbFBLBQYAAAAABgAGAFkBAACkBQAAAAA=&#10;">
                      <v:fill on="t" focussize="0,0"/>
                      <v:stroke color="#000000" joinstyle="miter"/>
                      <v:imagedata o:title=""/>
                      <o:lock v:ext="edit" aspectratio="f"/>
                      <v:textbox>
                        <w:txbxContent>
                          <w:p>
                            <w:r>
                              <w:rPr>
                                <w:rFonts w:hint="eastAsia"/>
                              </w:rPr>
                              <w:t>自建废水处理设施</w:t>
                            </w:r>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1695450</wp:posOffset>
                      </wp:positionH>
                      <wp:positionV relativeFrom="paragraph">
                        <wp:posOffset>55245</wp:posOffset>
                      </wp:positionV>
                      <wp:extent cx="226060" cy="163830"/>
                      <wp:effectExtent l="0" t="38100" r="59690" b="26670"/>
                      <wp:wrapNone/>
                      <wp:docPr id="144" name="任意多边形 144"/>
                      <wp:cNvGraphicFramePr/>
                      <a:graphic xmlns:a="http://schemas.openxmlformats.org/drawingml/2006/main">
                        <a:graphicData uri="http://schemas.microsoft.com/office/word/2010/wordprocessingShape">
                          <wps:wsp>
                            <wps:cNvSpPr/>
                            <wps:spPr>
                              <a:xfrm>
                                <a:off x="0" y="0"/>
                                <a:ext cx="226060" cy="163830"/>
                              </a:xfrm>
                              <a:custGeom>
                                <a:avLst/>
                                <a:gdLst/>
                                <a:ahLst/>
                                <a:cxnLst/>
                                <a:rect l="0" t="0" r="0" b="0"/>
                                <a:pathLst>
                                  <a:path w="805" h="774">
                                    <a:moveTo>
                                      <a:pt x="0" y="774"/>
                                    </a:moveTo>
                                    <a:cubicBezTo>
                                      <a:pt x="144" y="468"/>
                                      <a:pt x="289" y="163"/>
                                      <a:pt x="360" y="150"/>
                                    </a:cubicBezTo>
                                    <a:cubicBezTo>
                                      <a:pt x="431" y="137"/>
                                      <a:pt x="351" y="721"/>
                                      <a:pt x="425" y="696"/>
                                    </a:cubicBezTo>
                                    <a:cubicBezTo>
                                      <a:pt x="499" y="671"/>
                                      <a:pt x="652" y="335"/>
                                      <a:pt x="805" y="0"/>
                                    </a:cubicBezTo>
                                  </a:path>
                                </a:pathLst>
                              </a:custGeom>
                              <a:noFill/>
                              <a:ln w="9525" cap="flat" cmpd="sng">
                                <a:solidFill>
                                  <a:srgbClr val="000000"/>
                                </a:solidFill>
                                <a:prstDash val="solid"/>
                                <a:headEnd type="none" w="med" len="med"/>
                                <a:tailEnd type="stealth" w="med" len="med"/>
                              </a:ln>
                              <a:effectLst/>
                            </wps:spPr>
                            <wps:bodyPr upright="1"/>
                          </wps:wsp>
                        </a:graphicData>
                      </a:graphic>
                    </wp:anchor>
                  </w:drawing>
                </mc:Choice>
                <mc:Fallback>
                  <w:pict>
                    <v:shape id="_x0000_s1026" o:spid="_x0000_s1026" o:spt="100" style="position:absolute;left:0pt;margin-left:133.5pt;margin-top:4.35pt;height:12.9pt;width:17.8pt;z-index:251668480;mso-width-relative:page;mso-height-relative:page;" filled="f" stroked="t" coordsize="805,774" o:gfxdata="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eWkojaAAAACAEAAA8AAAAAAAAAAQAgAAAAIgAAAGRycy9kb3ducmV2Lnht&#10;bFBLAQIUABQAAAAIAIdO4kDujZkDogIAAMIFAAAOAAAAAAAAAAEAIAAAACkBAABkcnMvZTJvRG9j&#10;LnhtbFBLBQYAAAAABgAGAFkBAAA9BgAAAAA=&#10;" path="m0,774c144,468,289,163,360,150c431,137,351,721,425,696c499,671,652,335,805,0e">
                      <v:fill on="f" focussize="0,0"/>
                      <v:stroke color="#000000" joinstyle="round" endarrow="classic"/>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223520</wp:posOffset>
                      </wp:positionV>
                      <wp:extent cx="534670" cy="286385"/>
                      <wp:effectExtent l="0" t="0" r="17780" b="18415"/>
                      <wp:wrapNone/>
                      <wp:docPr id="61" name="矩形 147"/>
                      <wp:cNvGraphicFramePr/>
                      <a:graphic xmlns:a="http://schemas.openxmlformats.org/drawingml/2006/main">
                        <a:graphicData uri="http://schemas.microsoft.com/office/word/2010/wordprocessingShape">
                          <wps:wsp>
                            <wps:cNvSpPr/>
                            <wps:spPr>
                              <a:xfrm>
                                <a:off x="0" y="0"/>
                                <a:ext cx="534670" cy="2863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清掏</w:t>
                                  </w:r>
                                </w:p>
                              </w:txbxContent>
                            </wps:txbx>
                            <wps:bodyPr upright="1"/>
                          </wps:wsp>
                        </a:graphicData>
                      </a:graphic>
                    </wp:anchor>
                  </w:drawing>
                </mc:Choice>
                <mc:Fallback>
                  <w:pict>
                    <v:rect id="矩形 147" o:spid="_x0000_s1026" o:spt="1" style="position:absolute;left:0pt;margin-left:303.15pt;margin-top:17.6pt;height:22.55pt;width:42.1pt;z-index:251665408;mso-width-relative:page;mso-height-relative:page;" fillcolor="#FFFFFF" filled="t" stroked="t" coordsize="21600,21600" o:gfxdata="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LaGTNcAAAAJAQAADwAAAAAAAAABACAAAAAiAAAA&#10;ZHJzL2Rvd25yZXYueG1sUEsBAhQAFAAAAAgAh07iQB9FnOQIAgAAOQQAAA4AAAAAAAAAAQAgAAAA&#10;JgEAAGRycy9lMm9Eb2MueG1sUEsFBgAAAAAGAAYAWQEAAKAFAAAAAA==&#10;">
                      <v:fill on="t" focussize="0,0"/>
                      <v:stroke color="#000000" joinstyle="miter"/>
                      <v:imagedata o:title=""/>
                      <o:lock v:ext="edit" aspectratio="f"/>
                      <v:textbox>
                        <w:txbxContent>
                          <w:p>
                            <w:r>
                              <w:rPr>
                                <w:rFonts w:hint="eastAsia"/>
                              </w:rPr>
                              <w:t>清掏</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3345180</wp:posOffset>
                      </wp:positionH>
                      <wp:positionV relativeFrom="paragraph">
                        <wp:posOffset>355600</wp:posOffset>
                      </wp:positionV>
                      <wp:extent cx="473075" cy="0"/>
                      <wp:effectExtent l="0" t="76200" r="22225" b="95250"/>
                      <wp:wrapNone/>
                      <wp:docPr id="19" name="自选图形 172"/>
                      <wp:cNvGraphicFramePr/>
                      <a:graphic xmlns:a="http://schemas.openxmlformats.org/drawingml/2006/main">
                        <a:graphicData uri="http://schemas.microsoft.com/office/word/2010/wordprocessingShape">
                          <wps:wsp>
                            <wps:cNvCnPr/>
                            <wps:spPr>
                              <a:xfrm>
                                <a:off x="0" y="0"/>
                                <a:ext cx="4730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72" o:spid="_x0000_s1026" o:spt="32" type="#_x0000_t32" style="position:absolute;left:0pt;margin-left:263.4pt;margin-top:28pt;height:0pt;width:37.25pt;z-index:251666432;mso-width-relative:page;mso-height-relative:page;" filled="f" stroked="t" coordsize="21600,21600" o:gfxdata="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GTh7PXAAAACQEAAA8AAAAAAAAAAQAgAAAAIgAAAGRycy9k&#10;b3ducmV2LnhtbFBLAQIUABQAAAAIAIdO4kC8MNmIAwIAAPcDAAAOAAAAAAAAAAEAIAAAACYBAABk&#10;cnMvZTJvRG9jLnhtbFBLBQYAAAAABgAGAFkBAACbBQAAAAA=&#10;">
                      <v:fill on="f" focussize="0,0"/>
                      <v:stroke color="#000000" joinstyle="round" endarrow="block"/>
                      <v:imagedata o:title=""/>
                      <o:lock v:ext="edit" aspectratio="f"/>
                    </v:shape>
                  </w:pict>
                </mc:Fallback>
              </mc:AlternateContent>
            </w:r>
            <w:r>
              <mc:AlternateContent>
                <mc:Choice Requires="wpg">
                  <w:drawing>
                    <wp:inline distT="0" distB="0" distL="0" distR="0">
                      <wp:extent cx="3991610" cy="2087880"/>
                      <wp:effectExtent l="0" t="0" r="0" b="26670"/>
                      <wp:docPr id="53" name="组合 125"/>
                      <wp:cNvGraphicFramePr/>
                      <a:graphic xmlns:a="http://schemas.openxmlformats.org/drawingml/2006/main">
                        <a:graphicData uri="http://schemas.microsoft.com/office/word/2010/wordprocessingGroup">
                          <wpg:wgp>
                            <wpg:cNvGrpSpPr/>
                            <wpg:grpSpPr>
                              <a:xfrm>
                                <a:off x="0" y="0"/>
                                <a:ext cx="3991610" cy="2087880"/>
                                <a:chOff x="-67945" y="-48895"/>
                                <a:chExt cx="3990975" cy="2087245"/>
                              </a:xfrm>
                              <a:effectLst/>
                            </wpg:grpSpPr>
                            <wps:wsp>
                              <wps:cNvPr id="75" name="自选图形 122"/>
                              <wps:cNvCnPr/>
                              <wps:spPr>
                                <a:xfrm>
                                  <a:off x="511718" y="263460"/>
                                  <a:ext cx="0" cy="1580186"/>
                                </a:xfrm>
                                <a:prstGeom prst="straightConnector1">
                                  <a:avLst/>
                                </a:prstGeom>
                                <a:ln w="9525" cap="flat" cmpd="sng">
                                  <a:solidFill>
                                    <a:srgbClr val="000000"/>
                                  </a:solidFill>
                                  <a:prstDash val="solid"/>
                                  <a:headEnd type="none" w="med" len="med"/>
                                  <a:tailEnd type="none" w="med" len="med"/>
                                </a:ln>
                                <a:effectLst/>
                              </wps:spPr>
                              <wps:bodyPr/>
                            </wps:wsp>
                            <wpg:grpSp>
                              <wpg:cNvPr id="54" name="组合 121"/>
                              <wpg:cNvGrpSpPr/>
                              <wpg:grpSpPr>
                                <a:xfrm>
                                  <a:off x="-67945" y="-48895"/>
                                  <a:ext cx="3990975" cy="2087245"/>
                                  <a:chOff x="-67945" y="-48895"/>
                                  <a:chExt cx="3990975" cy="2087245"/>
                                </a:xfrm>
                                <a:effectLst/>
                              </wpg:grpSpPr>
                              <wps:wsp>
                                <wps:cNvPr id="92" name="自选图形 117"/>
                                <wps:cNvCnPr/>
                                <wps:spPr>
                                  <a:xfrm>
                                    <a:off x="514257" y="1872665"/>
                                    <a:ext cx="580933" cy="0"/>
                                  </a:xfrm>
                                  <a:prstGeom prst="straightConnector1">
                                    <a:avLst/>
                                  </a:prstGeom>
                                  <a:ln w="9525" cap="flat" cmpd="sng">
                                    <a:solidFill>
                                      <a:srgbClr val="000000"/>
                                    </a:solidFill>
                                    <a:prstDash val="solid"/>
                                    <a:headEnd type="none" w="med" len="med"/>
                                    <a:tailEnd type="triangle" w="med" len="med"/>
                                  </a:ln>
                                  <a:effectLst/>
                                </wps:spPr>
                                <wps:bodyPr/>
                              </wps:wsp>
                              <wps:wsp>
                                <wps:cNvPr id="93" name="自选图形 118"/>
                                <wps:cNvCnPr/>
                                <wps:spPr>
                                  <a:xfrm>
                                    <a:off x="504782" y="901987"/>
                                    <a:ext cx="581025" cy="0"/>
                                  </a:xfrm>
                                  <a:prstGeom prst="straightConnector1">
                                    <a:avLst/>
                                  </a:prstGeom>
                                  <a:ln w="9525" cap="flat" cmpd="sng">
                                    <a:solidFill>
                                      <a:srgbClr val="000000"/>
                                    </a:solidFill>
                                    <a:prstDash val="solid"/>
                                    <a:headEnd type="none" w="med" len="med"/>
                                    <a:tailEnd type="triangle" w="med" len="med"/>
                                  </a:ln>
                                  <a:effectLst/>
                                </wps:spPr>
                                <wps:bodyPr/>
                              </wps:wsp>
                              <wpg:grpSp>
                                <wpg:cNvPr id="55" name="组合 119"/>
                                <wpg:cNvGrpSpPr/>
                                <wpg:grpSpPr>
                                  <a:xfrm>
                                    <a:off x="-67945" y="-48895"/>
                                    <a:ext cx="3990975" cy="2087245"/>
                                    <a:chOff x="-67945" y="-48895"/>
                                    <a:chExt cx="3990975" cy="2087245"/>
                                  </a:xfrm>
                                  <a:effectLst/>
                                </wpg:grpSpPr>
                                <wps:wsp>
                                  <wps:cNvPr id="95" name="矩形 177"/>
                                  <wps:cNvSpPr/>
                                  <wps:spPr>
                                    <a:xfrm>
                                      <a:off x="2190750" y="0"/>
                                      <a:ext cx="561975" cy="266700"/>
                                    </a:xfrm>
                                    <a:prstGeom prst="rect">
                                      <a:avLst/>
                                    </a:prstGeom>
                                    <a:solidFill>
                                      <a:srgbClr val="FFFFFF">
                                        <a:alpha val="0"/>
                                      </a:srgbClr>
                                    </a:solidFill>
                                    <a:ln>
                                      <a:noFill/>
                                    </a:ln>
                                    <a:effectLst/>
                                  </wps:spPr>
                                  <wps:txbx>
                                    <w:txbxContent>
                                      <w:p>
                                        <w:r>
                                          <w:rPr>
                                            <w:rFonts w:hint="eastAsia"/>
                                          </w:rPr>
                                          <w:t>0.72</w:t>
                                        </w:r>
                                      </w:p>
                                    </w:txbxContent>
                                  </wps:txbx>
                                  <wps:bodyPr upright="1"/>
                                </wps:wsp>
                                <wps:wsp>
                                  <wps:cNvPr id="96" name="矩形 178"/>
                                  <wps:cNvSpPr/>
                                  <wps:spPr>
                                    <a:xfrm>
                                      <a:off x="2057697" y="685577"/>
                                      <a:ext cx="561886" cy="266619"/>
                                    </a:xfrm>
                                    <a:prstGeom prst="rect">
                                      <a:avLst/>
                                    </a:prstGeom>
                                    <a:solidFill>
                                      <a:srgbClr val="FFFFFF">
                                        <a:alpha val="0"/>
                                      </a:srgbClr>
                                    </a:solidFill>
                                    <a:ln>
                                      <a:noFill/>
                                    </a:ln>
                                    <a:effectLst/>
                                  </wps:spPr>
                                  <wps:txbx>
                                    <w:txbxContent>
                                      <w:p>
                                        <w:r>
                                          <w:rPr>
                                            <w:rFonts w:hint="eastAsia"/>
                                          </w:rPr>
                                          <w:t>0.0016</w:t>
                                        </w:r>
                                      </w:p>
                                    </w:txbxContent>
                                  </wps:txbx>
                                  <wps:bodyPr upright="1"/>
                                </wps:wsp>
                                <wps:wsp>
                                  <wps:cNvPr id="97" name="矩形 179"/>
                                  <wps:cNvSpPr/>
                                  <wps:spPr>
                                    <a:xfrm>
                                      <a:off x="1819610" y="1514000"/>
                                      <a:ext cx="561886" cy="267254"/>
                                    </a:xfrm>
                                    <a:prstGeom prst="rect">
                                      <a:avLst/>
                                    </a:prstGeom>
                                    <a:solidFill>
                                      <a:srgbClr val="FFFFFF">
                                        <a:alpha val="0"/>
                                      </a:srgbClr>
                                    </a:solidFill>
                                    <a:ln>
                                      <a:noFill/>
                                    </a:ln>
                                    <a:effectLst/>
                                  </wps:spPr>
                                  <wps:txbx>
                                    <w:txbxContent>
                                      <w:p>
                                        <w:r>
                                          <w:rPr>
                                            <w:rFonts w:hint="eastAsia"/>
                                          </w:rPr>
                                          <w:t>0.08</w:t>
                                        </w:r>
                                      </w:p>
                                    </w:txbxContent>
                                  </wps:txbx>
                                  <wps:bodyPr upright="1"/>
                                </wps:wsp>
                                <wpg:grpSp>
                                  <wpg:cNvPr id="56" name="组合 109"/>
                                  <wpg:cNvGrpSpPr/>
                                  <wpg:grpSpPr>
                                    <a:xfrm>
                                      <a:off x="-67945" y="-48895"/>
                                      <a:ext cx="3990975" cy="2087245"/>
                                      <a:chOff x="-67945" y="-48895"/>
                                      <a:chExt cx="3990975" cy="2087245"/>
                                    </a:xfrm>
                                    <a:effectLst/>
                                  </wpg:grpSpPr>
                                  <wps:wsp>
                                    <wps:cNvPr id="99" name="自选图形 116"/>
                                    <wps:cNvCnPr/>
                                    <wps:spPr>
                                      <a:xfrm>
                                        <a:off x="504825" y="266700"/>
                                        <a:ext cx="581025" cy="0"/>
                                      </a:xfrm>
                                      <a:prstGeom prst="straightConnector1">
                                        <a:avLst/>
                                      </a:prstGeom>
                                      <a:ln w="9525" cap="flat" cmpd="sng">
                                        <a:solidFill>
                                          <a:srgbClr val="000000"/>
                                        </a:solidFill>
                                        <a:prstDash val="solid"/>
                                        <a:headEnd type="none" w="med" len="med"/>
                                        <a:tailEnd type="triangle" w="med" len="med"/>
                                      </a:ln>
                                      <a:effectLst/>
                                    </wps:spPr>
                                    <wps:bodyPr/>
                                  </wps:wsp>
                                  <wpg:grpSp>
                                    <wpg:cNvPr id="57" name="组合 210"/>
                                    <wpg:cNvGrpSpPr/>
                                    <wpg:grpSpPr>
                                      <a:xfrm>
                                        <a:off x="-67945" y="-48895"/>
                                        <a:ext cx="3990975" cy="2087245"/>
                                        <a:chOff x="6080" y="503244"/>
                                        <a:chExt cx="6285" cy="3287"/>
                                      </a:xfrm>
                                      <a:effectLst/>
                                    </wpg:grpSpPr>
                                    <wpg:grpSp>
                                      <wpg:cNvPr id="58" name="组合 207"/>
                                      <wpg:cNvGrpSpPr/>
                                      <wpg:grpSpPr>
                                        <a:xfrm>
                                          <a:off x="7900" y="503531"/>
                                          <a:ext cx="3405" cy="3000"/>
                                          <a:chOff x="7900" y="503531"/>
                                          <a:chExt cx="3405" cy="3000"/>
                                        </a:xfrm>
                                        <a:effectLst/>
                                      </wpg:grpSpPr>
                                      <wps:wsp>
                                        <wps:cNvPr id="102" name="矩形 124"/>
                                        <wps:cNvSpPr/>
                                        <wps:spPr>
                                          <a:xfrm>
                                            <a:off x="7900" y="503531"/>
                                            <a:ext cx="1635" cy="5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职工</w:t>
                                              </w:r>
                                              <w:r>
                                                <w:t>生活用水</w:t>
                                              </w:r>
                                            </w:p>
                                          </w:txbxContent>
                                        </wps:txbx>
                                        <wps:bodyPr upright="1"/>
                                      </wps:wsp>
                                      <wps:wsp>
                                        <wps:cNvPr id="103" name="矩形 130"/>
                                        <wps:cNvSpPr/>
                                        <wps:spPr>
                                          <a:xfrm>
                                            <a:off x="7900" y="504536"/>
                                            <a:ext cx="1589" cy="7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水性油墨机清洗用水</w:t>
                                              </w:r>
                                            </w:p>
                                          </w:txbxContent>
                                        </wps:txbx>
                                        <wps:bodyPr upright="1"/>
                                      </wps:wsp>
                                      <wps:wsp>
                                        <wps:cNvPr id="104" name="矩形 131"/>
                                        <wps:cNvSpPr/>
                                        <wps:spPr>
                                          <a:xfrm>
                                            <a:off x="7930" y="506021"/>
                                            <a:ext cx="1155" cy="5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制胶用</w:t>
                                              </w:r>
                                              <w:r>
                                                <w:t>水</w:t>
                                              </w:r>
                                            </w:p>
                                          </w:txbxContent>
                                        </wps:txbx>
                                        <wps:bodyPr upright="1"/>
                                      </wps:wsp>
                                      <wps:wsp>
                                        <wps:cNvPr id="119" name="矩形 136"/>
                                        <wps:cNvSpPr/>
                                        <wps:spPr>
                                          <a:xfrm>
                                            <a:off x="9805" y="506037"/>
                                            <a:ext cx="1380" cy="46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进入产品</w:t>
                                              </w:r>
                                            </w:p>
                                          </w:txbxContent>
                                        </wps:txbx>
                                        <wps:bodyPr upright="1"/>
                                      </wps:wsp>
                                      <wps:wsp>
                                        <wps:cNvPr id="120" name="矩形 147"/>
                                        <wps:cNvSpPr/>
                                        <wps:spPr>
                                          <a:xfrm>
                                            <a:off x="10315" y="503546"/>
                                            <a:ext cx="990" cy="45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化粪池</w:t>
                                              </w:r>
                                            </w:p>
                                          </w:txbxContent>
                                        </wps:txbx>
                                        <wps:bodyPr upright="1"/>
                                      </wps:wsp>
                                      <wps:wsp>
                                        <wps:cNvPr id="124" name="自选图形 172"/>
                                        <wps:cNvCnPr/>
                                        <wps:spPr>
                                          <a:xfrm>
                                            <a:off x="9535" y="503741"/>
                                            <a:ext cx="745" cy="0"/>
                                          </a:xfrm>
                                          <a:prstGeom prst="straightConnector1">
                                            <a:avLst/>
                                          </a:prstGeom>
                                          <a:ln w="9525" cap="flat" cmpd="sng">
                                            <a:solidFill>
                                              <a:srgbClr val="000000"/>
                                            </a:solidFill>
                                            <a:prstDash val="solid"/>
                                            <a:headEnd type="none" w="med" len="med"/>
                                            <a:tailEnd type="triangle" w="med" len="med"/>
                                          </a:ln>
                                          <a:effectLst/>
                                        </wps:spPr>
                                        <wps:bodyPr/>
                                      </wps:wsp>
                                      <wps:wsp>
                                        <wps:cNvPr id="125" name="自选图形 173"/>
                                        <wps:cNvCnPr/>
                                        <wps:spPr>
                                          <a:xfrm>
                                            <a:off x="9516" y="504895"/>
                                            <a:ext cx="907" cy="0"/>
                                          </a:xfrm>
                                          <a:prstGeom prst="straightConnector1">
                                            <a:avLst/>
                                          </a:prstGeom>
                                          <a:ln w="9525" cap="flat" cmpd="sng">
                                            <a:solidFill>
                                              <a:srgbClr val="000000"/>
                                            </a:solidFill>
                                            <a:prstDash val="solid"/>
                                            <a:headEnd type="none" w="med" len="med"/>
                                            <a:tailEnd type="triangle" w="med" len="med"/>
                                          </a:ln>
                                          <a:effectLst/>
                                        </wps:spPr>
                                        <wps:bodyPr/>
                                      </wps:wsp>
                                      <wps:wsp>
                                        <wps:cNvPr id="126" name="自选图形 174"/>
                                        <wps:cNvCnPr/>
                                        <wps:spPr>
                                          <a:xfrm>
                                            <a:off x="9115" y="506276"/>
                                            <a:ext cx="625" cy="0"/>
                                          </a:xfrm>
                                          <a:prstGeom prst="straightConnector1">
                                            <a:avLst/>
                                          </a:prstGeom>
                                          <a:ln w="9525" cap="flat" cmpd="sng">
                                            <a:solidFill>
                                              <a:srgbClr val="000000"/>
                                            </a:solidFill>
                                            <a:prstDash val="solid"/>
                                            <a:headEnd type="none" w="med" len="med"/>
                                            <a:tailEnd type="triangle" w="med" len="med"/>
                                          </a:ln>
                                          <a:effectLst/>
                                        </wps:spPr>
                                        <wps:bodyPr/>
                                      </wps:wsp>
                                    </wpg:grpSp>
                                    <wpg:grpSp>
                                      <wpg:cNvPr id="59" name="组合 209"/>
                                      <wpg:cNvGrpSpPr/>
                                      <wpg:grpSpPr>
                                        <a:xfrm>
                                          <a:off x="6080" y="503244"/>
                                          <a:ext cx="6285" cy="2921"/>
                                          <a:chOff x="6080" y="503244"/>
                                          <a:chExt cx="6285" cy="2921"/>
                                        </a:xfrm>
                                        <a:effectLst/>
                                      </wpg:grpSpPr>
                                      <wps:wsp>
                                        <wps:cNvPr id="129" name="自选图形 115"/>
                                        <wps:cNvCnPr/>
                                        <wps:spPr>
                                          <a:xfrm>
                                            <a:off x="6080" y="504733"/>
                                            <a:ext cx="905" cy="0"/>
                                          </a:xfrm>
                                          <a:prstGeom prst="straightConnector1">
                                            <a:avLst/>
                                          </a:prstGeom>
                                          <a:ln w="9525" cap="flat" cmpd="sng">
                                            <a:solidFill>
                                              <a:srgbClr val="000000"/>
                                            </a:solidFill>
                                            <a:prstDash val="solid"/>
                                            <a:headEnd type="none" w="med" len="med"/>
                                            <a:tailEnd type="triangle" w="med" len="med"/>
                                          </a:ln>
                                          <a:effectLst/>
                                        </wps:spPr>
                                        <wps:bodyPr/>
                                      </wps:wsp>
                                      <wps:wsp>
                                        <wps:cNvPr id="130" name="矩形 170"/>
                                        <wps:cNvSpPr/>
                                        <wps:spPr>
                                          <a:xfrm>
                                            <a:off x="6247" y="504312"/>
                                            <a:ext cx="660" cy="420"/>
                                          </a:xfrm>
                                          <a:prstGeom prst="rect">
                                            <a:avLst/>
                                          </a:prstGeom>
                                          <a:solidFill>
                                            <a:srgbClr val="FFFFFF">
                                              <a:alpha val="0"/>
                                            </a:srgbClr>
                                          </a:solidFill>
                                          <a:ln>
                                            <a:noFill/>
                                          </a:ln>
                                          <a:effectLst/>
                                        </wps:spPr>
                                        <wps:txbx>
                                          <w:txbxContent>
                                            <w:p>
                                              <w:r>
                                                <w:rPr>
                                                  <w:rFonts w:hint="eastAsia"/>
                                                </w:rPr>
                                                <w:t>1</w:t>
                                              </w:r>
                                            </w:p>
                                          </w:txbxContent>
                                        </wps:txbx>
                                        <wps:bodyPr upright="1"/>
                                      </wps:wsp>
                                      <wpg:grpSp>
                                        <wpg:cNvPr id="60" name="组合 208"/>
                                        <wpg:cNvGrpSpPr/>
                                        <wpg:grpSpPr>
                                          <a:xfrm>
                                            <a:off x="7072" y="503244"/>
                                            <a:ext cx="5293" cy="2921"/>
                                            <a:chOff x="7072" y="503244"/>
                                            <a:chExt cx="5293" cy="2921"/>
                                          </a:xfrm>
                                          <a:effectLst/>
                                        </wpg:grpSpPr>
                                        <wps:wsp>
                                          <wps:cNvPr id="132" name="矩形 164"/>
                                          <wps:cNvSpPr/>
                                          <wps:spPr>
                                            <a:xfrm>
                                              <a:off x="7072" y="503321"/>
                                              <a:ext cx="885" cy="420"/>
                                            </a:xfrm>
                                            <a:prstGeom prst="rect">
                                              <a:avLst/>
                                            </a:prstGeom>
                                            <a:solidFill>
                                              <a:srgbClr val="FFFFFF">
                                                <a:alpha val="0"/>
                                              </a:srgbClr>
                                            </a:solidFill>
                                            <a:ln>
                                              <a:noFill/>
                                            </a:ln>
                                            <a:effectLst/>
                                          </wps:spPr>
                                          <wps:txbx>
                                            <w:txbxContent>
                                              <w:p>
                                                <w:r>
                                                  <w:rPr>
                                                    <w:rFonts w:hint="eastAsia"/>
                                                  </w:rPr>
                                                  <w:t>0.9</w:t>
                                                </w:r>
                                              </w:p>
                                            </w:txbxContent>
                                          </wps:txbx>
                                          <wps:bodyPr upright="1"/>
                                        </wps:wsp>
                                        <wps:wsp>
                                          <wps:cNvPr id="133" name="矩形 165"/>
                                          <wps:cNvSpPr/>
                                          <wps:spPr>
                                            <a:xfrm>
                                              <a:off x="7105" y="504368"/>
                                              <a:ext cx="885" cy="420"/>
                                            </a:xfrm>
                                            <a:prstGeom prst="rect">
                                              <a:avLst/>
                                            </a:prstGeom>
                                            <a:solidFill>
                                              <a:srgbClr val="FFFFFF">
                                                <a:alpha val="0"/>
                                              </a:srgbClr>
                                            </a:solidFill>
                                            <a:ln>
                                              <a:noFill/>
                                            </a:ln>
                                            <a:effectLst/>
                                          </wps:spPr>
                                          <wps:txbx>
                                            <w:txbxContent>
                                              <w:p>
                                                <w:r>
                                                  <w:rPr>
                                                    <w:rFonts w:hint="eastAsia"/>
                                                  </w:rPr>
                                                  <w:t>0.02</w:t>
                                                </w:r>
                                              </w:p>
                                            </w:txbxContent>
                                          </wps:txbx>
                                          <wps:bodyPr upright="1"/>
                                        </wps:wsp>
                                        <wps:wsp>
                                          <wps:cNvPr id="134" name="矩形 166"/>
                                          <wps:cNvSpPr/>
                                          <wps:spPr>
                                            <a:xfrm>
                                              <a:off x="7075" y="505751"/>
                                              <a:ext cx="885" cy="414"/>
                                            </a:xfrm>
                                            <a:prstGeom prst="rect">
                                              <a:avLst/>
                                            </a:prstGeom>
                                            <a:solidFill>
                                              <a:srgbClr val="FFFFFF">
                                                <a:alpha val="0"/>
                                              </a:srgbClr>
                                            </a:solidFill>
                                            <a:ln>
                                              <a:noFill/>
                                            </a:ln>
                                            <a:effectLst/>
                                          </wps:spPr>
                                          <wps:txbx>
                                            <w:txbxContent>
                                              <w:p>
                                                <w:r>
                                                  <w:rPr>
                                                    <w:rFonts w:hint="eastAsia"/>
                                                  </w:rPr>
                                                  <w:t>0.08</w:t>
                                                </w:r>
                                              </w:p>
                                            </w:txbxContent>
                                          </wps:txbx>
                                          <wps:bodyPr upright="1"/>
                                        </wps:wsp>
                                        <wps:wsp>
                                          <wps:cNvPr id="140" name="矩形 183"/>
                                          <wps:cNvSpPr/>
                                          <wps:spPr>
                                            <a:xfrm>
                                              <a:off x="11290" y="503244"/>
                                              <a:ext cx="1075" cy="420"/>
                                            </a:xfrm>
                                            <a:prstGeom prst="rect">
                                              <a:avLst/>
                                            </a:prstGeom>
                                            <a:solidFill>
                                              <a:srgbClr val="FFFFFF">
                                                <a:alpha val="0"/>
                                              </a:srgbClr>
                                            </a:solidFill>
                                            <a:ln>
                                              <a:noFill/>
                                            </a:ln>
                                            <a:effectLst/>
                                          </wps:spPr>
                                          <wps:txbx>
                                            <w:txbxContent>
                                              <w:p>
                                                <w:r>
                                                  <w:rPr>
                                                    <w:rFonts w:hint="eastAsia"/>
                                                  </w:rPr>
                                                  <w:t>0.72</w:t>
                                                </w:r>
                                              </w:p>
                                            </w:txbxContent>
                                          </wps:txbx>
                                          <wps:bodyPr upright="1"/>
                                        </wps:wsp>
                                      </wpg:grpSp>
                                    </wpg:grpSp>
                                  </wpg:grpSp>
                                </wpg:grpSp>
                              </wpg:grpSp>
                            </wpg:grpSp>
                          </wpg:wgp>
                        </a:graphicData>
                      </a:graphic>
                    </wp:inline>
                  </w:drawing>
                </mc:Choice>
                <mc:Fallback>
                  <w:pict>
                    <v:group id="组合 125" o:spid="_x0000_s1026" o:spt="203" style="height:164.4pt;width:314.3pt;" coordorigin="-67945,-48895" coordsize="3990975,2087245" o:gfxdata="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">
                      <o:lock v:ext="edit" aspectratio="f"/>
                      <v:shape id="自选图形 122" o:spid="_x0000_s1026" o:spt="32" type="#_x0000_t32" style="position:absolute;left:511718;top:263460;height:1580186;width:0;" filled="f" stroked="t" coordsize="21600,21600" o:gfxdata="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4JB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组合 121" o:spid="_x0000_s1026" o:spt="203" style="position:absolute;left:-67945;top:-48895;height:2087245;width:3990975;" coordorigin="-67945,-48895" coordsize="3990975,2087245"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自选图形 117" o:spid="_x0000_s1026" o:spt="32" type="#_x0000_t32" style="position:absolute;left:514257;top:1872665;height:0;width:580933;" filled="f" stroked="t" coordsize="21600,21600" o:gfxdata="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HR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18" o:spid="_x0000_s1026" o:spt="32" type="#_x0000_t32" style="position:absolute;left:504782;top:901987;height:0;width:581025;" filled="f" stroked="t" coordsize="21600,21600" o:gfxdata="UEsDBAoAAAAAAIdO4kAAAAAAAAAAAAAAAAAEAAAAZHJzL1BLAwQUAAAACACHTuJAgo10174AAADb&#10;AAAADwAAAGRycy9kb3ducmV2LnhtbEWPT2sCMRTE74V+h/CE3mpWC4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101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119" o:spid="_x0000_s1026" o:spt="203" style="position:absolute;left:-67945;top:-48895;height:2087245;width:3990975;" coordorigin="-67945,-48895" coordsize="3990975,2087245"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rect id="矩形 177" o:spid="_x0000_s1026" o:spt="1" style="position:absolute;left:2190750;top:0;height:266700;width:561975;" fillcolor="#FFFFFF" filled="t" stroked="f" coordsize="21600,21600" o:gfxdata="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L4f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r>
                                    <w:rPr>
                                      <w:rFonts w:hint="eastAsia"/>
                                    </w:rPr>
                                    <w:t>0.72</w:t>
                                  </w:r>
                                </w:p>
                              </w:txbxContent>
                            </v:textbox>
                          </v:rect>
                          <v:rect id="矩形 178" o:spid="_x0000_s1026" o:spt="1" style="position:absolute;left:2057697;top:685577;height:266619;width:561886;" fillcolor="#FFFFFF" filled="t" stroked="f" coordsize="21600,21600" o:gfxdata="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GIGi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r>
                                    <w:rPr>
                                      <w:rFonts w:hint="eastAsia"/>
                                    </w:rPr>
                                    <w:t>0.0016</w:t>
                                  </w:r>
                                </w:p>
                              </w:txbxContent>
                            </v:textbox>
                          </v:rect>
                          <v:rect id="矩形 179" o:spid="_x0000_s1026" o:spt="1" style="position:absolute;left:1819610;top:1514000;height:267254;width:561886;" fillcolor="#FFFFFF" filled="t" stroked="f" coordsize="21600,21600" o:gfxdata="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yoXz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r>
                                    <w:rPr>
                                      <w:rFonts w:hint="eastAsia"/>
                                    </w:rPr>
                                    <w:t>0.08</w:t>
                                  </w:r>
                                </w:p>
                              </w:txbxContent>
                            </v:textbox>
                          </v:rect>
                          <v:group id="组合 109" o:spid="_x0000_s1026" o:spt="203" style="position:absolute;left:-67945;top:-48895;height:2087245;width:3990975;" coordorigin="-67945,-48895" coordsize="3990975,2087245"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自选图形 116" o:spid="_x0000_s1026" o:spt="32" type="#_x0000_t32" style="position:absolute;left:504825;top:266700;height:0;width:581025;" filled="f" stroked="t" coordsize="21600,21600" o:gfxdata="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VDP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210" o:spid="_x0000_s1026" o:spt="203" style="position:absolute;left:-67945;top:-48895;height:2087245;width:3990975;" coordorigin="6080,503244" coordsize="6285,3287"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group id="组合 207" o:spid="_x0000_s1026" o:spt="203" style="position:absolute;left:7900;top:503531;height:3000;width:3405;" coordorigin="7900,503531" coordsize="3405,3000"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rect id="矩形 124" o:spid="_x0000_s1026" o:spt="1" style="position:absolute;left:7900;top:503531;height:510;width:1635;" fillcolor="#FFFFFF" filled="t" stroked="t" coordsize="21600,21600" o:gfxdata="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v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职工</w:t>
                                        </w:r>
                                        <w:r>
                                          <w:t>生活用水</w:t>
                                        </w:r>
                                      </w:p>
                                    </w:txbxContent>
                                  </v:textbox>
                                </v:rect>
                                <v:rect id="矩形 130" o:spid="_x0000_s1026" o:spt="1" style="position:absolute;left:7900;top:504536;height:763;width:1589;" fillcolor="#FFFFFF" filled="t" stroked="t" coordsize="21600,2160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水性油墨机清洗用水</w:t>
                                        </w:r>
                                      </w:p>
                                    </w:txbxContent>
                                  </v:textbox>
                                </v:rect>
                                <v:rect id="矩形 131" o:spid="_x0000_s1026" o:spt="1" style="position:absolute;left:7930;top:506021;height:510;width:1155;" fillcolor="#FFFFFF" filled="t" stroked="t" coordsize="21600,21600" o:gfxdata="UEsDBAoAAAAAAIdO4kAAAAAAAAAAAAAAAAAEAAAAZHJzL1BLAwQUAAAACACHTuJA/8p+HLoAAADc&#10;AAAADwAAAGRycy9kb3ducmV2LnhtbEVPPW/CMBDdK/EfrENiKza0Qh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4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制胶用</w:t>
                                        </w:r>
                                        <w:r>
                                          <w:t>水</w:t>
                                        </w:r>
                                      </w:p>
                                    </w:txbxContent>
                                  </v:textbox>
                                </v:rect>
                                <v:rect id="矩形 136" o:spid="_x0000_s1026" o:spt="1" style="position:absolute;left:9805;top:506037;height:466;width:1380;" fillcolor="#FFFFFF" filled="t" stroked="t" coordsize="21600,21600" o:gfxdata="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SR1+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进入产品</w:t>
                                        </w:r>
                                      </w:p>
                                    </w:txbxContent>
                                  </v:textbox>
                                </v:rect>
                                <v:rect id="矩形 147" o:spid="_x0000_s1026" o:spt="1" style="position:absolute;left:10315;top:503546;height:451;width:990;" fillcolor="#FFFFFF" filled="t" stroked="t" coordsize="21600,21600" o:gfxdata="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Qkf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化粪池</w:t>
                                        </w:r>
                                      </w:p>
                                    </w:txbxContent>
                                  </v:textbox>
                                </v:rect>
                                <v:shape id="自选图形 172" o:spid="_x0000_s1026" o:spt="32" type="#_x0000_t32" style="position:absolute;left:9535;top:503741;height:0;width:745;" filled="f" stroked="t" coordsize="21600,21600" o:gfxdata="UEsDBAoAAAAAAIdO4kAAAAAAAAAAAAAAAAAEAAAAZHJzL1BLAwQUAAAACACHTuJA/vKTbL0AAADc&#10;AAAADwAAAGRycy9kb3ducmV2LnhtbEVPS2sCMRC+C/6HMEJvml0p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N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3" o:spid="_x0000_s1026" o:spt="32" type="#_x0000_t32" style="position:absolute;left:9516;top:504895;height:0;width:907;" filled="f" stroked="t" coordsize="21600,21600" o:gfxdata="UEsDBAoAAAAAAIdO4kAAAAAAAAAAAAAAAAAEAAAAZHJzL1BLAwQUAAAACACHTuJAkb42970AAADc&#10;AAAADwAAAGRycy9kb3ducmV2LnhtbEVPS2sCMRC+C/6HMEJvml2h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jb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4" o:spid="_x0000_s1026" o:spt="32" type="#_x0000_t32" style="position:absolute;left:9115;top:506276;height:0;width:625;" filled="f" stroked="t" coordsize="21600,21600" o:gfxdata="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y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v:group id="组合 209" o:spid="_x0000_s1026" o:spt="203" style="position:absolute;left:6080;top:503244;height:2921;width:6285;" coordorigin="6080,503244" coordsize="6285,2921"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自选图形 115" o:spid="_x0000_s1026" o:spt="32" type="#_x0000_t32" style="position:absolute;left:6080;top:504733;height:0;width:905;" filled="f" stroked="t" coordsize="21600,21600" o:gfxdata="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zPP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170" o:spid="_x0000_s1026" o:spt="1" style="position:absolute;left:6247;top:504312;height:420;width:660;" fillcolor="#FFFFFF" filled="t" stroked="f" coordsize="21600,21600" o:gfxdata="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ObL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r>
                                          <w:rPr>
                                            <w:rFonts w:hint="eastAsia"/>
                                          </w:rPr>
                                          <w:t>1</w:t>
                                        </w:r>
                                      </w:p>
                                    </w:txbxContent>
                                  </v:textbox>
                                </v:rect>
                                <v:group id="组合 208" o:spid="_x0000_s1026" o:spt="203" style="position:absolute;left:7072;top:503244;height:2921;width:5293;" coordorigin="7072,503244" coordsize="5293,2921"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rect id="矩形 164" o:spid="_x0000_s1026" o:spt="1" style="position:absolute;left:7072;top:503321;height:420;width:885;" fillcolor="#FFFFFF" filled="t" stroked="f" coordsize="21600,21600" o:gfxdata="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oMG8AAAA&#10;3A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r>
                                            <w:rPr>
                                              <w:rFonts w:hint="eastAsia"/>
                                            </w:rPr>
                                            <w:t>0.9</w:t>
                                          </w:r>
                                        </w:p>
                                      </w:txbxContent>
                                    </v:textbox>
                                  </v:rect>
                                  <v:rect id="矩形 165" o:spid="_x0000_s1026" o:spt="1" style="position:absolute;left:7105;top:504368;height:420;width:885;" fillcolor="#FFFFFF" filled="t" stroked="f" coordsize="21600,21600" o:gfxdata="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RBVq8AAAA&#10;3A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r>
                                            <w:rPr>
                                              <w:rFonts w:hint="eastAsia"/>
                                            </w:rPr>
                                            <w:t>0.02</w:t>
                                          </w:r>
                                        </w:p>
                                      </w:txbxContent>
                                    </v:textbox>
                                  </v:rect>
                                  <v:rect id="矩形 166" o:spid="_x0000_s1026" o:spt="1" style="position:absolute;left:7075;top:505751;height:414;width:885;" fillcolor="#FFFFFF" filled="t" stroked="f" coordsize="21600,21600" o:gfxdata="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idLrsAAADc&#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r>
                                            <w:rPr>
                                              <w:rFonts w:hint="eastAsia"/>
                                            </w:rPr>
                                            <w:t>0.08</w:t>
                                          </w:r>
                                        </w:p>
                                      </w:txbxContent>
                                    </v:textbox>
                                  </v:rect>
                                  <v:rect id="矩形 183" o:spid="_x0000_s1026" o:spt="1" style="position:absolute;left:11290;top:503244;height:420;width:1075;" fillcolor="#FFFFFF" filled="t" stroked="f" coordsize="21600,21600" o:gfxdata="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F6FC/&#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r>
                                            <w:rPr>
                                              <w:rFonts w:hint="eastAsia"/>
                                            </w:rPr>
                                            <w:t>0.72</w:t>
                                          </w:r>
                                        </w:p>
                                      </w:txbxContent>
                                    </v:textbox>
                                  </v:rect>
                                </v:group>
                              </v:group>
                            </v:group>
                          </v:group>
                        </v:group>
                      </v:group>
                      <w10:wrap type="none"/>
                      <w10:anchorlock/>
                    </v:group>
                  </w:pict>
                </mc:Fallback>
              </mc:AlternateContent>
            </w:r>
          </w:p>
          <w:p>
            <w:pPr>
              <w:spacing w:line="480" w:lineRule="exact"/>
              <w:ind w:firstLine="378" w:firstLineChars="200"/>
              <w:jc w:val="center"/>
              <w:rPr>
                <w:rFonts w:ascii="宋体" w:hAnsi="宋体" w:eastAsia="宋体" w:cs="宋体"/>
                <w:sz w:val="24"/>
              </w:rPr>
            </w:pPr>
            <w:r>
              <w:rPr>
                <w:rFonts w:hint="eastAsia" w:ascii="宋体" w:hAnsi="宋体" w:eastAsia="宋体" w:cs="宋体"/>
                <w:b/>
                <w:spacing w:val="-26"/>
                <w:sz w:val="24"/>
              </w:rPr>
              <w:t>图4</w:t>
            </w:r>
            <w:r>
              <w:rPr>
                <w:rFonts w:hint="eastAsia" w:ascii="宋体" w:hAnsi="宋体" w:eastAsia="宋体" w:cs="宋体"/>
                <w:b/>
                <w:sz w:val="24"/>
              </w:rPr>
              <w:t>-1建设项目水量平衡图 （单位：m</w:t>
            </w:r>
            <w:r>
              <w:rPr>
                <w:rFonts w:hint="eastAsia" w:ascii="宋体" w:hAnsi="宋体" w:eastAsia="宋体" w:cs="宋体"/>
                <w:b/>
                <w:position w:val="7"/>
                <w:sz w:val="24"/>
              </w:rPr>
              <w:t>3</w:t>
            </w:r>
            <w:r>
              <w:rPr>
                <w:rFonts w:hint="eastAsia" w:ascii="宋体" w:hAnsi="宋体" w:eastAsia="宋体" w:cs="宋体"/>
                <w:b/>
                <w:sz w:val="24"/>
              </w:rPr>
              <w:t>/d）</w:t>
            </w:r>
          </w:p>
          <w:p>
            <w:pPr>
              <w:spacing w:line="480" w:lineRule="exact"/>
              <w:ind w:firstLine="480" w:firstLineChars="200"/>
              <w:rPr>
                <w:rFonts w:ascii="Times New Roman" w:hAnsi="Times New Roman" w:eastAsia="宋体"/>
                <w:sz w:val="24"/>
              </w:rPr>
            </w:pPr>
            <w:r>
              <w:rPr>
                <w:rFonts w:hint="eastAsia" w:ascii="Times New Roman" w:hAnsi="Times New Roman" w:eastAsia="宋体"/>
                <w:sz w:val="24"/>
              </w:rPr>
              <w:t>（3）废水污染物种类</w:t>
            </w:r>
          </w:p>
          <w:p>
            <w:pPr>
              <w:pStyle w:val="108"/>
              <w:spacing w:line="360" w:lineRule="auto"/>
              <w:ind w:firstLine="480"/>
            </w:pPr>
            <w:r>
              <w:rPr>
                <w:rFonts w:hint="eastAsia"/>
              </w:rPr>
              <w:t>本项目废水主要为生活污水，产生量为216</w:t>
            </w:r>
            <w:r>
              <w:t>t/a</w:t>
            </w:r>
            <w:r>
              <w:rPr>
                <w:rFonts w:hint="eastAsia"/>
              </w:rPr>
              <w:t>，</w:t>
            </w:r>
            <w:r>
              <w:t>主要污染因子为COD，SS，NH</w:t>
            </w:r>
            <w:r>
              <w:rPr>
                <w:vertAlign w:val="subscript"/>
              </w:rPr>
              <w:t>3</w:t>
            </w:r>
            <w:r>
              <w:t>-N</w:t>
            </w:r>
            <w:r>
              <w:rPr>
                <w:rFonts w:hint="eastAsia"/>
              </w:rPr>
              <w:t>，BOD</w:t>
            </w:r>
            <w:r>
              <w:rPr>
                <w:rFonts w:hint="eastAsia"/>
                <w:vertAlign w:val="subscript"/>
              </w:rPr>
              <w:t>5</w:t>
            </w:r>
            <w:r>
              <w:rPr>
                <w:rFonts w:hint="eastAsia"/>
              </w:rPr>
              <w:t>。生活污水经化粪池预处理后由附近居民定期清掏。</w:t>
            </w:r>
          </w:p>
          <w:p>
            <w:pPr>
              <w:pStyle w:val="66"/>
              <w:spacing w:line="360" w:lineRule="auto"/>
              <w:jc w:val="center"/>
              <w:rPr>
                <w:rFonts w:ascii="宋体" w:hAnsi="宋体" w:eastAsia="宋体" w:cs="宋体"/>
                <w:b/>
                <w:sz w:val="24"/>
              </w:rPr>
            </w:pPr>
            <w:r>
              <w:rPr>
                <w:rFonts w:hint="eastAsia" w:ascii="宋体" w:hAnsi="宋体" w:eastAsia="宋体" w:cs="宋体"/>
                <w:b/>
                <w:sz w:val="24"/>
              </w:rPr>
              <w:t>表</w:t>
            </w:r>
            <w:r>
              <w:rPr>
                <w:rFonts w:hint="eastAsia" w:ascii="宋体" w:hAnsi="宋体" w:eastAsia="宋体" w:cs="宋体"/>
                <w:b/>
                <w:sz w:val="24"/>
                <w:lang w:val="en-US"/>
              </w:rPr>
              <w:t>4</w:t>
            </w:r>
            <w:r>
              <w:rPr>
                <w:rFonts w:hint="eastAsia" w:ascii="宋体" w:hAnsi="宋体" w:eastAsia="宋体" w:cs="宋体"/>
                <w:b/>
                <w:sz w:val="24"/>
              </w:rPr>
              <w:t>-</w:t>
            </w:r>
            <w:r>
              <w:rPr>
                <w:rFonts w:hint="eastAsia" w:ascii="宋体" w:hAnsi="宋体" w:eastAsia="宋体" w:cs="宋体"/>
                <w:b/>
                <w:sz w:val="24"/>
                <w:lang w:val="en-US"/>
              </w:rPr>
              <w:t>2</w:t>
            </w:r>
            <w:r>
              <w:rPr>
                <w:rFonts w:hint="eastAsia" w:ascii="宋体" w:hAnsi="宋体" w:eastAsia="宋体" w:cs="宋体"/>
                <w:b/>
                <w:sz w:val="24"/>
              </w:rPr>
              <w:t xml:space="preserve"> 废水水质指标单位：mg/L（pH 除外）</w:t>
            </w:r>
          </w:p>
          <w:tbl>
            <w:tblPr>
              <w:tblStyle w:val="26"/>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1"/>
              <w:gridCol w:w="2557"/>
              <w:gridCol w:w="777"/>
              <w:gridCol w:w="1203"/>
              <w:gridCol w:w="1188"/>
              <w:gridCol w:w="927"/>
              <w:gridCol w:w="92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tcBorders>
                    <w:top w:val="single" w:color="auto" w:sz="2" w:space="0"/>
                    <w:left w:val="single" w:color="auto" w:sz="2" w:space="0"/>
                    <w:bottom w:val="single" w:color="auto" w:sz="2" w:space="0"/>
                    <w:right w:val="single" w:color="auto" w:sz="2" w:space="0"/>
                    <w:tl2br w:val="nil"/>
                    <w:tr2bl w:val="nil"/>
                  </w:tcBorders>
                  <w:vAlign w:val="center"/>
                </w:tcPr>
                <w:p>
                  <w:pPr>
                    <w:jc w:val="center"/>
                    <w:rPr>
                      <w:rFonts w:eastAsia="宋体"/>
                    </w:rPr>
                  </w:pPr>
                  <w:r>
                    <w:rPr>
                      <w:rFonts w:hint="eastAsia"/>
                    </w:rPr>
                    <w:t>种类</w:t>
                  </w:r>
                </w:p>
              </w:tc>
              <w:tc>
                <w:tcPr>
                  <w:tcW w:w="2559"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rPr>
                    <w:t>名称</w:t>
                  </w:r>
                </w:p>
              </w:tc>
              <w:tc>
                <w:tcPr>
                  <w:tcW w:w="777"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rPr>
                    <w:t>废水量(t/a)</w:t>
                  </w:r>
                </w:p>
              </w:tc>
              <w:tc>
                <w:tcPr>
                  <w:tcW w:w="1203" w:type="dxa"/>
                  <w:tcBorders>
                    <w:top w:val="single" w:color="auto" w:sz="2" w:space="0"/>
                    <w:left w:val="single" w:color="auto" w:sz="2" w:space="0"/>
                    <w:bottom w:val="single" w:color="auto" w:sz="2" w:space="0"/>
                    <w:right w:val="single" w:color="auto" w:sz="2" w:space="0"/>
                    <w:tl2br w:val="nil"/>
                    <w:tr2bl w:val="nil"/>
                  </w:tcBorders>
                  <w:vAlign w:val="center"/>
                </w:tcPr>
                <w:p>
                  <w:pPr>
                    <w:ind w:hanging="24"/>
                    <w:jc w:val="center"/>
                  </w:pPr>
                  <w:r>
                    <w:t>COD</w:t>
                  </w:r>
                </w:p>
              </w:tc>
              <w:tc>
                <w:tcPr>
                  <w:tcW w:w="1188" w:type="dxa"/>
                  <w:tcBorders>
                    <w:top w:val="single" w:color="auto" w:sz="2" w:space="0"/>
                    <w:left w:val="single" w:color="auto" w:sz="2" w:space="0"/>
                    <w:bottom w:val="single" w:color="auto" w:sz="2" w:space="0"/>
                    <w:right w:val="single" w:color="auto" w:sz="2" w:space="0"/>
                    <w:tl2br w:val="nil"/>
                    <w:tr2bl w:val="nil"/>
                  </w:tcBorders>
                  <w:vAlign w:val="center"/>
                </w:tcPr>
                <w:p>
                  <w:pPr>
                    <w:ind w:hanging="24"/>
                    <w:jc w:val="center"/>
                  </w:pPr>
                  <w:r>
                    <w:t>SS</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rPr>
                    <w:t>氨氮</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ascii="宋体" w:hAnsi="宋体" w:eastAsia="宋体" w:cs="宋体"/>
                      <w:szCs w:val="21"/>
                    </w:rPr>
                    <w:t>BOD</w:t>
                  </w:r>
                  <w:r>
                    <w:rPr>
                      <w:rFonts w:hint="eastAsia" w:ascii="宋体" w:hAnsi="宋体" w:eastAsia="宋体" w:cs="宋体"/>
                      <w:szCs w:val="21"/>
                      <w:vertAlign w:val="subscript"/>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vMerge w:val="restart"/>
                  <w:tcBorders>
                    <w:top w:val="single" w:color="auto" w:sz="2" w:space="0"/>
                    <w:left w:val="single" w:color="auto" w:sz="2" w:space="0"/>
                    <w:right w:val="single" w:color="auto" w:sz="2" w:space="0"/>
                    <w:tl2br w:val="nil"/>
                    <w:tr2bl w:val="nil"/>
                  </w:tcBorders>
                  <w:vAlign w:val="center"/>
                </w:tcPr>
                <w:p>
                  <w:pPr>
                    <w:jc w:val="center"/>
                  </w:pPr>
                  <w:r>
                    <w:rPr>
                      <w:rFonts w:hint="eastAsia"/>
                    </w:rPr>
                    <w:t>生活</w:t>
                  </w:r>
                </w:p>
                <w:p>
                  <w:pPr>
                    <w:jc w:val="center"/>
                    <w:rPr>
                      <w:rFonts w:eastAsia="宋体"/>
                    </w:rPr>
                  </w:pPr>
                  <w:r>
                    <w:rPr>
                      <w:rFonts w:hint="eastAsia"/>
                    </w:rPr>
                    <w:t>污水</w:t>
                  </w:r>
                </w:p>
              </w:tc>
              <w:tc>
                <w:tcPr>
                  <w:tcW w:w="2559" w:type="dxa"/>
                  <w:tcBorders>
                    <w:top w:val="single" w:color="auto" w:sz="2" w:space="0"/>
                    <w:left w:val="single" w:color="auto" w:sz="2" w:space="0"/>
                    <w:bottom w:val="single" w:color="auto" w:sz="2" w:space="0"/>
                    <w:right w:val="single" w:color="auto" w:sz="2" w:space="0"/>
                    <w:tl2br w:val="nil"/>
                    <w:tr2bl w:val="nil"/>
                  </w:tcBorders>
                  <w:vAlign w:val="center"/>
                </w:tcPr>
                <w:p>
                  <w:pPr>
                    <w:jc w:val="center"/>
                    <w:rPr>
                      <w:rFonts w:eastAsia="宋体"/>
                    </w:rPr>
                  </w:pPr>
                  <w:r>
                    <w:rPr>
                      <w:rFonts w:hint="eastAsia"/>
                    </w:rPr>
                    <w:t>产生浓度（mg/L）</w:t>
                  </w:r>
                </w:p>
              </w:tc>
              <w:tc>
                <w:tcPr>
                  <w:tcW w:w="777" w:type="dxa"/>
                  <w:vMerge w:val="restart"/>
                  <w:tcBorders>
                    <w:top w:val="single" w:color="auto" w:sz="2" w:space="0"/>
                    <w:left w:val="single" w:color="auto" w:sz="2" w:space="0"/>
                    <w:right w:val="single" w:color="auto" w:sz="2" w:space="0"/>
                    <w:tl2br w:val="nil"/>
                    <w:tr2bl w:val="nil"/>
                  </w:tcBorders>
                  <w:vAlign w:val="center"/>
                </w:tcPr>
                <w:p>
                  <w:pPr>
                    <w:jc w:val="center"/>
                    <w:rPr>
                      <w:rFonts w:eastAsia="华康简宋"/>
                    </w:rPr>
                  </w:pPr>
                  <w:r>
                    <w:rPr>
                      <w:rFonts w:hint="eastAsia"/>
                    </w:rPr>
                    <w:t>216</w:t>
                  </w:r>
                </w:p>
              </w:tc>
              <w:tc>
                <w:tcPr>
                  <w:tcW w:w="1203" w:type="dxa"/>
                  <w:tcBorders>
                    <w:top w:val="single" w:color="auto" w:sz="2" w:space="0"/>
                    <w:left w:val="single" w:color="auto" w:sz="2" w:space="0"/>
                    <w:bottom w:val="single" w:color="auto" w:sz="2" w:space="0"/>
                    <w:right w:val="single" w:color="auto" w:sz="2" w:space="0"/>
                    <w:tl2br w:val="nil"/>
                    <w:tr2bl w:val="nil"/>
                  </w:tcBorders>
                  <w:vAlign w:val="center"/>
                </w:tcPr>
                <w:p>
                  <w:pPr>
                    <w:ind w:left="42"/>
                    <w:jc w:val="center"/>
                  </w:pPr>
                  <w:r>
                    <w:rPr>
                      <w:rFonts w:hint="eastAsia" w:ascii="Times New Roman" w:hAnsi="Times New Roman" w:eastAsia="宋体" w:cs="Times New Roman"/>
                    </w:rPr>
                    <w:t>280</w:t>
                  </w:r>
                </w:p>
              </w:tc>
              <w:tc>
                <w:tcPr>
                  <w:tcW w:w="1188" w:type="dxa"/>
                  <w:tcBorders>
                    <w:top w:val="single" w:color="auto" w:sz="2" w:space="0"/>
                    <w:left w:val="single" w:color="auto" w:sz="2" w:space="0"/>
                    <w:bottom w:val="single" w:color="auto" w:sz="2" w:space="0"/>
                    <w:right w:val="single" w:color="auto" w:sz="2" w:space="0"/>
                    <w:tl2br w:val="nil"/>
                    <w:tr2bl w:val="nil"/>
                  </w:tcBorders>
                  <w:vAlign w:val="center"/>
                </w:tcPr>
                <w:p>
                  <w:pPr>
                    <w:ind w:left="42"/>
                    <w:jc w:val="center"/>
                  </w:pPr>
                  <w:r>
                    <w:rPr>
                      <w:rFonts w:hint="eastAsia" w:ascii="Times New Roman" w:hAnsi="Times New Roman" w:eastAsia="宋体" w:cs="Times New Roman"/>
                    </w:rPr>
                    <w:t>150</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ind w:left="42"/>
                    <w:jc w:val="center"/>
                  </w:pPr>
                  <w:r>
                    <w:rPr>
                      <w:rFonts w:hint="eastAsia" w:ascii="Times New Roman" w:hAnsi="Times New Roman" w:eastAsia="宋体" w:cs="Times New Roman"/>
                    </w:rPr>
                    <w:t>25</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ind w:left="42"/>
                    <w:jc w:val="center"/>
                    <w:rPr>
                      <w:rFonts w:ascii="Times New Roman" w:hAnsi="Times New Roman" w:eastAsia="宋体" w:cs="Times New Roman"/>
                    </w:rPr>
                  </w:pPr>
                  <w:r>
                    <w:rPr>
                      <w:rFonts w:hint="eastAsia" w:ascii="Times New Roman" w:hAnsi="Times New Roman" w:eastAsia="宋体" w:cs="Times New Roman"/>
                    </w:rPr>
                    <w:t>250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vMerge w:val="continue"/>
                  <w:tcBorders>
                    <w:left w:val="single" w:color="auto" w:sz="2" w:space="0"/>
                    <w:right w:val="single" w:color="auto" w:sz="2" w:space="0"/>
                    <w:tl2br w:val="nil"/>
                    <w:tr2bl w:val="nil"/>
                  </w:tcBorders>
                  <w:vAlign w:val="center"/>
                </w:tcPr>
                <w:p>
                  <w:pPr>
                    <w:jc w:val="center"/>
                  </w:pPr>
                </w:p>
              </w:tc>
              <w:tc>
                <w:tcPr>
                  <w:tcW w:w="2559"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rPr>
                    <w:t>产生量（t/a）</w:t>
                  </w:r>
                </w:p>
              </w:tc>
              <w:tc>
                <w:tcPr>
                  <w:tcW w:w="777" w:type="dxa"/>
                  <w:vMerge w:val="continue"/>
                  <w:tcBorders>
                    <w:left w:val="single" w:color="auto" w:sz="2" w:space="0"/>
                    <w:right w:val="single" w:color="auto" w:sz="2" w:space="0"/>
                    <w:tl2br w:val="nil"/>
                    <w:tr2bl w:val="nil"/>
                  </w:tcBorders>
                  <w:vAlign w:val="center"/>
                </w:tcPr>
                <w:p>
                  <w:pPr>
                    <w:jc w:val="center"/>
                    <w:rPr>
                      <w:lang w:val="en-GB"/>
                    </w:rPr>
                  </w:pPr>
                </w:p>
              </w:tc>
              <w:tc>
                <w:tcPr>
                  <w:tcW w:w="1203" w:type="dxa"/>
                  <w:tcBorders>
                    <w:top w:val="single" w:color="auto" w:sz="2" w:space="0"/>
                    <w:left w:val="single" w:color="auto" w:sz="2" w:space="0"/>
                    <w:bottom w:val="single" w:color="auto" w:sz="2" w:space="0"/>
                    <w:right w:val="single" w:color="auto" w:sz="2" w:space="0"/>
                    <w:tl2br w:val="nil"/>
                    <w:tr2bl w:val="nil"/>
                  </w:tcBorders>
                  <w:vAlign w:val="center"/>
                </w:tcPr>
                <w:p>
                  <w:pPr>
                    <w:jc w:val="center"/>
                    <w:rPr>
                      <w:rFonts w:eastAsia="华康简宋"/>
                    </w:rPr>
                  </w:pPr>
                  <w:r>
                    <w:rPr>
                      <w:rFonts w:hint="eastAsia"/>
                    </w:rPr>
                    <w:t>0.06048</w:t>
                  </w:r>
                </w:p>
              </w:tc>
              <w:tc>
                <w:tcPr>
                  <w:tcW w:w="1188"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rPr>
                      <w:rFonts w:eastAsia="华康简宋"/>
                    </w:rPr>
                  </w:pPr>
                  <w:r>
                    <w:rPr>
                      <w:rFonts w:hint="eastAsia"/>
                    </w:rPr>
                    <w:t>0.0324</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rPr>
                      <w:rFonts w:eastAsia="宋体"/>
                    </w:rPr>
                  </w:pPr>
                  <w:r>
                    <w:t>0.0</w:t>
                  </w:r>
                  <w:r>
                    <w:rPr>
                      <w:rFonts w:hint="eastAsia"/>
                    </w:rPr>
                    <w:t>054</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pPr>
                  <w:r>
                    <w:rPr>
                      <w:rFonts w:hint="eastAsia"/>
                    </w:rPr>
                    <w:t>0.054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vMerge w:val="continue"/>
                  <w:tcBorders>
                    <w:left w:val="single" w:color="auto" w:sz="2" w:space="0"/>
                    <w:right w:val="single" w:color="auto" w:sz="2" w:space="0"/>
                    <w:tl2br w:val="nil"/>
                    <w:tr2bl w:val="nil"/>
                  </w:tcBorders>
                  <w:vAlign w:val="center"/>
                </w:tcPr>
                <w:p>
                  <w:pPr>
                    <w:jc w:val="center"/>
                  </w:pPr>
                </w:p>
              </w:tc>
              <w:tc>
                <w:tcPr>
                  <w:tcW w:w="2559" w:type="dxa"/>
                  <w:tcBorders>
                    <w:top w:val="single" w:color="auto" w:sz="2" w:space="0"/>
                    <w:left w:val="single" w:color="auto" w:sz="2" w:space="0"/>
                    <w:bottom w:val="single" w:color="auto" w:sz="2" w:space="0"/>
                    <w:right w:val="single" w:color="auto" w:sz="2" w:space="0"/>
                    <w:tl2br w:val="nil"/>
                    <w:tr2bl w:val="nil"/>
                  </w:tcBorders>
                  <w:vAlign w:val="center"/>
                </w:tcPr>
                <w:p>
                  <w:pPr>
                    <w:jc w:val="center"/>
                    <w:rPr>
                      <w:rFonts w:eastAsia="宋体"/>
                    </w:rPr>
                  </w:pPr>
                  <w:r>
                    <w:rPr>
                      <w:rFonts w:hint="eastAsia"/>
                    </w:rPr>
                    <w:t>化粪池处理效率（%）</w:t>
                  </w:r>
                </w:p>
              </w:tc>
              <w:tc>
                <w:tcPr>
                  <w:tcW w:w="777" w:type="dxa"/>
                  <w:vMerge w:val="continue"/>
                  <w:tcBorders>
                    <w:left w:val="single" w:color="auto" w:sz="2" w:space="0"/>
                    <w:right w:val="single" w:color="auto" w:sz="2" w:space="0"/>
                    <w:tl2br w:val="nil"/>
                    <w:tr2bl w:val="nil"/>
                  </w:tcBorders>
                  <w:vAlign w:val="center"/>
                </w:tcPr>
                <w:p>
                  <w:pPr>
                    <w:jc w:val="center"/>
                    <w:rPr>
                      <w:lang w:val="en-GB"/>
                    </w:rPr>
                  </w:pPr>
                </w:p>
              </w:tc>
              <w:tc>
                <w:tcPr>
                  <w:tcW w:w="1203"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rPr>
                    <w:t>15</w:t>
                  </w:r>
                </w:p>
              </w:tc>
              <w:tc>
                <w:tcPr>
                  <w:tcW w:w="1188"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pPr>
                  <w:r>
                    <w:rPr>
                      <w:rFonts w:hint="eastAsia"/>
                    </w:rPr>
                    <w:t>30</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rPr>
                      <w:rFonts w:eastAsia="宋体"/>
                    </w:rPr>
                  </w:pPr>
                  <w:r>
                    <w:rPr>
                      <w:rFonts w:hint="eastAsia"/>
                    </w:rPr>
                    <w:t>3</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pPr>
                  <w:r>
                    <w:rPr>
                      <w:rFonts w:hint="eastAsia"/>
                    </w:rPr>
                    <w:t>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vMerge w:val="continue"/>
                  <w:tcBorders>
                    <w:left w:val="single" w:color="auto" w:sz="2" w:space="0"/>
                    <w:right w:val="single" w:color="auto" w:sz="2" w:space="0"/>
                    <w:tl2br w:val="nil"/>
                    <w:tr2bl w:val="nil"/>
                  </w:tcBorders>
                  <w:vAlign w:val="center"/>
                </w:tcPr>
                <w:p>
                  <w:pPr>
                    <w:jc w:val="center"/>
                  </w:pPr>
                </w:p>
              </w:tc>
              <w:tc>
                <w:tcPr>
                  <w:tcW w:w="2559"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rPr>
                    <w:t>化粪池处理浓度（mg/L）</w:t>
                  </w:r>
                </w:p>
              </w:tc>
              <w:tc>
                <w:tcPr>
                  <w:tcW w:w="777" w:type="dxa"/>
                  <w:vMerge w:val="continue"/>
                  <w:tcBorders>
                    <w:left w:val="single" w:color="auto" w:sz="2" w:space="0"/>
                    <w:right w:val="single" w:color="auto" w:sz="2" w:space="0"/>
                    <w:tl2br w:val="nil"/>
                    <w:tr2bl w:val="nil"/>
                  </w:tcBorders>
                  <w:vAlign w:val="center"/>
                </w:tcPr>
                <w:p>
                  <w:pPr>
                    <w:jc w:val="center"/>
                    <w:rPr>
                      <w:lang w:val="en-GB"/>
                    </w:rPr>
                  </w:pPr>
                </w:p>
              </w:tc>
              <w:tc>
                <w:tcPr>
                  <w:tcW w:w="1203"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rPr>
                      <w:rFonts w:eastAsia="华康简宋"/>
                    </w:rPr>
                  </w:pPr>
                  <w:r>
                    <w:rPr>
                      <w:rFonts w:hint="eastAsia"/>
                    </w:rPr>
                    <w:t>238</w:t>
                  </w:r>
                </w:p>
              </w:tc>
              <w:tc>
                <w:tcPr>
                  <w:tcW w:w="1188"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rPr>
                      <w:rFonts w:eastAsia="华康简宋"/>
                    </w:rPr>
                  </w:pPr>
                  <w:r>
                    <w:rPr>
                      <w:rFonts w:hint="eastAsia"/>
                    </w:rPr>
                    <w:t>136.5</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rPr>
                      <w:rFonts w:eastAsia="华康简宋"/>
                    </w:rPr>
                  </w:pPr>
                  <w:r>
                    <w:rPr>
                      <w:rFonts w:hint="eastAsia"/>
                    </w:rPr>
                    <w:t>24.25</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pPr>
                  <w:r>
                    <w:rPr>
                      <w:rFonts w:hint="eastAsia"/>
                    </w:rPr>
                    <w:t>227.5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vMerge w:val="continue"/>
                  <w:tcBorders>
                    <w:left w:val="single" w:color="auto" w:sz="2" w:space="0"/>
                    <w:right w:val="single" w:color="auto" w:sz="2" w:space="0"/>
                    <w:tl2br w:val="nil"/>
                    <w:tr2bl w:val="nil"/>
                  </w:tcBorders>
                  <w:vAlign w:val="center"/>
                </w:tcPr>
                <w:p>
                  <w:pPr>
                    <w:jc w:val="center"/>
                  </w:pPr>
                </w:p>
              </w:tc>
              <w:tc>
                <w:tcPr>
                  <w:tcW w:w="2559"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rPr>
                    <w:t>处理量（t/a）</w:t>
                  </w:r>
                </w:p>
              </w:tc>
              <w:tc>
                <w:tcPr>
                  <w:tcW w:w="777" w:type="dxa"/>
                  <w:vMerge w:val="continue"/>
                  <w:tcBorders>
                    <w:left w:val="single" w:color="auto" w:sz="2" w:space="0"/>
                    <w:right w:val="single" w:color="auto" w:sz="2" w:space="0"/>
                    <w:tl2br w:val="nil"/>
                    <w:tr2bl w:val="nil"/>
                  </w:tcBorders>
                  <w:vAlign w:val="center"/>
                </w:tcPr>
                <w:p>
                  <w:pPr>
                    <w:jc w:val="center"/>
                    <w:rPr>
                      <w:lang w:val="en-GB"/>
                    </w:rPr>
                  </w:pPr>
                </w:p>
              </w:tc>
              <w:tc>
                <w:tcPr>
                  <w:tcW w:w="1203"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rPr>
                    <w:t>0.0514</w:t>
                  </w:r>
                </w:p>
              </w:tc>
              <w:tc>
                <w:tcPr>
                  <w:tcW w:w="1188"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pPr>
                  <w:r>
                    <w:rPr>
                      <w:rFonts w:hint="eastAsia"/>
                    </w:rPr>
                    <w:t>0.0295</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pPr>
                  <w:r>
                    <w:t>0.0</w:t>
                  </w:r>
                  <w:r>
                    <w:rPr>
                      <w:rFonts w:hint="eastAsia"/>
                    </w:rPr>
                    <w:t>0524</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pPr>
                  <w:r>
                    <w:rPr>
                      <w:rFonts w:hint="eastAsia"/>
                    </w:rPr>
                    <w:t>0.0491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42" w:type="dxa"/>
                  <w:vMerge w:val="continue"/>
                  <w:tcBorders>
                    <w:left w:val="single" w:color="auto" w:sz="2" w:space="0"/>
                    <w:right w:val="single" w:color="auto" w:sz="2" w:space="0"/>
                    <w:tl2br w:val="nil"/>
                    <w:tr2bl w:val="nil"/>
                  </w:tcBorders>
                  <w:vAlign w:val="center"/>
                </w:tcPr>
                <w:p>
                  <w:pPr>
                    <w:jc w:val="center"/>
                  </w:pPr>
                </w:p>
              </w:tc>
              <w:tc>
                <w:tcPr>
                  <w:tcW w:w="2559"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rPr>
                    <w:t>排放量（t/a）</w:t>
                  </w:r>
                </w:p>
              </w:tc>
              <w:tc>
                <w:tcPr>
                  <w:tcW w:w="777" w:type="dxa"/>
                  <w:tcBorders>
                    <w:left w:val="single" w:color="auto" w:sz="2" w:space="0"/>
                    <w:right w:val="single" w:color="auto" w:sz="2" w:space="0"/>
                    <w:tl2br w:val="nil"/>
                    <w:tr2bl w:val="nil"/>
                  </w:tcBorders>
                  <w:vAlign w:val="center"/>
                </w:tcPr>
                <w:p>
                  <w:pPr>
                    <w:jc w:val="center"/>
                  </w:pPr>
                  <w:r>
                    <w:rPr>
                      <w:rFonts w:hint="eastAsia"/>
                    </w:rPr>
                    <w:t>/</w:t>
                  </w:r>
                </w:p>
              </w:tc>
              <w:tc>
                <w:tcPr>
                  <w:tcW w:w="1203" w:type="dxa"/>
                  <w:tcBorders>
                    <w:top w:val="single" w:color="auto" w:sz="2" w:space="0"/>
                    <w:left w:val="single" w:color="auto" w:sz="2" w:space="0"/>
                    <w:bottom w:val="single" w:color="auto" w:sz="2" w:space="0"/>
                    <w:right w:val="single" w:color="auto" w:sz="2" w:space="0"/>
                    <w:tl2br w:val="nil"/>
                    <w:tr2bl w:val="nil"/>
                  </w:tcBorders>
                  <w:vAlign w:val="center"/>
                </w:tcPr>
                <w:p>
                  <w:pPr>
                    <w:jc w:val="center"/>
                  </w:pPr>
                  <w:r>
                    <w:rPr>
                      <w:rFonts w:hint="eastAsia"/>
                    </w:rPr>
                    <w:t>0</w:t>
                  </w:r>
                </w:p>
              </w:tc>
              <w:tc>
                <w:tcPr>
                  <w:tcW w:w="1188"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pPr>
                  <w:r>
                    <w:rPr>
                      <w:rFonts w:hint="eastAsia"/>
                    </w:rPr>
                    <w:t>0</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pPr>
                  <w:r>
                    <w:rPr>
                      <w:rFonts w:hint="eastAsia"/>
                    </w:rPr>
                    <w:t>0</w:t>
                  </w:r>
                </w:p>
              </w:tc>
              <w:tc>
                <w:tcPr>
                  <w:tcW w:w="927"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jc w:val="center"/>
                  </w:pPr>
                  <w:r>
                    <w:rPr>
                      <w:rFonts w:hint="eastAsia"/>
                    </w:rPr>
                    <w:t>0</w:t>
                  </w:r>
                </w:p>
              </w:tc>
            </w:tr>
          </w:tbl>
          <w:p>
            <w:pPr>
              <w:pStyle w:val="108"/>
              <w:ind w:firstLine="480"/>
            </w:pPr>
            <w:r>
              <w:t>生活污水经化粪池预处理</w:t>
            </w:r>
            <w:r>
              <w:rPr>
                <w:rFonts w:hint="eastAsia"/>
              </w:rPr>
              <w:t>后由附近居民定期清掏，不外排</w:t>
            </w:r>
            <w:r>
              <w:t>。</w:t>
            </w:r>
          </w:p>
          <w:p>
            <w:pPr>
              <w:spacing w:line="480" w:lineRule="exact"/>
              <w:ind w:left="420" w:leftChars="200"/>
              <w:rPr>
                <w:rFonts w:ascii="Times New Roman" w:hAnsi="Times New Roman" w:eastAsia="宋体"/>
                <w:sz w:val="24"/>
              </w:rPr>
            </w:pPr>
            <w:r>
              <w:rPr>
                <w:rFonts w:hint="eastAsia" w:ascii="Times New Roman" w:hAnsi="Times New Roman" w:eastAsia="宋体"/>
                <w:sz w:val="24"/>
              </w:rPr>
              <w:t>（4）废水处理措施的可行性</w:t>
            </w:r>
          </w:p>
          <w:p>
            <w:pPr>
              <w:spacing w:before="50" w:after="156" w:afterLines="50" w:line="360" w:lineRule="auto"/>
              <w:ind w:firstLine="480" w:firstLineChars="200"/>
              <w:rPr>
                <w:rFonts w:ascii="宋体" w:hAnsi="宋体"/>
                <w:sz w:val="24"/>
              </w:rPr>
            </w:pPr>
            <w:r>
              <w:rPr>
                <w:rFonts w:hint="eastAsia" w:ascii="宋体" w:hAnsi="宋体"/>
                <w:sz w:val="24"/>
              </w:rPr>
              <w:t>本项目运行期间的废水包括：厂区职工的生活污水、生产废水。生活污水经化粪池预处理后由附近居民定期清掏；生产废水为印刷机清洗废水。</w:t>
            </w:r>
          </w:p>
          <w:p>
            <w:pPr>
              <w:adjustRightInd w:val="0"/>
              <w:snapToGrid w:val="0"/>
              <w:spacing w:line="360" w:lineRule="auto"/>
              <w:ind w:left="420" w:leftChars="200"/>
              <w:rPr>
                <w:rFonts w:ascii="宋体" w:hAnsi="宋体"/>
                <w:sz w:val="24"/>
              </w:rPr>
            </w:pPr>
            <w:r>
              <w:rPr>
                <w:rFonts w:hint="eastAsia" w:ascii="宋体" w:hAnsi="宋体"/>
                <w:sz w:val="24"/>
              </w:rPr>
              <w:t>①清洗废水</w:t>
            </w:r>
          </w:p>
          <w:p>
            <w:pPr>
              <w:adjustRightInd w:val="0"/>
              <w:snapToGrid w:val="0"/>
              <w:spacing w:line="360" w:lineRule="auto"/>
              <w:ind w:left="42" w:firstLine="480" w:firstLineChars="200"/>
              <w:rPr>
                <w:rFonts w:ascii="宋体" w:hAnsi="宋体"/>
                <w:sz w:val="24"/>
              </w:rPr>
            </w:pPr>
            <w:r>
              <w:rPr>
                <w:rFonts w:hint="eastAsia" w:ascii="宋体" w:hAnsi="宋体"/>
                <w:sz w:val="24"/>
              </w:rPr>
              <w:t>本项目的清洗废水处理设施1#采用物化法和过滤法，通过添加废水处理药剂去除大部分污染物，并且可进行有效的泥水分离，主要处理流程如下图：</w:t>
            </w:r>
          </w:p>
          <w:p>
            <w:pPr>
              <w:pStyle w:val="2"/>
            </w:pPr>
            <w:r>
              <w:drawing>
                <wp:inline distT="0" distB="0" distL="114300" distR="114300">
                  <wp:extent cx="5280660" cy="1083310"/>
                  <wp:effectExtent l="0" t="0" r="15240" b="2540"/>
                  <wp:docPr id="1" name="图片 1" descr="58f0df171a07afcf9e25e7773cfd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f0df171a07afcf9e25e7773cfd3a1"/>
                          <pic:cNvPicPr>
                            <a:picLocks noChangeAspect="1"/>
                          </pic:cNvPicPr>
                        </pic:nvPicPr>
                        <pic:blipFill>
                          <a:blip r:embed="rId10"/>
                          <a:stretch>
                            <a:fillRect/>
                          </a:stretch>
                        </pic:blipFill>
                        <pic:spPr>
                          <a:xfrm>
                            <a:off x="0" y="0"/>
                            <a:ext cx="5280660" cy="1083310"/>
                          </a:xfrm>
                          <a:prstGeom prst="rect">
                            <a:avLst/>
                          </a:prstGeom>
                        </pic:spPr>
                      </pic:pic>
                    </a:graphicData>
                  </a:graphic>
                </wp:inline>
              </w:drawing>
            </w:r>
          </w:p>
          <w:p>
            <w:pPr>
              <w:adjustRightInd w:val="0"/>
              <w:snapToGrid w:val="0"/>
              <w:spacing w:line="360" w:lineRule="auto"/>
              <w:ind w:left="42" w:firstLine="378" w:firstLineChars="200"/>
              <w:jc w:val="center"/>
              <w:rPr>
                <w:rFonts w:ascii="宋体" w:hAnsi="宋体" w:eastAsia="宋体"/>
                <w:sz w:val="24"/>
              </w:rPr>
            </w:pPr>
            <w:r>
              <w:rPr>
                <w:rFonts w:hint="eastAsia" w:ascii="宋体" w:hAnsi="宋体" w:eastAsia="宋体" w:cs="宋体"/>
                <w:b/>
                <w:spacing w:val="-26"/>
                <w:sz w:val="24"/>
              </w:rPr>
              <w:t>图4</w:t>
            </w:r>
            <w:r>
              <w:rPr>
                <w:rFonts w:hint="eastAsia" w:ascii="宋体" w:hAnsi="宋体" w:eastAsia="宋体" w:cs="宋体"/>
                <w:b/>
                <w:sz w:val="24"/>
              </w:rPr>
              <w:t>-2清洗废水处理工艺流程图</w:t>
            </w:r>
          </w:p>
          <w:p>
            <w:pPr>
              <w:adjustRightInd w:val="0"/>
              <w:snapToGrid w:val="0"/>
              <w:spacing w:line="360" w:lineRule="auto"/>
              <w:ind w:left="42" w:firstLine="480" w:firstLineChars="200"/>
              <w:rPr>
                <w:rFonts w:ascii="宋体" w:hAnsi="宋体"/>
                <w:sz w:val="24"/>
              </w:rPr>
            </w:pPr>
            <w:r>
              <w:rPr>
                <w:rFonts w:hint="eastAsia" w:ascii="宋体" w:hAnsi="宋体"/>
                <w:sz w:val="24"/>
              </w:rPr>
              <w:t>工艺流程说明：</w:t>
            </w:r>
          </w:p>
          <w:p>
            <w:pPr>
              <w:adjustRightInd w:val="0"/>
              <w:snapToGrid w:val="0"/>
              <w:spacing w:line="360" w:lineRule="auto"/>
              <w:ind w:left="42" w:firstLine="480" w:firstLineChars="200"/>
              <w:rPr>
                <w:rFonts w:ascii="宋体" w:hAnsi="宋体"/>
                <w:sz w:val="24"/>
              </w:rPr>
            </w:pPr>
            <w:r>
              <w:rPr>
                <w:rFonts w:hint="eastAsia" w:ascii="宋体" w:hAnsi="宋体"/>
                <w:sz w:val="24"/>
              </w:rPr>
              <w:t>1）清洗印刷机产生的废水经收集管道流入污水池，在池内匀化水质水量，然后通过泵提升到混凝沉淀反应桶，在混凝沉淀反应桶投加一定量的混凝剂和助凝剂进行混凝沉淀，混凝剂和助凝剂使废水中细小悬浮物或胶体微粒互相吸附结合而成较大颗粒，从废水中沉淀下来，从而析出大量絮状物，去除废水中的</w:t>
            </w:r>
            <w:r>
              <w:rPr>
                <w:rFonts w:ascii="宋体" w:hAnsi="宋体"/>
                <w:sz w:val="24"/>
              </w:rPr>
              <w:t>SS</w:t>
            </w:r>
            <w:r>
              <w:rPr>
                <w:rFonts w:hint="eastAsia" w:ascii="宋体" w:hAnsi="宋体"/>
                <w:sz w:val="24"/>
              </w:rPr>
              <w:t>和降低废水色度。</w:t>
            </w:r>
          </w:p>
          <w:p>
            <w:pPr>
              <w:adjustRightInd w:val="0"/>
              <w:snapToGrid w:val="0"/>
              <w:spacing w:line="360" w:lineRule="auto"/>
              <w:ind w:left="42" w:firstLine="480" w:firstLineChars="200"/>
              <w:rPr>
                <w:rFonts w:ascii="宋体" w:hAnsi="宋体"/>
                <w:sz w:val="24"/>
              </w:rPr>
            </w:pPr>
            <w:r>
              <w:rPr>
                <w:rFonts w:ascii="宋体" w:hAnsi="宋体"/>
                <w:sz w:val="24"/>
              </w:rPr>
              <w:t>2</w:t>
            </w:r>
            <w:r>
              <w:rPr>
                <w:rFonts w:hint="eastAsia" w:ascii="宋体" w:hAnsi="宋体"/>
                <w:sz w:val="24"/>
              </w:rPr>
              <w:t>）絮状物混合液经隔膜泵抽入压滤机进行固液分离，压滤机压出泥饼交由有危废资质的单位处理，滤液再经</w:t>
            </w:r>
            <w:r>
              <w:rPr>
                <w:rFonts w:ascii="宋体" w:hAnsi="宋体"/>
                <w:sz w:val="24"/>
              </w:rPr>
              <w:t>5</w:t>
            </w:r>
            <w:r>
              <w:rPr>
                <w:rFonts w:hint="eastAsia" w:ascii="宋体" w:hAnsi="宋体"/>
                <w:sz w:val="24"/>
              </w:rPr>
              <w:t>微米绕线滤芯过滤。绕线式滤芯以特定方式缠绕在多骨架上形成，缠绕时控制滤芯缠绕密度即能制成不同过滤精度的滤芯。滤芯过滤孔径外大内小，具有优良的深层过滤效果</w:t>
            </w:r>
            <w:r>
              <w:rPr>
                <w:rFonts w:ascii="宋体" w:hAnsi="宋体"/>
                <w:sz w:val="24"/>
              </w:rPr>
              <w:t>,</w:t>
            </w:r>
            <w:r>
              <w:rPr>
                <w:rFonts w:hint="eastAsia" w:ascii="宋体" w:hAnsi="宋体"/>
                <w:sz w:val="24"/>
              </w:rPr>
              <w:t>能有效的除去废水中的悬浮物、颗粒等杂质，可以承受较高的过滤压力</w:t>
            </w:r>
            <w:r>
              <w:rPr>
                <w:rFonts w:hint="eastAsia" w:ascii="宋体" w:hAnsi="宋体"/>
                <w:sz w:val="24"/>
                <w:lang w:eastAsia="zh-CN"/>
              </w:rPr>
              <w:t>，</w:t>
            </w:r>
            <w:r>
              <w:rPr>
                <w:rFonts w:hint="eastAsia" w:ascii="宋体" w:hAnsi="宋体"/>
                <w:sz w:val="24"/>
                <w:lang w:val="en-US" w:eastAsia="zh-CN"/>
              </w:rPr>
              <w:t>过滤采取使用反冲洗过滤器的方式过滤，滤渣经过收集后与压滤机压出泥饼一起放置危废间</w:t>
            </w:r>
            <w:r>
              <w:rPr>
                <w:rFonts w:hint="eastAsia" w:ascii="宋体" w:hAnsi="宋体"/>
                <w:sz w:val="24"/>
              </w:rPr>
              <w:t>交由有危废资质的单位处理。废水过滤后储存于清水箱中，回用于清洗印刷机，不外排。</w:t>
            </w:r>
          </w:p>
          <w:p>
            <w:pPr>
              <w:adjustRightInd w:val="0"/>
              <w:snapToGrid w:val="0"/>
              <w:spacing w:line="360" w:lineRule="auto"/>
              <w:ind w:left="42" w:firstLine="480" w:firstLineChars="200"/>
              <w:rPr>
                <w:rFonts w:ascii="宋体" w:hAnsi="宋体"/>
                <w:sz w:val="24"/>
              </w:rPr>
            </w:pPr>
            <w:r>
              <w:rPr>
                <w:rFonts w:hint="eastAsia" w:ascii="宋体" w:hAnsi="宋体"/>
                <w:sz w:val="24"/>
              </w:rPr>
              <w:t>本项目清洗废水经过废水处理设施1</w:t>
            </w:r>
            <w:r>
              <w:rPr>
                <w:rFonts w:ascii="宋体" w:hAnsi="宋体"/>
                <w:sz w:val="24"/>
              </w:rPr>
              <w:t>#</w:t>
            </w:r>
            <w:r>
              <w:rPr>
                <w:rFonts w:hint="eastAsia" w:ascii="宋体" w:hAnsi="宋体"/>
                <w:sz w:val="24"/>
              </w:rPr>
              <w:t>处理后可达《城市污水再生利用 工业用水水质》（</w:t>
            </w:r>
            <w:r>
              <w:rPr>
                <w:rFonts w:ascii="宋体" w:hAnsi="宋体"/>
                <w:sz w:val="24"/>
              </w:rPr>
              <w:t>GB/T19923-2005</w:t>
            </w:r>
            <w:r>
              <w:rPr>
                <w:rFonts w:hint="eastAsia" w:ascii="宋体" w:hAnsi="宋体"/>
                <w:sz w:val="24"/>
              </w:rPr>
              <w:t>）中洗涤用水标准，满足回用于清洗印刷机的要求。</w:t>
            </w:r>
          </w:p>
          <w:p>
            <w:pPr>
              <w:adjustRightInd w:val="0"/>
              <w:snapToGrid w:val="0"/>
              <w:spacing w:line="360" w:lineRule="auto"/>
              <w:ind w:left="42" w:firstLine="480" w:firstLineChars="200"/>
              <w:rPr>
                <w:rFonts w:ascii="宋体" w:hAnsi="宋体"/>
                <w:sz w:val="24"/>
              </w:rPr>
            </w:pPr>
            <w:r>
              <w:rPr>
                <w:rFonts w:hint="eastAsia" w:ascii="宋体" w:hAnsi="宋体"/>
                <w:sz w:val="24"/>
              </w:rPr>
              <w:t>②生活污水</w:t>
            </w:r>
          </w:p>
          <w:p>
            <w:pPr>
              <w:adjustRightInd w:val="0"/>
              <w:snapToGrid w:val="0"/>
              <w:spacing w:line="360" w:lineRule="auto"/>
              <w:ind w:left="42" w:firstLine="480" w:firstLineChars="200"/>
              <w:rPr>
                <w:rFonts w:ascii="宋体" w:hAnsi="宋体"/>
                <w:sz w:val="24"/>
              </w:rPr>
            </w:pPr>
            <w:r>
              <w:rPr>
                <w:rFonts w:hint="eastAsia" w:ascii="宋体" w:hAnsi="宋体"/>
                <w:sz w:val="24"/>
              </w:rPr>
              <w:t>项目劳动员工18人，建设单位不为员工提供食宿，则员工每人每天平均用水按50L计，则项目工作人员日平均用水量为0.9t，按年工作时间300天，则项目员工用水量为270t/a。污水排放量按用水量80%计，则接待污水排放量为0.72t/d，216t/a；项目化粪池的池壁和池底必须防渗、防漏，避免污染地下水。</w:t>
            </w:r>
          </w:p>
          <w:p>
            <w:pPr>
              <w:adjustRightInd w:val="0"/>
              <w:snapToGrid w:val="0"/>
              <w:spacing w:line="360" w:lineRule="auto"/>
              <w:ind w:left="42" w:firstLine="480" w:firstLineChars="200"/>
              <w:rPr>
                <w:rFonts w:ascii="宋体" w:hAnsi="宋体"/>
                <w:sz w:val="24"/>
              </w:rPr>
            </w:pPr>
            <w:r>
              <w:rPr>
                <w:rFonts w:hint="eastAsia" w:ascii="宋体" w:hAnsi="宋体"/>
                <w:sz w:val="24"/>
              </w:rPr>
              <w:t>通过以上分析，本项目所产废水均可做到综合利用不排放，不会对周边地表水环境产生不利影响。</w:t>
            </w:r>
          </w:p>
          <w:p>
            <w:pPr>
              <w:pStyle w:val="75"/>
              <w:snapToGrid/>
              <w:spacing w:before="0" w:after="0"/>
              <w:ind w:firstLine="0" w:firstLineChars="0"/>
              <w:rPr>
                <w:rFonts w:ascii="黑体" w:hAnsi="黑体" w:eastAsia="黑体" w:cs="黑体"/>
              </w:rPr>
            </w:pPr>
            <w:r>
              <w:rPr>
                <w:rFonts w:hint="eastAsia" w:ascii="黑体" w:hAnsi="黑体" w:eastAsia="黑体" w:cs="黑体"/>
              </w:rPr>
              <w:t>二、大气环境影响分析</w:t>
            </w:r>
          </w:p>
          <w:p>
            <w:pPr>
              <w:pStyle w:val="108"/>
              <w:ind w:firstLine="480"/>
            </w:pPr>
            <w:r>
              <w:rPr>
                <w:rFonts w:hint="eastAsia"/>
                <w:lang w:val="en-US" w:eastAsia="zh-CN"/>
              </w:rPr>
              <w:t>1.</w:t>
            </w:r>
            <w:r>
              <w:rPr>
                <w:rFonts w:hint="eastAsia"/>
              </w:rPr>
              <w:t>项目产生的废气主要为</w:t>
            </w:r>
            <w:r>
              <w:rPr>
                <w:rFonts w:hint="eastAsia"/>
                <w:lang w:val="en-US" w:eastAsia="zh-CN"/>
              </w:rPr>
              <w:t>粘合工序</w:t>
            </w:r>
            <w:r>
              <w:rPr>
                <w:rFonts w:hint="eastAsia"/>
              </w:rPr>
              <w:t>过程中产生的有机废气（G1）、胶印印刷过程中产生的有机废气（G2）。产生的废气经集气罩（风机量为5000m</w:t>
            </w:r>
            <w:r>
              <w:rPr>
                <w:rFonts w:hint="eastAsia"/>
                <w:vertAlign w:val="superscript"/>
              </w:rPr>
              <w:t>3</w:t>
            </w:r>
            <w:r>
              <w:rPr>
                <w:rFonts w:hint="eastAsia"/>
              </w:rPr>
              <w:t>/h）收集连接到配套的</w:t>
            </w:r>
            <w:r>
              <w:t>“</w:t>
            </w:r>
            <w:r>
              <w:rPr>
                <w:rFonts w:hint="eastAsia"/>
              </w:rPr>
              <w:t>活性炭吸附箱</w:t>
            </w:r>
            <w:r>
              <w:t>”</w:t>
            </w:r>
            <w:r>
              <w:rPr>
                <w:rFonts w:hint="eastAsia"/>
              </w:rPr>
              <w:t>处理后经</w:t>
            </w:r>
            <w:r>
              <w:t>1</w:t>
            </w:r>
            <w:r>
              <w:rPr>
                <w:rFonts w:hint="eastAsia"/>
              </w:rPr>
              <w:t>根</w:t>
            </w:r>
            <w:r>
              <w:t>15</w:t>
            </w:r>
            <w:r>
              <w:rPr>
                <w:rFonts w:hint="eastAsia"/>
              </w:rPr>
              <w:t>米高的排气筒排放，产生的挥发性有机废气以非甲烷总烃计。</w:t>
            </w:r>
          </w:p>
          <w:p>
            <w:pPr>
              <w:pStyle w:val="108"/>
              <w:ind w:firstLine="480"/>
              <w:rPr>
                <w:szCs w:val="22"/>
              </w:rPr>
            </w:pPr>
            <w:r>
              <w:rPr>
                <w:rFonts w:hint="eastAsia"/>
                <w:szCs w:val="22"/>
              </w:rPr>
              <w:t>（1）</w:t>
            </w:r>
            <w:r>
              <w:rPr>
                <w:rFonts w:hint="eastAsia"/>
                <w:szCs w:val="22"/>
                <w:lang w:val="en-US" w:eastAsia="zh-CN"/>
              </w:rPr>
              <w:t>粘合工序</w:t>
            </w:r>
            <w:r>
              <w:rPr>
                <w:rFonts w:hint="eastAsia"/>
                <w:szCs w:val="22"/>
              </w:rPr>
              <w:t>废气</w:t>
            </w:r>
          </w:p>
          <w:p>
            <w:pPr>
              <w:pStyle w:val="108"/>
              <w:ind w:firstLine="480"/>
              <w:rPr>
                <w:szCs w:val="22"/>
              </w:rPr>
            </w:pPr>
            <w:r>
              <w:rPr>
                <w:rFonts w:hint="eastAsia"/>
                <w:szCs w:val="22"/>
              </w:rPr>
              <w:t>项目</w:t>
            </w:r>
            <w:r>
              <w:rPr>
                <w:rFonts w:hint="eastAsia"/>
                <w:szCs w:val="22"/>
                <w:lang w:val="en-US" w:eastAsia="zh-CN"/>
              </w:rPr>
              <w:t>粘合工序主要的污染物为胶水，由企业提供胶水用量为0.5</w:t>
            </w:r>
            <w:r>
              <w:rPr>
                <w:rFonts w:hint="eastAsia"/>
                <w:szCs w:val="22"/>
              </w:rPr>
              <w:t>t/a。本项目水性油墨印刷时间2400h/a，</w:t>
            </w:r>
            <w:r>
              <w:rPr>
                <w:rFonts w:hint="eastAsia"/>
              </w:rPr>
              <w:t>有机废气量按挥发性有机物最大含量</w:t>
            </w:r>
            <w:r>
              <w:rPr>
                <w:rFonts w:hint="eastAsia"/>
                <w:lang w:val="en-US" w:eastAsia="zh-CN"/>
              </w:rPr>
              <w:t>25</w:t>
            </w:r>
            <w:r>
              <w:rPr>
                <w:rFonts w:hint="eastAsia"/>
              </w:rPr>
              <w:t>%计算，</w:t>
            </w:r>
            <w:r>
              <w:rPr>
                <w:rFonts w:hint="eastAsia"/>
                <w:highlight w:val="none"/>
              </w:rPr>
              <w:t>粘合</w:t>
            </w:r>
            <w:r>
              <w:rPr>
                <w:rFonts w:hint="eastAsia"/>
              </w:rPr>
              <w:t>工序中产生的挥发性有机废气为：</w:t>
            </w:r>
            <w:r>
              <w:rPr>
                <w:rFonts w:hint="eastAsia"/>
                <w:lang w:val="en-US" w:eastAsia="zh-CN"/>
              </w:rPr>
              <w:t>0.125</w:t>
            </w:r>
            <w:r>
              <w:rPr>
                <w:rFonts w:hint="eastAsia"/>
              </w:rPr>
              <w:t>t/a</w:t>
            </w:r>
            <w:r>
              <w:rPr>
                <w:rFonts w:hint="eastAsia"/>
                <w:szCs w:val="22"/>
              </w:rPr>
              <w:t>,</w:t>
            </w:r>
            <w:r>
              <w:rPr>
                <w:rFonts w:hint="eastAsia"/>
              </w:rPr>
              <w:t>处理效率为90%，有组织排放量为</w:t>
            </w:r>
            <w:r>
              <w:rPr>
                <w:rFonts w:hint="eastAsia"/>
                <w:lang w:val="en-US" w:eastAsia="zh-CN"/>
              </w:rPr>
              <w:t>0.1125</w:t>
            </w:r>
            <w:r>
              <w:rPr>
                <w:rFonts w:hint="eastAsia"/>
              </w:rPr>
              <w:t>t/a，无组织排放量为</w:t>
            </w:r>
            <w:r>
              <w:rPr>
                <w:rFonts w:hint="eastAsia"/>
                <w:lang w:val="en-US" w:eastAsia="zh-CN"/>
              </w:rPr>
              <w:t>0.0125</w:t>
            </w:r>
            <w:r>
              <w:rPr>
                <w:rFonts w:hint="eastAsia"/>
              </w:rPr>
              <w:t>t/a。</w:t>
            </w:r>
          </w:p>
          <w:p>
            <w:pPr>
              <w:pStyle w:val="108"/>
              <w:ind w:firstLine="480"/>
            </w:pPr>
            <w:r>
              <w:rPr>
                <w:rFonts w:hint="eastAsia"/>
              </w:rPr>
              <w:t>（2）胶印印刷废气</w:t>
            </w:r>
          </w:p>
          <w:p>
            <w:pPr>
              <w:pStyle w:val="108"/>
              <w:ind w:firstLine="480"/>
            </w:pPr>
            <w:r>
              <w:rPr>
                <w:rFonts w:hint="eastAsia"/>
              </w:rPr>
              <w:t>项目一台胶印机，纸张胶印过程中采用胶印油墨，胶印油墨使用不需要稀释。胶印油墨主要成分为松香改性酚醛树脂、高沸点矿物油、亚麻油、酞青蓝、碳酸钙，根据其组分分析其挥发分主要为高沸点矿物油及少量树脂类聚合物中的挥发性组分。根据厂家提供的“检验报告”，挥发性有机化合物含量实测结果为0.1%，满足《环境标志产品技术要求 胶印油墨》（HJ2542-2016）胶印油墨中VOCs含量</w:t>
            </w:r>
            <w:r>
              <w:rPr>
                <w:rFonts w:hint="eastAsia" w:cs="宋体"/>
              </w:rPr>
              <w:t>≦</w:t>
            </w:r>
            <w:r>
              <w:rPr>
                <w:rFonts w:hint="eastAsia"/>
              </w:rPr>
              <w:t>3%的要求。本项目胶印印刷机印刷时间2400h/a，</w:t>
            </w:r>
            <w:r>
              <w:rPr>
                <w:rFonts w:hint="eastAsia"/>
                <w:lang w:val="en-US" w:eastAsia="zh-CN"/>
              </w:rPr>
              <w:t>胶印</w:t>
            </w:r>
            <w:r>
              <w:rPr>
                <w:rFonts w:hint="eastAsia"/>
              </w:rPr>
              <w:t>油墨使用量为1.5t/a，其中挥发性有机化合物含量取0.1%，按100%挥发计，则有机废气产生量为0.0015t/a,集气罩收集效率为90%，收集量为0.00135t/a，处理效率为90%，有组织排放量为0.000135t/a，无组织排放量为0.00015t/a。</w:t>
            </w:r>
          </w:p>
          <w:p>
            <w:pPr>
              <w:pStyle w:val="108"/>
              <w:ind w:firstLine="480"/>
            </w:pPr>
            <w:r>
              <w:rPr>
                <w:rFonts w:hint="eastAsia"/>
              </w:rPr>
              <w:t>综上，本项目生产过程中产生的非甲烷总烃共计</w:t>
            </w:r>
            <w:r>
              <w:rPr>
                <w:rFonts w:hint="eastAsia"/>
                <w:lang w:val="en-US" w:eastAsia="zh-CN"/>
              </w:rPr>
              <w:t>0.1265</w:t>
            </w:r>
            <w:r>
              <w:rPr>
                <w:rFonts w:hint="eastAsia"/>
              </w:rPr>
              <w:t>t/a，处理效率为90%，有组织排放量为</w:t>
            </w:r>
            <w:r>
              <w:rPr>
                <w:rFonts w:hint="eastAsia"/>
                <w:lang w:val="en-US" w:eastAsia="zh-CN"/>
              </w:rPr>
              <w:t>0.1126</w:t>
            </w:r>
            <w:r>
              <w:rPr>
                <w:rFonts w:hint="eastAsia"/>
              </w:rPr>
              <w:t>t/a，无组织排放量为</w:t>
            </w:r>
            <w:r>
              <w:rPr>
                <w:rFonts w:hint="eastAsia"/>
                <w:lang w:val="en-US" w:eastAsia="zh-CN"/>
              </w:rPr>
              <w:t>0.01265</w:t>
            </w:r>
            <w:r>
              <w:rPr>
                <w:rFonts w:hint="eastAsia"/>
              </w:rPr>
              <w:t>t/a。经集气罩收集后统一送至活性炭吸附箱中处理后通过1根15米高排气筒排放。</w:t>
            </w:r>
          </w:p>
          <w:p>
            <w:pPr>
              <w:pStyle w:val="108"/>
              <w:ind w:firstLine="480"/>
              <w:rPr>
                <w:szCs w:val="22"/>
              </w:rPr>
            </w:pPr>
            <w:r>
              <w:rPr>
                <w:rFonts w:hint="eastAsia"/>
              </w:rPr>
              <w:t>则项目有机废气产排情况见表5-1。</w:t>
            </w:r>
          </w:p>
          <w:p>
            <w:pPr>
              <w:pStyle w:val="110"/>
              <w:rPr>
                <w:highlight w:val="yellow"/>
              </w:rPr>
            </w:pPr>
            <w:r>
              <w:t>表</w:t>
            </w:r>
            <w:r>
              <w:rPr>
                <w:rFonts w:hint="eastAsia"/>
              </w:rPr>
              <w:t>4</w:t>
            </w:r>
            <w:r>
              <w:t>-</w:t>
            </w:r>
            <w:r>
              <w:rPr>
                <w:rFonts w:hint="eastAsia"/>
              </w:rPr>
              <w:t>3项目有组织废气产排一览表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669"/>
              <w:gridCol w:w="654"/>
              <w:gridCol w:w="699"/>
              <w:gridCol w:w="644"/>
              <w:gridCol w:w="607"/>
              <w:gridCol w:w="837"/>
              <w:gridCol w:w="697"/>
              <w:gridCol w:w="845"/>
              <w:gridCol w:w="639"/>
              <w:gridCol w:w="612"/>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污染源</w:t>
                  </w:r>
                </w:p>
              </w:tc>
              <w:tc>
                <w:tcPr>
                  <w:tcW w:w="402"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主要污染物</w:t>
                  </w:r>
                </w:p>
              </w:tc>
              <w:tc>
                <w:tcPr>
                  <w:tcW w:w="393"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废气风量m</w:t>
                  </w:r>
                  <w:r>
                    <w:rPr>
                      <w:rFonts w:hint="eastAsia" w:ascii="宋体" w:hAnsi="宋体" w:eastAsia="宋体" w:cs="宋体"/>
                      <w:szCs w:val="21"/>
                      <w:vertAlign w:val="superscript"/>
                    </w:rPr>
                    <w:t>3</w:t>
                  </w:r>
                  <w:r>
                    <w:rPr>
                      <w:rFonts w:hint="eastAsia" w:ascii="宋体" w:hAnsi="宋体" w:eastAsia="宋体" w:cs="宋体"/>
                      <w:szCs w:val="21"/>
                    </w:rPr>
                    <w:t>/h</w:t>
                  </w:r>
                </w:p>
              </w:tc>
              <w:tc>
                <w:tcPr>
                  <w:tcW w:w="1172" w:type="pct"/>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产生情况</w:t>
                  </w:r>
                </w:p>
              </w:tc>
              <w:tc>
                <w:tcPr>
                  <w:tcW w:w="503"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治理措施</w:t>
                  </w:r>
                </w:p>
              </w:tc>
              <w:tc>
                <w:tcPr>
                  <w:tcW w:w="419"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去除率</w:t>
                  </w:r>
                </w:p>
              </w:tc>
              <w:tc>
                <w:tcPr>
                  <w:tcW w:w="1260" w:type="pct"/>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排放情况</w:t>
                  </w:r>
                </w:p>
              </w:tc>
              <w:tc>
                <w:tcPr>
                  <w:tcW w:w="446"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排气筒高度及内径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p>
              </w:tc>
              <w:tc>
                <w:tcPr>
                  <w:tcW w:w="40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p>
              </w:tc>
              <w:tc>
                <w:tcPr>
                  <w:tcW w:w="393"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p>
              </w:tc>
              <w:tc>
                <w:tcPr>
                  <w:tcW w:w="420"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产生浓度mg/m</w:t>
                  </w:r>
                  <w:r>
                    <w:rPr>
                      <w:rFonts w:hint="eastAsia" w:ascii="宋体" w:hAnsi="宋体" w:eastAsia="宋体" w:cs="宋体"/>
                      <w:szCs w:val="21"/>
                      <w:vertAlign w:val="superscript"/>
                    </w:rPr>
                    <w:t>3</w:t>
                  </w:r>
                </w:p>
              </w:tc>
              <w:tc>
                <w:tcPr>
                  <w:tcW w:w="387"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产生速率kg/h</w:t>
                  </w:r>
                </w:p>
              </w:tc>
              <w:tc>
                <w:tcPr>
                  <w:tcW w:w="365"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产生量t/a</w:t>
                  </w:r>
                </w:p>
              </w:tc>
              <w:tc>
                <w:tcPr>
                  <w:tcW w:w="503"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p>
              </w:tc>
              <w:tc>
                <w:tcPr>
                  <w:tcW w:w="419"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p>
              </w:tc>
              <w:tc>
                <w:tcPr>
                  <w:tcW w:w="50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排放浓度mg/m</w:t>
                  </w:r>
                  <w:r>
                    <w:rPr>
                      <w:rFonts w:hint="eastAsia" w:ascii="宋体" w:hAnsi="宋体" w:eastAsia="宋体" w:cs="宋体"/>
                      <w:szCs w:val="21"/>
                      <w:vertAlign w:val="superscript"/>
                    </w:rPr>
                    <w:t>3</w:t>
                  </w:r>
                </w:p>
              </w:tc>
              <w:tc>
                <w:tcPr>
                  <w:tcW w:w="38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排放速率kg/h</w:t>
                  </w:r>
                </w:p>
              </w:tc>
              <w:tc>
                <w:tcPr>
                  <w:tcW w:w="36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排放量t/a</w:t>
                  </w:r>
                </w:p>
              </w:tc>
              <w:tc>
                <w:tcPr>
                  <w:tcW w:w="446"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405"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lang w:val="en-US" w:eastAsia="zh-CN"/>
                    </w:rPr>
                    <w:t>粘合</w:t>
                  </w:r>
                  <w:r>
                    <w:rPr>
                      <w:rFonts w:hint="eastAsia" w:ascii="宋体" w:hAnsi="宋体" w:eastAsia="宋体" w:cs="宋体"/>
                      <w:szCs w:val="21"/>
                    </w:rPr>
                    <w:t>工序</w:t>
                  </w:r>
                </w:p>
              </w:tc>
              <w:tc>
                <w:tcPr>
                  <w:tcW w:w="40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非甲烷总烃</w:t>
                  </w:r>
                </w:p>
              </w:tc>
              <w:tc>
                <w:tcPr>
                  <w:tcW w:w="393" w:type="pct"/>
                  <w:vMerge w:val="restart"/>
                  <w:tcBorders>
                    <w:top w:val="single" w:color="auto" w:sz="4" w:space="0"/>
                    <w:left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5000</w:t>
                  </w:r>
                </w:p>
              </w:tc>
              <w:tc>
                <w:tcPr>
                  <w:tcW w:w="420"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93.75</w:t>
                  </w:r>
                </w:p>
              </w:tc>
              <w:tc>
                <w:tcPr>
                  <w:tcW w:w="387"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0.469</w:t>
                  </w:r>
                </w:p>
              </w:tc>
              <w:tc>
                <w:tcPr>
                  <w:tcW w:w="365"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0.125</w:t>
                  </w:r>
                </w:p>
              </w:tc>
              <w:tc>
                <w:tcPr>
                  <w:tcW w:w="503" w:type="pct"/>
                  <w:vMerge w:val="restart"/>
                  <w:tcBorders>
                    <w:top w:val="single" w:color="auto" w:sz="4" w:space="0"/>
                    <w:left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活性炭吸附箱装置+15m排气筒</w:t>
                  </w:r>
                </w:p>
              </w:tc>
              <w:tc>
                <w:tcPr>
                  <w:tcW w:w="419" w:type="pct"/>
                  <w:vMerge w:val="restart"/>
                  <w:tcBorders>
                    <w:top w:val="single" w:color="auto" w:sz="4" w:space="0"/>
                    <w:left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lang w:val="en-US" w:eastAsia="zh-CN"/>
                    </w:rPr>
                    <w:t>去除</w:t>
                  </w:r>
                  <w:r>
                    <w:rPr>
                      <w:rFonts w:hint="eastAsia" w:ascii="宋体" w:hAnsi="宋体" w:eastAsia="宋体" w:cs="宋体"/>
                      <w:szCs w:val="21"/>
                    </w:rPr>
                    <w:t>率90%</w:t>
                  </w:r>
                </w:p>
              </w:tc>
              <w:tc>
                <w:tcPr>
                  <w:tcW w:w="50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9.375</w:t>
                  </w:r>
                </w:p>
              </w:tc>
              <w:tc>
                <w:tcPr>
                  <w:tcW w:w="38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0.0469</w:t>
                  </w:r>
                </w:p>
              </w:tc>
              <w:tc>
                <w:tcPr>
                  <w:tcW w:w="36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0.1125</w:t>
                  </w:r>
                </w:p>
              </w:tc>
              <w:tc>
                <w:tcPr>
                  <w:tcW w:w="446" w:type="pct"/>
                  <w:vMerge w:val="restart"/>
                  <w:tcBorders>
                    <w:top w:val="single" w:color="auto" w:sz="4" w:space="0"/>
                    <w:left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15m、0.5m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405"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胶印印刷</w:t>
                  </w:r>
                </w:p>
              </w:tc>
              <w:tc>
                <w:tcPr>
                  <w:tcW w:w="40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非甲烷总烃</w:t>
                  </w:r>
                </w:p>
              </w:tc>
              <w:tc>
                <w:tcPr>
                  <w:tcW w:w="393" w:type="pct"/>
                  <w:vMerge w:val="continue"/>
                  <w:tcBorders>
                    <w:left w:val="single" w:color="auto" w:sz="4" w:space="0"/>
                    <w:right w:val="single" w:color="auto" w:sz="4" w:space="0"/>
                    <w:tl2br w:val="nil"/>
                    <w:tr2bl w:val="nil"/>
                  </w:tcBorders>
                  <w:vAlign w:val="center"/>
                </w:tcPr>
                <w:p>
                  <w:pPr>
                    <w:jc w:val="center"/>
                    <w:rPr>
                      <w:rFonts w:ascii="宋体" w:hAnsi="宋体" w:eastAsia="宋体" w:cs="宋体"/>
                      <w:szCs w:val="21"/>
                    </w:rPr>
                  </w:pPr>
                </w:p>
              </w:tc>
              <w:tc>
                <w:tcPr>
                  <w:tcW w:w="420"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0.125</w:t>
                  </w:r>
                </w:p>
              </w:tc>
              <w:tc>
                <w:tcPr>
                  <w:tcW w:w="387"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0.000665</w:t>
                  </w:r>
                </w:p>
              </w:tc>
              <w:tc>
                <w:tcPr>
                  <w:tcW w:w="365"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0.0015</w:t>
                  </w:r>
                </w:p>
              </w:tc>
              <w:tc>
                <w:tcPr>
                  <w:tcW w:w="503" w:type="pct"/>
                  <w:vMerge w:val="continue"/>
                  <w:tcBorders>
                    <w:left w:val="single" w:color="auto" w:sz="4" w:space="0"/>
                    <w:right w:val="single" w:color="auto" w:sz="4" w:space="0"/>
                    <w:tl2br w:val="nil"/>
                    <w:tr2bl w:val="nil"/>
                  </w:tcBorders>
                  <w:vAlign w:val="center"/>
                </w:tcPr>
                <w:p>
                  <w:pPr>
                    <w:jc w:val="center"/>
                    <w:rPr>
                      <w:rFonts w:ascii="宋体" w:hAnsi="宋体" w:eastAsia="宋体" w:cs="宋体"/>
                      <w:szCs w:val="21"/>
                    </w:rPr>
                  </w:pPr>
                </w:p>
              </w:tc>
              <w:tc>
                <w:tcPr>
                  <w:tcW w:w="419" w:type="pct"/>
                  <w:vMerge w:val="continue"/>
                  <w:tcBorders>
                    <w:left w:val="single" w:color="auto" w:sz="4" w:space="0"/>
                    <w:right w:val="single" w:color="auto" w:sz="4" w:space="0"/>
                    <w:tl2br w:val="nil"/>
                    <w:tr2bl w:val="nil"/>
                  </w:tcBorders>
                  <w:vAlign w:val="center"/>
                </w:tcPr>
                <w:p>
                  <w:pPr>
                    <w:jc w:val="center"/>
                    <w:rPr>
                      <w:rFonts w:ascii="宋体" w:hAnsi="宋体" w:eastAsia="宋体" w:cs="宋体"/>
                      <w:szCs w:val="21"/>
                    </w:rPr>
                  </w:pPr>
                </w:p>
              </w:tc>
              <w:tc>
                <w:tcPr>
                  <w:tcW w:w="50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0.01125</w:t>
                  </w:r>
                </w:p>
              </w:tc>
              <w:tc>
                <w:tcPr>
                  <w:tcW w:w="38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0.00005625</w:t>
                  </w:r>
                </w:p>
              </w:tc>
              <w:tc>
                <w:tcPr>
                  <w:tcW w:w="36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0.000135</w:t>
                  </w:r>
                </w:p>
              </w:tc>
              <w:tc>
                <w:tcPr>
                  <w:tcW w:w="446" w:type="pct"/>
                  <w:vMerge w:val="continue"/>
                  <w:tcBorders>
                    <w:left w:val="single" w:color="auto" w:sz="4" w:space="0"/>
                    <w:right w:val="single" w:color="auto" w:sz="4" w:space="0"/>
                    <w:tl2br w:val="nil"/>
                    <w:tr2bl w:val="nil"/>
                  </w:tcBorders>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3802" w:type="pct"/>
                  <w:gridSpan w:val="9"/>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有组织非甲烷总烃排放量合计</w:t>
                  </w:r>
                </w:p>
              </w:tc>
              <w:tc>
                <w:tcPr>
                  <w:tcW w:w="1198" w:type="pct"/>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lang w:val="en-US" w:eastAsia="zh-CN"/>
                    </w:rPr>
                    <w:t>0.112635</w:t>
                  </w:r>
                  <w:r>
                    <w:rPr>
                      <w:rFonts w:hint="eastAsia" w:ascii="宋体" w:hAnsi="宋体" w:eastAsia="宋体" w:cs="宋体"/>
                      <w:szCs w:val="21"/>
                    </w:rPr>
                    <w:t>t/a</w:t>
                  </w:r>
                </w:p>
              </w:tc>
            </w:tr>
          </w:tbl>
          <w:p>
            <w:pPr>
              <w:pStyle w:val="110"/>
              <w:rPr>
                <w:highlight w:val="yellow"/>
              </w:rPr>
            </w:pPr>
            <w:r>
              <w:t>表</w:t>
            </w:r>
            <w:r>
              <w:rPr>
                <w:rFonts w:hint="eastAsia"/>
              </w:rPr>
              <w:t>4</w:t>
            </w:r>
            <w:r>
              <w:t>-</w:t>
            </w:r>
            <w:r>
              <w:rPr>
                <w:rFonts w:hint="eastAsia"/>
              </w:rPr>
              <w:t>4项目无组织废气产排一览表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1317"/>
              <w:gridCol w:w="1123"/>
              <w:gridCol w:w="1123"/>
              <w:gridCol w:w="857"/>
              <w:gridCol w:w="1123"/>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5"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污染源</w:t>
                  </w:r>
                </w:p>
              </w:tc>
              <w:tc>
                <w:tcPr>
                  <w:tcW w:w="79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面源有效高度m</w:t>
                  </w:r>
                </w:p>
              </w:tc>
              <w:tc>
                <w:tcPr>
                  <w:tcW w:w="675"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年排放小时数h</w:t>
                  </w:r>
                </w:p>
              </w:tc>
              <w:tc>
                <w:tcPr>
                  <w:tcW w:w="675"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排放工况</w:t>
                  </w:r>
                </w:p>
              </w:tc>
              <w:tc>
                <w:tcPr>
                  <w:tcW w:w="515"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主要污染物</w:t>
                  </w:r>
                </w:p>
              </w:tc>
              <w:tc>
                <w:tcPr>
                  <w:tcW w:w="675"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排放速率kg/h</w:t>
                  </w:r>
                </w:p>
              </w:tc>
              <w:tc>
                <w:tcPr>
                  <w:tcW w:w="65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015" w:type="pct"/>
                  <w:tcBorders>
                    <w:top w:val="single" w:color="auto" w:sz="4" w:space="0"/>
                    <w:left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生产</w:t>
                  </w:r>
                </w:p>
                <w:p>
                  <w:pPr>
                    <w:jc w:val="center"/>
                    <w:rPr>
                      <w:rFonts w:ascii="宋体" w:hAnsi="宋体" w:eastAsia="宋体" w:cs="宋体"/>
                      <w:szCs w:val="21"/>
                    </w:rPr>
                  </w:pPr>
                  <w:r>
                    <w:rPr>
                      <w:rFonts w:hint="eastAsia" w:ascii="宋体" w:hAnsi="宋体" w:eastAsia="宋体" w:cs="宋体"/>
                      <w:szCs w:val="21"/>
                    </w:rPr>
                    <w:t>车间</w:t>
                  </w:r>
                </w:p>
              </w:tc>
              <w:tc>
                <w:tcPr>
                  <w:tcW w:w="791" w:type="pct"/>
                  <w:tcBorders>
                    <w:top w:val="single" w:color="auto" w:sz="4" w:space="0"/>
                    <w:left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6</w:t>
                  </w:r>
                </w:p>
              </w:tc>
              <w:tc>
                <w:tcPr>
                  <w:tcW w:w="675" w:type="pct"/>
                  <w:tcBorders>
                    <w:top w:val="single" w:color="auto" w:sz="4" w:space="0"/>
                    <w:left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2400</w:t>
                  </w:r>
                </w:p>
              </w:tc>
              <w:tc>
                <w:tcPr>
                  <w:tcW w:w="675" w:type="pct"/>
                  <w:tcBorders>
                    <w:top w:val="single" w:color="auto" w:sz="4" w:space="0"/>
                    <w:left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正常排放</w:t>
                  </w:r>
                </w:p>
              </w:tc>
              <w:tc>
                <w:tcPr>
                  <w:tcW w:w="515" w:type="pct"/>
                  <w:tcBorders>
                    <w:top w:val="single" w:color="auto" w:sz="4" w:space="0"/>
                    <w:left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非甲烷总烃</w:t>
                  </w:r>
                </w:p>
              </w:tc>
              <w:tc>
                <w:tcPr>
                  <w:tcW w:w="675" w:type="pct"/>
                  <w:tcBorders>
                    <w:top w:val="single" w:color="auto" w:sz="4" w:space="0"/>
                    <w:left w:val="single" w:color="auto" w:sz="4" w:space="0"/>
                    <w:right w:val="single" w:color="auto" w:sz="4" w:space="0"/>
                    <w:tl2br w:val="nil"/>
                    <w:tr2bl w:val="nil"/>
                  </w:tcBorders>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0.000527</w:t>
                  </w:r>
                </w:p>
              </w:tc>
              <w:tc>
                <w:tcPr>
                  <w:tcW w:w="652" w:type="pct"/>
                  <w:tcBorders>
                    <w:top w:val="single" w:color="auto" w:sz="4" w:space="0"/>
                    <w:left w:val="single" w:color="auto" w:sz="4" w:space="0"/>
                    <w:right w:val="single" w:color="auto" w:sz="4" w:space="0"/>
                    <w:tl2br w:val="nil"/>
                    <w:tr2bl w:val="nil"/>
                  </w:tcBorders>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0.01265</w:t>
                  </w:r>
                </w:p>
              </w:tc>
            </w:tr>
          </w:tbl>
          <w:p>
            <w:pPr>
              <w:pStyle w:val="14"/>
              <w:rPr>
                <w:rFonts w:eastAsia="宋体"/>
                <w:bCs/>
              </w:rPr>
            </w:pPr>
            <w:r>
              <w:rPr>
                <w:rFonts w:hint="eastAsia" w:eastAsia="宋体"/>
                <w:bCs/>
              </w:rPr>
              <w:t>在此前提下，本项目废气不会对周围环境空气造成影响。</w:t>
            </w:r>
          </w:p>
          <w:p>
            <w:pPr>
              <w:spacing w:line="480" w:lineRule="exact"/>
              <w:ind w:firstLine="482" w:firstLineChars="200"/>
              <w:jc w:val="center"/>
              <w:rPr>
                <w:b/>
                <w:bCs/>
                <w:snapToGrid w:val="0"/>
                <w:sz w:val="24"/>
              </w:rPr>
            </w:pPr>
            <w:r>
              <w:rPr>
                <w:rFonts w:hint="eastAsia"/>
                <w:b/>
                <w:bCs/>
                <w:snapToGrid w:val="0"/>
                <w:sz w:val="24"/>
                <w:lang w:val="en-GB"/>
              </w:rPr>
              <w:t>表4-</w:t>
            </w:r>
            <w:r>
              <w:rPr>
                <w:rFonts w:hint="eastAsia"/>
                <w:b/>
                <w:bCs/>
                <w:snapToGrid w:val="0"/>
                <w:sz w:val="24"/>
              </w:rPr>
              <w:t>5</w:t>
            </w:r>
            <w:r>
              <w:rPr>
                <w:rFonts w:hint="eastAsia"/>
                <w:b/>
                <w:bCs/>
                <w:snapToGrid w:val="0"/>
                <w:sz w:val="24"/>
                <w:lang w:val="en-GB"/>
              </w:rPr>
              <w:t>项目废气排放基本情况表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83"/>
              <w:gridCol w:w="763"/>
              <w:gridCol w:w="1037"/>
              <w:gridCol w:w="919"/>
              <w:gridCol w:w="635"/>
              <w:gridCol w:w="632"/>
              <w:gridCol w:w="762"/>
              <w:gridCol w:w="722"/>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6" w:hRule="exact"/>
                <w:jc w:val="center"/>
              </w:trPr>
              <w:tc>
                <w:tcPr>
                  <w:tcW w:w="256"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序号</w:t>
                  </w:r>
                </w:p>
              </w:tc>
              <w:tc>
                <w:tcPr>
                  <w:tcW w:w="410"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排放口编号</w:t>
                  </w:r>
                </w:p>
              </w:tc>
              <w:tc>
                <w:tcPr>
                  <w:tcW w:w="458"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污染物名称</w:t>
                  </w:r>
                </w:p>
              </w:tc>
              <w:tc>
                <w:tcPr>
                  <w:tcW w:w="1175" w:type="pct"/>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地理坐标</w:t>
                  </w:r>
                </w:p>
              </w:tc>
              <w:tc>
                <w:tcPr>
                  <w:tcW w:w="1220" w:type="pct"/>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排放口基本情况</w:t>
                  </w:r>
                </w:p>
              </w:tc>
              <w:tc>
                <w:tcPr>
                  <w:tcW w:w="43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类型</w:t>
                  </w:r>
                </w:p>
              </w:tc>
              <w:tc>
                <w:tcPr>
                  <w:tcW w:w="104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p>
              </w:tc>
              <w:tc>
                <w:tcPr>
                  <w:tcW w:w="410"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p>
              </w:tc>
              <w:tc>
                <w:tcPr>
                  <w:tcW w:w="45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p>
              </w:tc>
              <w:tc>
                <w:tcPr>
                  <w:tcW w:w="623"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经度</w:t>
                  </w:r>
                </w:p>
              </w:tc>
              <w:tc>
                <w:tcPr>
                  <w:tcW w:w="551"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纬度</w:t>
                  </w:r>
                </w:p>
              </w:tc>
              <w:tc>
                <w:tcPr>
                  <w:tcW w:w="382"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jc w:val="both"/>
                    <w:rPr>
                      <w:rFonts w:ascii="宋体" w:hAnsi="宋体" w:eastAsia="宋体" w:cs="宋体"/>
                      <w:sz w:val="21"/>
                      <w:szCs w:val="21"/>
                    </w:rPr>
                  </w:pPr>
                  <w:r>
                    <w:rPr>
                      <w:rFonts w:hint="eastAsia" w:ascii="宋体" w:hAnsi="宋体" w:eastAsia="宋体" w:cs="宋体"/>
                      <w:sz w:val="21"/>
                      <w:szCs w:val="21"/>
                    </w:rPr>
                    <w:t>高度m</w:t>
                  </w:r>
                </w:p>
              </w:tc>
              <w:tc>
                <w:tcPr>
                  <w:tcW w:w="380"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内径m</w:t>
                  </w:r>
                </w:p>
              </w:tc>
              <w:tc>
                <w:tcPr>
                  <w:tcW w:w="457"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烟气温度℃</w:t>
                  </w:r>
                </w:p>
              </w:tc>
              <w:tc>
                <w:tcPr>
                  <w:tcW w:w="43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p>
              </w:tc>
              <w:tc>
                <w:tcPr>
                  <w:tcW w:w="104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56"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1</w:t>
                  </w:r>
                </w:p>
              </w:tc>
              <w:tc>
                <w:tcPr>
                  <w:tcW w:w="410"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P1</w:t>
                  </w:r>
                </w:p>
              </w:tc>
              <w:tc>
                <w:tcPr>
                  <w:tcW w:w="458"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eastAsia="宋体" w:cs="宋体"/>
                      <w:szCs w:val="21"/>
                    </w:rPr>
                  </w:pPr>
                  <w:r>
                    <w:rPr>
                      <w:rFonts w:hint="eastAsia" w:ascii="宋体" w:hAnsi="宋体" w:eastAsia="宋体" w:cs="宋体"/>
                      <w:szCs w:val="21"/>
                    </w:rPr>
                    <w:t>非甲烷总烃</w:t>
                  </w:r>
                </w:p>
              </w:tc>
              <w:tc>
                <w:tcPr>
                  <w:tcW w:w="623"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116.840678</w:t>
                  </w:r>
                </w:p>
              </w:tc>
              <w:tc>
                <w:tcPr>
                  <w:tcW w:w="551"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32.606134</w:t>
                  </w:r>
                </w:p>
              </w:tc>
              <w:tc>
                <w:tcPr>
                  <w:tcW w:w="382"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15</w:t>
                  </w:r>
                </w:p>
              </w:tc>
              <w:tc>
                <w:tcPr>
                  <w:tcW w:w="380"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0.5</w:t>
                  </w:r>
                </w:p>
              </w:tc>
              <w:tc>
                <w:tcPr>
                  <w:tcW w:w="457"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25</w:t>
                  </w:r>
                </w:p>
              </w:tc>
              <w:tc>
                <w:tcPr>
                  <w:tcW w:w="434"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有组织</w:t>
                  </w:r>
                </w:p>
              </w:tc>
              <w:tc>
                <w:tcPr>
                  <w:tcW w:w="1044" w:type="pct"/>
                  <w:tcBorders>
                    <w:top w:val="single" w:color="auto" w:sz="4" w:space="0"/>
                    <w:left w:val="single" w:color="auto" w:sz="4" w:space="0"/>
                    <w:bottom w:val="single" w:color="auto" w:sz="4" w:space="0"/>
                    <w:right w:val="single" w:color="auto" w:sz="4" w:space="0"/>
                    <w:tl2br w:val="nil"/>
                    <w:tr2bl w:val="nil"/>
                  </w:tcBorders>
                  <w:vAlign w:val="center"/>
                </w:tcPr>
                <w:p>
                  <w:pPr>
                    <w:pStyle w:val="104"/>
                    <w:spacing w:before="0" w:after="0"/>
                    <w:rPr>
                      <w:rFonts w:ascii="宋体" w:hAnsi="宋体" w:eastAsia="宋体" w:cs="宋体"/>
                      <w:sz w:val="21"/>
                      <w:szCs w:val="21"/>
                    </w:rPr>
                  </w:pPr>
                  <w:r>
                    <w:rPr>
                      <w:rFonts w:hint="eastAsia" w:ascii="宋体" w:hAnsi="宋体" w:eastAsia="宋体" w:cs="宋体"/>
                      <w:sz w:val="21"/>
                      <w:szCs w:val="21"/>
                    </w:rPr>
                    <w:t>满足《大气污染物综合排放标准》（DB31/933-2015）中标准限值</w:t>
                  </w:r>
                </w:p>
              </w:tc>
            </w:tr>
          </w:tbl>
          <w:p>
            <w:pPr>
              <w:spacing w:line="480" w:lineRule="exact"/>
              <w:ind w:firstLine="480" w:firstLineChars="200"/>
              <w:rPr>
                <w:rFonts w:hint="default"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2.环境防护距离</w:t>
            </w:r>
          </w:p>
          <w:p>
            <w:pPr>
              <w:pStyle w:val="108"/>
              <w:ind w:firstLine="480"/>
              <w:rPr>
                <w:rFonts w:hint="eastAsia"/>
              </w:rPr>
            </w:pPr>
            <w:r>
              <w:rPr>
                <w:rFonts w:hint="eastAsia"/>
              </w:rPr>
              <w:t>（1）大气环境防护距离</w:t>
            </w:r>
          </w:p>
          <w:p>
            <w:pPr>
              <w:pStyle w:val="108"/>
              <w:ind w:firstLine="480"/>
              <w:rPr>
                <w:rFonts w:hint="eastAsia"/>
              </w:rPr>
            </w:pPr>
            <w:r>
              <w:rPr>
                <w:rFonts w:hint="eastAsia"/>
              </w:rPr>
              <w:t>根据预测结果，按《环境影响评价技术导则大气环境》（HJ2.2-2018）中确定大气环境防护距离的规定，本项目大气污染物在厂界的预测浓度满足相应的厂界浓度限值，厂界外大气污染物短期贡献浓度低于环境质量浓度限值，因此无需设置大气环境防护距离。</w:t>
            </w:r>
          </w:p>
          <w:p>
            <w:pPr>
              <w:pStyle w:val="108"/>
              <w:ind w:firstLine="480"/>
              <w:rPr>
                <w:rFonts w:hint="eastAsia"/>
              </w:rPr>
            </w:pPr>
            <w:r>
              <w:rPr>
                <w:rFonts w:hint="eastAsia"/>
              </w:rPr>
              <w:t>无组织排放卫生防护距离</w:t>
            </w:r>
          </w:p>
          <w:p>
            <w:pPr>
              <w:pStyle w:val="108"/>
              <w:ind w:firstLine="480"/>
              <w:rPr>
                <w:rFonts w:hint="eastAsia"/>
              </w:rPr>
            </w:pPr>
            <w:r>
              <w:rPr>
                <w:rFonts w:hint="eastAsia"/>
              </w:rPr>
              <w:t>计算公式：按照工程分析核算的有害气体无组织排放量，根据《制定地方大气污染物排放标准的技术方法》(GB/T13201-91)的有关规定，确定本拟建项目的卫生防护距离按下式计算：</w:t>
            </w:r>
          </w:p>
          <w:p>
            <w:pPr>
              <w:pStyle w:val="108"/>
              <w:ind w:firstLine="480"/>
              <w:rPr>
                <w:rFonts w:hint="eastAsia"/>
              </w:rPr>
            </w:pPr>
            <w:r>
              <w:rPr>
                <w:rFonts w:hint="eastAsia"/>
              </w:rPr>
              <w:t>Qc/Cm = (BLc +0.25r2) 0.05LD/A</w:t>
            </w:r>
          </w:p>
          <w:p>
            <w:pPr>
              <w:pStyle w:val="108"/>
              <w:ind w:firstLine="480"/>
              <w:rPr>
                <w:rFonts w:hint="eastAsia"/>
              </w:rPr>
            </w:pPr>
            <w:r>
              <w:rPr>
                <w:rFonts w:hint="eastAsia"/>
              </w:rPr>
              <w:t>式中：</w:t>
            </w:r>
          </w:p>
          <w:p>
            <w:pPr>
              <w:pStyle w:val="108"/>
              <w:ind w:firstLine="480"/>
              <w:rPr>
                <w:rFonts w:hint="eastAsia"/>
              </w:rPr>
            </w:pPr>
            <w:r>
              <w:rPr>
                <w:rFonts w:hint="eastAsia"/>
              </w:rPr>
              <w:t>Cm</w:t>
            </w:r>
            <w:r>
              <w:rPr>
                <w:rFonts w:hint="eastAsia"/>
              </w:rPr>
              <w:t>－标准浓度限值，mg/Nm3</w:t>
            </w:r>
            <w:r>
              <w:rPr>
                <w:rFonts w:hint="eastAsia"/>
              </w:rPr>
              <w:t>；</w:t>
            </w:r>
          </w:p>
          <w:p>
            <w:pPr>
              <w:pStyle w:val="108"/>
              <w:ind w:firstLine="480"/>
              <w:rPr>
                <w:rFonts w:hint="eastAsia"/>
              </w:rPr>
            </w:pPr>
            <w:r>
              <w:rPr>
                <w:rFonts w:hint="eastAsia"/>
              </w:rPr>
              <w:t>L</w:t>
            </w:r>
            <w:r>
              <w:rPr>
                <w:rFonts w:hint="eastAsia"/>
              </w:rPr>
              <w:t>－工业企业所需大气环境防护距离，m；</w:t>
            </w:r>
          </w:p>
          <w:p>
            <w:pPr>
              <w:pStyle w:val="108"/>
              <w:ind w:firstLine="480"/>
              <w:rPr>
                <w:rFonts w:hint="eastAsia"/>
              </w:rPr>
            </w:pPr>
            <w:r>
              <w:rPr>
                <w:rFonts w:hint="eastAsia"/>
              </w:rPr>
              <w:t>r</w:t>
            </w:r>
            <w:r>
              <w:rPr>
                <w:rFonts w:hint="eastAsia"/>
              </w:rPr>
              <w:t>－有害气体无组织排放源所在生产单元的等效半径，m；</w:t>
            </w:r>
          </w:p>
          <w:p>
            <w:pPr>
              <w:pStyle w:val="108"/>
              <w:ind w:firstLine="480"/>
              <w:rPr>
                <w:rFonts w:hint="eastAsia"/>
              </w:rPr>
            </w:pPr>
            <w:r>
              <w:rPr>
                <w:rFonts w:hint="eastAsia"/>
              </w:rPr>
              <w:t>A</w:t>
            </w:r>
            <w:r>
              <w:rPr>
                <w:rFonts w:hint="eastAsia"/>
              </w:rPr>
              <w:t>、B、C、D－大气环境防护距离计算系数，无因次，根据所在地5年平均风速及工业企业大气污染源构成类别查取；</w:t>
            </w:r>
          </w:p>
          <w:p>
            <w:pPr>
              <w:pStyle w:val="108"/>
              <w:ind w:firstLine="480"/>
              <w:rPr>
                <w:rFonts w:hint="eastAsia"/>
              </w:rPr>
            </w:pPr>
            <w:r>
              <w:rPr>
                <w:rFonts w:hint="eastAsia"/>
              </w:rPr>
              <w:t>Qc</w:t>
            </w:r>
            <w:r>
              <w:rPr>
                <w:rFonts w:hint="eastAsia"/>
              </w:rPr>
              <w:t>－工业企业有害气体无组织排放量可达到的控制水平，kg/h。</w:t>
            </w:r>
          </w:p>
          <w:p>
            <w:pPr>
              <w:pStyle w:val="108"/>
              <w:ind w:firstLine="480"/>
              <w:rPr>
                <w:rFonts w:hint="eastAsia"/>
              </w:rPr>
            </w:pPr>
            <w:r>
              <w:rPr>
                <w:rFonts w:hint="eastAsia"/>
              </w:rPr>
              <w:t>◆参数选择</w:t>
            </w:r>
          </w:p>
          <w:p>
            <w:pPr>
              <w:pStyle w:val="108"/>
              <w:ind w:firstLine="480"/>
              <w:rPr>
                <w:rFonts w:hint="eastAsia"/>
              </w:rPr>
            </w:pPr>
            <w:r>
              <w:rPr>
                <w:rFonts w:hint="eastAsia"/>
                <w:lang w:val="en-US" w:eastAsia="zh-CN"/>
              </w:rPr>
              <w:t>无组织排放多种有害气体时，按Qc/Cn的最大值计算其所需的卫生防护距离。当按</w:t>
            </w:r>
            <w:r>
              <w:rPr>
                <w:rFonts w:hint="eastAsia"/>
              </w:rPr>
              <w:t>两种或两种以上有害气体的Qc/Cn计算卫生防护距离在同一级别时，该类工业企业的卫生防护距离提高一级。根据工程分析，各因子A、B、C、D值的选取情况及计算结果见下表。</w:t>
            </w:r>
          </w:p>
          <w:p>
            <w:pPr>
              <w:pStyle w:val="105"/>
              <w:spacing w:before="65" w:after="65"/>
            </w:pPr>
            <w:r>
              <w:rPr>
                <w:rFonts w:hint="eastAsia"/>
              </w:rPr>
              <w:t>表</w:t>
            </w:r>
            <w:r>
              <w:rPr>
                <w:rFonts w:hint="eastAsia"/>
                <w:lang w:val="en-US" w:eastAsia="zh-CN"/>
              </w:rPr>
              <w:t>4</w:t>
            </w:r>
            <w:r>
              <w:rPr>
                <w:rFonts w:hint="eastAsia"/>
              </w:rPr>
              <w:t>-</w:t>
            </w:r>
            <w:r>
              <w:rPr>
                <w:rFonts w:hint="eastAsia"/>
                <w:lang w:val="en-US" w:eastAsia="zh-CN"/>
              </w:rPr>
              <w:t>6</w:t>
            </w:r>
            <w:r>
              <w:rPr>
                <w:rFonts w:hint="eastAsia"/>
              </w:rPr>
              <w:t xml:space="preserve"> 卫生防护距离计算系数表</w:t>
            </w:r>
          </w:p>
          <w:tbl>
            <w:tblPr>
              <w:tblStyle w:val="2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1"/>
              <w:gridCol w:w="1354"/>
              <w:gridCol w:w="691"/>
              <w:gridCol w:w="717"/>
              <w:gridCol w:w="722"/>
              <w:gridCol w:w="717"/>
              <w:gridCol w:w="717"/>
              <w:gridCol w:w="720"/>
              <w:gridCol w:w="715"/>
              <w:gridCol w:w="587"/>
              <w:gridCol w:w="7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restart"/>
                  <w:vAlign w:val="center"/>
                </w:tcPr>
                <w:p>
                  <w:pPr>
                    <w:pStyle w:val="107"/>
                  </w:pPr>
                  <w:r>
                    <w:rPr>
                      <w:rFonts w:hint="eastAsia"/>
                    </w:rPr>
                    <w:t>计算系数</w:t>
                  </w:r>
                </w:p>
              </w:tc>
              <w:tc>
                <w:tcPr>
                  <w:tcW w:w="815" w:type="pct"/>
                  <w:vMerge w:val="restart"/>
                  <w:vAlign w:val="center"/>
                </w:tcPr>
                <w:p>
                  <w:pPr>
                    <w:pStyle w:val="107"/>
                  </w:pPr>
                  <w:r>
                    <w:rPr>
                      <w:rFonts w:hint="eastAsia"/>
                    </w:rPr>
                    <w:t>工业企业所在地区近五年平均风速m/s</w:t>
                  </w:r>
                </w:p>
              </w:tc>
              <w:tc>
                <w:tcPr>
                  <w:tcW w:w="1281" w:type="pct"/>
                  <w:gridSpan w:val="3"/>
                  <w:vAlign w:val="center"/>
                </w:tcPr>
                <w:p>
                  <w:pPr>
                    <w:pStyle w:val="107"/>
                  </w:pPr>
                  <w:r>
                    <w:rPr>
                      <w:rFonts w:hint="eastAsia"/>
                    </w:rPr>
                    <w:t>L≤1000</w:t>
                  </w:r>
                </w:p>
              </w:tc>
              <w:tc>
                <w:tcPr>
                  <w:tcW w:w="1295" w:type="pct"/>
                  <w:gridSpan w:val="3"/>
                  <w:vAlign w:val="center"/>
                </w:tcPr>
                <w:p>
                  <w:pPr>
                    <w:pStyle w:val="107"/>
                  </w:pPr>
                  <w:r>
                    <w:rPr>
                      <w:rFonts w:hint="eastAsia"/>
                    </w:rPr>
                    <w:t>1000&lt;L&lt;2000</w:t>
                  </w:r>
                </w:p>
              </w:tc>
              <w:tc>
                <w:tcPr>
                  <w:tcW w:w="1214" w:type="pct"/>
                  <w:gridSpan w:val="3"/>
                  <w:vAlign w:val="center"/>
                </w:tcPr>
                <w:p>
                  <w:pPr>
                    <w:pStyle w:val="107"/>
                  </w:pPr>
                  <w:r>
                    <w:rPr>
                      <w:rFonts w:hint="eastAsia"/>
                    </w:rPr>
                    <w:t>L&gt;2000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107"/>
                  </w:pPr>
                </w:p>
              </w:tc>
              <w:tc>
                <w:tcPr>
                  <w:tcW w:w="815" w:type="pct"/>
                  <w:vMerge w:val="continue"/>
                  <w:vAlign w:val="center"/>
                </w:tcPr>
                <w:p>
                  <w:pPr>
                    <w:pStyle w:val="107"/>
                  </w:pPr>
                </w:p>
              </w:tc>
              <w:tc>
                <w:tcPr>
                  <w:tcW w:w="3792" w:type="pct"/>
                  <w:gridSpan w:val="9"/>
                  <w:vAlign w:val="center"/>
                </w:tcPr>
                <w:p>
                  <w:pPr>
                    <w:pStyle w:val="107"/>
                  </w:pPr>
                  <w:r>
                    <w:rPr>
                      <w:rFonts w:hint="eastAsia"/>
                    </w:rPr>
                    <w:t>工业企业大气污染源构成类别(1)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107"/>
                  </w:pPr>
                </w:p>
              </w:tc>
              <w:tc>
                <w:tcPr>
                  <w:tcW w:w="815" w:type="pct"/>
                  <w:vMerge w:val="continue"/>
                  <w:vAlign w:val="center"/>
                </w:tcPr>
                <w:p>
                  <w:pPr>
                    <w:pStyle w:val="107"/>
                  </w:pPr>
                </w:p>
              </w:tc>
              <w:tc>
                <w:tcPr>
                  <w:tcW w:w="416" w:type="pct"/>
                  <w:vAlign w:val="center"/>
                </w:tcPr>
                <w:p>
                  <w:pPr>
                    <w:pStyle w:val="107"/>
                  </w:pPr>
                  <w:r>
                    <w:rPr>
                      <w:rFonts w:hint="eastAsia"/>
                    </w:rPr>
                    <w:t>Ⅰ</w:t>
                  </w:r>
                </w:p>
              </w:tc>
              <w:tc>
                <w:tcPr>
                  <w:tcW w:w="431" w:type="pct"/>
                  <w:vAlign w:val="center"/>
                </w:tcPr>
                <w:p>
                  <w:pPr>
                    <w:pStyle w:val="107"/>
                  </w:pPr>
                  <w:r>
                    <w:rPr>
                      <w:rFonts w:hint="eastAsia"/>
                    </w:rPr>
                    <w:t>Ⅱ</w:t>
                  </w:r>
                </w:p>
              </w:tc>
              <w:tc>
                <w:tcPr>
                  <w:tcW w:w="433" w:type="pct"/>
                  <w:vAlign w:val="center"/>
                </w:tcPr>
                <w:p>
                  <w:pPr>
                    <w:pStyle w:val="107"/>
                  </w:pPr>
                  <w:r>
                    <w:rPr>
                      <w:rFonts w:hint="eastAsia"/>
                    </w:rPr>
                    <w:t>Ⅲ</w:t>
                  </w:r>
                </w:p>
              </w:tc>
              <w:tc>
                <w:tcPr>
                  <w:tcW w:w="431" w:type="pct"/>
                  <w:vAlign w:val="center"/>
                </w:tcPr>
                <w:p>
                  <w:pPr>
                    <w:pStyle w:val="107"/>
                  </w:pPr>
                  <w:r>
                    <w:rPr>
                      <w:rFonts w:hint="eastAsia"/>
                    </w:rPr>
                    <w:t>Ⅰ</w:t>
                  </w:r>
                </w:p>
              </w:tc>
              <w:tc>
                <w:tcPr>
                  <w:tcW w:w="431" w:type="pct"/>
                  <w:vAlign w:val="center"/>
                </w:tcPr>
                <w:p>
                  <w:pPr>
                    <w:pStyle w:val="107"/>
                  </w:pPr>
                  <w:r>
                    <w:rPr>
                      <w:rFonts w:hint="eastAsia"/>
                    </w:rPr>
                    <w:t>Ⅱ</w:t>
                  </w:r>
                </w:p>
              </w:tc>
              <w:tc>
                <w:tcPr>
                  <w:tcW w:w="431" w:type="pct"/>
                  <w:vAlign w:val="center"/>
                </w:tcPr>
                <w:p>
                  <w:pPr>
                    <w:pStyle w:val="107"/>
                  </w:pPr>
                  <w:r>
                    <w:rPr>
                      <w:rFonts w:hint="eastAsia"/>
                    </w:rPr>
                    <w:t>Ⅲ</w:t>
                  </w:r>
                </w:p>
              </w:tc>
              <w:tc>
                <w:tcPr>
                  <w:tcW w:w="430" w:type="pct"/>
                  <w:vAlign w:val="center"/>
                </w:tcPr>
                <w:p>
                  <w:pPr>
                    <w:pStyle w:val="107"/>
                  </w:pPr>
                  <w:r>
                    <w:rPr>
                      <w:rFonts w:hint="eastAsia"/>
                    </w:rPr>
                    <w:t>Ⅰ</w:t>
                  </w:r>
                </w:p>
              </w:tc>
              <w:tc>
                <w:tcPr>
                  <w:tcW w:w="353" w:type="pct"/>
                  <w:vAlign w:val="center"/>
                </w:tcPr>
                <w:p>
                  <w:pPr>
                    <w:pStyle w:val="107"/>
                  </w:pPr>
                  <w:r>
                    <w:rPr>
                      <w:rFonts w:hint="eastAsia"/>
                    </w:rPr>
                    <w:t>Ⅱ</w:t>
                  </w:r>
                </w:p>
              </w:tc>
              <w:tc>
                <w:tcPr>
                  <w:tcW w:w="430" w:type="pct"/>
                  <w:vAlign w:val="center"/>
                </w:tcPr>
                <w:p>
                  <w:pPr>
                    <w:pStyle w:val="107"/>
                  </w:pPr>
                  <w:r>
                    <w:rPr>
                      <w:rFonts w:hint="eastAsia"/>
                    </w:rPr>
                    <w:t>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restart"/>
                  <w:vAlign w:val="center"/>
                </w:tcPr>
                <w:p>
                  <w:pPr>
                    <w:pStyle w:val="107"/>
                  </w:pPr>
                  <w:r>
                    <w:rPr>
                      <w:rFonts w:hint="eastAsia"/>
                    </w:rPr>
                    <w:t>A</w:t>
                  </w:r>
                </w:p>
              </w:tc>
              <w:tc>
                <w:tcPr>
                  <w:tcW w:w="815" w:type="pct"/>
                  <w:vAlign w:val="center"/>
                </w:tcPr>
                <w:p>
                  <w:pPr>
                    <w:pStyle w:val="107"/>
                  </w:pPr>
                  <w:r>
                    <w:rPr>
                      <w:rFonts w:hint="eastAsia"/>
                    </w:rPr>
                    <w:t>&lt;2</w:t>
                  </w:r>
                </w:p>
              </w:tc>
              <w:tc>
                <w:tcPr>
                  <w:tcW w:w="416" w:type="pct"/>
                  <w:vAlign w:val="center"/>
                </w:tcPr>
                <w:p>
                  <w:pPr>
                    <w:pStyle w:val="107"/>
                  </w:pPr>
                  <w:r>
                    <w:rPr>
                      <w:rFonts w:hint="eastAsia"/>
                    </w:rPr>
                    <w:t>400</w:t>
                  </w:r>
                </w:p>
              </w:tc>
              <w:tc>
                <w:tcPr>
                  <w:tcW w:w="431" w:type="pct"/>
                  <w:vAlign w:val="center"/>
                </w:tcPr>
                <w:p>
                  <w:pPr>
                    <w:pStyle w:val="107"/>
                  </w:pPr>
                  <w:r>
                    <w:rPr>
                      <w:rFonts w:hint="eastAsia"/>
                    </w:rPr>
                    <w:t>400</w:t>
                  </w:r>
                </w:p>
              </w:tc>
              <w:tc>
                <w:tcPr>
                  <w:tcW w:w="433" w:type="pct"/>
                  <w:vAlign w:val="center"/>
                </w:tcPr>
                <w:p>
                  <w:pPr>
                    <w:pStyle w:val="107"/>
                  </w:pPr>
                  <w:r>
                    <w:rPr>
                      <w:rFonts w:hint="eastAsia"/>
                    </w:rPr>
                    <w:t>400</w:t>
                  </w:r>
                </w:p>
              </w:tc>
              <w:tc>
                <w:tcPr>
                  <w:tcW w:w="431" w:type="pct"/>
                  <w:vAlign w:val="center"/>
                </w:tcPr>
                <w:p>
                  <w:pPr>
                    <w:pStyle w:val="107"/>
                  </w:pPr>
                  <w:r>
                    <w:rPr>
                      <w:rFonts w:hint="eastAsia"/>
                    </w:rPr>
                    <w:t>400</w:t>
                  </w:r>
                </w:p>
              </w:tc>
              <w:tc>
                <w:tcPr>
                  <w:tcW w:w="431" w:type="pct"/>
                  <w:vAlign w:val="center"/>
                </w:tcPr>
                <w:p>
                  <w:pPr>
                    <w:pStyle w:val="107"/>
                  </w:pPr>
                  <w:r>
                    <w:rPr>
                      <w:rFonts w:hint="eastAsia"/>
                    </w:rPr>
                    <w:t>400</w:t>
                  </w:r>
                </w:p>
              </w:tc>
              <w:tc>
                <w:tcPr>
                  <w:tcW w:w="431" w:type="pct"/>
                  <w:vAlign w:val="center"/>
                </w:tcPr>
                <w:p>
                  <w:pPr>
                    <w:pStyle w:val="107"/>
                  </w:pPr>
                  <w:r>
                    <w:rPr>
                      <w:rFonts w:hint="eastAsia"/>
                    </w:rPr>
                    <w:t>400</w:t>
                  </w:r>
                </w:p>
              </w:tc>
              <w:tc>
                <w:tcPr>
                  <w:tcW w:w="430" w:type="pct"/>
                  <w:vAlign w:val="center"/>
                </w:tcPr>
                <w:p>
                  <w:pPr>
                    <w:pStyle w:val="107"/>
                  </w:pPr>
                  <w:r>
                    <w:rPr>
                      <w:rFonts w:hint="eastAsia"/>
                    </w:rPr>
                    <w:t>80</w:t>
                  </w:r>
                </w:p>
              </w:tc>
              <w:tc>
                <w:tcPr>
                  <w:tcW w:w="353" w:type="pct"/>
                  <w:vAlign w:val="center"/>
                </w:tcPr>
                <w:p>
                  <w:pPr>
                    <w:pStyle w:val="107"/>
                  </w:pPr>
                  <w:r>
                    <w:rPr>
                      <w:rFonts w:hint="eastAsia"/>
                    </w:rPr>
                    <w:t>80</w:t>
                  </w:r>
                </w:p>
              </w:tc>
              <w:tc>
                <w:tcPr>
                  <w:tcW w:w="430" w:type="pct"/>
                  <w:vAlign w:val="center"/>
                </w:tcPr>
                <w:p>
                  <w:pPr>
                    <w:pStyle w:val="107"/>
                  </w:pPr>
                  <w:r>
                    <w:rPr>
                      <w:rFonts w:hint="eastAsia"/>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107"/>
                  </w:pPr>
                </w:p>
              </w:tc>
              <w:tc>
                <w:tcPr>
                  <w:tcW w:w="815" w:type="pct"/>
                  <w:vAlign w:val="center"/>
                </w:tcPr>
                <w:p>
                  <w:pPr>
                    <w:pStyle w:val="107"/>
                  </w:pPr>
                  <w:r>
                    <w:rPr>
                      <w:rFonts w:hint="eastAsia"/>
                    </w:rPr>
                    <w:t>2-4</w:t>
                  </w:r>
                </w:p>
              </w:tc>
              <w:tc>
                <w:tcPr>
                  <w:tcW w:w="416" w:type="pct"/>
                  <w:vAlign w:val="center"/>
                </w:tcPr>
                <w:p>
                  <w:pPr>
                    <w:pStyle w:val="107"/>
                  </w:pPr>
                  <w:r>
                    <w:rPr>
                      <w:rFonts w:hint="eastAsia"/>
                    </w:rPr>
                    <w:t>700</w:t>
                  </w:r>
                </w:p>
              </w:tc>
              <w:tc>
                <w:tcPr>
                  <w:tcW w:w="431" w:type="pct"/>
                  <w:vAlign w:val="center"/>
                </w:tcPr>
                <w:p>
                  <w:pPr>
                    <w:pStyle w:val="107"/>
                  </w:pPr>
                  <w:r>
                    <w:rPr>
                      <w:rFonts w:hint="eastAsia"/>
                    </w:rPr>
                    <w:t>470</w:t>
                  </w:r>
                </w:p>
              </w:tc>
              <w:tc>
                <w:tcPr>
                  <w:tcW w:w="433" w:type="pct"/>
                  <w:vAlign w:val="center"/>
                </w:tcPr>
                <w:p>
                  <w:pPr>
                    <w:pStyle w:val="107"/>
                  </w:pPr>
                  <w:r>
                    <w:rPr>
                      <w:rFonts w:hint="eastAsia"/>
                    </w:rPr>
                    <w:t>350</w:t>
                  </w:r>
                </w:p>
              </w:tc>
              <w:tc>
                <w:tcPr>
                  <w:tcW w:w="431" w:type="pct"/>
                  <w:vAlign w:val="center"/>
                </w:tcPr>
                <w:p>
                  <w:pPr>
                    <w:pStyle w:val="107"/>
                  </w:pPr>
                  <w:r>
                    <w:rPr>
                      <w:rFonts w:hint="eastAsia"/>
                    </w:rPr>
                    <w:t>700</w:t>
                  </w:r>
                </w:p>
              </w:tc>
              <w:tc>
                <w:tcPr>
                  <w:tcW w:w="431" w:type="pct"/>
                  <w:vAlign w:val="center"/>
                </w:tcPr>
                <w:p>
                  <w:pPr>
                    <w:pStyle w:val="107"/>
                  </w:pPr>
                  <w:r>
                    <w:rPr>
                      <w:rFonts w:hint="eastAsia"/>
                    </w:rPr>
                    <w:t>470</w:t>
                  </w:r>
                </w:p>
              </w:tc>
              <w:tc>
                <w:tcPr>
                  <w:tcW w:w="431" w:type="pct"/>
                  <w:vAlign w:val="center"/>
                </w:tcPr>
                <w:p>
                  <w:pPr>
                    <w:pStyle w:val="107"/>
                  </w:pPr>
                  <w:r>
                    <w:rPr>
                      <w:rFonts w:hint="eastAsia"/>
                    </w:rPr>
                    <w:t>350</w:t>
                  </w:r>
                </w:p>
              </w:tc>
              <w:tc>
                <w:tcPr>
                  <w:tcW w:w="430" w:type="pct"/>
                  <w:vAlign w:val="center"/>
                </w:tcPr>
                <w:p>
                  <w:pPr>
                    <w:pStyle w:val="107"/>
                  </w:pPr>
                  <w:r>
                    <w:rPr>
                      <w:rFonts w:hint="eastAsia"/>
                    </w:rPr>
                    <w:t>380</w:t>
                  </w:r>
                </w:p>
              </w:tc>
              <w:tc>
                <w:tcPr>
                  <w:tcW w:w="353" w:type="pct"/>
                  <w:vAlign w:val="center"/>
                </w:tcPr>
                <w:p>
                  <w:pPr>
                    <w:pStyle w:val="107"/>
                  </w:pPr>
                  <w:r>
                    <w:rPr>
                      <w:rFonts w:hint="eastAsia"/>
                    </w:rPr>
                    <w:t>250</w:t>
                  </w:r>
                </w:p>
              </w:tc>
              <w:tc>
                <w:tcPr>
                  <w:tcW w:w="430" w:type="pct"/>
                  <w:vAlign w:val="center"/>
                </w:tcPr>
                <w:p>
                  <w:pPr>
                    <w:pStyle w:val="107"/>
                  </w:pPr>
                  <w:r>
                    <w:rPr>
                      <w:rFonts w:hint="eastAsia"/>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107"/>
                  </w:pPr>
                </w:p>
              </w:tc>
              <w:tc>
                <w:tcPr>
                  <w:tcW w:w="815" w:type="pct"/>
                  <w:vAlign w:val="center"/>
                </w:tcPr>
                <w:p>
                  <w:pPr>
                    <w:pStyle w:val="107"/>
                  </w:pPr>
                  <w:r>
                    <w:rPr>
                      <w:rFonts w:hint="eastAsia"/>
                    </w:rPr>
                    <w:t>&gt;4</w:t>
                  </w:r>
                </w:p>
              </w:tc>
              <w:tc>
                <w:tcPr>
                  <w:tcW w:w="416" w:type="pct"/>
                  <w:vAlign w:val="center"/>
                </w:tcPr>
                <w:p>
                  <w:pPr>
                    <w:pStyle w:val="107"/>
                  </w:pPr>
                  <w:r>
                    <w:rPr>
                      <w:rFonts w:hint="eastAsia"/>
                    </w:rPr>
                    <w:t>530</w:t>
                  </w:r>
                </w:p>
              </w:tc>
              <w:tc>
                <w:tcPr>
                  <w:tcW w:w="431" w:type="pct"/>
                  <w:vAlign w:val="center"/>
                </w:tcPr>
                <w:p>
                  <w:pPr>
                    <w:pStyle w:val="107"/>
                  </w:pPr>
                  <w:r>
                    <w:rPr>
                      <w:rFonts w:hint="eastAsia"/>
                    </w:rPr>
                    <w:t>350</w:t>
                  </w:r>
                </w:p>
              </w:tc>
              <w:tc>
                <w:tcPr>
                  <w:tcW w:w="433" w:type="pct"/>
                  <w:vAlign w:val="center"/>
                </w:tcPr>
                <w:p>
                  <w:pPr>
                    <w:pStyle w:val="107"/>
                  </w:pPr>
                  <w:r>
                    <w:rPr>
                      <w:rFonts w:hint="eastAsia"/>
                    </w:rPr>
                    <w:t>260</w:t>
                  </w:r>
                </w:p>
              </w:tc>
              <w:tc>
                <w:tcPr>
                  <w:tcW w:w="431" w:type="pct"/>
                  <w:vAlign w:val="center"/>
                </w:tcPr>
                <w:p>
                  <w:pPr>
                    <w:pStyle w:val="107"/>
                  </w:pPr>
                  <w:r>
                    <w:rPr>
                      <w:rFonts w:hint="eastAsia"/>
                    </w:rPr>
                    <w:t>530</w:t>
                  </w:r>
                </w:p>
              </w:tc>
              <w:tc>
                <w:tcPr>
                  <w:tcW w:w="431" w:type="pct"/>
                  <w:vAlign w:val="center"/>
                </w:tcPr>
                <w:p>
                  <w:pPr>
                    <w:pStyle w:val="107"/>
                  </w:pPr>
                  <w:r>
                    <w:rPr>
                      <w:rFonts w:hint="eastAsia"/>
                    </w:rPr>
                    <w:t>350</w:t>
                  </w:r>
                </w:p>
              </w:tc>
              <w:tc>
                <w:tcPr>
                  <w:tcW w:w="431" w:type="pct"/>
                  <w:vAlign w:val="center"/>
                </w:tcPr>
                <w:p>
                  <w:pPr>
                    <w:pStyle w:val="107"/>
                  </w:pPr>
                  <w:r>
                    <w:rPr>
                      <w:rFonts w:hint="eastAsia"/>
                    </w:rPr>
                    <w:t>260</w:t>
                  </w:r>
                </w:p>
              </w:tc>
              <w:tc>
                <w:tcPr>
                  <w:tcW w:w="430" w:type="pct"/>
                  <w:vAlign w:val="center"/>
                </w:tcPr>
                <w:p>
                  <w:pPr>
                    <w:pStyle w:val="107"/>
                  </w:pPr>
                  <w:r>
                    <w:rPr>
                      <w:rFonts w:hint="eastAsia"/>
                    </w:rPr>
                    <w:t>290</w:t>
                  </w:r>
                </w:p>
              </w:tc>
              <w:tc>
                <w:tcPr>
                  <w:tcW w:w="353" w:type="pct"/>
                  <w:vAlign w:val="center"/>
                </w:tcPr>
                <w:p>
                  <w:pPr>
                    <w:pStyle w:val="107"/>
                  </w:pPr>
                  <w:r>
                    <w:rPr>
                      <w:rFonts w:hint="eastAsia"/>
                    </w:rPr>
                    <w:t>190</w:t>
                  </w:r>
                </w:p>
              </w:tc>
              <w:tc>
                <w:tcPr>
                  <w:tcW w:w="430" w:type="pct"/>
                  <w:vAlign w:val="center"/>
                </w:tcPr>
                <w:p>
                  <w:pPr>
                    <w:pStyle w:val="107"/>
                  </w:pPr>
                  <w:r>
                    <w:rPr>
                      <w:rFonts w:hint="eastAsia"/>
                    </w:rPr>
                    <w:t>140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restart"/>
                  <w:vAlign w:val="center"/>
                </w:tcPr>
                <w:p>
                  <w:pPr>
                    <w:pStyle w:val="107"/>
                  </w:pPr>
                  <w:r>
                    <w:rPr>
                      <w:rFonts w:hint="eastAsia"/>
                    </w:rPr>
                    <w:t>B</w:t>
                  </w:r>
                </w:p>
              </w:tc>
              <w:tc>
                <w:tcPr>
                  <w:tcW w:w="815" w:type="pct"/>
                  <w:vAlign w:val="center"/>
                </w:tcPr>
                <w:p>
                  <w:pPr>
                    <w:pStyle w:val="107"/>
                  </w:pPr>
                  <w:r>
                    <w:rPr>
                      <w:rFonts w:hint="eastAsia"/>
                    </w:rPr>
                    <w:t>&lt;2</w:t>
                  </w:r>
                </w:p>
              </w:tc>
              <w:tc>
                <w:tcPr>
                  <w:tcW w:w="1281" w:type="pct"/>
                  <w:gridSpan w:val="3"/>
                  <w:vAlign w:val="center"/>
                </w:tcPr>
                <w:p>
                  <w:pPr>
                    <w:pStyle w:val="107"/>
                  </w:pPr>
                  <w:r>
                    <w:rPr>
                      <w:rFonts w:hint="eastAsia"/>
                    </w:rPr>
                    <w:t>0.01</w:t>
                  </w:r>
                </w:p>
              </w:tc>
              <w:tc>
                <w:tcPr>
                  <w:tcW w:w="1295" w:type="pct"/>
                  <w:gridSpan w:val="3"/>
                  <w:vAlign w:val="center"/>
                </w:tcPr>
                <w:p>
                  <w:pPr>
                    <w:pStyle w:val="107"/>
                  </w:pPr>
                  <w:r>
                    <w:rPr>
                      <w:rFonts w:hint="eastAsia"/>
                    </w:rPr>
                    <w:t>0.015</w:t>
                  </w:r>
                </w:p>
              </w:tc>
              <w:tc>
                <w:tcPr>
                  <w:tcW w:w="1214" w:type="pct"/>
                  <w:gridSpan w:val="3"/>
                  <w:vAlign w:val="center"/>
                </w:tcPr>
                <w:p>
                  <w:pPr>
                    <w:pStyle w:val="107"/>
                  </w:pPr>
                  <w:r>
                    <w:rPr>
                      <w:rFonts w:hint="eastAsia"/>
                    </w:rPr>
                    <w:t>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107"/>
                  </w:pPr>
                </w:p>
              </w:tc>
              <w:tc>
                <w:tcPr>
                  <w:tcW w:w="815" w:type="pct"/>
                  <w:vAlign w:val="center"/>
                </w:tcPr>
                <w:p>
                  <w:pPr>
                    <w:pStyle w:val="107"/>
                  </w:pPr>
                  <w:r>
                    <w:rPr>
                      <w:rFonts w:hint="eastAsia"/>
                    </w:rPr>
                    <w:t>&gt;2</w:t>
                  </w:r>
                </w:p>
              </w:tc>
              <w:tc>
                <w:tcPr>
                  <w:tcW w:w="1281" w:type="pct"/>
                  <w:gridSpan w:val="3"/>
                  <w:vAlign w:val="center"/>
                </w:tcPr>
                <w:p>
                  <w:pPr>
                    <w:pStyle w:val="107"/>
                  </w:pPr>
                  <w:r>
                    <w:rPr>
                      <w:rFonts w:hint="eastAsia"/>
                    </w:rPr>
                    <w:t>0.021</w:t>
                  </w:r>
                </w:p>
              </w:tc>
              <w:tc>
                <w:tcPr>
                  <w:tcW w:w="1295" w:type="pct"/>
                  <w:gridSpan w:val="3"/>
                  <w:vAlign w:val="center"/>
                </w:tcPr>
                <w:p>
                  <w:pPr>
                    <w:pStyle w:val="107"/>
                  </w:pPr>
                  <w:r>
                    <w:rPr>
                      <w:rFonts w:hint="eastAsia"/>
                    </w:rPr>
                    <w:t>0.036</w:t>
                  </w:r>
                </w:p>
              </w:tc>
              <w:tc>
                <w:tcPr>
                  <w:tcW w:w="1214" w:type="pct"/>
                  <w:gridSpan w:val="3"/>
                  <w:vAlign w:val="center"/>
                </w:tcPr>
                <w:p>
                  <w:pPr>
                    <w:pStyle w:val="107"/>
                  </w:pPr>
                  <w:r>
                    <w:rPr>
                      <w:rFonts w:hint="eastAsia"/>
                    </w:rPr>
                    <w:t>0.036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restart"/>
                  <w:vAlign w:val="center"/>
                </w:tcPr>
                <w:p>
                  <w:pPr>
                    <w:pStyle w:val="107"/>
                  </w:pPr>
                  <w:r>
                    <w:rPr>
                      <w:rFonts w:hint="eastAsia"/>
                    </w:rPr>
                    <w:t>C</w:t>
                  </w:r>
                </w:p>
              </w:tc>
              <w:tc>
                <w:tcPr>
                  <w:tcW w:w="815" w:type="pct"/>
                  <w:vAlign w:val="center"/>
                </w:tcPr>
                <w:p>
                  <w:pPr>
                    <w:pStyle w:val="107"/>
                  </w:pPr>
                  <w:r>
                    <w:rPr>
                      <w:rFonts w:hint="eastAsia"/>
                    </w:rPr>
                    <w:t>&lt;2</w:t>
                  </w:r>
                </w:p>
              </w:tc>
              <w:tc>
                <w:tcPr>
                  <w:tcW w:w="1281" w:type="pct"/>
                  <w:gridSpan w:val="3"/>
                  <w:vAlign w:val="center"/>
                </w:tcPr>
                <w:p>
                  <w:pPr>
                    <w:pStyle w:val="107"/>
                  </w:pPr>
                  <w:r>
                    <w:rPr>
                      <w:rFonts w:hint="eastAsia"/>
                    </w:rPr>
                    <w:t>1.85</w:t>
                  </w:r>
                </w:p>
              </w:tc>
              <w:tc>
                <w:tcPr>
                  <w:tcW w:w="1295" w:type="pct"/>
                  <w:gridSpan w:val="3"/>
                  <w:vAlign w:val="center"/>
                </w:tcPr>
                <w:p>
                  <w:pPr>
                    <w:pStyle w:val="107"/>
                  </w:pPr>
                  <w:r>
                    <w:rPr>
                      <w:rFonts w:hint="eastAsia"/>
                    </w:rPr>
                    <w:t>1.79</w:t>
                  </w:r>
                </w:p>
              </w:tc>
              <w:tc>
                <w:tcPr>
                  <w:tcW w:w="1214" w:type="pct"/>
                  <w:gridSpan w:val="3"/>
                  <w:vAlign w:val="center"/>
                </w:tcPr>
                <w:p>
                  <w:pPr>
                    <w:pStyle w:val="107"/>
                  </w:pPr>
                  <w:r>
                    <w:rPr>
                      <w:rFonts w:hint="eastAsia"/>
                    </w:rPr>
                    <w:t>1.79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107"/>
                  </w:pPr>
                </w:p>
              </w:tc>
              <w:tc>
                <w:tcPr>
                  <w:tcW w:w="815" w:type="pct"/>
                  <w:vAlign w:val="center"/>
                </w:tcPr>
                <w:p>
                  <w:pPr>
                    <w:pStyle w:val="107"/>
                  </w:pPr>
                  <w:r>
                    <w:rPr>
                      <w:rFonts w:hint="eastAsia"/>
                    </w:rPr>
                    <w:t>&gt;2</w:t>
                  </w:r>
                </w:p>
              </w:tc>
              <w:tc>
                <w:tcPr>
                  <w:tcW w:w="1281" w:type="pct"/>
                  <w:gridSpan w:val="3"/>
                  <w:vAlign w:val="center"/>
                </w:tcPr>
                <w:p>
                  <w:pPr>
                    <w:pStyle w:val="107"/>
                  </w:pPr>
                  <w:r>
                    <w:rPr>
                      <w:rFonts w:hint="eastAsia"/>
                    </w:rPr>
                    <w:t>1.85</w:t>
                  </w:r>
                </w:p>
              </w:tc>
              <w:tc>
                <w:tcPr>
                  <w:tcW w:w="1295" w:type="pct"/>
                  <w:gridSpan w:val="3"/>
                  <w:vAlign w:val="center"/>
                </w:tcPr>
                <w:p>
                  <w:pPr>
                    <w:pStyle w:val="107"/>
                  </w:pPr>
                  <w:r>
                    <w:rPr>
                      <w:rFonts w:hint="eastAsia"/>
                    </w:rPr>
                    <w:t>1.77</w:t>
                  </w:r>
                </w:p>
              </w:tc>
              <w:tc>
                <w:tcPr>
                  <w:tcW w:w="1214" w:type="pct"/>
                  <w:gridSpan w:val="3"/>
                  <w:vAlign w:val="center"/>
                </w:tcPr>
                <w:p>
                  <w:pPr>
                    <w:pStyle w:val="107"/>
                  </w:pPr>
                  <w:r>
                    <w:rPr>
                      <w:rFonts w:hint="eastAsia"/>
                    </w:rPr>
                    <w:t>1.70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restart"/>
                  <w:vAlign w:val="center"/>
                </w:tcPr>
                <w:p>
                  <w:pPr>
                    <w:pStyle w:val="107"/>
                  </w:pPr>
                  <w:r>
                    <w:rPr>
                      <w:rFonts w:hint="eastAsia"/>
                    </w:rPr>
                    <w:t>D</w:t>
                  </w:r>
                </w:p>
              </w:tc>
              <w:tc>
                <w:tcPr>
                  <w:tcW w:w="815" w:type="pct"/>
                  <w:vAlign w:val="center"/>
                </w:tcPr>
                <w:p>
                  <w:pPr>
                    <w:pStyle w:val="107"/>
                  </w:pPr>
                  <w:r>
                    <w:rPr>
                      <w:rFonts w:hint="eastAsia"/>
                    </w:rPr>
                    <w:t>&lt;2</w:t>
                  </w:r>
                </w:p>
              </w:tc>
              <w:tc>
                <w:tcPr>
                  <w:tcW w:w="1281" w:type="pct"/>
                  <w:gridSpan w:val="3"/>
                  <w:vAlign w:val="center"/>
                </w:tcPr>
                <w:p>
                  <w:pPr>
                    <w:pStyle w:val="107"/>
                  </w:pPr>
                  <w:r>
                    <w:rPr>
                      <w:rFonts w:hint="eastAsia"/>
                    </w:rPr>
                    <w:t>0.78</w:t>
                  </w:r>
                </w:p>
              </w:tc>
              <w:tc>
                <w:tcPr>
                  <w:tcW w:w="1295" w:type="pct"/>
                  <w:gridSpan w:val="3"/>
                  <w:vAlign w:val="center"/>
                </w:tcPr>
                <w:p>
                  <w:pPr>
                    <w:pStyle w:val="107"/>
                  </w:pPr>
                  <w:r>
                    <w:rPr>
                      <w:rFonts w:hint="eastAsia"/>
                    </w:rPr>
                    <w:t>0.78</w:t>
                  </w:r>
                </w:p>
              </w:tc>
              <w:tc>
                <w:tcPr>
                  <w:tcW w:w="1214" w:type="pct"/>
                  <w:gridSpan w:val="3"/>
                  <w:vAlign w:val="center"/>
                </w:tcPr>
                <w:p>
                  <w:pPr>
                    <w:pStyle w:val="107"/>
                  </w:pPr>
                  <w:r>
                    <w:rPr>
                      <w:rFonts w:hint="eastAsia"/>
                    </w:rPr>
                    <w:t>0.57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92" w:type="pct"/>
                  <w:vMerge w:val="continue"/>
                  <w:vAlign w:val="center"/>
                </w:tcPr>
                <w:p>
                  <w:pPr>
                    <w:pStyle w:val="107"/>
                  </w:pPr>
                </w:p>
              </w:tc>
              <w:tc>
                <w:tcPr>
                  <w:tcW w:w="815" w:type="pct"/>
                  <w:vAlign w:val="center"/>
                </w:tcPr>
                <w:p>
                  <w:pPr>
                    <w:pStyle w:val="107"/>
                  </w:pPr>
                  <w:r>
                    <w:rPr>
                      <w:rFonts w:hint="eastAsia"/>
                    </w:rPr>
                    <w:t>&gt;2</w:t>
                  </w:r>
                </w:p>
              </w:tc>
              <w:tc>
                <w:tcPr>
                  <w:tcW w:w="1281" w:type="pct"/>
                  <w:gridSpan w:val="3"/>
                  <w:vAlign w:val="center"/>
                </w:tcPr>
                <w:p>
                  <w:pPr>
                    <w:pStyle w:val="107"/>
                  </w:pPr>
                  <w:r>
                    <w:rPr>
                      <w:rFonts w:hint="eastAsia"/>
                    </w:rPr>
                    <w:t>0.84</w:t>
                  </w:r>
                </w:p>
              </w:tc>
              <w:tc>
                <w:tcPr>
                  <w:tcW w:w="1295" w:type="pct"/>
                  <w:gridSpan w:val="3"/>
                  <w:vAlign w:val="center"/>
                </w:tcPr>
                <w:p>
                  <w:pPr>
                    <w:pStyle w:val="107"/>
                  </w:pPr>
                  <w:r>
                    <w:rPr>
                      <w:rFonts w:hint="eastAsia"/>
                    </w:rPr>
                    <w:t>0.84</w:t>
                  </w:r>
                </w:p>
              </w:tc>
              <w:tc>
                <w:tcPr>
                  <w:tcW w:w="1214" w:type="pct"/>
                  <w:gridSpan w:val="3"/>
                  <w:vAlign w:val="center"/>
                </w:tcPr>
                <w:p>
                  <w:pPr>
                    <w:pStyle w:val="107"/>
                  </w:pPr>
                  <w:r>
                    <w:rPr>
                      <w:rFonts w:hint="eastAsia"/>
                    </w:rPr>
                    <w:t>0.76</w:t>
                  </w:r>
                </w:p>
              </w:tc>
            </w:tr>
          </w:tbl>
          <w:p>
            <w:pPr>
              <w:pStyle w:val="108"/>
              <w:ind w:firstLine="480"/>
              <w:rPr>
                <w:rFonts w:hint="eastAsia"/>
              </w:rPr>
            </w:pPr>
            <w:r>
              <w:rPr>
                <w:rFonts w:hint="eastAsia"/>
              </w:rPr>
              <w:t>注：工业企业大气污染源构成分为三类：</w:t>
            </w:r>
          </w:p>
          <w:p>
            <w:pPr>
              <w:pStyle w:val="108"/>
              <w:ind w:firstLine="480"/>
              <w:rPr>
                <w:rFonts w:hint="eastAsia"/>
              </w:rPr>
            </w:pPr>
            <w:r>
              <w:rPr>
                <w:rFonts w:hint="eastAsia"/>
              </w:rPr>
              <w:t>I类：与无组织排放源共存的排放同种有害气体的排气筒的排放量，大于标准规定的允许排放量的1/3者。</w:t>
            </w:r>
          </w:p>
          <w:p>
            <w:pPr>
              <w:pStyle w:val="108"/>
              <w:ind w:firstLine="480"/>
              <w:rPr>
                <w:rFonts w:hint="eastAsia"/>
              </w:rPr>
            </w:pPr>
            <w:r>
              <w:rPr>
                <w:rFonts w:hint="eastAsia"/>
              </w:rPr>
              <w:t>II类：与无组织排放源共存的排放同种有害气体的排气筒的排放量，小于标准规定的允许排放量的1/3，或虽无排放同种大气污染物之排气筒共存，但无组织排放的有害物质的容许浓度指标是按急性反应指标确定者。</w:t>
            </w:r>
          </w:p>
          <w:p>
            <w:pPr>
              <w:pStyle w:val="108"/>
              <w:ind w:firstLine="480"/>
              <w:rPr>
                <w:rFonts w:hint="eastAsia"/>
              </w:rPr>
            </w:pPr>
            <w:r>
              <w:rPr>
                <w:rFonts w:hint="eastAsia"/>
              </w:rPr>
              <w:t>III类：无排放同种有害物质的排气筒与无组织排放源共存，无组织排放的有害物质的容许浓度是按慢性反应指标确定者。</w:t>
            </w:r>
          </w:p>
          <w:p>
            <w:pPr>
              <w:pStyle w:val="108"/>
              <w:ind w:firstLine="480"/>
              <w:rPr>
                <w:rFonts w:hint="eastAsia"/>
              </w:rPr>
            </w:pPr>
            <w:r>
              <w:rPr>
                <w:rFonts w:hint="eastAsia"/>
              </w:rPr>
              <w:t>计算结果见下表。</w:t>
            </w:r>
          </w:p>
          <w:p>
            <w:pPr>
              <w:pStyle w:val="105"/>
              <w:spacing w:before="65" w:after="65"/>
            </w:pPr>
            <w:r>
              <w:rPr>
                <w:rFonts w:hint="eastAsia"/>
              </w:rPr>
              <w:t>表</w:t>
            </w:r>
            <w:r>
              <w:rPr>
                <w:rFonts w:hint="eastAsia"/>
                <w:lang w:val="en-US" w:eastAsia="zh-CN"/>
              </w:rPr>
              <w:t>4</w:t>
            </w:r>
            <w:r>
              <w:rPr>
                <w:rFonts w:hint="eastAsia"/>
              </w:rPr>
              <w:t>-</w:t>
            </w:r>
            <w:r>
              <w:rPr>
                <w:rFonts w:hint="eastAsia"/>
                <w:lang w:val="en-US" w:eastAsia="zh-CN"/>
              </w:rPr>
              <w:t>7</w:t>
            </w:r>
            <w:r>
              <w:rPr>
                <w:rFonts w:hint="eastAsia"/>
              </w:rPr>
              <w:t xml:space="preserve"> 无组织排放卫生防护距离计算参数及结果</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2"/>
              <w:gridCol w:w="1444"/>
              <w:gridCol w:w="1457"/>
              <w:gridCol w:w="1308"/>
              <w:gridCol w:w="1204"/>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323" w:type="dxa"/>
                  <w:vAlign w:val="center"/>
                </w:tcPr>
                <w:p>
                  <w:pPr>
                    <w:pStyle w:val="107"/>
                  </w:pPr>
                  <w:r>
                    <w:rPr>
                      <w:rFonts w:hint="eastAsia"/>
                    </w:rPr>
                    <w:t>污染源</w:t>
                  </w:r>
                </w:p>
              </w:tc>
              <w:tc>
                <w:tcPr>
                  <w:tcW w:w="1590" w:type="dxa"/>
                  <w:vAlign w:val="center"/>
                </w:tcPr>
                <w:p>
                  <w:pPr>
                    <w:pStyle w:val="107"/>
                  </w:pPr>
                  <w:r>
                    <w:rPr>
                      <w:rFonts w:hint="eastAsia"/>
                    </w:rPr>
                    <w:t>污染物名称</w:t>
                  </w:r>
                </w:p>
              </w:tc>
              <w:tc>
                <w:tcPr>
                  <w:tcW w:w="1605" w:type="dxa"/>
                  <w:vAlign w:val="center"/>
                </w:tcPr>
                <w:p>
                  <w:pPr>
                    <w:pStyle w:val="107"/>
                  </w:pPr>
                  <w:r>
                    <w:rPr>
                      <w:rFonts w:hint="eastAsia"/>
                    </w:rPr>
                    <w:t>排放量t/a</w:t>
                  </w:r>
                </w:p>
              </w:tc>
              <w:tc>
                <w:tcPr>
                  <w:tcW w:w="1440" w:type="dxa"/>
                  <w:vAlign w:val="center"/>
                </w:tcPr>
                <w:p>
                  <w:pPr>
                    <w:pStyle w:val="107"/>
                  </w:pPr>
                  <w:r>
                    <w:rPr>
                      <w:rFonts w:hint="eastAsia"/>
                    </w:rPr>
                    <w:t>标准mg/m</w:t>
                  </w:r>
                  <w:r>
                    <w:rPr>
                      <w:rFonts w:hint="eastAsia"/>
                      <w:vertAlign w:val="superscript"/>
                    </w:rPr>
                    <w:t>3</w:t>
                  </w:r>
                </w:p>
              </w:tc>
              <w:tc>
                <w:tcPr>
                  <w:tcW w:w="1326" w:type="dxa"/>
                  <w:vAlign w:val="center"/>
                </w:tcPr>
                <w:p>
                  <w:pPr>
                    <w:pStyle w:val="107"/>
                  </w:pPr>
                  <w:r>
                    <w:rPr>
                      <w:rFonts w:hint="eastAsia"/>
                    </w:rPr>
                    <w:t>计算数据m</w:t>
                  </w:r>
                </w:p>
              </w:tc>
              <w:tc>
                <w:tcPr>
                  <w:tcW w:w="1876" w:type="dxa"/>
                  <w:vAlign w:val="center"/>
                </w:tcPr>
                <w:p>
                  <w:pPr>
                    <w:pStyle w:val="107"/>
                  </w:pPr>
                  <w:r>
                    <w:rPr>
                      <w:rFonts w:hint="eastAsia"/>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323" w:type="dxa"/>
                  <w:vAlign w:val="center"/>
                </w:tcPr>
                <w:p>
                  <w:pPr>
                    <w:pStyle w:val="107"/>
                  </w:pPr>
                  <w:r>
                    <w:rPr>
                      <w:rFonts w:hint="eastAsia"/>
                    </w:rPr>
                    <w:t>生产车间</w:t>
                  </w:r>
                </w:p>
              </w:tc>
              <w:tc>
                <w:tcPr>
                  <w:tcW w:w="1590" w:type="dxa"/>
                  <w:vAlign w:val="center"/>
                </w:tcPr>
                <w:p>
                  <w:pPr>
                    <w:pStyle w:val="107"/>
                  </w:pPr>
                  <w:r>
                    <w:rPr>
                      <w:rFonts w:hint="eastAsia"/>
                    </w:rPr>
                    <w:t>非甲烷总烃</w:t>
                  </w:r>
                </w:p>
              </w:tc>
              <w:tc>
                <w:tcPr>
                  <w:tcW w:w="1605" w:type="dxa"/>
                  <w:vAlign w:val="center"/>
                </w:tcPr>
                <w:p>
                  <w:pPr>
                    <w:pStyle w:val="107"/>
                  </w:pPr>
                  <w:r>
                    <w:rPr>
                      <w:rFonts w:hint="eastAsia" w:ascii="宋体" w:hAnsi="宋体" w:eastAsia="宋体" w:cs="宋体"/>
                      <w:szCs w:val="21"/>
                      <w:lang w:val="en-US" w:eastAsia="zh-CN"/>
                    </w:rPr>
                    <w:t>0.01265</w:t>
                  </w:r>
                </w:p>
              </w:tc>
              <w:tc>
                <w:tcPr>
                  <w:tcW w:w="1440" w:type="dxa"/>
                  <w:vAlign w:val="center"/>
                </w:tcPr>
                <w:p>
                  <w:pPr>
                    <w:pStyle w:val="107"/>
                    <w:rPr>
                      <w:rFonts w:hint="default" w:eastAsia="新宋体"/>
                      <w:lang w:val="en-US" w:eastAsia="zh-CN"/>
                    </w:rPr>
                  </w:pPr>
                  <w:r>
                    <w:rPr>
                      <w:rFonts w:hint="eastAsia"/>
                      <w:lang w:val="en-US" w:eastAsia="zh-CN"/>
                    </w:rPr>
                    <w:t>4.0</w:t>
                  </w:r>
                </w:p>
              </w:tc>
              <w:tc>
                <w:tcPr>
                  <w:tcW w:w="1326" w:type="dxa"/>
                  <w:vAlign w:val="center"/>
                </w:tcPr>
                <w:p>
                  <w:pPr>
                    <w:pStyle w:val="107"/>
                  </w:pPr>
                  <w:r>
                    <w:rPr>
                      <w:rFonts w:hint="eastAsia"/>
                    </w:rPr>
                    <w:t>2.36</w:t>
                  </w:r>
                </w:p>
              </w:tc>
              <w:tc>
                <w:tcPr>
                  <w:tcW w:w="1876" w:type="dxa"/>
                  <w:vAlign w:val="center"/>
                </w:tcPr>
                <w:p>
                  <w:pPr>
                    <w:pStyle w:val="107"/>
                  </w:pPr>
                  <w:r>
                    <w:rPr>
                      <w:rFonts w:hint="eastAsia"/>
                    </w:rPr>
                    <w:t>50</w:t>
                  </w:r>
                </w:p>
              </w:tc>
            </w:tr>
          </w:tbl>
          <w:p>
            <w:pPr>
              <w:pStyle w:val="108"/>
              <w:ind w:firstLine="480"/>
              <w:rPr>
                <w:rFonts w:hint="eastAsia"/>
              </w:rPr>
            </w:pPr>
            <w:r>
              <w:rPr>
                <w:rFonts w:hint="eastAsia"/>
              </w:rPr>
              <w:t>根据卫生防护距离取值规定，卫生防护距离在100m以内时，级差为50m；超过100m，但小于或等于1000m时级差为100m，计算的L值在两级之间时，取偏宽的一级。当按两种或两种以上的有害气体的Qc/Cm值计算的卫生防护距离在同一级别时，该类工业企业的卫生防护距离级别应该高一级。根据此规定以及计算结果，确定本项目卫生防护距离为</w:t>
            </w:r>
            <w:r>
              <w:rPr>
                <w:rFonts w:hint="eastAsia"/>
              </w:rPr>
              <w:t>50m。</w:t>
            </w:r>
          </w:p>
          <w:p>
            <w:pPr>
              <w:pStyle w:val="108"/>
              <w:ind w:firstLine="480"/>
              <w:rPr>
                <w:rFonts w:hint="eastAsia"/>
              </w:rPr>
            </w:pPr>
            <w:r>
              <w:rPr>
                <w:rFonts w:hint="eastAsia"/>
              </w:rPr>
              <w:t>结合项目周边环境、以及地形、气象条件，本项目以厂界为起始，其四周需设置环境防护距离</w:t>
            </w:r>
            <w:r>
              <w:rPr>
                <w:rFonts w:hint="eastAsia"/>
              </w:rPr>
              <w:t>50m，据现场调查，拟建项目环境防护距离内无敏感点，且以后不得建设居民区、学校、医院等环境敏感目标。</w:t>
            </w:r>
          </w:p>
          <w:p>
            <w:pPr>
              <w:spacing w:line="480" w:lineRule="exact"/>
              <w:ind w:firstLine="480" w:firstLineChars="200"/>
              <w:rPr>
                <w:rFonts w:ascii="黑体" w:hAnsi="黑体" w:eastAsia="黑体" w:cs="黑体"/>
                <w:sz w:val="24"/>
              </w:rPr>
            </w:pPr>
            <w:r>
              <w:rPr>
                <w:rFonts w:hint="eastAsia" w:ascii="黑体" w:hAnsi="黑体" w:eastAsia="黑体" w:cs="黑体"/>
                <w:sz w:val="24"/>
              </w:rPr>
              <w:t>三、噪声环境影响分析</w:t>
            </w:r>
          </w:p>
          <w:p>
            <w:pPr>
              <w:pStyle w:val="108"/>
              <w:ind w:firstLine="480"/>
            </w:pPr>
            <w:r>
              <w:rPr>
                <w:rFonts w:hint="eastAsia" w:ascii="宋体" w:hAnsi="宋体" w:cs="宋体"/>
              </w:rPr>
              <w:t>（1）噪声源强分析</w:t>
            </w:r>
          </w:p>
          <w:p>
            <w:pPr>
              <w:pStyle w:val="108"/>
              <w:ind w:firstLine="480"/>
            </w:pPr>
            <w:r>
              <w:t>本项目噪声源主要是</w:t>
            </w:r>
            <w:r>
              <w:rPr>
                <w:rFonts w:hint="eastAsia"/>
              </w:rPr>
              <w:t>生产</w:t>
            </w:r>
            <w:r>
              <w:t>过程中生产设备产生的噪声，噪声值约为65-</w:t>
            </w:r>
            <w:r>
              <w:rPr>
                <w:rFonts w:hint="eastAsia"/>
              </w:rPr>
              <w:t>95</w:t>
            </w:r>
            <w:r>
              <w:t>dB(A)。</w:t>
            </w:r>
          </w:p>
          <w:p>
            <w:pPr>
              <w:pStyle w:val="14"/>
              <w:ind w:firstLine="482"/>
              <w:jc w:val="center"/>
              <w:rPr>
                <w:rFonts w:eastAsia="Times New Roman"/>
                <w:b/>
              </w:rPr>
            </w:pPr>
            <w:r>
              <w:rPr>
                <w:b/>
              </w:rPr>
              <w:t>表</w:t>
            </w:r>
            <w:r>
              <w:rPr>
                <w:rFonts w:hint="eastAsia" w:eastAsia="宋体"/>
                <w:b/>
              </w:rPr>
              <w:t>4</w:t>
            </w:r>
            <w:r>
              <w:rPr>
                <w:rFonts w:eastAsia="Times New Roman"/>
                <w:b/>
              </w:rPr>
              <w:t>-</w:t>
            </w:r>
            <w:r>
              <w:rPr>
                <w:rFonts w:hint="eastAsia" w:eastAsia="宋体"/>
                <w:b/>
                <w:lang w:val="en-US" w:eastAsia="zh-CN"/>
              </w:rPr>
              <w:t>8</w:t>
            </w:r>
            <w:r>
              <w:rPr>
                <w:b/>
              </w:rPr>
              <w:t>项目主要噪声源强</w:t>
            </w:r>
          </w:p>
          <w:tbl>
            <w:tblPr>
              <w:tblStyle w:val="2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19"/>
              <w:gridCol w:w="1667"/>
              <w:gridCol w:w="725"/>
              <w:gridCol w:w="988"/>
              <w:gridCol w:w="1057"/>
              <w:gridCol w:w="946"/>
              <w:gridCol w:w="1151"/>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tcBorders>
                    <w:top w:val="single" w:color="auto" w:sz="4" w:space="0"/>
                    <w:left w:val="single" w:color="auto" w:sz="0"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序号</w:t>
                  </w:r>
                </w:p>
              </w:tc>
              <w:tc>
                <w:tcPr>
                  <w:tcW w:w="166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设备名称</w:t>
                  </w:r>
                </w:p>
              </w:tc>
              <w:tc>
                <w:tcPr>
                  <w:tcW w:w="725"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数量</w:t>
                  </w:r>
                </w:p>
                <w:p>
                  <w:pPr>
                    <w:pStyle w:val="109"/>
                    <w:rPr>
                      <w:rFonts w:ascii="宋体" w:hAnsi="宋体" w:eastAsia="宋体" w:cs="宋体"/>
                      <w:sz w:val="21"/>
                      <w:szCs w:val="21"/>
                    </w:rPr>
                  </w:pPr>
                  <w:r>
                    <w:rPr>
                      <w:rFonts w:hint="eastAsia" w:ascii="宋体" w:hAnsi="宋体" w:eastAsia="宋体" w:cs="宋体"/>
                      <w:sz w:val="21"/>
                      <w:szCs w:val="21"/>
                    </w:rPr>
                    <w:t>（台/套）</w:t>
                  </w:r>
                </w:p>
              </w:tc>
              <w:tc>
                <w:tcPr>
                  <w:tcW w:w="98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lang w:val="en-US" w:eastAsia="zh-CN"/>
                    </w:rPr>
                    <w:t>噪声源强</w:t>
                  </w:r>
                  <w:r>
                    <w:rPr>
                      <w:rFonts w:hint="eastAsia" w:ascii="宋体" w:hAnsi="宋体" w:eastAsia="宋体" w:cs="宋体"/>
                      <w:sz w:val="21"/>
                      <w:szCs w:val="21"/>
                    </w:rPr>
                    <w:t>（dB（A））</w:t>
                  </w:r>
                </w:p>
              </w:tc>
              <w:tc>
                <w:tcPr>
                  <w:tcW w:w="1058" w:type="dxa"/>
                  <w:tcBorders>
                    <w:top w:val="single" w:color="auto" w:sz="4" w:space="0"/>
                    <w:left w:val="single" w:color="auto" w:sz="4" w:space="0"/>
                    <w:bottom w:val="single" w:color="auto" w:sz="4" w:space="0"/>
                    <w:right w:val="single" w:color="auto" w:sz="4" w:space="0"/>
                  </w:tcBorders>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位置</w:t>
                  </w:r>
                </w:p>
              </w:tc>
              <w:tc>
                <w:tcPr>
                  <w:tcW w:w="947"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治理措施</w:t>
                  </w:r>
                </w:p>
              </w:tc>
              <w:tc>
                <w:tcPr>
                  <w:tcW w:w="115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降噪效果</w:t>
                  </w:r>
                </w:p>
                <w:p>
                  <w:pPr>
                    <w:pStyle w:val="109"/>
                    <w:rPr>
                      <w:rFonts w:ascii="宋体" w:hAnsi="宋体" w:eastAsia="宋体" w:cs="宋体"/>
                      <w:sz w:val="21"/>
                      <w:szCs w:val="21"/>
                    </w:rPr>
                  </w:pPr>
                  <w:r>
                    <w:rPr>
                      <w:rFonts w:hint="eastAsia" w:ascii="宋体" w:hAnsi="宋体" w:eastAsia="宋体" w:cs="宋体"/>
                      <w:sz w:val="21"/>
                      <w:szCs w:val="21"/>
                    </w:rPr>
                    <w:t>（dB（A））</w:t>
                  </w:r>
                </w:p>
              </w:tc>
              <w:tc>
                <w:tcPr>
                  <w:tcW w:w="1152"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厂界达标判定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668"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高速水墨印刷分压切角开槽模切机</w:t>
                  </w:r>
                </w:p>
              </w:tc>
              <w:tc>
                <w:tcPr>
                  <w:tcW w:w="725"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989" w:type="dxa"/>
                  <w:tcBorders>
                    <w:top w:val="single" w:color="auto" w:sz="4" w:space="0"/>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70～80</w:t>
                  </w:r>
                </w:p>
              </w:tc>
              <w:tc>
                <w:tcPr>
                  <w:tcW w:w="1058" w:type="dxa"/>
                  <w:tcBorders>
                    <w:top w:val="single" w:color="auto" w:sz="4" w:space="0"/>
                    <w:left w:val="single" w:color="auto" w:sz="4" w:space="0"/>
                    <w:right w:val="single" w:color="auto" w:sz="4" w:space="0"/>
                  </w:tcBorders>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水墨印刷车间</w:t>
                  </w:r>
                </w:p>
              </w:tc>
              <w:tc>
                <w:tcPr>
                  <w:tcW w:w="947" w:type="dxa"/>
                  <w:vMerge w:val="restart"/>
                  <w:tcBorders>
                    <w:top w:val="single" w:color="auto" w:sz="4" w:space="0"/>
                    <w:left w:val="single" w:color="auto" w:sz="4" w:space="0"/>
                    <w:right w:val="single" w:color="auto" w:sz="4" w:space="0"/>
                  </w:tcBorders>
                  <w:vAlign w:val="center"/>
                </w:tcPr>
                <w:p>
                  <w:pPr>
                    <w:pStyle w:val="109"/>
                    <w:jc w:val="center"/>
                    <w:rPr>
                      <w:rFonts w:ascii="宋体" w:hAnsi="宋体" w:eastAsia="宋体" w:cs="宋体"/>
                      <w:sz w:val="21"/>
                      <w:szCs w:val="21"/>
                    </w:rPr>
                  </w:pPr>
                  <w:r>
                    <w:rPr>
                      <w:rFonts w:hint="eastAsia" w:ascii="宋体" w:hAnsi="宋体" w:eastAsia="宋体" w:cs="宋体"/>
                      <w:sz w:val="21"/>
                      <w:szCs w:val="21"/>
                    </w:rPr>
                    <w:t>厂房隔声、</w:t>
                  </w:r>
                </w:p>
                <w:p>
                  <w:pPr>
                    <w:pStyle w:val="109"/>
                    <w:jc w:val="center"/>
                    <w:rPr>
                      <w:rFonts w:ascii="宋体" w:hAnsi="宋体" w:eastAsia="宋体" w:cs="宋体"/>
                      <w:sz w:val="21"/>
                      <w:szCs w:val="21"/>
                    </w:rPr>
                  </w:pPr>
                  <w:r>
                    <w:rPr>
                      <w:rFonts w:hint="eastAsia" w:ascii="宋体" w:hAnsi="宋体" w:eastAsia="宋体" w:cs="宋体"/>
                      <w:sz w:val="21"/>
                      <w:szCs w:val="21"/>
                    </w:rPr>
                    <w:t>机械设备</w:t>
                  </w:r>
                </w:p>
                <w:p>
                  <w:pPr>
                    <w:pStyle w:val="109"/>
                    <w:jc w:val="center"/>
                    <w:rPr>
                      <w:rFonts w:hint="eastAsia" w:ascii="宋体" w:hAnsi="宋体" w:eastAsia="宋体" w:cs="宋体"/>
                      <w:sz w:val="21"/>
                      <w:szCs w:val="21"/>
                      <w:lang w:eastAsia="zh-CN"/>
                    </w:rPr>
                  </w:pPr>
                  <w:r>
                    <w:rPr>
                      <w:rFonts w:hint="eastAsia" w:ascii="宋体" w:hAnsi="宋体" w:eastAsia="宋体" w:cs="宋体"/>
                      <w:sz w:val="21"/>
                      <w:szCs w:val="21"/>
                    </w:rPr>
                    <w:t>减震</w:t>
                  </w:r>
                  <w:r>
                    <w:rPr>
                      <w:rFonts w:hint="eastAsia" w:ascii="宋体" w:hAnsi="宋体" w:eastAsia="宋体" w:cs="宋体"/>
                      <w:sz w:val="21"/>
                      <w:szCs w:val="21"/>
                      <w:lang w:eastAsia="zh-CN"/>
                    </w:rPr>
                    <w:t>、</w:t>
                  </w:r>
                  <w:r>
                    <w:rPr>
                      <w:rFonts w:hint="eastAsia" w:ascii="宋体" w:hAnsi="宋体" w:eastAsia="宋体" w:cs="宋体"/>
                      <w:sz w:val="21"/>
                      <w:szCs w:val="21"/>
                    </w:rPr>
                    <w:t>润滑零件，加强保养，车间封闭</w:t>
                  </w:r>
                </w:p>
              </w:tc>
              <w:tc>
                <w:tcPr>
                  <w:tcW w:w="1152" w:type="dxa"/>
                  <w:vMerge w:val="restart"/>
                  <w:tcBorders>
                    <w:top w:val="single" w:color="auto" w:sz="4" w:space="0"/>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降噪约在25～30</w:t>
                  </w:r>
                </w:p>
              </w:tc>
              <w:tc>
                <w:tcPr>
                  <w:tcW w:w="1152" w:type="dxa"/>
                  <w:tcBorders>
                    <w:top w:val="single" w:color="auto" w:sz="4" w:space="0"/>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tcBorders>
                    <w:top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668" w:type="dxa"/>
                  <w:tcBorders>
                    <w:top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胶印机</w:t>
                  </w:r>
                </w:p>
              </w:tc>
              <w:tc>
                <w:tcPr>
                  <w:tcW w:w="725" w:type="dxa"/>
                  <w:tcBorders>
                    <w:top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989" w:type="dxa"/>
                  <w:tcBorders>
                    <w:top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70～80</w:t>
                  </w:r>
                </w:p>
              </w:tc>
              <w:tc>
                <w:tcPr>
                  <w:tcW w:w="1058" w:type="dxa"/>
                  <w:tcBorders>
                    <w:left w:val="single" w:color="auto" w:sz="4" w:space="0"/>
                    <w:right w:val="single" w:color="auto" w:sz="4" w:space="0"/>
                  </w:tcBorders>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水墨印刷车间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3</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半自动模切压痕机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70～85</w:t>
                  </w:r>
                </w:p>
              </w:tc>
              <w:tc>
                <w:tcPr>
                  <w:tcW w:w="1058" w:type="dxa"/>
                  <w:tcBorders>
                    <w:left w:val="single" w:color="auto" w:sz="4" w:space="0"/>
                    <w:right w:val="single" w:color="auto" w:sz="4" w:space="0"/>
                  </w:tcBorders>
                  <w:vAlign w:val="center"/>
                </w:tcPr>
                <w:p>
                  <w:pPr>
                    <w:pStyle w:val="109"/>
                    <w:rPr>
                      <w:rFonts w:hint="eastAsia" w:ascii="宋体" w:hAnsi="宋体" w:eastAsia="宋体" w:cs="宋体"/>
                      <w:sz w:val="21"/>
                      <w:szCs w:val="21"/>
                    </w:rPr>
                  </w:pPr>
                  <w:r>
                    <w:rPr>
                      <w:rFonts w:hint="eastAsia" w:ascii="宋体" w:hAnsi="宋体" w:eastAsia="宋体" w:cs="宋体"/>
                      <w:sz w:val="21"/>
                      <w:szCs w:val="21"/>
                      <w:lang w:val="en-US" w:eastAsia="zh-CN"/>
                    </w:rPr>
                    <w:t>覆膜车间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4</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平压压痕切线机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65～75</w:t>
                  </w:r>
                </w:p>
              </w:tc>
              <w:tc>
                <w:tcPr>
                  <w:tcW w:w="1058" w:type="dxa"/>
                  <w:tcBorders>
                    <w:left w:val="single" w:color="auto" w:sz="4" w:space="0"/>
                    <w:right w:val="single" w:color="auto" w:sz="4" w:space="0"/>
                  </w:tcBorders>
                  <w:vAlign w:val="center"/>
                </w:tcPr>
                <w:p>
                  <w:pPr>
                    <w:pStyle w:val="109"/>
                    <w:rPr>
                      <w:rFonts w:hint="eastAsia" w:ascii="宋体" w:hAnsi="宋体" w:eastAsia="宋体" w:cs="宋体"/>
                      <w:sz w:val="21"/>
                      <w:szCs w:val="21"/>
                    </w:rPr>
                  </w:pPr>
                  <w:r>
                    <w:rPr>
                      <w:rFonts w:hint="eastAsia" w:ascii="宋体" w:hAnsi="宋体" w:eastAsia="宋体" w:cs="宋体"/>
                      <w:sz w:val="21"/>
                      <w:szCs w:val="21"/>
                      <w:lang w:val="en-US" w:eastAsia="zh-CN"/>
                    </w:rPr>
                    <w:t>覆膜车间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5</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半自动覆面机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80～90</w:t>
                  </w:r>
                </w:p>
              </w:tc>
              <w:tc>
                <w:tcPr>
                  <w:tcW w:w="1058" w:type="dxa"/>
                  <w:tcBorders>
                    <w:left w:val="single" w:color="auto" w:sz="4" w:space="0"/>
                    <w:right w:val="single" w:color="auto" w:sz="4" w:space="0"/>
                  </w:tcBorders>
                  <w:vAlign w:val="center"/>
                </w:tcPr>
                <w:p>
                  <w:pPr>
                    <w:pStyle w:val="109"/>
                    <w:rPr>
                      <w:rFonts w:hint="eastAsia" w:ascii="宋体" w:hAnsi="宋体" w:eastAsia="宋体" w:cs="宋体"/>
                      <w:sz w:val="21"/>
                      <w:szCs w:val="21"/>
                    </w:rPr>
                  </w:pPr>
                  <w:r>
                    <w:rPr>
                      <w:rFonts w:hint="eastAsia" w:ascii="宋体" w:hAnsi="宋体" w:eastAsia="宋体" w:cs="宋体"/>
                      <w:sz w:val="21"/>
                      <w:szCs w:val="21"/>
                      <w:lang w:val="en-US" w:eastAsia="zh-CN"/>
                    </w:rPr>
                    <w:t>覆膜车间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6</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复膜机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70～85</w:t>
                  </w:r>
                </w:p>
              </w:tc>
              <w:tc>
                <w:tcPr>
                  <w:tcW w:w="1058" w:type="dxa"/>
                  <w:tcBorders>
                    <w:left w:val="single" w:color="auto" w:sz="4" w:space="0"/>
                    <w:right w:val="single" w:color="auto" w:sz="4" w:space="0"/>
                  </w:tcBorders>
                  <w:vAlign w:val="center"/>
                </w:tcPr>
                <w:p>
                  <w:pPr>
                    <w:pStyle w:val="109"/>
                    <w:rPr>
                      <w:rFonts w:hint="eastAsia" w:ascii="宋体" w:hAnsi="宋体" w:eastAsia="宋体" w:cs="宋体"/>
                      <w:sz w:val="21"/>
                      <w:szCs w:val="21"/>
                    </w:rPr>
                  </w:pPr>
                  <w:r>
                    <w:rPr>
                      <w:rFonts w:hint="eastAsia" w:ascii="宋体" w:hAnsi="宋体" w:eastAsia="宋体" w:cs="宋体"/>
                      <w:sz w:val="21"/>
                      <w:szCs w:val="21"/>
                      <w:lang w:val="en-US" w:eastAsia="zh-CN"/>
                    </w:rPr>
                    <w:t>覆膜车间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7</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自动糊折盒机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65～75</w:t>
                  </w:r>
                </w:p>
              </w:tc>
              <w:tc>
                <w:tcPr>
                  <w:tcW w:w="1058" w:type="dxa"/>
                  <w:tcBorders>
                    <w:left w:val="single" w:color="auto" w:sz="4" w:space="0"/>
                    <w:right w:val="single" w:color="auto" w:sz="4" w:space="0"/>
                  </w:tcBorders>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糊盒车间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8</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AB片粘箱机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65～75</w:t>
                  </w:r>
                </w:p>
              </w:tc>
              <w:tc>
                <w:tcPr>
                  <w:tcW w:w="1058" w:type="dxa"/>
                  <w:tcBorders>
                    <w:left w:val="single" w:color="auto" w:sz="4" w:space="0"/>
                    <w:right w:val="single" w:color="auto" w:sz="4" w:space="0"/>
                  </w:tcBorders>
                  <w:vAlign w:val="center"/>
                </w:tcPr>
                <w:p>
                  <w:pPr>
                    <w:pStyle w:val="109"/>
                    <w:rPr>
                      <w:rFonts w:hint="eastAsia" w:ascii="宋体" w:hAnsi="宋体" w:eastAsia="宋体" w:cs="宋体"/>
                      <w:sz w:val="21"/>
                      <w:szCs w:val="21"/>
                    </w:rPr>
                  </w:pPr>
                  <w:r>
                    <w:rPr>
                      <w:rFonts w:hint="eastAsia" w:ascii="宋体" w:hAnsi="宋体" w:eastAsia="宋体" w:cs="宋体"/>
                      <w:sz w:val="21"/>
                      <w:szCs w:val="21"/>
                      <w:lang w:val="en-US" w:eastAsia="zh-CN"/>
                    </w:rPr>
                    <w:t>糊盒车间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9</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半自动压合式粘箱机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65～75</w:t>
                  </w:r>
                </w:p>
              </w:tc>
              <w:tc>
                <w:tcPr>
                  <w:tcW w:w="1058" w:type="dxa"/>
                  <w:tcBorders>
                    <w:left w:val="single" w:color="auto" w:sz="4" w:space="0"/>
                    <w:right w:val="single" w:color="auto" w:sz="4" w:space="0"/>
                  </w:tcBorders>
                  <w:vAlign w:val="center"/>
                </w:tcPr>
                <w:p>
                  <w:pPr>
                    <w:pStyle w:val="109"/>
                    <w:rPr>
                      <w:rFonts w:hint="eastAsia" w:ascii="宋体" w:hAnsi="宋体" w:eastAsia="宋体" w:cs="宋体"/>
                      <w:sz w:val="21"/>
                      <w:szCs w:val="21"/>
                    </w:rPr>
                  </w:pPr>
                  <w:r>
                    <w:rPr>
                      <w:rFonts w:hint="eastAsia" w:ascii="宋体" w:hAnsi="宋体" w:eastAsia="宋体" w:cs="宋体"/>
                      <w:sz w:val="21"/>
                      <w:szCs w:val="21"/>
                      <w:lang w:val="en-US" w:eastAsia="zh-CN"/>
                    </w:rPr>
                    <w:t>糊盒车间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10</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半自动钉箱机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65～70</w:t>
                  </w:r>
                </w:p>
              </w:tc>
              <w:tc>
                <w:tcPr>
                  <w:tcW w:w="1058" w:type="dxa"/>
                  <w:tcBorders>
                    <w:left w:val="single" w:color="auto" w:sz="4" w:space="0"/>
                    <w:right w:val="single" w:color="auto" w:sz="4" w:space="0"/>
                  </w:tcBorders>
                  <w:vAlign w:val="center"/>
                </w:tcPr>
                <w:p>
                  <w:pPr>
                    <w:pStyle w:val="109"/>
                    <w:rPr>
                      <w:rFonts w:hint="eastAsia" w:ascii="宋体" w:hAnsi="宋体" w:eastAsia="宋体" w:cs="宋体"/>
                      <w:sz w:val="21"/>
                      <w:szCs w:val="21"/>
                    </w:rPr>
                  </w:pPr>
                  <w:r>
                    <w:rPr>
                      <w:rFonts w:hint="eastAsia" w:ascii="宋体" w:hAnsi="宋体" w:eastAsia="宋体" w:cs="宋体"/>
                      <w:sz w:val="21"/>
                      <w:szCs w:val="21"/>
                      <w:lang w:val="en-US" w:eastAsia="zh-CN"/>
                    </w:rPr>
                    <w:t>钉箱车间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11</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钉箱机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5</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65～70</w:t>
                  </w:r>
                </w:p>
              </w:tc>
              <w:tc>
                <w:tcPr>
                  <w:tcW w:w="1058" w:type="dxa"/>
                  <w:tcBorders>
                    <w:left w:val="single" w:color="auto" w:sz="4" w:space="0"/>
                    <w:right w:val="single" w:color="auto" w:sz="4" w:space="0"/>
                  </w:tcBorders>
                  <w:vAlign w:val="center"/>
                </w:tcPr>
                <w:p>
                  <w:pPr>
                    <w:pStyle w:val="10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钉箱车间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12</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打包机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4</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65～75</w:t>
                  </w:r>
                </w:p>
              </w:tc>
              <w:tc>
                <w:tcPr>
                  <w:tcW w:w="1058" w:type="dxa"/>
                  <w:tcBorders>
                    <w:left w:val="single" w:color="auto" w:sz="4" w:space="0"/>
                    <w:right w:val="single" w:color="auto" w:sz="4" w:space="0"/>
                  </w:tcBorders>
                  <w:vAlign w:val="center"/>
                </w:tcPr>
                <w:p>
                  <w:pPr>
                    <w:pStyle w:val="109"/>
                    <w:rPr>
                      <w:rFonts w:hint="eastAsia" w:ascii="宋体" w:hAnsi="宋体" w:eastAsia="宋体" w:cs="宋体"/>
                      <w:sz w:val="21"/>
                      <w:szCs w:val="21"/>
                    </w:rPr>
                  </w:pPr>
                  <w:r>
                    <w:rPr>
                      <w:rFonts w:hint="eastAsia" w:ascii="宋体" w:hAnsi="宋体" w:eastAsia="宋体" w:cs="宋体"/>
                      <w:sz w:val="21"/>
                      <w:szCs w:val="21"/>
                      <w:lang w:val="en-US" w:eastAsia="zh-CN"/>
                    </w:rPr>
                    <w:t>钉箱车间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13</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切纸机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65～75</w:t>
                  </w:r>
                </w:p>
              </w:tc>
              <w:tc>
                <w:tcPr>
                  <w:tcW w:w="1058" w:type="dxa"/>
                  <w:tcBorders>
                    <w:left w:val="single" w:color="auto" w:sz="4" w:space="0"/>
                    <w:right w:val="single" w:color="auto" w:sz="4" w:space="0"/>
                  </w:tcBorders>
                  <w:vAlign w:val="center"/>
                </w:tcPr>
                <w:p>
                  <w:pPr>
                    <w:pStyle w:val="109"/>
                    <w:rPr>
                      <w:rFonts w:hint="eastAsia" w:ascii="宋体" w:hAnsi="宋体" w:eastAsia="宋体" w:cs="宋体"/>
                      <w:sz w:val="21"/>
                      <w:szCs w:val="21"/>
                    </w:rPr>
                  </w:pPr>
                  <w:r>
                    <w:rPr>
                      <w:rFonts w:hint="eastAsia" w:ascii="宋体" w:hAnsi="宋体" w:eastAsia="宋体" w:cs="宋体"/>
                      <w:sz w:val="21"/>
                      <w:szCs w:val="21"/>
                      <w:lang w:val="en-US" w:eastAsia="zh-CN"/>
                    </w:rPr>
                    <w:t>钉箱车间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9" w:type="dxa"/>
                  <w:vAlign w:val="center"/>
                </w:tcPr>
                <w:p>
                  <w:pPr>
                    <w:pStyle w:val="109"/>
                    <w:rPr>
                      <w:rFonts w:ascii="宋体" w:hAnsi="宋体" w:eastAsia="宋体" w:cs="宋体"/>
                      <w:sz w:val="21"/>
                      <w:szCs w:val="21"/>
                    </w:rPr>
                  </w:pPr>
                  <w:r>
                    <w:rPr>
                      <w:rFonts w:hint="eastAsia" w:ascii="宋体" w:hAnsi="宋体" w:eastAsia="宋体" w:cs="宋体"/>
                      <w:sz w:val="21"/>
                      <w:szCs w:val="21"/>
                    </w:rPr>
                    <w:t>14</w:t>
                  </w:r>
                </w:p>
              </w:tc>
              <w:tc>
                <w:tcPr>
                  <w:tcW w:w="1668" w:type="dxa"/>
                  <w:vAlign w:val="center"/>
                </w:tcPr>
                <w:p>
                  <w:pPr>
                    <w:pStyle w:val="109"/>
                    <w:rPr>
                      <w:rFonts w:ascii="宋体" w:hAnsi="宋体" w:eastAsia="宋体" w:cs="宋体"/>
                      <w:sz w:val="21"/>
                      <w:szCs w:val="21"/>
                    </w:rPr>
                  </w:pPr>
                  <w:r>
                    <w:rPr>
                      <w:rFonts w:hint="eastAsia" w:ascii="宋体" w:hAnsi="宋体" w:eastAsia="宋体" w:cs="宋体"/>
                      <w:sz w:val="21"/>
                      <w:szCs w:val="21"/>
                    </w:rPr>
                    <w:t>空压机</w:t>
                  </w:r>
                </w:p>
              </w:tc>
              <w:tc>
                <w:tcPr>
                  <w:tcW w:w="725" w:type="dxa"/>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989" w:type="dxa"/>
                  <w:vAlign w:val="center"/>
                </w:tcPr>
                <w:p>
                  <w:pPr>
                    <w:pStyle w:val="109"/>
                    <w:rPr>
                      <w:rFonts w:ascii="宋体" w:hAnsi="宋体" w:eastAsia="宋体" w:cs="宋体"/>
                      <w:sz w:val="21"/>
                      <w:szCs w:val="21"/>
                    </w:rPr>
                  </w:pPr>
                  <w:r>
                    <w:rPr>
                      <w:rFonts w:hint="eastAsia" w:ascii="宋体" w:hAnsi="宋体" w:eastAsia="宋体" w:cs="宋体"/>
                      <w:sz w:val="21"/>
                      <w:szCs w:val="21"/>
                    </w:rPr>
                    <w:t>80～95</w:t>
                  </w:r>
                </w:p>
              </w:tc>
              <w:tc>
                <w:tcPr>
                  <w:tcW w:w="1058" w:type="dxa"/>
                  <w:tcBorders>
                    <w:left w:val="single" w:color="auto" w:sz="4" w:space="0"/>
                    <w:right w:val="single" w:color="auto" w:sz="4" w:space="0"/>
                  </w:tcBorders>
                  <w:vAlign w:val="center"/>
                </w:tcPr>
                <w:p>
                  <w:pPr>
                    <w:pStyle w:val="109"/>
                    <w:rPr>
                      <w:rFonts w:hint="eastAsia" w:ascii="宋体" w:hAnsi="宋体" w:eastAsia="宋体" w:cs="宋体"/>
                      <w:sz w:val="21"/>
                      <w:szCs w:val="21"/>
                    </w:rPr>
                  </w:pPr>
                  <w:r>
                    <w:rPr>
                      <w:rFonts w:hint="eastAsia" w:ascii="宋体" w:hAnsi="宋体" w:eastAsia="宋体" w:cs="宋体"/>
                      <w:sz w:val="21"/>
                      <w:szCs w:val="21"/>
                      <w:lang w:val="en-US" w:eastAsia="zh-CN"/>
                    </w:rPr>
                    <w:t>钉箱车间</w:t>
                  </w:r>
                </w:p>
              </w:tc>
              <w:tc>
                <w:tcPr>
                  <w:tcW w:w="947" w:type="dxa"/>
                  <w:vMerge w:val="continue"/>
                  <w:tcBorders>
                    <w:left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9" w:type="dxa"/>
                  <w:tcBorders>
                    <w:bottom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15</w:t>
                  </w:r>
                </w:p>
              </w:tc>
              <w:tc>
                <w:tcPr>
                  <w:tcW w:w="1668" w:type="dxa"/>
                  <w:tcBorders>
                    <w:bottom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手动液压叉车</w:t>
                  </w:r>
                </w:p>
              </w:tc>
              <w:tc>
                <w:tcPr>
                  <w:tcW w:w="725" w:type="dxa"/>
                  <w:tcBorders>
                    <w:bottom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8</w:t>
                  </w:r>
                </w:p>
              </w:tc>
              <w:tc>
                <w:tcPr>
                  <w:tcW w:w="989" w:type="dxa"/>
                  <w:tcBorders>
                    <w:bottom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70～80</w:t>
                  </w:r>
                </w:p>
              </w:tc>
              <w:tc>
                <w:tcPr>
                  <w:tcW w:w="1058" w:type="dxa"/>
                  <w:tcBorders>
                    <w:left w:val="single" w:color="auto" w:sz="4" w:space="0"/>
                    <w:bottom w:val="single" w:color="auto" w:sz="4" w:space="0"/>
                    <w:right w:val="single" w:color="auto" w:sz="4" w:space="0"/>
                  </w:tcBorders>
                  <w:vAlign w:val="center"/>
                </w:tcPr>
                <w:p>
                  <w:pPr>
                    <w:pStyle w:val="10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车间</w:t>
                  </w:r>
                </w:p>
              </w:tc>
              <w:tc>
                <w:tcPr>
                  <w:tcW w:w="947" w:type="dxa"/>
                  <w:vMerge w:val="continue"/>
                  <w:tcBorders>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p>
              </w:tc>
              <w:tc>
                <w:tcPr>
                  <w:tcW w:w="1152" w:type="dxa"/>
                  <w:vMerge w:val="continue"/>
                  <w:tcBorders>
                    <w:left w:val="single" w:color="auto" w:sz="4" w:space="0"/>
                    <w:bottom w:val="single" w:color="auto" w:sz="4" w:space="0"/>
                    <w:right w:val="single" w:color="auto" w:sz="4" w:space="0"/>
                  </w:tcBorders>
                </w:tcPr>
                <w:p>
                  <w:pPr>
                    <w:pStyle w:val="109"/>
                    <w:rPr>
                      <w:rFonts w:ascii="宋体" w:hAnsi="宋体" w:eastAsia="宋体" w:cs="宋体"/>
                      <w:sz w:val="21"/>
                      <w:szCs w:val="21"/>
                    </w:rPr>
                  </w:pPr>
                </w:p>
              </w:tc>
              <w:tc>
                <w:tcPr>
                  <w:tcW w:w="1152" w:type="dxa"/>
                  <w:tcBorders>
                    <w:left w:val="single" w:color="auto" w:sz="4" w:space="0"/>
                    <w:bottom w:val="single" w:color="auto" w:sz="4" w:space="0"/>
                    <w:right w:val="single" w:color="auto" w:sz="4" w:space="0"/>
                  </w:tcBorders>
                  <w:vAlign w:val="center"/>
                </w:tcPr>
                <w:p>
                  <w:pPr>
                    <w:pStyle w:val="109"/>
                    <w:rPr>
                      <w:rFonts w:ascii="宋体" w:hAnsi="宋体" w:eastAsia="宋体" w:cs="宋体"/>
                      <w:sz w:val="21"/>
                      <w:szCs w:val="21"/>
                    </w:rPr>
                  </w:pPr>
                  <w:r>
                    <w:rPr>
                      <w:rFonts w:hint="eastAsia" w:ascii="宋体" w:hAnsi="宋体" w:eastAsia="宋体" w:cs="宋体"/>
                      <w:sz w:val="21"/>
                      <w:szCs w:val="21"/>
                    </w:rPr>
                    <w:t>达标</w:t>
                  </w:r>
                </w:p>
              </w:tc>
            </w:tr>
          </w:tbl>
          <w:p>
            <w:pPr>
              <w:adjustRightInd w:val="0"/>
              <w:snapToGrid w:val="0"/>
              <w:spacing w:line="360" w:lineRule="auto"/>
              <w:ind w:firstLine="480" w:firstLineChars="20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（2）治理措施</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为了改善操作环境，使厂界能够符合《工业企业厂界环境噪声排放标准》（GB12348-2008）3类标准的要求，减少对周围环境的影响，拟建项目针对以上噪声源情况，采取了以下控制措施：</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①在设备选型上，首先选择装备先进的低噪声设备，并采取适当的降噪措施，如机组基础设置衬垫，使之与建筑结构隔开，从源头减小噪声的影响；</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②合理布置产噪声设备，使产噪设备尽量远离厂界；</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③加强设备的维修保养，保证相对运动件结合面的良好润滑并降低结合面的表面粗糙度，使设备处于最佳工作状态；</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④墙体隔声。</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（3）预测模式及参数选择</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本次评价采用《环境影响评价技术导则—声环境》（HJ2.4-2009）中推荐模式进行预测，用A声级计算，模式如下：</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bookmarkStart w:id="4" w:name="_Toc458177328"/>
            <w:r>
              <w:rPr>
                <w:rFonts w:hint="eastAsia" w:ascii="宋体" w:hAnsi="宋体" w:eastAsiaTheme="minorEastAsia" w:cstheme="minorBidi"/>
                <w:kern w:val="2"/>
                <w:sz w:val="24"/>
                <w:szCs w:val="24"/>
                <w:lang w:val="en-US" w:eastAsia="zh-CN" w:bidi="ar-SA"/>
              </w:rPr>
              <w:t>（1）单个室外点声源在预测点产生的A声级的计算</w:t>
            </w:r>
            <w:bookmarkEnd w:id="4"/>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drawing>
                <wp:inline distT="0" distB="0" distL="0" distR="0">
                  <wp:extent cx="2943225" cy="238125"/>
                  <wp:effectExtent l="0" t="0" r="9525" b="8255"/>
                  <wp:docPr id="7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43225" cy="238125"/>
                          </a:xfrm>
                          <a:prstGeom prst="rect">
                            <a:avLst/>
                          </a:prstGeom>
                          <a:noFill/>
                          <a:ln>
                            <a:noFill/>
                          </a:ln>
                        </pic:spPr>
                      </pic:pic>
                    </a:graphicData>
                  </a:graphic>
                </wp:inline>
              </w:drawing>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式中：LA（r）—距声源r处的A声级，dB（A）；</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LA（r0）—参考位置r0处的A声级，dB（A）；</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Adiv—几何发散引起的倍频带衰减，dB（A）；</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Aatm—大气吸收引起的倍频带衰减，dB（A）；</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Agr—地面效应引起的倍频带衰减，dB（A）；</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Abar—声屏障引起的倍频带衰减，dB（A）；</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Amisc—其他多方面效应引起的倍频带衰减，dB（A）；</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（2）室内声源等效为室外声源的计算</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①首先计算出某个室内靠近围护结构处的倍频带声压级</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drawing>
                <wp:inline distT="0" distB="0" distL="0" distR="0">
                  <wp:extent cx="1704975" cy="428625"/>
                  <wp:effectExtent l="0" t="0" r="9525" b="8890"/>
                  <wp:docPr id="7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04975" cy="428625"/>
                          </a:xfrm>
                          <a:prstGeom prst="rect">
                            <a:avLst/>
                          </a:prstGeom>
                          <a:noFill/>
                          <a:ln>
                            <a:noFill/>
                          </a:ln>
                        </pic:spPr>
                      </pic:pic>
                    </a:graphicData>
                  </a:graphic>
                </wp:inline>
              </w:drawing>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式中：LP1—某个室内声源在靠近围护结构处产生的倍频带声压级；</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Lw—某个声源的倍频带声功率级，dB（A）；</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r—某个声源与靠近围护结构处的距离，m；</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R—房间常数，R=Sα/（1-α），S为房间内表面面积，m2；α为平均吸声系数；</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Q—指向性因子，通常对无指向性声源，当声源贩子房间中心时，Q=1；当放在一面墙的中心时，Q=2；当放在两面墙夹角处时，Q=4；当放在三面墙夹角处时，Q=8；</w:t>
            </w:r>
          </w:p>
          <w:p>
            <w:pPr>
              <w:adjustRightInd w:val="0"/>
              <w:snapToGrid w:val="0"/>
              <w:spacing w:line="360" w:lineRule="auto"/>
              <w:ind w:firstLine="480" w:firstLineChars="200"/>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②计算出所有室内声源在围护结构处产生的i倍频带叠加声压级</w:t>
            </w:r>
          </w:p>
          <w:p>
            <w:pPr>
              <w:adjustRightInd w:val="0"/>
              <w:snapToGrid w:val="0"/>
              <w:spacing w:line="360" w:lineRule="auto"/>
              <w:jc w:val="center"/>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drawing>
                <wp:inline distT="0" distB="0" distL="0" distR="0">
                  <wp:extent cx="1638300" cy="485775"/>
                  <wp:effectExtent l="0" t="0" r="0" b="8890"/>
                  <wp:docPr id="7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38300" cy="485775"/>
                          </a:xfrm>
                          <a:prstGeom prst="rect">
                            <a:avLst/>
                          </a:prstGeom>
                          <a:noFill/>
                          <a:ln>
                            <a:noFill/>
                          </a:ln>
                        </pic:spPr>
                      </pic:pic>
                    </a:graphicData>
                  </a:graphic>
                </wp:inline>
              </w:drawing>
            </w:r>
          </w:p>
          <w:p>
            <w:pPr>
              <w:adjustRightInd w:val="0"/>
              <w:snapToGrid w:val="0"/>
              <w:spacing w:line="360" w:lineRule="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式中：LP1i（T）—靠近围护结构处N个室内声源产生的i倍频带的叠加声压级，dB（A）；</w:t>
            </w:r>
          </w:p>
          <w:p>
            <w:pPr>
              <w:adjustRightInd w:val="0"/>
              <w:snapToGrid w:val="0"/>
              <w:spacing w:line="360" w:lineRule="auto"/>
              <w:ind w:firstLine="480" w:firstLineChars="200"/>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LP1ij—室内j声源i倍频带的声压级，dB（A）；</w:t>
            </w:r>
          </w:p>
          <w:p>
            <w:pPr>
              <w:adjustRightInd w:val="0"/>
              <w:snapToGrid w:val="0"/>
              <w:spacing w:line="360" w:lineRule="auto"/>
              <w:ind w:firstLine="480" w:firstLineChars="200"/>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N—室内声源总数；</w:t>
            </w:r>
          </w:p>
          <w:p>
            <w:pPr>
              <w:adjustRightInd w:val="0"/>
              <w:snapToGrid w:val="0"/>
              <w:spacing w:line="360" w:lineRule="auto"/>
              <w:ind w:firstLine="480" w:firstLineChars="200"/>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③计算出室外靠近围护结构处的声压级</w:t>
            </w:r>
          </w:p>
          <w:p>
            <w:pPr>
              <w:adjustRightInd w:val="0"/>
              <w:snapToGrid w:val="0"/>
              <w:spacing w:line="360" w:lineRule="auto"/>
              <w:jc w:val="center"/>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drawing>
                <wp:inline distT="0" distB="0" distL="0" distR="0">
                  <wp:extent cx="1685925" cy="228600"/>
                  <wp:effectExtent l="0" t="0" r="9525" b="0"/>
                  <wp:docPr id="7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85925" cy="228600"/>
                          </a:xfrm>
                          <a:prstGeom prst="rect">
                            <a:avLst/>
                          </a:prstGeom>
                          <a:noFill/>
                          <a:ln>
                            <a:noFill/>
                          </a:ln>
                        </pic:spPr>
                      </pic:pic>
                    </a:graphicData>
                  </a:graphic>
                </wp:inline>
              </w:drawing>
            </w:r>
          </w:p>
          <w:p>
            <w:pPr>
              <w:adjustRightInd w:val="0"/>
              <w:snapToGrid w:val="0"/>
              <w:spacing w:line="360" w:lineRule="auto"/>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式中：LP2i（T）—靠近围护结构处N个室外声源产生的i倍频带的叠加声压级，dB（A）；</w:t>
            </w:r>
            <w:bookmarkStart w:id="5" w:name="_Toc458177329"/>
          </w:p>
          <w:p>
            <w:pPr>
              <w:adjustRightInd w:val="0"/>
              <w:snapToGrid w:val="0"/>
              <w:spacing w:line="360" w:lineRule="auto"/>
              <w:ind w:firstLine="600" w:firstLineChars="250"/>
              <w:rPr>
                <w:rFonts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TLi—维护结构i倍频带的隔声量，dB（A）；</w:t>
            </w:r>
            <w:bookmarkEnd w:id="5"/>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④将室外声源的声压级和透声面积换算成等效的室外声源，计算出中心位置位于透声面积（S）处的等效声源的倍频带声功率级</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drawing>
                <wp:inline distT="0" distB="0" distL="0" distR="0">
                  <wp:extent cx="1285875" cy="228600"/>
                  <wp:effectExtent l="0" t="0" r="9525" b="0"/>
                  <wp:docPr id="7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85875" cy="228600"/>
                          </a:xfrm>
                          <a:prstGeom prst="rect">
                            <a:avLst/>
                          </a:prstGeom>
                          <a:noFill/>
                          <a:ln>
                            <a:noFill/>
                          </a:ln>
                        </pic:spPr>
                      </pic:pic>
                    </a:graphicData>
                  </a:graphic>
                </wp:inline>
              </w:drawing>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式中：S—透声面积，m</w:t>
            </w:r>
            <w:r>
              <w:rPr>
                <w:rFonts w:hint="eastAsia" w:ascii="宋体" w:hAnsi="宋体" w:eastAsiaTheme="minorEastAsia" w:cstheme="minorBidi"/>
                <w:kern w:val="2"/>
                <w:sz w:val="24"/>
                <w:szCs w:val="24"/>
                <w:vertAlign w:val="superscript"/>
                <w:lang w:val="en-US" w:eastAsia="zh-CN" w:bidi="ar-SA"/>
              </w:rPr>
              <w:t>2</w:t>
            </w:r>
            <w:r>
              <w:rPr>
                <w:rFonts w:hint="eastAsia" w:ascii="宋体" w:hAnsi="宋体" w:eastAsiaTheme="minorEastAsia" w:cstheme="minorBidi"/>
                <w:kern w:val="2"/>
                <w:sz w:val="24"/>
                <w:szCs w:val="24"/>
                <w:lang w:val="en-US" w:eastAsia="zh-CN" w:bidi="ar-SA"/>
              </w:rPr>
              <w:t>。</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⑤然后按照室外声源预测方法计算预测点处的A声级。</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（3）参数的确定</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①声波几何发散引起的A声级衰减量（工业噪声源）：</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a、点声源      Adiv＝20Lg（r/ro）</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b、有限长（Lo）线声源</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当r＞Lo且ro＞Lo时               Adiv＝20lg（r/ro）</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当r＜Lo/3且ro＜Lo/3时           Adiv＝10lg（r/ro）</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当Lo/3＜r＜Lo且Lo/3＜ro＜Lo时    Adiv＝15lg（r/ro）</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②空气吸收引起的衰减量Aatm</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本工程噪声以中低频为主，空气吸收性衰减很少，本次评价预测时忽略不计。</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③地面效应引起的衰减量Agr</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本工程地面为水泥硬化路面，地面效应引起的衰减量很小，本次评价预测时忽略不计。</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④屏障引起的衰减Abar</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噪声在向外传播过程中将受到厂房或其它车间的阻挡影响，从而引起声能量的衰减，具体衰减根据不同声级的传播途径而定，本次评价预测时忽略不计。</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⑤其他多方面原因引起的衰减量Amisc</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主要考虑工业场所的衰减；通过房屋群的衰减等。本次环评忽略不计本项衰减量。</w:t>
            </w:r>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bookmarkStart w:id="6" w:name="_Toc61964718"/>
            <w:bookmarkStart w:id="7" w:name="_Toc61966974"/>
            <w:bookmarkStart w:id="8" w:name="_Toc264064825"/>
            <w:bookmarkStart w:id="9" w:name="_Toc330797685"/>
            <w:bookmarkStart w:id="10" w:name="_Toc351751481"/>
            <w:bookmarkStart w:id="11" w:name="_Toc343088115"/>
            <w:bookmarkStart w:id="12" w:name="_Toc351751771"/>
            <w:bookmarkStart w:id="13" w:name="_Toc458177331"/>
            <w:r>
              <w:rPr>
                <w:rFonts w:hint="eastAsia" w:ascii="宋体" w:hAnsi="宋体" w:eastAsiaTheme="minorEastAsia" w:cstheme="minorBidi"/>
                <w:kern w:val="2"/>
                <w:sz w:val="24"/>
                <w:szCs w:val="24"/>
                <w:lang w:val="en-US" w:eastAsia="zh-CN" w:bidi="ar-SA"/>
              </w:rPr>
              <w:t>（4）预测结果</w:t>
            </w:r>
            <w:bookmarkEnd w:id="6"/>
            <w:bookmarkEnd w:id="7"/>
            <w:r>
              <w:rPr>
                <w:rFonts w:hint="eastAsia" w:ascii="宋体" w:hAnsi="宋体" w:eastAsiaTheme="minorEastAsia" w:cstheme="minorBidi"/>
                <w:kern w:val="2"/>
                <w:sz w:val="24"/>
                <w:szCs w:val="24"/>
                <w:lang w:val="en-US" w:eastAsia="zh-CN" w:bidi="ar-SA"/>
              </w:rPr>
              <w:t>及评价</w:t>
            </w:r>
            <w:bookmarkEnd w:id="8"/>
            <w:bookmarkEnd w:id="9"/>
            <w:bookmarkEnd w:id="10"/>
            <w:bookmarkEnd w:id="11"/>
            <w:bookmarkEnd w:id="12"/>
            <w:bookmarkEnd w:id="13"/>
          </w:p>
          <w:p>
            <w:pPr>
              <w:widowControl/>
              <w:adjustRightInd w:val="0"/>
              <w:snapToGrid w:val="0"/>
              <w:spacing w:line="360" w:lineRule="auto"/>
              <w:ind w:firstLine="480" w:firstLineChars="200"/>
              <w:jc w:val="left"/>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根据拟建项目主要噪声设备经采取相应治理措施后的噪声值，利用以上预测模式和参数分别计算得出拟建项目主要噪声设备对敏感点的噪声预测值。拟建工程完成后厂界预测结果见表7-13。</w:t>
            </w:r>
          </w:p>
          <w:p>
            <w:pPr>
              <w:pStyle w:val="103"/>
              <w:rPr>
                <w:snapToGrid w:val="0"/>
              </w:rPr>
            </w:pPr>
            <w:r>
              <w:rPr>
                <w:rFonts w:hint="eastAsia"/>
                <w:snapToGrid w:val="0"/>
              </w:rPr>
              <w:t>表</w:t>
            </w:r>
            <w:r>
              <w:rPr>
                <w:rFonts w:hint="eastAsia"/>
                <w:snapToGrid w:val="0"/>
                <w:lang w:val="en-US" w:eastAsia="zh-CN"/>
              </w:rPr>
              <w:t>4</w:t>
            </w:r>
            <w:r>
              <w:rPr>
                <w:rFonts w:hint="eastAsia"/>
                <w:snapToGrid w:val="0"/>
              </w:rPr>
              <w:t>-</w:t>
            </w:r>
            <w:r>
              <w:rPr>
                <w:rFonts w:hint="eastAsia"/>
                <w:snapToGrid w:val="0"/>
                <w:lang w:val="en-US" w:eastAsia="zh-CN"/>
              </w:rPr>
              <w:t>9</w:t>
            </w:r>
            <w:r>
              <w:rPr>
                <w:rFonts w:hint="eastAsia"/>
                <w:snapToGrid w:val="0"/>
              </w:rPr>
              <w:t xml:space="preserve">   噪声预测结果[单位：dB(A)]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108" w:type="dxa"/>
                <w:bottom w:w="17" w:type="dxa"/>
                <w:right w:w="108" w:type="dxa"/>
              </w:tblCellMar>
            </w:tblPr>
            <w:tblGrid>
              <w:gridCol w:w="1683"/>
              <w:gridCol w:w="1768"/>
              <w:gridCol w:w="1178"/>
              <w:gridCol w:w="1152"/>
              <w:gridCol w:w="1342"/>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40" w:hRule="atLeast"/>
                <w:jc w:val="center"/>
              </w:trPr>
              <w:tc>
                <w:tcPr>
                  <w:tcW w:w="1683" w:type="dxa"/>
                  <w:vMerge w:val="restart"/>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测点</w:t>
                  </w:r>
                </w:p>
              </w:tc>
              <w:tc>
                <w:tcPr>
                  <w:tcW w:w="1768" w:type="dxa"/>
                  <w:vMerge w:val="restart"/>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贡献值</w:t>
                  </w:r>
                </w:p>
              </w:tc>
              <w:tc>
                <w:tcPr>
                  <w:tcW w:w="2330" w:type="dxa"/>
                  <w:gridSpan w:val="2"/>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标准值</w:t>
                  </w:r>
                </w:p>
              </w:tc>
              <w:tc>
                <w:tcPr>
                  <w:tcW w:w="2537" w:type="dxa"/>
                  <w:gridSpan w:val="2"/>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叠加现状值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40" w:hRule="atLeast"/>
                <w:jc w:val="center"/>
              </w:trPr>
              <w:tc>
                <w:tcPr>
                  <w:tcW w:w="1683" w:type="dxa"/>
                  <w:vMerge w:val="continue"/>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p>
              </w:tc>
              <w:tc>
                <w:tcPr>
                  <w:tcW w:w="1768" w:type="dxa"/>
                  <w:vMerge w:val="continue"/>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p>
              </w:tc>
              <w:tc>
                <w:tcPr>
                  <w:tcW w:w="1178"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昼间</w:t>
                  </w:r>
                </w:p>
              </w:tc>
              <w:tc>
                <w:tcPr>
                  <w:tcW w:w="1152"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夜间</w:t>
                  </w:r>
                </w:p>
              </w:tc>
              <w:tc>
                <w:tcPr>
                  <w:tcW w:w="1342"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昼间</w:t>
                  </w:r>
                </w:p>
              </w:tc>
              <w:tc>
                <w:tcPr>
                  <w:tcW w:w="1195"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4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9"/>
                    <w:ind w:firstLine="0" w:firstLineChars="0"/>
                    <w:rPr>
                      <w:rFonts w:hint="eastAsia" w:ascii="宋体" w:hAnsi="宋体" w:eastAsia="宋体" w:cs="宋体"/>
                      <w:sz w:val="21"/>
                      <w:szCs w:val="21"/>
                    </w:rPr>
                  </w:pPr>
                  <w:r>
                    <w:rPr>
                      <w:rFonts w:hint="eastAsia" w:ascii="宋体" w:hAnsi="宋体" w:eastAsia="宋体" w:cs="宋体"/>
                      <w:sz w:val="21"/>
                      <w:szCs w:val="21"/>
                    </w:rPr>
                    <w:t>1#（厂界）</w:t>
                  </w:r>
                </w:p>
              </w:tc>
              <w:tc>
                <w:tcPr>
                  <w:tcW w:w="1768" w:type="dxa"/>
                  <w:tcBorders>
                    <w:top w:val="single" w:color="auto" w:sz="4" w:space="0"/>
                    <w:left w:val="single" w:color="auto" w:sz="4" w:space="0"/>
                    <w:bottom w:val="single" w:color="auto" w:sz="4" w:space="0"/>
                    <w:right w:val="single" w:color="auto" w:sz="4" w:space="0"/>
                  </w:tcBorders>
                  <w:vAlign w:val="center"/>
                </w:tcPr>
                <w:p>
                  <w:pPr>
                    <w:pStyle w:val="10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44.9</w:t>
                  </w:r>
                </w:p>
              </w:tc>
              <w:tc>
                <w:tcPr>
                  <w:tcW w:w="1178" w:type="dxa"/>
                  <w:vMerge w:val="restart"/>
                  <w:tcBorders>
                    <w:top w:val="single" w:color="auto" w:sz="4" w:space="0"/>
                    <w:left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65</w:t>
                  </w:r>
                </w:p>
              </w:tc>
              <w:tc>
                <w:tcPr>
                  <w:tcW w:w="1152" w:type="dxa"/>
                  <w:vMerge w:val="restart"/>
                  <w:tcBorders>
                    <w:top w:val="single" w:color="auto" w:sz="4" w:space="0"/>
                    <w:left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55</w:t>
                  </w:r>
                </w:p>
              </w:tc>
              <w:tc>
                <w:tcPr>
                  <w:tcW w:w="2537" w:type="dxa"/>
                  <w:gridSpan w:val="2"/>
                  <w:vMerge w:val="restart"/>
                  <w:tcBorders>
                    <w:top w:val="single" w:color="auto" w:sz="4" w:space="0"/>
                    <w:left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4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9"/>
                    <w:ind w:firstLine="0" w:firstLineChars="0"/>
                    <w:rPr>
                      <w:rFonts w:hint="eastAsia" w:ascii="宋体" w:hAnsi="宋体" w:eastAsia="宋体" w:cs="宋体"/>
                      <w:sz w:val="21"/>
                      <w:szCs w:val="21"/>
                    </w:rPr>
                  </w:pPr>
                  <w:r>
                    <w:rPr>
                      <w:rFonts w:hint="eastAsia" w:ascii="宋体" w:hAnsi="宋体" w:eastAsia="宋体" w:cs="宋体"/>
                      <w:sz w:val="21"/>
                      <w:szCs w:val="21"/>
                    </w:rPr>
                    <w:t>2#（厂界）</w:t>
                  </w:r>
                </w:p>
              </w:tc>
              <w:tc>
                <w:tcPr>
                  <w:tcW w:w="1768" w:type="dxa"/>
                  <w:tcBorders>
                    <w:top w:val="single" w:color="auto" w:sz="4" w:space="0"/>
                    <w:left w:val="single" w:color="auto" w:sz="4" w:space="0"/>
                    <w:bottom w:val="single" w:color="auto" w:sz="4" w:space="0"/>
                    <w:right w:val="single" w:color="auto" w:sz="4" w:space="0"/>
                  </w:tcBorders>
                  <w:vAlign w:val="center"/>
                </w:tcPr>
                <w:p>
                  <w:pPr>
                    <w:pStyle w:val="10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45.5</w:t>
                  </w:r>
                </w:p>
              </w:tc>
              <w:tc>
                <w:tcPr>
                  <w:tcW w:w="1178" w:type="dxa"/>
                  <w:vMerge w:val="continue"/>
                  <w:tcBorders>
                    <w:left w:val="single" w:color="auto" w:sz="4" w:space="0"/>
                    <w:right w:val="single" w:color="auto" w:sz="4" w:space="0"/>
                  </w:tcBorders>
                  <w:vAlign w:val="center"/>
                </w:tcPr>
                <w:p>
                  <w:pPr>
                    <w:pStyle w:val="107"/>
                    <w:rPr>
                      <w:rFonts w:hint="eastAsia" w:ascii="宋体" w:hAnsi="宋体" w:eastAsia="宋体" w:cs="宋体"/>
                      <w:sz w:val="21"/>
                      <w:szCs w:val="21"/>
                    </w:rPr>
                  </w:pPr>
                </w:p>
              </w:tc>
              <w:tc>
                <w:tcPr>
                  <w:tcW w:w="1152" w:type="dxa"/>
                  <w:vMerge w:val="continue"/>
                  <w:tcBorders>
                    <w:left w:val="single" w:color="auto" w:sz="4" w:space="0"/>
                    <w:right w:val="single" w:color="auto" w:sz="4" w:space="0"/>
                  </w:tcBorders>
                  <w:vAlign w:val="center"/>
                </w:tcPr>
                <w:p>
                  <w:pPr>
                    <w:pStyle w:val="107"/>
                    <w:rPr>
                      <w:rFonts w:hint="eastAsia" w:ascii="宋体" w:hAnsi="宋体" w:eastAsia="宋体" w:cs="宋体"/>
                      <w:sz w:val="21"/>
                      <w:szCs w:val="21"/>
                    </w:rPr>
                  </w:pPr>
                </w:p>
              </w:tc>
              <w:tc>
                <w:tcPr>
                  <w:tcW w:w="2537" w:type="dxa"/>
                  <w:gridSpan w:val="2"/>
                  <w:vMerge w:val="continue"/>
                  <w:tcBorders>
                    <w:left w:val="single" w:color="auto" w:sz="4" w:space="0"/>
                    <w:right w:val="single" w:color="auto" w:sz="4" w:space="0"/>
                  </w:tcBorders>
                  <w:vAlign w:val="center"/>
                </w:tcPr>
                <w:p>
                  <w:pPr>
                    <w:pStyle w:val="107"/>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9"/>
                    <w:ind w:firstLine="0" w:firstLineChars="0"/>
                    <w:rPr>
                      <w:rFonts w:hint="eastAsia" w:ascii="宋体" w:hAnsi="宋体" w:eastAsia="宋体" w:cs="宋体"/>
                      <w:sz w:val="21"/>
                      <w:szCs w:val="21"/>
                    </w:rPr>
                  </w:pPr>
                  <w:r>
                    <w:rPr>
                      <w:rFonts w:hint="eastAsia" w:ascii="宋体" w:hAnsi="宋体" w:eastAsia="宋体" w:cs="宋体"/>
                      <w:sz w:val="21"/>
                      <w:szCs w:val="21"/>
                    </w:rPr>
                    <w:t>3#（厂界）</w:t>
                  </w:r>
                </w:p>
              </w:tc>
              <w:tc>
                <w:tcPr>
                  <w:tcW w:w="1768" w:type="dxa"/>
                  <w:tcBorders>
                    <w:top w:val="single" w:color="auto" w:sz="4" w:space="0"/>
                    <w:left w:val="single" w:color="auto" w:sz="4" w:space="0"/>
                    <w:bottom w:val="single" w:color="auto" w:sz="4" w:space="0"/>
                    <w:right w:val="single" w:color="auto" w:sz="4" w:space="0"/>
                  </w:tcBorders>
                  <w:vAlign w:val="center"/>
                </w:tcPr>
                <w:p>
                  <w:pPr>
                    <w:pStyle w:val="10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54.0</w:t>
                  </w:r>
                </w:p>
              </w:tc>
              <w:tc>
                <w:tcPr>
                  <w:tcW w:w="1178" w:type="dxa"/>
                  <w:vMerge w:val="continue"/>
                  <w:tcBorders>
                    <w:left w:val="single" w:color="auto" w:sz="4" w:space="0"/>
                    <w:right w:val="single" w:color="auto" w:sz="4" w:space="0"/>
                  </w:tcBorders>
                  <w:vAlign w:val="center"/>
                </w:tcPr>
                <w:p>
                  <w:pPr>
                    <w:pStyle w:val="107"/>
                    <w:rPr>
                      <w:rFonts w:hint="eastAsia" w:ascii="宋体" w:hAnsi="宋体" w:eastAsia="宋体" w:cs="宋体"/>
                      <w:sz w:val="21"/>
                      <w:szCs w:val="21"/>
                    </w:rPr>
                  </w:pPr>
                </w:p>
              </w:tc>
              <w:tc>
                <w:tcPr>
                  <w:tcW w:w="1152" w:type="dxa"/>
                  <w:vMerge w:val="continue"/>
                  <w:tcBorders>
                    <w:left w:val="single" w:color="auto" w:sz="4" w:space="0"/>
                    <w:right w:val="single" w:color="auto" w:sz="4" w:space="0"/>
                  </w:tcBorders>
                  <w:vAlign w:val="center"/>
                </w:tcPr>
                <w:p>
                  <w:pPr>
                    <w:pStyle w:val="107"/>
                    <w:rPr>
                      <w:rFonts w:hint="eastAsia" w:ascii="宋体" w:hAnsi="宋体" w:eastAsia="宋体" w:cs="宋体"/>
                      <w:sz w:val="21"/>
                      <w:szCs w:val="21"/>
                    </w:rPr>
                  </w:pPr>
                </w:p>
              </w:tc>
              <w:tc>
                <w:tcPr>
                  <w:tcW w:w="2537" w:type="dxa"/>
                  <w:gridSpan w:val="2"/>
                  <w:vMerge w:val="continue"/>
                  <w:tcBorders>
                    <w:left w:val="single" w:color="auto" w:sz="4" w:space="0"/>
                    <w:right w:val="single" w:color="auto" w:sz="4" w:space="0"/>
                  </w:tcBorders>
                  <w:vAlign w:val="center"/>
                </w:tcPr>
                <w:p>
                  <w:pPr>
                    <w:pStyle w:val="107"/>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4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9"/>
                    <w:ind w:firstLine="0" w:firstLineChars="0"/>
                    <w:rPr>
                      <w:rFonts w:hint="eastAsia" w:ascii="宋体" w:hAnsi="宋体" w:eastAsia="宋体" w:cs="宋体"/>
                      <w:sz w:val="21"/>
                      <w:szCs w:val="21"/>
                    </w:rPr>
                  </w:pPr>
                  <w:r>
                    <w:rPr>
                      <w:rFonts w:hint="eastAsia" w:ascii="宋体" w:hAnsi="宋体" w:eastAsia="宋体" w:cs="宋体"/>
                      <w:sz w:val="21"/>
                      <w:szCs w:val="21"/>
                    </w:rPr>
                    <w:t>4#（厂界）</w:t>
                  </w:r>
                </w:p>
              </w:tc>
              <w:tc>
                <w:tcPr>
                  <w:tcW w:w="1768" w:type="dxa"/>
                  <w:tcBorders>
                    <w:top w:val="single" w:color="auto" w:sz="4" w:space="0"/>
                    <w:left w:val="single" w:color="auto" w:sz="4" w:space="0"/>
                    <w:bottom w:val="single" w:color="auto" w:sz="4" w:space="0"/>
                    <w:right w:val="single" w:color="auto" w:sz="4" w:space="0"/>
                  </w:tcBorders>
                  <w:vAlign w:val="center"/>
                </w:tcPr>
                <w:p>
                  <w:pPr>
                    <w:pStyle w:val="10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56.5</w:t>
                  </w:r>
                </w:p>
              </w:tc>
              <w:tc>
                <w:tcPr>
                  <w:tcW w:w="1178" w:type="dxa"/>
                  <w:vMerge w:val="continue"/>
                  <w:tcBorders>
                    <w:left w:val="single" w:color="auto" w:sz="4" w:space="0"/>
                    <w:right w:val="single" w:color="auto" w:sz="4" w:space="0"/>
                  </w:tcBorders>
                  <w:vAlign w:val="center"/>
                </w:tcPr>
                <w:p>
                  <w:pPr>
                    <w:pStyle w:val="107"/>
                    <w:rPr>
                      <w:rFonts w:hint="eastAsia" w:ascii="宋体" w:hAnsi="宋体" w:eastAsia="宋体" w:cs="宋体"/>
                      <w:sz w:val="21"/>
                      <w:szCs w:val="21"/>
                    </w:rPr>
                  </w:pPr>
                </w:p>
              </w:tc>
              <w:tc>
                <w:tcPr>
                  <w:tcW w:w="1152" w:type="dxa"/>
                  <w:vMerge w:val="continue"/>
                  <w:tcBorders>
                    <w:left w:val="single" w:color="auto" w:sz="4" w:space="0"/>
                    <w:right w:val="single" w:color="auto" w:sz="4" w:space="0"/>
                  </w:tcBorders>
                  <w:vAlign w:val="center"/>
                </w:tcPr>
                <w:p>
                  <w:pPr>
                    <w:pStyle w:val="107"/>
                    <w:rPr>
                      <w:rFonts w:hint="eastAsia" w:ascii="宋体" w:hAnsi="宋体" w:eastAsia="宋体" w:cs="宋体"/>
                      <w:sz w:val="21"/>
                      <w:szCs w:val="21"/>
                    </w:rPr>
                  </w:pPr>
                </w:p>
              </w:tc>
              <w:tc>
                <w:tcPr>
                  <w:tcW w:w="2537" w:type="dxa"/>
                  <w:gridSpan w:val="2"/>
                  <w:vMerge w:val="continue"/>
                  <w:tcBorders>
                    <w:left w:val="single" w:color="auto" w:sz="4" w:space="0"/>
                    <w:right w:val="single" w:color="auto" w:sz="4" w:space="0"/>
                  </w:tcBorders>
                  <w:vAlign w:val="center"/>
                </w:tcPr>
                <w:p>
                  <w:pPr>
                    <w:pStyle w:val="107"/>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4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9"/>
                    <w:ind w:firstLine="0" w:firstLineChars="0"/>
                    <w:rPr>
                      <w:rFonts w:ascii="宋体" w:hAnsi="宋体" w:eastAsia="宋体" w:cs="宋体"/>
                      <w:sz w:val="21"/>
                      <w:szCs w:val="21"/>
                    </w:rPr>
                  </w:pPr>
                  <w:r>
                    <w:rPr>
                      <w:rFonts w:hint="eastAsia" w:ascii="宋体" w:hAnsi="宋体" w:eastAsia="宋体" w:cs="宋体"/>
                      <w:sz w:val="21"/>
                      <w:szCs w:val="21"/>
                    </w:rPr>
                    <w:t>5#（厂界）</w:t>
                  </w:r>
                </w:p>
              </w:tc>
              <w:tc>
                <w:tcPr>
                  <w:tcW w:w="1768"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lang w:val="en-US" w:eastAsia="zh-CN"/>
                    </w:rPr>
                    <w:t>53</w:t>
                  </w:r>
                  <w:r>
                    <w:rPr>
                      <w:rFonts w:hint="eastAsia" w:ascii="宋体" w:hAnsi="宋体" w:eastAsia="宋体" w:cs="宋体"/>
                      <w:sz w:val="21"/>
                      <w:szCs w:val="21"/>
                    </w:rPr>
                    <w:t>.6</w:t>
                  </w:r>
                </w:p>
              </w:tc>
              <w:tc>
                <w:tcPr>
                  <w:tcW w:w="1178" w:type="dxa"/>
                  <w:vMerge w:val="continue"/>
                  <w:tcBorders>
                    <w:left w:val="single" w:color="auto" w:sz="4" w:space="0"/>
                    <w:right w:val="single" w:color="auto" w:sz="4" w:space="0"/>
                  </w:tcBorders>
                  <w:vAlign w:val="center"/>
                </w:tcPr>
                <w:p>
                  <w:pPr>
                    <w:pStyle w:val="107"/>
                    <w:rPr>
                      <w:rFonts w:ascii="宋体" w:hAnsi="宋体" w:eastAsia="宋体" w:cs="宋体"/>
                      <w:sz w:val="21"/>
                      <w:szCs w:val="21"/>
                    </w:rPr>
                  </w:pPr>
                </w:p>
              </w:tc>
              <w:tc>
                <w:tcPr>
                  <w:tcW w:w="1152" w:type="dxa"/>
                  <w:vMerge w:val="continue"/>
                  <w:tcBorders>
                    <w:left w:val="single" w:color="auto" w:sz="4" w:space="0"/>
                    <w:right w:val="single" w:color="auto" w:sz="4" w:space="0"/>
                  </w:tcBorders>
                  <w:vAlign w:val="center"/>
                </w:tcPr>
                <w:p>
                  <w:pPr>
                    <w:pStyle w:val="107"/>
                    <w:rPr>
                      <w:rFonts w:ascii="宋体" w:hAnsi="宋体" w:eastAsia="宋体" w:cs="宋体"/>
                      <w:sz w:val="21"/>
                      <w:szCs w:val="21"/>
                    </w:rPr>
                  </w:pPr>
                </w:p>
              </w:tc>
              <w:tc>
                <w:tcPr>
                  <w:tcW w:w="2537" w:type="dxa"/>
                  <w:gridSpan w:val="2"/>
                  <w:vMerge w:val="continue"/>
                  <w:tcBorders>
                    <w:left w:val="single" w:color="auto" w:sz="4" w:space="0"/>
                    <w:right w:val="single" w:color="auto" w:sz="4" w:space="0"/>
                  </w:tcBorders>
                  <w:vAlign w:val="center"/>
                </w:tcPr>
                <w:p>
                  <w:pPr>
                    <w:pStyle w:val="107"/>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9"/>
                    <w:ind w:firstLine="0" w:firstLineChars="0"/>
                    <w:rPr>
                      <w:rFonts w:ascii="宋体" w:hAnsi="宋体" w:eastAsia="宋体" w:cs="宋体"/>
                      <w:sz w:val="21"/>
                      <w:szCs w:val="21"/>
                    </w:rPr>
                  </w:pPr>
                  <w:r>
                    <w:rPr>
                      <w:rFonts w:hint="eastAsia" w:ascii="宋体" w:hAnsi="宋体" w:eastAsia="宋体" w:cs="宋体"/>
                      <w:sz w:val="21"/>
                      <w:szCs w:val="21"/>
                    </w:rPr>
                    <w:t>6#（厂界）</w:t>
                  </w:r>
                </w:p>
              </w:tc>
              <w:tc>
                <w:tcPr>
                  <w:tcW w:w="1768"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lang w:val="en-US" w:eastAsia="zh-CN"/>
                    </w:rPr>
                    <w:t>35</w:t>
                  </w:r>
                  <w:r>
                    <w:rPr>
                      <w:rFonts w:hint="eastAsia" w:ascii="宋体" w:hAnsi="宋体" w:eastAsia="宋体" w:cs="宋体"/>
                      <w:sz w:val="21"/>
                      <w:szCs w:val="21"/>
                    </w:rPr>
                    <w:t>.7</w:t>
                  </w:r>
                </w:p>
              </w:tc>
              <w:tc>
                <w:tcPr>
                  <w:tcW w:w="1178" w:type="dxa"/>
                  <w:vMerge w:val="continue"/>
                  <w:tcBorders>
                    <w:left w:val="single" w:color="auto" w:sz="4" w:space="0"/>
                    <w:right w:val="single" w:color="auto" w:sz="4" w:space="0"/>
                  </w:tcBorders>
                  <w:vAlign w:val="center"/>
                </w:tcPr>
                <w:p>
                  <w:pPr>
                    <w:pStyle w:val="107"/>
                    <w:rPr>
                      <w:rFonts w:ascii="宋体" w:hAnsi="宋体" w:eastAsia="宋体" w:cs="宋体"/>
                      <w:sz w:val="21"/>
                      <w:szCs w:val="21"/>
                    </w:rPr>
                  </w:pPr>
                </w:p>
              </w:tc>
              <w:tc>
                <w:tcPr>
                  <w:tcW w:w="1152" w:type="dxa"/>
                  <w:vMerge w:val="continue"/>
                  <w:tcBorders>
                    <w:left w:val="single" w:color="auto" w:sz="4" w:space="0"/>
                    <w:right w:val="single" w:color="auto" w:sz="4" w:space="0"/>
                  </w:tcBorders>
                  <w:vAlign w:val="center"/>
                </w:tcPr>
                <w:p>
                  <w:pPr>
                    <w:pStyle w:val="107"/>
                    <w:rPr>
                      <w:rFonts w:ascii="宋体" w:hAnsi="宋体" w:eastAsia="宋体" w:cs="宋体"/>
                      <w:sz w:val="21"/>
                      <w:szCs w:val="21"/>
                    </w:rPr>
                  </w:pPr>
                </w:p>
              </w:tc>
              <w:tc>
                <w:tcPr>
                  <w:tcW w:w="2537" w:type="dxa"/>
                  <w:gridSpan w:val="2"/>
                  <w:vMerge w:val="continue"/>
                  <w:tcBorders>
                    <w:left w:val="single" w:color="auto" w:sz="4" w:space="0"/>
                    <w:right w:val="single" w:color="auto" w:sz="4" w:space="0"/>
                  </w:tcBorders>
                  <w:vAlign w:val="center"/>
                </w:tcPr>
                <w:p>
                  <w:pPr>
                    <w:pStyle w:val="107"/>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4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9"/>
                    <w:ind w:firstLine="0" w:firstLineChars="0"/>
                    <w:rPr>
                      <w:rFonts w:ascii="宋体" w:hAnsi="宋体" w:eastAsia="宋体" w:cs="宋体"/>
                      <w:sz w:val="21"/>
                      <w:szCs w:val="21"/>
                    </w:rPr>
                  </w:pPr>
                  <w:r>
                    <w:rPr>
                      <w:rFonts w:hint="eastAsia" w:ascii="宋体" w:hAnsi="宋体" w:eastAsia="宋体" w:cs="宋体"/>
                      <w:sz w:val="21"/>
                      <w:szCs w:val="21"/>
                    </w:rPr>
                    <w:t>7#（厂界）</w:t>
                  </w:r>
                </w:p>
              </w:tc>
              <w:tc>
                <w:tcPr>
                  <w:tcW w:w="1768"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49.9</w:t>
                  </w:r>
                </w:p>
              </w:tc>
              <w:tc>
                <w:tcPr>
                  <w:tcW w:w="1178" w:type="dxa"/>
                  <w:vMerge w:val="continue"/>
                  <w:tcBorders>
                    <w:left w:val="single" w:color="auto" w:sz="4" w:space="0"/>
                    <w:right w:val="single" w:color="auto" w:sz="4" w:space="0"/>
                  </w:tcBorders>
                  <w:vAlign w:val="center"/>
                </w:tcPr>
                <w:p>
                  <w:pPr>
                    <w:pStyle w:val="107"/>
                    <w:rPr>
                      <w:rFonts w:ascii="宋体" w:hAnsi="宋体" w:eastAsia="宋体" w:cs="宋体"/>
                      <w:sz w:val="21"/>
                      <w:szCs w:val="21"/>
                    </w:rPr>
                  </w:pPr>
                </w:p>
              </w:tc>
              <w:tc>
                <w:tcPr>
                  <w:tcW w:w="1152" w:type="dxa"/>
                  <w:vMerge w:val="continue"/>
                  <w:tcBorders>
                    <w:left w:val="single" w:color="auto" w:sz="4" w:space="0"/>
                    <w:right w:val="single" w:color="auto" w:sz="4" w:space="0"/>
                  </w:tcBorders>
                  <w:vAlign w:val="center"/>
                </w:tcPr>
                <w:p>
                  <w:pPr>
                    <w:pStyle w:val="107"/>
                    <w:rPr>
                      <w:rFonts w:ascii="宋体" w:hAnsi="宋体" w:eastAsia="宋体" w:cs="宋体"/>
                      <w:sz w:val="21"/>
                      <w:szCs w:val="21"/>
                    </w:rPr>
                  </w:pPr>
                </w:p>
              </w:tc>
              <w:tc>
                <w:tcPr>
                  <w:tcW w:w="2537" w:type="dxa"/>
                  <w:gridSpan w:val="2"/>
                  <w:vMerge w:val="continue"/>
                  <w:tcBorders>
                    <w:left w:val="single" w:color="auto" w:sz="4" w:space="0"/>
                    <w:right w:val="single" w:color="auto" w:sz="4" w:space="0"/>
                  </w:tcBorders>
                  <w:vAlign w:val="center"/>
                </w:tcPr>
                <w:p>
                  <w:pPr>
                    <w:pStyle w:val="107"/>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4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9"/>
                    <w:ind w:firstLine="0" w:firstLineChars="0"/>
                    <w:rPr>
                      <w:rFonts w:ascii="宋体" w:hAnsi="宋体" w:eastAsia="宋体" w:cs="宋体"/>
                      <w:sz w:val="21"/>
                      <w:szCs w:val="21"/>
                    </w:rPr>
                  </w:pPr>
                  <w:r>
                    <w:rPr>
                      <w:rFonts w:hint="eastAsia" w:ascii="宋体" w:hAnsi="宋体" w:eastAsia="宋体" w:cs="宋体"/>
                      <w:sz w:val="21"/>
                      <w:szCs w:val="21"/>
                    </w:rPr>
                    <w:t>8#（厂界）</w:t>
                  </w:r>
                </w:p>
              </w:tc>
              <w:tc>
                <w:tcPr>
                  <w:tcW w:w="1768"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38.9</w:t>
                  </w:r>
                </w:p>
              </w:tc>
              <w:tc>
                <w:tcPr>
                  <w:tcW w:w="1178" w:type="dxa"/>
                  <w:vMerge w:val="continue"/>
                  <w:tcBorders>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p>
              </w:tc>
              <w:tc>
                <w:tcPr>
                  <w:tcW w:w="1152" w:type="dxa"/>
                  <w:vMerge w:val="continue"/>
                  <w:tcBorders>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p>
              </w:tc>
              <w:tc>
                <w:tcPr>
                  <w:tcW w:w="2537" w:type="dxa"/>
                  <w:gridSpan w:val="2"/>
                  <w:vMerge w:val="continue"/>
                  <w:tcBorders>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4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福安老年公寓</w:t>
                  </w:r>
                </w:p>
              </w:tc>
              <w:tc>
                <w:tcPr>
                  <w:tcW w:w="1768"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lang w:val="en-US" w:eastAsia="zh-CN"/>
                    </w:rPr>
                    <w:t>30</w:t>
                  </w:r>
                  <w:r>
                    <w:rPr>
                      <w:rFonts w:hint="eastAsia" w:ascii="宋体" w:hAnsi="宋体" w:eastAsia="宋体" w:cs="宋体"/>
                      <w:sz w:val="21"/>
                      <w:szCs w:val="21"/>
                    </w:rPr>
                    <w:t>.1</w:t>
                  </w:r>
                </w:p>
              </w:tc>
              <w:tc>
                <w:tcPr>
                  <w:tcW w:w="1178" w:type="dxa"/>
                  <w:vMerge w:val="restart"/>
                  <w:tcBorders>
                    <w:top w:val="single" w:color="auto" w:sz="4" w:space="0"/>
                    <w:left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60</w:t>
                  </w:r>
                </w:p>
              </w:tc>
              <w:tc>
                <w:tcPr>
                  <w:tcW w:w="1152" w:type="dxa"/>
                  <w:vMerge w:val="restart"/>
                  <w:tcBorders>
                    <w:top w:val="single" w:color="auto" w:sz="4" w:space="0"/>
                    <w:left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50</w:t>
                  </w:r>
                </w:p>
              </w:tc>
              <w:tc>
                <w:tcPr>
                  <w:tcW w:w="1342"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50.1</w:t>
                  </w:r>
                </w:p>
              </w:tc>
              <w:tc>
                <w:tcPr>
                  <w:tcW w:w="1195" w:type="dxa"/>
                  <w:tcBorders>
                    <w:top w:val="single" w:color="auto" w:sz="4" w:space="0"/>
                    <w:left w:val="single" w:color="auto" w:sz="4" w:space="0"/>
                    <w:bottom w:val="single" w:color="auto" w:sz="4" w:space="0"/>
                    <w:right w:val="single" w:color="auto" w:sz="4" w:space="0"/>
                  </w:tcBorders>
                  <w:vAlign w:val="center"/>
                </w:tcPr>
                <w:p>
                  <w:pPr>
                    <w:pStyle w:val="107"/>
                    <w:rPr>
                      <w:rFonts w:ascii="宋体" w:hAnsi="宋体" w:eastAsia="宋体" w:cs="宋体"/>
                      <w:sz w:val="21"/>
                      <w:szCs w:val="21"/>
                    </w:rPr>
                  </w:pPr>
                  <w:r>
                    <w:rPr>
                      <w:rFonts w:hint="eastAsia" w:ascii="宋体" w:hAnsi="宋体" w:eastAsia="宋体" w:cs="宋体"/>
                      <w:sz w:val="21"/>
                      <w:szCs w:val="21"/>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08" w:type="dxa"/>
                  <w:bottom w:w="17" w:type="dxa"/>
                  <w:right w:w="108" w:type="dxa"/>
                </w:tblCellMar>
              </w:tblPrEx>
              <w:trPr>
                <w:trHeight w:val="340" w:hRule="atLeast"/>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周边散户</w:t>
                  </w:r>
                </w:p>
              </w:tc>
              <w:tc>
                <w:tcPr>
                  <w:tcW w:w="1768" w:type="dxa"/>
                  <w:tcBorders>
                    <w:top w:val="single" w:color="auto" w:sz="4" w:space="0"/>
                    <w:left w:val="single" w:color="auto" w:sz="4" w:space="0"/>
                    <w:bottom w:val="single" w:color="auto" w:sz="4" w:space="0"/>
                    <w:right w:val="single" w:color="auto" w:sz="4" w:space="0"/>
                  </w:tcBorders>
                  <w:vAlign w:val="center"/>
                </w:tcPr>
                <w:p>
                  <w:pPr>
                    <w:pStyle w:val="10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35.2</w:t>
                  </w:r>
                </w:p>
              </w:tc>
              <w:tc>
                <w:tcPr>
                  <w:tcW w:w="1178" w:type="dxa"/>
                  <w:vMerge w:val="continue"/>
                  <w:tcBorders>
                    <w:left w:val="single" w:color="auto" w:sz="4" w:space="0"/>
                    <w:bottom w:val="single" w:color="auto" w:sz="4" w:space="0"/>
                    <w:right w:val="single" w:color="auto" w:sz="4" w:space="0"/>
                  </w:tcBorders>
                  <w:vAlign w:val="center"/>
                </w:tcPr>
                <w:p>
                  <w:pPr>
                    <w:pStyle w:val="107"/>
                    <w:rPr>
                      <w:rFonts w:hint="eastAsia" w:ascii="宋体" w:hAnsi="宋体" w:eastAsia="宋体" w:cs="宋体"/>
                      <w:sz w:val="21"/>
                      <w:szCs w:val="21"/>
                    </w:rPr>
                  </w:pPr>
                </w:p>
              </w:tc>
              <w:tc>
                <w:tcPr>
                  <w:tcW w:w="1152" w:type="dxa"/>
                  <w:vMerge w:val="continue"/>
                  <w:tcBorders>
                    <w:left w:val="single" w:color="auto" w:sz="4" w:space="0"/>
                    <w:bottom w:val="single" w:color="auto" w:sz="4" w:space="0"/>
                    <w:right w:val="single" w:color="auto" w:sz="4" w:space="0"/>
                  </w:tcBorders>
                  <w:vAlign w:val="center"/>
                </w:tcPr>
                <w:p>
                  <w:pPr>
                    <w:pStyle w:val="107"/>
                    <w:rPr>
                      <w:rFonts w:hint="eastAsia" w:ascii="宋体" w:hAnsi="宋体" w:eastAsia="宋体" w:cs="宋体"/>
                      <w:sz w:val="21"/>
                      <w:szCs w:val="21"/>
                    </w:rPr>
                  </w:pPr>
                </w:p>
              </w:tc>
              <w:tc>
                <w:tcPr>
                  <w:tcW w:w="1342" w:type="dxa"/>
                  <w:tcBorders>
                    <w:top w:val="single" w:color="auto" w:sz="4" w:space="0"/>
                    <w:left w:val="single" w:color="auto" w:sz="4" w:space="0"/>
                    <w:bottom w:val="single" w:color="auto" w:sz="4" w:space="0"/>
                    <w:right w:val="single" w:color="auto" w:sz="4" w:space="0"/>
                  </w:tcBorders>
                  <w:vAlign w:val="center"/>
                </w:tcPr>
                <w:p>
                  <w:pPr>
                    <w:pStyle w:val="10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52.5</w:t>
                  </w:r>
                </w:p>
              </w:tc>
              <w:tc>
                <w:tcPr>
                  <w:tcW w:w="1195" w:type="dxa"/>
                  <w:tcBorders>
                    <w:top w:val="single" w:color="auto" w:sz="4" w:space="0"/>
                    <w:left w:val="single" w:color="auto" w:sz="4" w:space="0"/>
                    <w:bottom w:val="single" w:color="auto" w:sz="4" w:space="0"/>
                    <w:right w:val="single" w:color="auto" w:sz="4" w:space="0"/>
                  </w:tcBorders>
                  <w:vAlign w:val="center"/>
                </w:tcPr>
                <w:p>
                  <w:pPr>
                    <w:pStyle w:val="107"/>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45.6</w:t>
                  </w:r>
                </w:p>
              </w:tc>
            </w:tr>
          </w:tbl>
          <w:p>
            <w:pPr>
              <w:pStyle w:val="108"/>
              <w:ind w:firstLine="480"/>
              <w:rPr>
                <w:rFonts w:hint="eastAsia"/>
              </w:rPr>
            </w:pPr>
            <w:r>
              <w:rPr>
                <w:rFonts w:hint="eastAsia"/>
              </w:rPr>
              <w:t>由表7-13可见，拟建项目建成投产后厂界昼、夜间噪声贡献值均能满足《工业企业厂界环境噪声排放标准》（GB12348-2008）中的3类功能区标准要求，敏感点满足《声环境质量标准》（GB3096-2008）中的2类功能区标准要求。根据以上分析可知，经过上述采取的措施，本项目噪声的排放对周围声环境影响较小。</w:t>
            </w:r>
          </w:p>
          <w:p>
            <w:pPr>
              <w:pStyle w:val="14"/>
              <w:spacing w:line="360" w:lineRule="auto"/>
              <w:ind w:firstLine="504"/>
              <w:rPr>
                <w:rFonts w:ascii="黑体" w:hAnsi="黑体" w:eastAsia="黑体" w:cs="黑体"/>
                <w:spacing w:val="6"/>
              </w:rPr>
            </w:pPr>
            <w:r>
              <w:rPr>
                <w:rFonts w:hint="eastAsia" w:ascii="黑体" w:hAnsi="黑体" w:eastAsia="黑体" w:cs="黑体"/>
                <w:spacing w:val="6"/>
              </w:rPr>
              <w:t>四、固体废物环境影响分析</w:t>
            </w:r>
          </w:p>
          <w:p>
            <w:pPr>
              <w:pStyle w:val="108"/>
              <w:ind w:firstLine="480"/>
            </w:pPr>
            <w:r>
              <w:rPr>
                <w:rFonts w:hint="eastAsia"/>
              </w:rPr>
              <w:t>本项目运营期产生固体废水主要是一般工业固体废物、生活垃圾和危险废物</w:t>
            </w:r>
          </w:p>
          <w:p>
            <w:pPr>
              <w:pStyle w:val="108"/>
              <w:ind w:firstLine="480"/>
            </w:pPr>
            <w:r>
              <w:t>项目产生的废油墨桶、废胶水桶产生量约</w:t>
            </w:r>
            <w:r>
              <w:rPr>
                <w:rFonts w:hint="eastAsia"/>
              </w:rPr>
              <w:t>1.2t/a</w:t>
            </w:r>
            <w:r>
              <w:t>。由厂家送货时回收继续分装。根据《关于用于原始用途的含有或直接沾染危险废物的包装物、容器是否属于危险废物问题的复函》（环函[2014]126号）。项目产生的废油墨桶、废胶水桶不属于固废，也不属于危险固废。</w:t>
            </w:r>
          </w:p>
          <w:p>
            <w:pPr>
              <w:pStyle w:val="108"/>
              <w:ind w:firstLine="480"/>
            </w:pPr>
            <w:r>
              <w:t>项目产生的固体废弃物主要为员工生活垃圾、废</w:t>
            </w:r>
            <w:r>
              <w:rPr>
                <w:rFonts w:hint="eastAsia"/>
              </w:rPr>
              <w:t>边角料</w:t>
            </w:r>
            <w:r>
              <w:t>、废油墨桶、</w:t>
            </w:r>
            <w:r>
              <w:rPr>
                <w:rFonts w:hint="eastAsia"/>
              </w:rPr>
              <w:t>废淀粉胶水桶、</w:t>
            </w:r>
            <w:r>
              <w:t>废活性炭</w:t>
            </w:r>
            <w:r>
              <w:rPr>
                <w:rFonts w:hint="eastAsia"/>
              </w:rPr>
              <w:t>、生产清洗废水处理设施1#产生的污泥、废擦拭抹布</w:t>
            </w:r>
            <w:r>
              <w:t>等。</w:t>
            </w:r>
          </w:p>
          <w:p>
            <w:pPr>
              <w:pStyle w:val="108"/>
              <w:ind w:firstLine="480"/>
            </w:pPr>
            <w:r>
              <w:rPr>
                <w:rFonts w:hint="eastAsia"/>
              </w:rPr>
              <w:t>（1）一般工业固体废物</w:t>
            </w:r>
          </w:p>
          <w:p>
            <w:pPr>
              <w:pStyle w:val="108"/>
              <w:ind w:firstLine="480"/>
            </w:pPr>
            <w:r>
              <w:t>1</w:t>
            </w:r>
            <w:r>
              <w:rPr>
                <w:rFonts w:hint="eastAsia"/>
              </w:rPr>
              <w:t>）边角料</w:t>
            </w:r>
          </w:p>
          <w:p>
            <w:pPr>
              <w:pStyle w:val="108"/>
              <w:ind w:firstLine="480"/>
            </w:pPr>
            <w:r>
              <w:rPr>
                <w:rFonts w:hint="eastAsia"/>
              </w:rPr>
              <w:t>本项目在模切工序过程中会产生边角料，根据建设单位提供的资料，边角料产生量约为5</w:t>
            </w:r>
            <w:r>
              <w:t>t/a</w:t>
            </w:r>
            <w:r>
              <w:rPr>
                <w:rFonts w:hint="eastAsia"/>
              </w:rPr>
              <w:t>，外售给物资公司。</w:t>
            </w:r>
          </w:p>
          <w:p>
            <w:pPr>
              <w:pStyle w:val="108"/>
              <w:ind w:firstLine="480"/>
            </w:pPr>
            <w:r>
              <w:t>2</w:t>
            </w:r>
            <w:r>
              <w:rPr>
                <w:rFonts w:hint="eastAsia"/>
              </w:rPr>
              <w:t>）废油墨桶、废淀粉胶水桶</w:t>
            </w:r>
          </w:p>
          <w:p>
            <w:pPr>
              <w:pStyle w:val="108"/>
              <w:ind w:firstLine="480"/>
            </w:pPr>
            <w:r>
              <w:rPr>
                <w:rFonts w:hint="eastAsia"/>
              </w:rPr>
              <w:t>本项目在粘合工序过程中会产生，根据建设单位提供的资料，产生量约为1.2</w:t>
            </w:r>
            <w:r>
              <w:t>t/a</w:t>
            </w:r>
            <w:r>
              <w:rPr>
                <w:rFonts w:hint="eastAsia"/>
              </w:rPr>
              <w:t>，交由供应商回收处置。</w:t>
            </w:r>
          </w:p>
          <w:p>
            <w:pPr>
              <w:pStyle w:val="108"/>
              <w:numPr>
                <w:ilvl w:val="0"/>
                <w:numId w:val="4"/>
              </w:numPr>
              <w:ind w:firstLine="480"/>
            </w:pPr>
            <w:r>
              <w:rPr>
                <w:rFonts w:hint="eastAsia"/>
              </w:rPr>
              <w:t>废擦拭抹布</w:t>
            </w:r>
          </w:p>
          <w:p>
            <w:pPr>
              <w:pStyle w:val="108"/>
              <w:ind w:firstLine="480"/>
            </w:pPr>
            <w:r>
              <w:rPr>
                <w:rFonts w:hint="eastAsia"/>
              </w:rPr>
              <w:t>本项目在胶印印刷机印刷模板清洁工序过程中会产生，根据建设单位提供的资料，产生量约为0.2</w:t>
            </w:r>
            <w:r>
              <w:t>t/a</w:t>
            </w:r>
            <w:r>
              <w:rPr>
                <w:rFonts w:hint="eastAsia"/>
              </w:rPr>
              <w:t>，</w:t>
            </w:r>
            <w:r>
              <w:t>项目产生的含油抹布、手套等根据《国家</w:t>
            </w:r>
            <w:r>
              <w:rPr>
                <w:rFonts w:hint="eastAsia"/>
              </w:rPr>
              <w:t>危险废物</w:t>
            </w:r>
            <w:r>
              <w:t>名录》（2016年），废弃的含油抹布、劳保用品，混入生活垃圾全过程不按危险废物管理</w:t>
            </w:r>
            <w:r>
              <w:rPr>
                <w:rFonts w:hint="eastAsia"/>
              </w:rPr>
              <w:t>。</w:t>
            </w:r>
          </w:p>
          <w:p>
            <w:pPr>
              <w:pStyle w:val="108"/>
              <w:ind w:firstLine="480"/>
            </w:pPr>
            <w:r>
              <w:rPr>
                <w:rFonts w:hint="eastAsia"/>
              </w:rPr>
              <w:t>（2）</w:t>
            </w:r>
            <w:r>
              <w:t>生活垃圾</w:t>
            </w:r>
          </w:p>
          <w:p>
            <w:pPr>
              <w:pStyle w:val="108"/>
              <w:ind w:firstLine="480"/>
            </w:pPr>
            <w:r>
              <w:t>员工产生的生活垃圾按照每人每天产生量1.0kg计，本项目劳动定员</w:t>
            </w:r>
            <w:r>
              <w:rPr>
                <w:rFonts w:hint="eastAsia"/>
              </w:rPr>
              <w:t>18</w:t>
            </w:r>
            <w:r>
              <w:t>人，生活垃圾产生量为</w:t>
            </w:r>
            <w:r>
              <w:rPr>
                <w:rFonts w:hint="eastAsia"/>
              </w:rPr>
              <w:t>18</w:t>
            </w:r>
            <w:r>
              <w:t>kg/d，则生活垃圾产生量为</w:t>
            </w:r>
            <w:r>
              <w:rPr>
                <w:rFonts w:hint="eastAsia"/>
              </w:rPr>
              <w:t>5.4</w:t>
            </w:r>
            <w:r>
              <w:t>t/a。</w:t>
            </w:r>
          </w:p>
          <w:p>
            <w:pPr>
              <w:pStyle w:val="108"/>
              <w:ind w:firstLine="480"/>
            </w:pPr>
            <w:r>
              <w:rPr>
                <w:rFonts w:hint="eastAsia"/>
              </w:rPr>
              <w:t>（3）危险废物</w:t>
            </w:r>
          </w:p>
          <w:p>
            <w:pPr>
              <w:pStyle w:val="108"/>
              <w:ind w:firstLine="480"/>
            </w:pPr>
            <w:r>
              <w:t>1</w:t>
            </w:r>
            <w:r>
              <w:rPr>
                <w:rFonts w:hint="eastAsia"/>
              </w:rPr>
              <w:t>）</w:t>
            </w:r>
            <w:r>
              <w:t>废活性炭</w:t>
            </w:r>
          </w:p>
          <w:p>
            <w:pPr>
              <w:pStyle w:val="108"/>
              <w:ind w:firstLine="480"/>
            </w:pPr>
            <w:r>
              <w:t>废活性炭：根据《简明通风设计手册》P517页中经验值，活性炭对有机废气的饱和吸附容量为：1kg活性炭吸附0.</w:t>
            </w:r>
            <w:r>
              <w:rPr>
                <w:rFonts w:hint="eastAsia"/>
              </w:rPr>
              <w:t>25</w:t>
            </w:r>
            <w:r>
              <w:t>kg有机废气，项目活性炭吸附有机废气为</w:t>
            </w:r>
            <w:r>
              <w:rPr>
                <w:rFonts w:hint="eastAsia"/>
              </w:rPr>
              <w:t>0.0217t</w:t>
            </w:r>
            <w:r>
              <w:t>/a，则项目活性炭的使用量为</w:t>
            </w:r>
            <w:r>
              <w:rPr>
                <w:rFonts w:hint="eastAsia"/>
              </w:rPr>
              <w:t>0.0868t</w:t>
            </w:r>
            <w:r>
              <w:t>/a，则项目废活性炭的产生量为</w:t>
            </w:r>
            <w:r>
              <w:rPr>
                <w:rFonts w:hint="eastAsia"/>
              </w:rPr>
              <w:t>86.8kg</w:t>
            </w:r>
            <w:r>
              <w:t>/a。</w:t>
            </w:r>
          </w:p>
          <w:p>
            <w:pPr>
              <w:pStyle w:val="108"/>
              <w:ind w:firstLine="480"/>
            </w:pPr>
            <w:r>
              <w:rPr>
                <w:rFonts w:hint="eastAsia"/>
              </w:rPr>
              <w:t>2）水墨印刷机清洗废水产生的污泥</w:t>
            </w:r>
          </w:p>
          <w:p>
            <w:pPr>
              <w:pStyle w:val="108"/>
              <w:ind w:firstLine="480"/>
            </w:pPr>
            <w:r>
              <w:rPr>
                <w:rFonts w:hint="eastAsia"/>
              </w:rPr>
              <w:t>印刷机清洗废水处理过程中会产生一定量的污泥，参考《集中式污染治理设施产排污系数手册》（</w:t>
            </w:r>
            <w:r>
              <w:t xml:space="preserve">2010 </w:t>
            </w:r>
            <w:r>
              <w:rPr>
                <w:rFonts w:hint="eastAsia"/>
              </w:rPr>
              <w:t xml:space="preserve">修订）中“表 </w:t>
            </w:r>
            <w:r>
              <w:t xml:space="preserve">4 </w:t>
            </w:r>
            <w:r>
              <w:rPr>
                <w:rFonts w:hint="eastAsia"/>
              </w:rPr>
              <w:t>工业废水集中处理设施的物化与生化污泥综合产生系数表—其他工业—</w:t>
            </w:r>
            <w:r>
              <w:t xml:space="preserve">6 </w:t>
            </w:r>
            <w:r>
              <w:rPr>
                <w:rFonts w:hint="eastAsia"/>
              </w:rPr>
              <w:t>吨</w:t>
            </w:r>
            <w:r>
              <w:t>/</w:t>
            </w:r>
            <w:r>
              <w:rPr>
                <w:rFonts w:hint="eastAsia"/>
              </w:rPr>
              <w:t>万吨</w:t>
            </w:r>
            <w:r>
              <w:t>-</w:t>
            </w:r>
            <w:r>
              <w:rPr>
                <w:rFonts w:hint="eastAsia"/>
              </w:rPr>
              <w:t>废水处理量”，则本项目压滤机污泥产生量约为</w:t>
            </w:r>
            <w:r>
              <w:t>0.</w:t>
            </w:r>
            <w:r>
              <w:rPr>
                <w:rFonts w:hint="eastAsia"/>
              </w:rPr>
              <w:t>108</w:t>
            </w:r>
            <w:r>
              <w:t>t/</w:t>
            </w:r>
            <w:r>
              <w:rPr>
                <w:rFonts w:hint="eastAsia"/>
              </w:rPr>
              <w:t>次</w:t>
            </w:r>
            <w:r>
              <w:t>*5</w:t>
            </w:r>
            <w:r>
              <w:rPr>
                <w:rFonts w:hint="eastAsia"/>
              </w:rPr>
              <w:t>0次</w:t>
            </w:r>
            <w:r>
              <w:t>/a*6/10000</w:t>
            </w:r>
            <w:r>
              <w:rPr>
                <w:rFonts w:hint="eastAsia"/>
              </w:rPr>
              <w:t>≈0.00324</w:t>
            </w:r>
            <w:r>
              <w:t>t/a</w:t>
            </w:r>
            <w:r>
              <w:rPr>
                <w:rFonts w:hint="eastAsia"/>
              </w:rPr>
              <w:t>，则污泥产生量约为0.00324</w:t>
            </w:r>
            <w:r>
              <w:t>t/a</w:t>
            </w:r>
            <w:r>
              <w:rPr>
                <w:rFonts w:hint="eastAsia"/>
              </w:rPr>
              <w:t>。生产废水处理设施1</w:t>
            </w:r>
            <w:r>
              <w:t>#</w:t>
            </w:r>
            <w:r>
              <w:rPr>
                <w:rFonts w:hint="eastAsia"/>
              </w:rPr>
              <w:t xml:space="preserve">的污泥参照《国家危险废物名录》中编号 </w:t>
            </w:r>
            <w:r>
              <w:t xml:space="preserve">HW12 </w:t>
            </w:r>
            <w:r>
              <w:rPr>
                <w:rFonts w:hint="eastAsia"/>
              </w:rPr>
              <w:t>类的危险废物管理，废物代码为</w:t>
            </w:r>
            <w:r>
              <w:t>264-013-12</w:t>
            </w:r>
            <w:r>
              <w:rPr>
                <w:rFonts w:hint="eastAsia"/>
              </w:rPr>
              <w:t>。</w:t>
            </w:r>
          </w:p>
          <w:p>
            <w:pPr>
              <w:pStyle w:val="108"/>
              <w:ind w:firstLine="480"/>
            </w:pPr>
            <w:r>
              <w:t>根据《国家危险废物名录》，上述物质属于危险固废</w:t>
            </w:r>
            <w:r>
              <w:rPr>
                <w:rFonts w:hint="eastAsia"/>
              </w:rPr>
              <w:t>的</w:t>
            </w:r>
            <w:r>
              <w:t>，交由有危废处置资质的单位代为处理。根据《危险废物贮存污染控制标准》（GB18597-2001），建设单位对危险固废暂存场所应做到以下几点：</w:t>
            </w:r>
          </w:p>
          <w:p>
            <w:pPr>
              <w:pStyle w:val="108"/>
              <w:ind w:firstLine="480"/>
            </w:pPr>
            <w:r>
              <w:rPr>
                <w:rFonts w:hint="eastAsia"/>
              </w:rPr>
              <w:t>A、</w:t>
            </w:r>
            <w:r>
              <w:t>要做好危险废物堆场的防渗、防流失工作。</w:t>
            </w:r>
          </w:p>
          <w:p>
            <w:pPr>
              <w:pStyle w:val="108"/>
              <w:ind w:firstLine="480"/>
            </w:pPr>
            <w:r>
              <w:rPr>
                <w:rFonts w:hint="eastAsia"/>
              </w:rPr>
              <w:t>B、</w:t>
            </w:r>
            <w:r>
              <w:t>危险废物堆场必须封顶，并做好防雨工作，场内须做好防渗措施。</w:t>
            </w:r>
          </w:p>
          <w:p>
            <w:pPr>
              <w:pStyle w:val="108"/>
              <w:ind w:firstLine="480"/>
            </w:pPr>
            <w:r>
              <w:rPr>
                <w:rFonts w:hint="eastAsia"/>
              </w:rPr>
              <w:t>C、</w:t>
            </w:r>
            <w:r>
              <w:t>危险废物需用符合标准的容器盛装，容器上需粘贴符合《危险废物贮存污染控制标准》（GB18597-2001）附录A所示的标签。</w:t>
            </w:r>
          </w:p>
          <w:p>
            <w:pPr>
              <w:spacing w:line="480" w:lineRule="exact"/>
              <w:ind w:firstLine="480" w:firstLineChars="200"/>
              <w:rPr>
                <w:rFonts w:ascii="Times New Roman" w:hAnsi="Times New Roman" w:eastAsia="宋体"/>
                <w:sz w:val="24"/>
              </w:rPr>
            </w:pPr>
            <w:r>
              <w:rPr>
                <w:rFonts w:ascii="Times New Roman" w:hAnsi="Times New Roman" w:eastAsia="宋体"/>
                <w:sz w:val="24"/>
              </w:rPr>
              <w:t>综上所述，本项目产生的各类固体废物均可以得到妥善处置，对周围环境影响不大</w:t>
            </w:r>
            <w:r>
              <w:rPr>
                <w:rFonts w:hint="eastAsia" w:ascii="Times New Roman" w:hAnsi="Times New Roman" w:eastAsia="宋体"/>
                <w:sz w:val="24"/>
              </w:rPr>
              <w:t>。</w:t>
            </w:r>
          </w:p>
          <w:p>
            <w:pPr>
              <w:pStyle w:val="110"/>
            </w:pPr>
            <w:r>
              <w:t>表</w:t>
            </w:r>
            <w:r>
              <w:rPr>
                <w:rFonts w:hint="eastAsia"/>
              </w:rPr>
              <w:t>4-</w:t>
            </w:r>
            <w:r>
              <w:rPr>
                <w:rFonts w:hint="eastAsia"/>
                <w:lang w:val="en-US" w:eastAsia="zh-CN"/>
              </w:rPr>
              <w:t>10</w:t>
            </w:r>
            <w:r>
              <w:t>项目固废产生情况一览表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1"/>
              <w:gridCol w:w="1541"/>
              <w:gridCol w:w="1284"/>
              <w:gridCol w:w="1120"/>
              <w:gridCol w:w="1120"/>
              <w:gridCol w:w="1261"/>
              <w:gridCol w:w="12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1" w:type="dxa"/>
                  <w:vAlign w:val="center"/>
                </w:tcPr>
                <w:p>
                  <w:pPr>
                    <w:pStyle w:val="109"/>
                    <w:rPr>
                      <w:rFonts w:ascii="宋体" w:hAnsi="宋体" w:eastAsia="宋体" w:cs="宋体"/>
                      <w:sz w:val="21"/>
                      <w:szCs w:val="21"/>
                    </w:rPr>
                  </w:pPr>
                  <w:r>
                    <w:rPr>
                      <w:rFonts w:hint="eastAsia" w:ascii="宋体" w:hAnsi="宋体" w:eastAsia="宋体" w:cs="宋体"/>
                      <w:sz w:val="21"/>
                      <w:szCs w:val="21"/>
                    </w:rPr>
                    <w:t>序号</w:t>
                  </w:r>
                </w:p>
              </w:tc>
              <w:tc>
                <w:tcPr>
                  <w:tcW w:w="1541" w:type="dxa"/>
                  <w:vAlign w:val="center"/>
                </w:tcPr>
                <w:p>
                  <w:pPr>
                    <w:pStyle w:val="109"/>
                    <w:rPr>
                      <w:rFonts w:ascii="宋体" w:hAnsi="宋体" w:eastAsia="宋体" w:cs="宋体"/>
                      <w:sz w:val="21"/>
                      <w:szCs w:val="21"/>
                    </w:rPr>
                  </w:pPr>
                  <w:r>
                    <w:rPr>
                      <w:rFonts w:hint="eastAsia" w:ascii="宋体" w:hAnsi="宋体" w:eastAsia="宋体" w:cs="宋体"/>
                      <w:sz w:val="21"/>
                      <w:szCs w:val="21"/>
                    </w:rPr>
                    <w:t>固废名称</w:t>
                  </w:r>
                </w:p>
              </w:tc>
              <w:tc>
                <w:tcPr>
                  <w:tcW w:w="1284" w:type="dxa"/>
                  <w:vAlign w:val="center"/>
                </w:tcPr>
                <w:p>
                  <w:pPr>
                    <w:pStyle w:val="109"/>
                    <w:rPr>
                      <w:rFonts w:ascii="宋体" w:hAnsi="宋体" w:eastAsia="宋体" w:cs="宋体"/>
                      <w:sz w:val="21"/>
                      <w:szCs w:val="21"/>
                    </w:rPr>
                  </w:pPr>
                  <w:r>
                    <w:rPr>
                      <w:rFonts w:hint="eastAsia" w:ascii="宋体" w:hAnsi="宋体" w:eastAsia="宋体" w:cs="宋体"/>
                      <w:sz w:val="21"/>
                      <w:szCs w:val="21"/>
                    </w:rPr>
                    <w:t>产生工序</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属性</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废物类别</w:t>
                  </w:r>
                </w:p>
              </w:tc>
              <w:tc>
                <w:tcPr>
                  <w:tcW w:w="1261" w:type="dxa"/>
                  <w:vAlign w:val="center"/>
                </w:tcPr>
                <w:p>
                  <w:pPr>
                    <w:pStyle w:val="109"/>
                    <w:rPr>
                      <w:rFonts w:ascii="宋体" w:hAnsi="宋体" w:eastAsia="宋体" w:cs="宋体"/>
                      <w:sz w:val="21"/>
                      <w:szCs w:val="21"/>
                    </w:rPr>
                  </w:pPr>
                  <w:r>
                    <w:rPr>
                      <w:rFonts w:hint="eastAsia" w:ascii="宋体" w:hAnsi="宋体" w:eastAsia="宋体" w:cs="宋体"/>
                      <w:sz w:val="21"/>
                      <w:szCs w:val="21"/>
                    </w:rPr>
                    <w:t>废物代码</w:t>
                  </w:r>
                </w:p>
              </w:tc>
              <w:tc>
                <w:tcPr>
                  <w:tcW w:w="1271" w:type="dxa"/>
                  <w:vAlign w:val="center"/>
                </w:tcPr>
                <w:p>
                  <w:pPr>
                    <w:pStyle w:val="109"/>
                    <w:rPr>
                      <w:rFonts w:ascii="宋体" w:hAnsi="宋体" w:eastAsia="宋体" w:cs="宋体"/>
                      <w:sz w:val="21"/>
                      <w:szCs w:val="21"/>
                    </w:rPr>
                  </w:pPr>
                  <w:r>
                    <w:rPr>
                      <w:rFonts w:hint="eastAsia" w:ascii="宋体" w:hAnsi="宋体" w:eastAsia="宋体" w:cs="宋体"/>
                      <w:sz w:val="21"/>
                      <w:szCs w:val="21"/>
                    </w:rPr>
                    <w:t>产生量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1" w:type="dxa"/>
                  <w:vAlign w:val="center"/>
                </w:tcPr>
                <w:p>
                  <w:pPr>
                    <w:pStyle w:val="109"/>
                    <w:rPr>
                      <w:rFonts w:ascii="宋体" w:hAnsi="宋体" w:eastAsia="宋体" w:cs="宋体"/>
                      <w:sz w:val="21"/>
                      <w:szCs w:val="21"/>
                    </w:rPr>
                  </w:pPr>
                  <w:r>
                    <w:rPr>
                      <w:rFonts w:hint="eastAsia" w:ascii="宋体" w:hAnsi="宋体" w:eastAsia="宋体" w:cs="宋体"/>
                      <w:sz w:val="21"/>
                      <w:szCs w:val="21"/>
                    </w:rPr>
                    <w:t>1</w:t>
                  </w:r>
                </w:p>
              </w:tc>
              <w:tc>
                <w:tcPr>
                  <w:tcW w:w="1541" w:type="dxa"/>
                  <w:vAlign w:val="center"/>
                </w:tcPr>
                <w:p>
                  <w:pPr>
                    <w:pStyle w:val="109"/>
                    <w:rPr>
                      <w:rFonts w:ascii="宋体" w:hAnsi="宋体" w:eastAsia="宋体" w:cs="宋体"/>
                      <w:sz w:val="21"/>
                      <w:szCs w:val="21"/>
                    </w:rPr>
                  </w:pPr>
                  <w:r>
                    <w:rPr>
                      <w:rFonts w:hint="eastAsia" w:ascii="宋体" w:hAnsi="宋体" w:eastAsia="宋体" w:cs="宋体"/>
                      <w:sz w:val="21"/>
                      <w:szCs w:val="21"/>
                    </w:rPr>
                    <w:t>生活垃圾</w:t>
                  </w:r>
                </w:p>
              </w:tc>
              <w:tc>
                <w:tcPr>
                  <w:tcW w:w="1284" w:type="dxa"/>
                  <w:vAlign w:val="center"/>
                </w:tcPr>
                <w:p>
                  <w:pPr>
                    <w:pStyle w:val="109"/>
                    <w:rPr>
                      <w:rFonts w:ascii="宋体" w:hAnsi="宋体" w:eastAsia="宋体" w:cs="宋体"/>
                      <w:sz w:val="21"/>
                      <w:szCs w:val="21"/>
                    </w:rPr>
                  </w:pPr>
                  <w:r>
                    <w:rPr>
                      <w:rFonts w:hint="eastAsia" w:ascii="宋体" w:hAnsi="宋体" w:eastAsia="宋体" w:cs="宋体"/>
                      <w:sz w:val="21"/>
                      <w:szCs w:val="21"/>
                    </w:rPr>
                    <w:t>员工生活</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生活垃圾</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1261" w:type="dxa"/>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1271" w:type="dxa"/>
                  <w:vAlign w:val="center"/>
                </w:tcPr>
                <w:p>
                  <w:pPr>
                    <w:pStyle w:val="109"/>
                    <w:rPr>
                      <w:rFonts w:ascii="宋体" w:hAnsi="宋体" w:eastAsia="宋体" w:cs="宋体"/>
                      <w:sz w:val="21"/>
                      <w:szCs w:val="21"/>
                    </w:rPr>
                  </w:pPr>
                  <w:r>
                    <w:rPr>
                      <w:rFonts w:hint="eastAsia" w:ascii="宋体" w:hAnsi="宋体" w:eastAsia="宋体" w:cs="宋体"/>
                      <w:sz w:val="21"/>
                      <w:szCs w:val="21"/>
                    </w:rPr>
                    <w:t>5.4t/a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1" w:type="dxa"/>
                  <w:vAlign w:val="center"/>
                </w:tcPr>
                <w:p>
                  <w:pPr>
                    <w:pStyle w:val="109"/>
                    <w:rPr>
                      <w:rFonts w:ascii="宋体" w:hAnsi="宋体" w:eastAsia="宋体" w:cs="宋体"/>
                      <w:sz w:val="21"/>
                      <w:szCs w:val="21"/>
                    </w:rPr>
                  </w:pPr>
                  <w:r>
                    <w:rPr>
                      <w:rFonts w:hint="eastAsia" w:ascii="宋体" w:hAnsi="宋体" w:eastAsia="宋体" w:cs="宋体"/>
                      <w:sz w:val="21"/>
                      <w:szCs w:val="21"/>
                    </w:rPr>
                    <w:t>2</w:t>
                  </w:r>
                </w:p>
              </w:tc>
              <w:tc>
                <w:tcPr>
                  <w:tcW w:w="1541" w:type="dxa"/>
                  <w:vAlign w:val="center"/>
                </w:tcPr>
                <w:p>
                  <w:pPr>
                    <w:pStyle w:val="109"/>
                    <w:rPr>
                      <w:rFonts w:ascii="宋体" w:hAnsi="宋体" w:eastAsia="宋体" w:cs="宋体"/>
                      <w:sz w:val="21"/>
                      <w:szCs w:val="21"/>
                    </w:rPr>
                  </w:pPr>
                  <w:r>
                    <w:rPr>
                      <w:rFonts w:hint="eastAsia" w:ascii="宋体" w:hAnsi="宋体" w:eastAsia="宋体" w:cs="宋体"/>
                      <w:sz w:val="21"/>
                      <w:szCs w:val="21"/>
                    </w:rPr>
                    <w:t>废边角料</w:t>
                  </w:r>
                </w:p>
              </w:tc>
              <w:tc>
                <w:tcPr>
                  <w:tcW w:w="1284" w:type="dxa"/>
                  <w:vAlign w:val="center"/>
                </w:tcPr>
                <w:p>
                  <w:pPr>
                    <w:pStyle w:val="109"/>
                    <w:rPr>
                      <w:rFonts w:ascii="宋体" w:hAnsi="宋体" w:eastAsia="宋体" w:cs="宋体"/>
                      <w:sz w:val="21"/>
                      <w:szCs w:val="21"/>
                    </w:rPr>
                  </w:pPr>
                  <w:r>
                    <w:rPr>
                      <w:rFonts w:hint="eastAsia" w:ascii="宋体" w:hAnsi="宋体" w:eastAsia="宋体" w:cs="宋体"/>
                      <w:sz w:val="21"/>
                      <w:szCs w:val="21"/>
                    </w:rPr>
                    <w:t>模切</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一般固废</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1261" w:type="dxa"/>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1271" w:type="dxa"/>
                  <w:vAlign w:val="center"/>
                </w:tcPr>
                <w:p>
                  <w:pPr>
                    <w:pStyle w:val="109"/>
                    <w:rPr>
                      <w:rFonts w:ascii="宋体" w:hAnsi="宋体" w:eastAsia="宋体" w:cs="宋体"/>
                      <w:sz w:val="21"/>
                      <w:szCs w:val="21"/>
                    </w:rPr>
                  </w:pPr>
                  <w:r>
                    <w:rPr>
                      <w:rFonts w:hint="eastAsia" w:ascii="宋体" w:hAnsi="宋体" w:eastAsia="宋体" w:cs="宋体"/>
                      <w:sz w:val="21"/>
                      <w:szCs w:val="21"/>
                    </w:rPr>
                    <w:t>5t/a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1" w:type="dxa"/>
                  <w:vAlign w:val="center"/>
                </w:tcPr>
                <w:p>
                  <w:pPr>
                    <w:pStyle w:val="109"/>
                    <w:rPr>
                      <w:rFonts w:ascii="宋体" w:hAnsi="宋体" w:eastAsia="宋体" w:cs="宋体"/>
                      <w:sz w:val="21"/>
                      <w:szCs w:val="21"/>
                    </w:rPr>
                  </w:pPr>
                  <w:r>
                    <w:rPr>
                      <w:rFonts w:hint="eastAsia" w:ascii="宋体" w:hAnsi="宋体" w:eastAsia="宋体" w:cs="宋体"/>
                      <w:sz w:val="21"/>
                      <w:szCs w:val="21"/>
                    </w:rPr>
                    <w:t>3</w:t>
                  </w:r>
                </w:p>
              </w:tc>
              <w:tc>
                <w:tcPr>
                  <w:tcW w:w="1541" w:type="dxa"/>
                  <w:vAlign w:val="center"/>
                </w:tcPr>
                <w:p>
                  <w:pPr>
                    <w:pStyle w:val="109"/>
                    <w:rPr>
                      <w:rFonts w:ascii="宋体" w:hAnsi="宋体" w:eastAsia="宋体" w:cs="宋体"/>
                      <w:sz w:val="21"/>
                      <w:szCs w:val="21"/>
                    </w:rPr>
                  </w:pPr>
                  <w:r>
                    <w:rPr>
                      <w:rFonts w:hint="eastAsia" w:ascii="宋体" w:hAnsi="宋体" w:eastAsia="宋体" w:cs="宋体"/>
                      <w:sz w:val="21"/>
                      <w:szCs w:val="21"/>
                    </w:rPr>
                    <w:t>废油墨桶、废淀粉胶水桶</w:t>
                  </w:r>
                </w:p>
              </w:tc>
              <w:tc>
                <w:tcPr>
                  <w:tcW w:w="1284" w:type="dxa"/>
                  <w:vAlign w:val="center"/>
                </w:tcPr>
                <w:p>
                  <w:pPr>
                    <w:pStyle w:val="109"/>
                    <w:rPr>
                      <w:rFonts w:ascii="宋体" w:hAnsi="宋体" w:eastAsia="宋体" w:cs="宋体"/>
                      <w:sz w:val="21"/>
                      <w:szCs w:val="21"/>
                    </w:rPr>
                  </w:pPr>
                  <w:r>
                    <w:rPr>
                      <w:rFonts w:hint="eastAsia" w:ascii="宋体" w:hAnsi="宋体" w:eastAsia="宋体" w:cs="宋体"/>
                      <w:sz w:val="21"/>
                      <w:szCs w:val="21"/>
                    </w:rPr>
                    <w:t>粘合</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一般固废</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1261" w:type="dxa"/>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1271" w:type="dxa"/>
                  <w:vAlign w:val="center"/>
                </w:tcPr>
                <w:p>
                  <w:pPr>
                    <w:pStyle w:val="109"/>
                    <w:rPr>
                      <w:rFonts w:ascii="宋体" w:hAnsi="宋体" w:eastAsia="宋体" w:cs="宋体"/>
                      <w:sz w:val="21"/>
                      <w:szCs w:val="21"/>
                    </w:rPr>
                  </w:pPr>
                  <w:r>
                    <w:rPr>
                      <w:rFonts w:hint="eastAsia" w:ascii="宋体" w:hAnsi="宋体" w:eastAsia="宋体" w:cs="宋体"/>
                      <w:sz w:val="21"/>
                      <w:szCs w:val="21"/>
                    </w:rPr>
                    <w:t>1.2t/a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1" w:type="dxa"/>
                  <w:vAlign w:val="center"/>
                </w:tcPr>
                <w:p>
                  <w:pPr>
                    <w:pStyle w:val="109"/>
                    <w:rPr>
                      <w:rFonts w:ascii="宋体" w:hAnsi="宋体" w:eastAsia="宋体" w:cs="宋体"/>
                      <w:sz w:val="21"/>
                      <w:szCs w:val="21"/>
                    </w:rPr>
                  </w:pPr>
                  <w:r>
                    <w:rPr>
                      <w:rFonts w:hint="eastAsia" w:ascii="宋体" w:hAnsi="宋体" w:eastAsia="宋体" w:cs="宋体"/>
                      <w:sz w:val="21"/>
                      <w:szCs w:val="21"/>
                    </w:rPr>
                    <w:t>4</w:t>
                  </w:r>
                </w:p>
              </w:tc>
              <w:tc>
                <w:tcPr>
                  <w:tcW w:w="1541" w:type="dxa"/>
                  <w:vAlign w:val="center"/>
                </w:tcPr>
                <w:p>
                  <w:pPr>
                    <w:pStyle w:val="109"/>
                    <w:rPr>
                      <w:rFonts w:ascii="宋体" w:hAnsi="宋体" w:eastAsia="宋体" w:cs="宋体"/>
                      <w:sz w:val="21"/>
                      <w:szCs w:val="21"/>
                    </w:rPr>
                  </w:pPr>
                  <w:r>
                    <w:rPr>
                      <w:rFonts w:hint="eastAsia" w:ascii="宋体" w:hAnsi="宋体" w:eastAsia="宋体" w:cs="宋体"/>
                      <w:sz w:val="21"/>
                      <w:szCs w:val="21"/>
                    </w:rPr>
                    <w:t>废活性炭纤维</w:t>
                  </w:r>
                </w:p>
              </w:tc>
              <w:tc>
                <w:tcPr>
                  <w:tcW w:w="1284" w:type="dxa"/>
                  <w:vAlign w:val="center"/>
                </w:tcPr>
                <w:p>
                  <w:pPr>
                    <w:pStyle w:val="109"/>
                    <w:rPr>
                      <w:rFonts w:ascii="宋体" w:hAnsi="宋体" w:eastAsia="宋体" w:cs="宋体"/>
                      <w:sz w:val="21"/>
                      <w:szCs w:val="21"/>
                    </w:rPr>
                  </w:pPr>
                  <w:r>
                    <w:rPr>
                      <w:rFonts w:hint="eastAsia" w:ascii="宋体" w:hAnsi="宋体" w:eastAsia="宋体" w:cs="宋体"/>
                      <w:sz w:val="21"/>
                      <w:szCs w:val="21"/>
                    </w:rPr>
                    <w:t>废气处理</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危险固废</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HW49</w:t>
                  </w:r>
                </w:p>
              </w:tc>
              <w:tc>
                <w:tcPr>
                  <w:tcW w:w="1261" w:type="dxa"/>
                  <w:vAlign w:val="center"/>
                </w:tcPr>
                <w:p>
                  <w:pPr>
                    <w:pStyle w:val="109"/>
                    <w:rPr>
                      <w:rFonts w:ascii="宋体" w:hAnsi="宋体" w:eastAsia="宋体" w:cs="宋体"/>
                      <w:sz w:val="21"/>
                      <w:szCs w:val="21"/>
                    </w:rPr>
                  </w:pPr>
                  <w:r>
                    <w:rPr>
                      <w:rFonts w:hint="eastAsia" w:ascii="宋体" w:hAnsi="宋体" w:eastAsia="宋体" w:cs="宋体"/>
                      <w:sz w:val="21"/>
                      <w:szCs w:val="21"/>
                    </w:rPr>
                    <w:t>900-041-49</w:t>
                  </w:r>
                </w:p>
              </w:tc>
              <w:tc>
                <w:tcPr>
                  <w:tcW w:w="1271" w:type="dxa"/>
                  <w:vAlign w:val="center"/>
                </w:tcPr>
                <w:p>
                  <w:pPr>
                    <w:pStyle w:val="109"/>
                    <w:rPr>
                      <w:rFonts w:ascii="宋体" w:hAnsi="宋体" w:eastAsia="宋体" w:cs="宋体"/>
                      <w:sz w:val="21"/>
                      <w:szCs w:val="21"/>
                    </w:rPr>
                  </w:pPr>
                  <w:r>
                    <w:rPr>
                      <w:rFonts w:hint="eastAsia" w:ascii="宋体" w:hAnsi="宋体" w:eastAsia="宋体" w:cs="宋体"/>
                      <w:sz w:val="21"/>
                      <w:szCs w:val="21"/>
                    </w:rPr>
                    <w:t>0.09t/a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1" w:type="dxa"/>
                  <w:vAlign w:val="center"/>
                </w:tcPr>
                <w:p>
                  <w:pPr>
                    <w:pStyle w:val="109"/>
                    <w:rPr>
                      <w:rFonts w:ascii="宋体" w:hAnsi="宋体" w:eastAsia="宋体" w:cs="宋体"/>
                      <w:sz w:val="21"/>
                      <w:szCs w:val="21"/>
                    </w:rPr>
                  </w:pPr>
                  <w:r>
                    <w:rPr>
                      <w:rFonts w:hint="eastAsia" w:ascii="宋体" w:hAnsi="宋体" w:eastAsia="宋体" w:cs="宋体"/>
                      <w:sz w:val="21"/>
                      <w:szCs w:val="21"/>
                    </w:rPr>
                    <w:t>5</w:t>
                  </w:r>
                </w:p>
              </w:tc>
              <w:tc>
                <w:tcPr>
                  <w:tcW w:w="1541" w:type="dxa"/>
                  <w:vAlign w:val="center"/>
                </w:tcPr>
                <w:p>
                  <w:pPr>
                    <w:pStyle w:val="109"/>
                    <w:rPr>
                      <w:rFonts w:ascii="宋体" w:hAnsi="宋体" w:eastAsia="宋体" w:cs="宋体"/>
                      <w:sz w:val="21"/>
                      <w:szCs w:val="21"/>
                    </w:rPr>
                  </w:pPr>
                  <w:r>
                    <w:rPr>
                      <w:rFonts w:hint="eastAsia" w:ascii="宋体" w:hAnsi="宋体" w:eastAsia="宋体" w:cs="宋体"/>
                      <w:sz w:val="21"/>
                      <w:szCs w:val="21"/>
                    </w:rPr>
                    <w:t>生产清洗废水处理设施1#产生的污泥</w:t>
                  </w:r>
                </w:p>
              </w:tc>
              <w:tc>
                <w:tcPr>
                  <w:tcW w:w="1284" w:type="dxa"/>
                  <w:vAlign w:val="center"/>
                </w:tcPr>
                <w:p>
                  <w:pPr>
                    <w:pStyle w:val="109"/>
                    <w:rPr>
                      <w:rFonts w:ascii="宋体" w:hAnsi="宋体" w:eastAsia="宋体" w:cs="宋体"/>
                      <w:sz w:val="21"/>
                      <w:szCs w:val="21"/>
                    </w:rPr>
                  </w:pPr>
                  <w:r>
                    <w:rPr>
                      <w:rFonts w:hint="eastAsia" w:ascii="宋体" w:hAnsi="宋体" w:eastAsia="宋体" w:cs="宋体"/>
                      <w:sz w:val="21"/>
                      <w:szCs w:val="21"/>
                    </w:rPr>
                    <w:t>水墨印刷机清洗</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危险固废</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HW12</w:t>
                  </w:r>
                </w:p>
              </w:tc>
              <w:tc>
                <w:tcPr>
                  <w:tcW w:w="1261" w:type="dxa"/>
                  <w:vAlign w:val="center"/>
                </w:tcPr>
                <w:p>
                  <w:pPr>
                    <w:pStyle w:val="109"/>
                    <w:rPr>
                      <w:rFonts w:ascii="宋体" w:hAnsi="宋体" w:eastAsia="宋体" w:cs="宋体"/>
                      <w:sz w:val="21"/>
                      <w:szCs w:val="21"/>
                    </w:rPr>
                  </w:pPr>
                  <w:r>
                    <w:rPr>
                      <w:rFonts w:hint="eastAsia" w:ascii="宋体" w:hAnsi="宋体" w:eastAsia="宋体" w:cs="宋体"/>
                      <w:sz w:val="21"/>
                      <w:szCs w:val="21"/>
                    </w:rPr>
                    <w:t>264-013-12</w:t>
                  </w:r>
                </w:p>
              </w:tc>
              <w:tc>
                <w:tcPr>
                  <w:tcW w:w="1271" w:type="dxa"/>
                  <w:vAlign w:val="center"/>
                </w:tcPr>
                <w:p>
                  <w:pPr>
                    <w:pStyle w:val="109"/>
                    <w:rPr>
                      <w:rFonts w:ascii="宋体" w:hAnsi="宋体" w:eastAsia="宋体" w:cs="宋体"/>
                      <w:sz w:val="21"/>
                      <w:szCs w:val="21"/>
                    </w:rPr>
                  </w:pPr>
                  <w:r>
                    <w:rPr>
                      <w:rFonts w:hint="eastAsia" w:ascii="宋体" w:hAnsi="宋体" w:eastAsia="宋体" w:cs="宋体"/>
                      <w:sz w:val="21"/>
                      <w:szCs w:val="21"/>
                    </w:rPr>
                    <w:t>0.00324t/a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1" w:type="dxa"/>
                  <w:vAlign w:val="center"/>
                </w:tcPr>
                <w:p>
                  <w:pPr>
                    <w:pStyle w:val="109"/>
                    <w:rPr>
                      <w:rFonts w:ascii="宋体" w:hAnsi="宋体" w:eastAsia="宋体" w:cs="宋体"/>
                      <w:sz w:val="21"/>
                      <w:szCs w:val="21"/>
                    </w:rPr>
                  </w:pPr>
                  <w:r>
                    <w:rPr>
                      <w:rFonts w:hint="eastAsia" w:ascii="宋体" w:hAnsi="宋体" w:eastAsia="宋体" w:cs="宋体"/>
                      <w:sz w:val="21"/>
                      <w:szCs w:val="21"/>
                    </w:rPr>
                    <w:t>6</w:t>
                  </w:r>
                </w:p>
              </w:tc>
              <w:tc>
                <w:tcPr>
                  <w:tcW w:w="1541" w:type="dxa"/>
                  <w:vAlign w:val="center"/>
                </w:tcPr>
                <w:p>
                  <w:pPr>
                    <w:pStyle w:val="109"/>
                    <w:rPr>
                      <w:rFonts w:ascii="宋体" w:hAnsi="宋体" w:eastAsia="宋体" w:cs="宋体"/>
                      <w:sz w:val="21"/>
                      <w:szCs w:val="21"/>
                    </w:rPr>
                  </w:pPr>
                  <w:r>
                    <w:rPr>
                      <w:rFonts w:hint="eastAsia" w:ascii="宋体" w:hAnsi="宋体" w:eastAsia="宋体" w:cs="宋体"/>
                      <w:sz w:val="21"/>
                      <w:szCs w:val="21"/>
                    </w:rPr>
                    <w:t>废擦拭抹布</w:t>
                  </w:r>
                </w:p>
              </w:tc>
              <w:tc>
                <w:tcPr>
                  <w:tcW w:w="1284" w:type="dxa"/>
                  <w:vAlign w:val="center"/>
                </w:tcPr>
                <w:p>
                  <w:pPr>
                    <w:pStyle w:val="109"/>
                    <w:rPr>
                      <w:rFonts w:ascii="宋体" w:hAnsi="宋体" w:eastAsia="宋体" w:cs="宋体"/>
                      <w:sz w:val="21"/>
                      <w:szCs w:val="21"/>
                    </w:rPr>
                  </w:pPr>
                  <w:r>
                    <w:rPr>
                      <w:rFonts w:hint="eastAsia" w:ascii="宋体" w:hAnsi="宋体" w:eastAsia="宋体" w:cs="宋体"/>
                      <w:sz w:val="21"/>
                      <w:szCs w:val="21"/>
                    </w:rPr>
                    <w:t>胶印印刷机印刷模板清洁</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一般固废</w:t>
                  </w:r>
                </w:p>
              </w:tc>
              <w:tc>
                <w:tcPr>
                  <w:tcW w:w="1120" w:type="dxa"/>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1261" w:type="dxa"/>
                  <w:vAlign w:val="center"/>
                </w:tcPr>
                <w:p>
                  <w:pPr>
                    <w:pStyle w:val="109"/>
                    <w:rPr>
                      <w:rFonts w:ascii="宋体" w:hAnsi="宋体" w:eastAsia="宋体" w:cs="宋体"/>
                      <w:sz w:val="21"/>
                      <w:szCs w:val="21"/>
                    </w:rPr>
                  </w:pPr>
                  <w:r>
                    <w:rPr>
                      <w:rFonts w:hint="eastAsia" w:ascii="宋体" w:hAnsi="宋体" w:eastAsia="宋体" w:cs="宋体"/>
                      <w:sz w:val="21"/>
                      <w:szCs w:val="21"/>
                    </w:rPr>
                    <w:t>/</w:t>
                  </w:r>
                </w:p>
              </w:tc>
              <w:tc>
                <w:tcPr>
                  <w:tcW w:w="1271" w:type="dxa"/>
                  <w:vAlign w:val="center"/>
                </w:tcPr>
                <w:p>
                  <w:pPr>
                    <w:pStyle w:val="109"/>
                    <w:rPr>
                      <w:rFonts w:ascii="宋体" w:hAnsi="宋体" w:eastAsia="宋体" w:cs="宋体"/>
                      <w:sz w:val="21"/>
                      <w:szCs w:val="21"/>
                    </w:rPr>
                  </w:pPr>
                  <w:r>
                    <w:rPr>
                      <w:rFonts w:hint="eastAsia" w:ascii="宋体" w:hAnsi="宋体" w:eastAsia="宋体" w:cs="宋体"/>
                      <w:sz w:val="21"/>
                      <w:szCs w:val="21"/>
                    </w:rPr>
                    <w:t>0.2t/a</w:t>
                  </w:r>
                </w:p>
              </w:tc>
            </w:tr>
          </w:tbl>
          <w:p>
            <w:pPr>
              <w:pStyle w:val="5"/>
              <w:spacing w:before="0" w:after="0" w:line="360" w:lineRule="auto"/>
              <w:ind w:firstLine="480" w:firstLineChars="200"/>
              <w:rPr>
                <w:rFonts w:ascii="黑体" w:hAnsi="黑体" w:eastAsia="黑体" w:cs="黑体"/>
                <w:b w:val="0"/>
                <w:bCs w:val="0"/>
                <w:sz w:val="24"/>
              </w:rPr>
            </w:pPr>
            <w:r>
              <w:rPr>
                <w:rFonts w:hint="eastAsia" w:ascii="黑体" w:hAnsi="黑体" w:eastAsia="黑体" w:cs="黑体"/>
                <w:b w:val="0"/>
                <w:bCs w:val="0"/>
                <w:sz w:val="24"/>
              </w:rPr>
              <w:t>固体废弃物处置措施可行性分析</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本项目产生的固体废物主要包括生活垃圾、一般固废、危险固废等。</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生活垃圾交由环卫部门处理，去向明确处置合理，对周围环境影响较小；</w:t>
            </w:r>
            <w:r>
              <w:rPr>
                <w:rFonts w:ascii="宋体" w:hAnsi="宋体"/>
                <w:sz w:val="24"/>
              </w:rPr>
              <w:t>一般工业固废贮存执行</w:t>
            </w:r>
            <w:r>
              <w:rPr>
                <w:rFonts w:hint="eastAsia" w:ascii="Times New Roman" w:hAnsi="Times New Roman" w:eastAsia="宋体"/>
                <w:sz w:val="24"/>
                <w:szCs w:val="32"/>
              </w:rPr>
              <w:t>GB18599-2020《一般工业固体废物贮存和填埋场污染控制标准》</w:t>
            </w:r>
            <w:r>
              <w:rPr>
                <w:rFonts w:ascii="宋体" w:hAnsi="宋体"/>
                <w:sz w:val="24"/>
              </w:rPr>
              <w:t>；危险废物临时贮存执行《危险废物贮存污染控制标准》（GB18597-2001）；</w:t>
            </w:r>
            <w:r>
              <w:rPr>
                <w:rFonts w:hint="eastAsia" w:ascii="Times New Roman" w:hAnsi="Times New Roman" w:eastAsia="宋体"/>
                <w:sz w:val="24"/>
              </w:rPr>
              <w:t>管理妥善去向明确处置合理，对周围环境影响较小。</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综上所述，项目采取的各项固体废弃物处置措施可行，从一定程度上体现了固体废物无害化和资源化利用的原则，只要在工作中，将各项处理措施落实到实处，认真执行，可将固体废弃物对环境的污染降低到最小程度。因此，本项目固废处理措施可行。</w:t>
            </w:r>
          </w:p>
          <w:p>
            <w:pPr>
              <w:pStyle w:val="5"/>
              <w:spacing w:before="0" w:after="0" w:line="360" w:lineRule="auto"/>
              <w:ind w:left="420" w:leftChars="200"/>
              <w:rPr>
                <w:rFonts w:ascii="黑体" w:hAnsi="黑体" w:eastAsia="黑体" w:cs="黑体"/>
                <w:b w:val="0"/>
                <w:sz w:val="24"/>
              </w:rPr>
            </w:pPr>
            <w:r>
              <w:rPr>
                <w:rFonts w:hint="eastAsia" w:ascii="黑体" w:hAnsi="黑体" w:eastAsia="黑体" w:cs="黑体"/>
                <w:b w:val="0"/>
                <w:sz w:val="24"/>
              </w:rPr>
              <w:t>五、土壤环境影响分析</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根据《土壤环境影响评价技术导则--土壤环境（试行）》附录A土壤环境影响评价类别。本项目属于“制造业——造纸和纸制品”中“其他类）”，为Ⅲ类项目，本项目建设项目占地面积约3051m</w:t>
            </w:r>
            <w:r>
              <w:rPr>
                <w:rFonts w:hint="eastAsia" w:ascii="Times New Roman" w:hAnsi="Times New Roman" w:eastAsia="宋体"/>
                <w:sz w:val="24"/>
                <w:vertAlign w:val="superscript"/>
              </w:rPr>
              <w:t>2</w:t>
            </w:r>
            <w:r>
              <w:rPr>
                <w:rFonts w:hint="eastAsia" w:ascii="Times New Roman" w:hAnsi="Times New Roman" w:eastAsia="宋体"/>
                <w:sz w:val="24"/>
              </w:rPr>
              <w:t>，占地规模为小型（＜5hm</w:t>
            </w:r>
            <w:r>
              <w:rPr>
                <w:rFonts w:hint="eastAsia" w:ascii="Times New Roman" w:hAnsi="Times New Roman" w:eastAsia="宋体"/>
                <w:sz w:val="24"/>
                <w:vertAlign w:val="superscript"/>
              </w:rPr>
              <w:t>2</w:t>
            </w:r>
            <w:r>
              <w:rPr>
                <w:rFonts w:hint="eastAsia" w:ascii="Times New Roman" w:hAnsi="Times New Roman" w:eastAsia="宋体"/>
                <w:sz w:val="24"/>
              </w:rPr>
              <w:t>），所在地周边的土壤环境敏感程度为不敏感，根据污染影响型评价工作等级划分表，可不需进行土壤环境影响分析。</w:t>
            </w:r>
          </w:p>
          <w:p>
            <w:pPr>
              <w:pStyle w:val="5"/>
              <w:spacing w:before="0" w:after="0" w:line="360" w:lineRule="auto"/>
              <w:ind w:left="420" w:leftChars="200"/>
              <w:rPr>
                <w:rFonts w:ascii="黑体" w:hAnsi="黑体" w:eastAsia="黑体" w:cs="黑体"/>
                <w:b w:val="0"/>
                <w:sz w:val="24"/>
              </w:rPr>
            </w:pPr>
            <w:r>
              <w:rPr>
                <w:rFonts w:hint="eastAsia" w:ascii="黑体" w:hAnsi="黑体" w:eastAsia="黑体" w:cs="黑体"/>
                <w:b w:val="0"/>
                <w:sz w:val="24"/>
              </w:rPr>
              <w:t>六、地下水环境保护措施</w:t>
            </w:r>
          </w:p>
          <w:p>
            <w:pPr>
              <w:spacing w:line="360" w:lineRule="auto"/>
              <w:ind w:firstLine="480" w:firstLineChars="200"/>
              <w:rPr>
                <w:rFonts w:ascii="Times New Roman" w:hAnsi="Times New Roman" w:eastAsia="宋体"/>
                <w:sz w:val="24"/>
              </w:rPr>
            </w:pPr>
            <w:r>
              <w:rPr>
                <w:rFonts w:ascii="Times New Roman" w:hAnsi="Times New Roman" w:eastAsia="宋体"/>
                <w:sz w:val="24"/>
              </w:rPr>
              <w:t>（1）污染的途径</w:t>
            </w:r>
          </w:p>
          <w:p>
            <w:pPr>
              <w:spacing w:line="360" w:lineRule="auto"/>
              <w:ind w:firstLine="480" w:firstLineChars="200"/>
              <w:rPr>
                <w:rFonts w:ascii="Times New Roman" w:hAnsi="Times New Roman" w:eastAsia="宋体"/>
                <w:sz w:val="24"/>
              </w:rPr>
            </w:pPr>
            <w:r>
              <w:rPr>
                <w:rFonts w:ascii="Times New Roman" w:hAnsi="Times New Roman" w:eastAsia="宋体"/>
                <w:sz w:val="24"/>
              </w:rPr>
              <w:t>本项目危废暂存间可能会造成地下水污染。</w:t>
            </w:r>
          </w:p>
          <w:p>
            <w:pPr>
              <w:spacing w:line="360" w:lineRule="auto"/>
              <w:ind w:firstLine="480" w:firstLineChars="200"/>
              <w:rPr>
                <w:rFonts w:ascii="Times New Roman" w:hAnsi="Times New Roman" w:eastAsia="宋体"/>
                <w:sz w:val="24"/>
              </w:rPr>
            </w:pPr>
            <w:r>
              <w:rPr>
                <w:rFonts w:ascii="Times New Roman" w:hAnsi="Times New Roman" w:eastAsia="宋体"/>
                <w:sz w:val="24"/>
              </w:rPr>
              <w:t>①危废暂存间</w:t>
            </w:r>
            <w:r>
              <w:rPr>
                <w:rFonts w:hint="eastAsia" w:ascii="Times New Roman" w:hAnsi="Times New Roman" w:eastAsia="宋体"/>
                <w:sz w:val="24"/>
                <w:lang w:eastAsia="zh-CN"/>
              </w:rPr>
              <w:t>、</w:t>
            </w:r>
            <w:r>
              <w:rPr>
                <w:rFonts w:hint="eastAsia" w:ascii="Times New Roman" w:hAnsi="Times New Roman" w:eastAsia="宋体"/>
                <w:sz w:val="24"/>
                <w:lang w:val="en-US" w:eastAsia="zh-CN"/>
              </w:rPr>
              <w:t>水性油墨存放区</w:t>
            </w:r>
            <w:r>
              <w:rPr>
                <w:rFonts w:ascii="Times New Roman" w:hAnsi="Times New Roman" w:eastAsia="宋体"/>
                <w:sz w:val="24"/>
              </w:rPr>
              <w:t>未进行防腐、防渗处理，造成地下水污染。</w:t>
            </w:r>
          </w:p>
          <w:p>
            <w:pPr>
              <w:spacing w:line="360" w:lineRule="auto"/>
              <w:ind w:firstLine="480" w:firstLineChars="200"/>
              <w:rPr>
                <w:rFonts w:ascii="Times New Roman" w:hAnsi="Times New Roman" w:eastAsia="宋体"/>
                <w:sz w:val="24"/>
              </w:rPr>
            </w:pPr>
            <w:r>
              <w:rPr>
                <w:rFonts w:ascii="Times New Roman" w:hAnsi="Times New Roman" w:eastAsia="宋体"/>
                <w:sz w:val="24"/>
              </w:rPr>
              <w:t>②化粪池长期使用出现防渗层破损、断裂情况，造成地下水污染。</w:t>
            </w:r>
          </w:p>
          <w:p>
            <w:pPr>
              <w:spacing w:line="360" w:lineRule="auto"/>
              <w:ind w:firstLine="480" w:firstLineChars="200"/>
              <w:rPr>
                <w:rFonts w:ascii="Times New Roman" w:hAnsi="Times New Roman" w:eastAsia="宋体"/>
                <w:sz w:val="24"/>
              </w:rPr>
            </w:pPr>
            <w:r>
              <w:rPr>
                <w:rFonts w:ascii="Times New Roman" w:hAnsi="Times New Roman" w:eastAsia="宋体"/>
                <w:sz w:val="24"/>
              </w:rPr>
              <w:t>（2）污染防治措施</w:t>
            </w:r>
          </w:p>
          <w:p>
            <w:pPr>
              <w:spacing w:line="360" w:lineRule="auto"/>
              <w:ind w:firstLine="480" w:firstLineChars="200"/>
              <w:rPr>
                <w:rFonts w:ascii="Times New Roman" w:hAnsi="Times New Roman" w:eastAsia="宋体"/>
                <w:sz w:val="24"/>
              </w:rPr>
            </w:pPr>
            <w:r>
              <w:rPr>
                <w:rFonts w:ascii="Times New Roman" w:hAnsi="Times New Roman" w:eastAsia="宋体"/>
                <w:sz w:val="24"/>
              </w:rPr>
              <w:t>本项目应采取以下防渗措施：</w:t>
            </w:r>
          </w:p>
          <w:p>
            <w:pPr>
              <w:spacing w:line="360" w:lineRule="auto"/>
              <w:ind w:firstLine="480" w:firstLineChars="200"/>
              <w:rPr>
                <w:rFonts w:ascii="Times New Roman" w:hAnsi="Times New Roman" w:eastAsia="宋体"/>
                <w:sz w:val="24"/>
              </w:rPr>
            </w:pPr>
            <w:r>
              <w:rPr>
                <w:rFonts w:ascii="Times New Roman" w:hAnsi="Times New Roman" w:eastAsia="宋体"/>
                <w:sz w:val="24"/>
              </w:rPr>
              <w:t>①危废暂存间</w:t>
            </w:r>
            <w:r>
              <w:rPr>
                <w:rFonts w:hint="eastAsia" w:ascii="Times New Roman" w:hAnsi="Times New Roman" w:eastAsia="宋体"/>
                <w:sz w:val="24"/>
                <w:lang w:eastAsia="zh-CN"/>
              </w:rPr>
              <w:t>、</w:t>
            </w:r>
            <w:r>
              <w:rPr>
                <w:rFonts w:hint="eastAsia" w:ascii="Times New Roman" w:hAnsi="Times New Roman" w:eastAsia="宋体"/>
                <w:sz w:val="24"/>
                <w:lang w:val="en-US" w:eastAsia="zh-CN"/>
              </w:rPr>
              <w:t>化粪池、水性油墨存放区</w:t>
            </w:r>
            <w:r>
              <w:rPr>
                <w:rFonts w:ascii="Times New Roman" w:hAnsi="Times New Roman" w:eastAsia="宋体"/>
                <w:sz w:val="24"/>
              </w:rPr>
              <w:t>作为重点防渗区。项危废暂存间应采用地面刷环氧树脂等防腐、防渗措施，各防渗措施的设计渗透系数不大于1×10-10cm/s。敷设耐腐蚀的材料硬化地面，且表面无裂隙。</w:t>
            </w:r>
          </w:p>
          <w:p>
            <w:pPr>
              <w:spacing w:line="360" w:lineRule="auto"/>
              <w:ind w:firstLine="480" w:firstLineChars="200"/>
              <w:rPr>
                <w:rFonts w:ascii="Times New Roman" w:hAnsi="Times New Roman" w:eastAsia="宋体"/>
                <w:sz w:val="24"/>
              </w:rPr>
            </w:pPr>
            <w:r>
              <w:rPr>
                <w:rFonts w:ascii="Times New Roman" w:hAnsi="Times New Roman" w:eastAsia="宋体"/>
                <w:sz w:val="24"/>
              </w:rPr>
              <w:t>②生产区、仓库区等区域作为一般防渗区，采用防渗水泥进行硬化，符合防渗要求。</w:t>
            </w:r>
          </w:p>
          <w:p>
            <w:pPr>
              <w:spacing w:line="360" w:lineRule="auto"/>
              <w:ind w:firstLine="482" w:firstLineChars="200"/>
              <w:jc w:val="center"/>
              <w:rPr>
                <w:rFonts w:hint="eastAsia" w:ascii="宋体" w:hAnsi="宋体" w:eastAsia="宋体" w:cs="宋体"/>
                <w:b/>
                <w:sz w:val="24"/>
              </w:rPr>
            </w:pPr>
            <w:r>
              <w:rPr>
                <w:rFonts w:hint="eastAsia" w:ascii="宋体" w:hAnsi="宋体" w:eastAsia="宋体" w:cs="宋体"/>
                <w:b/>
                <w:sz w:val="24"/>
              </w:rPr>
              <w:t>表4-</w:t>
            </w:r>
            <w:r>
              <w:rPr>
                <w:rFonts w:hint="eastAsia" w:ascii="宋体" w:hAnsi="宋体" w:eastAsia="宋体" w:cs="宋体"/>
                <w:b/>
                <w:sz w:val="24"/>
                <w:lang w:val="en-US" w:eastAsia="zh-CN"/>
              </w:rPr>
              <w:t>11</w:t>
            </w:r>
            <w:r>
              <w:rPr>
                <w:rFonts w:hint="eastAsia" w:ascii="宋体" w:hAnsi="宋体" w:eastAsia="宋体" w:cs="宋体"/>
                <w:b/>
                <w:sz w:val="24"/>
              </w:rPr>
              <w:t>项目厂区防渗措施一览表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09"/>
              <w:gridCol w:w="2594"/>
              <w:gridCol w:w="260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tabs>
                      <w:tab w:val="left" w:pos="5580"/>
                    </w:tabs>
                    <w:adjustRightInd w:val="0"/>
                    <w:snapToGrid w:val="0"/>
                    <w:jc w:val="center"/>
                    <w:textAlignment w:val="center"/>
                    <w:rPr>
                      <w:rFonts w:ascii="宋体" w:hAnsi="宋体" w:cs="宋体"/>
                      <w:b/>
                      <w:kern w:val="0"/>
                      <w:sz w:val="18"/>
                      <w:szCs w:val="18"/>
                    </w:rPr>
                  </w:pPr>
                  <w:r>
                    <w:rPr>
                      <w:rFonts w:hint="eastAsia" w:ascii="宋体" w:hAnsi="宋体" w:cs="宋体"/>
                      <w:b/>
                      <w:kern w:val="0"/>
                      <w:sz w:val="18"/>
                      <w:szCs w:val="18"/>
                    </w:rPr>
                    <w:t>类别</w:t>
                  </w:r>
                </w:p>
              </w:tc>
              <w:tc>
                <w:tcPr>
                  <w:tcW w:w="1073" w:type="dxa"/>
                  <w:vAlign w:val="center"/>
                </w:tcPr>
                <w:p>
                  <w:pPr>
                    <w:tabs>
                      <w:tab w:val="left" w:pos="5580"/>
                    </w:tabs>
                    <w:adjustRightInd w:val="0"/>
                    <w:snapToGrid w:val="0"/>
                    <w:jc w:val="center"/>
                    <w:textAlignment w:val="center"/>
                    <w:rPr>
                      <w:rFonts w:ascii="宋体" w:hAnsi="宋体" w:cs="宋体"/>
                      <w:b/>
                      <w:kern w:val="0"/>
                      <w:sz w:val="18"/>
                      <w:szCs w:val="18"/>
                    </w:rPr>
                  </w:pPr>
                  <w:r>
                    <w:rPr>
                      <w:rFonts w:hint="eastAsia" w:ascii="宋体" w:hAnsi="宋体" w:cs="宋体"/>
                      <w:b/>
                      <w:kern w:val="0"/>
                      <w:sz w:val="18"/>
                      <w:szCs w:val="18"/>
                    </w:rPr>
                    <w:t>建筑</w:t>
                  </w:r>
                </w:p>
              </w:tc>
              <w:tc>
                <w:tcPr>
                  <w:tcW w:w="2786" w:type="dxa"/>
                  <w:vAlign w:val="center"/>
                </w:tcPr>
                <w:p>
                  <w:pPr>
                    <w:tabs>
                      <w:tab w:val="left" w:pos="5580"/>
                    </w:tabs>
                    <w:adjustRightInd w:val="0"/>
                    <w:snapToGrid w:val="0"/>
                    <w:jc w:val="center"/>
                    <w:textAlignment w:val="center"/>
                    <w:rPr>
                      <w:rFonts w:ascii="宋体" w:hAnsi="宋体" w:cs="宋体"/>
                      <w:b/>
                      <w:kern w:val="0"/>
                      <w:sz w:val="18"/>
                      <w:szCs w:val="18"/>
                    </w:rPr>
                  </w:pPr>
                  <w:r>
                    <w:rPr>
                      <w:rFonts w:hint="eastAsia" w:ascii="宋体" w:hAnsi="宋体" w:cs="宋体"/>
                      <w:b/>
                      <w:kern w:val="0"/>
                      <w:sz w:val="18"/>
                      <w:szCs w:val="18"/>
                    </w:rPr>
                    <w:t>防渗措施</w:t>
                  </w:r>
                </w:p>
              </w:tc>
              <w:tc>
                <w:tcPr>
                  <w:tcW w:w="2799" w:type="dxa"/>
                  <w:vAlign w:val="center"/>
                </w:tcPr>
                <w:p>
                  <w:pPr>
                    <w:tabs>
                      <w:tab w:val="left" w:pos="5580"/>
                    </w:tabs>
                    <w:adjustRightInd w:val="0"/>
                    <w:snapToGrid w:val="0"/>
                    <w:jc w:val="center"/>
                    <w:textAlignment w:val="center"/>
                    <w:rPr>
                      <w:rFonts w:ascii="宋体" w:hAnsi="宋体" w:cs="宋体"/>
                      <w:b/>
                      <w:kern w:val="0"/>
                      <w:sz w:val="18"/>
                      <w:szCs w:val="18"/>
                    </w:rPr>
                  </w:pPr>
                  <w:r>
                    <w:rPr>
                      <w:rFonts w:hint="eastAsia" w:ascii="宋体" w:hAnsi="宋体" w:cs="宋体"/>
                      <w:b/>
                      <w:kern w:val="0"/>
                      <w:sz w:val="18"/>
                      <w:szCs w:val="18"/>
                    </w:rPr>
                    <w:t>防渗措施说明</w:t>
                  </w:r>
                </w:p>
              </w:tc>
              <w:tc>
                <w:tcPr>
                  <w:tcW w:w="1530" w:type="dxa"/>
                  <w:vAlign w:val="center"/>
                </w:tcPr>
                <w:p>
                  <w:pPr>
                    <w:tabs>
                      <w:tab w:val="left" w:pos="5580"/>
                    </w:tabs>
                    <w:adjustRightInd w:val="0"/>
                    <w:snapToGrid w:val="0"/>
                    <w:jc w:val="center"/>
                    <w:textAlignment w:val="center"/>
                    <w:rPr>
                      <w:rFonts w:ascii="宋体" w:hAnsi="宋体" w:cs="宋体"/>
                      <w:b/>
                      <w:kern w:val="0"/>
                      <w:sz w:val="18"/>
                      <w:szCs w:val="18"/>
                    </w:rPr>
                  </w:pPr>
                  <w:r>
                    <w:rPr>
                      <w:rFonts w:hint="eastAsia" w:ascii="宋体" w:hAnsi="宋体" w:cs="宋体"/>
                      <w:b/>
                      <w:kern w:val="0"/>
                      <w:sz w:val="18"/>
                      <w:szCs w:val="18"/>
                    </w:rPr>
                    <w:t>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tabs>
                      <w:tab w:val="left" w:pos="5580"/>
                    </w:tabs>
                    <w:adjustRightInd w:val="0"/>
                    <w:snapToGrid w:val="0"/>
                    <w:jc w:val="center"/>
                    <w:textAlignment w:val="center"/>
                    <w:rPr>
                      <w:rFonts w:ascii="宋体" w:hAnsi="宋体" w:cs="宋体"/>
                      <w:kern w:val="0"/>
                      <w:sz w:val="18"/>
                      <w:szCs w:val="18"/>
                    </w:rPr>
                  </w:pPr>
                  <w:r>
                    <w:rPr>
                      <w:rFonts w:hint="eastAsia" w:ascii="宋体" w:hAnsi="宋体" w:cs="宋体"/>
                      <w:kern w:val="0"/>
                      <w:sz w:val="18"/>
                      <w:szCs w:val="18"/>
                    </w:rPr>
                    <w:t>重点防渗区</w:t>
                  </w:r>
                </w:p>
              </w:tc>
              <w:tc>
                <w:tcPr>
                  <w:tcW w:w="1073" w:type="dxa"/>
                  <w:vAlign w:val="center"/>
                </w:tcPr>
                <w:p>
                  <w:pPr>
                    <w:tabs>
                      <w:tab w:val="left" w:pos="5580"/>
                    </w:tabs>
                    <w:adjustRightInd w:val="0"/>
                    <w:snapToGrid w:val="0"/>
                    <w:jc w:val="center"/>
                    <w:textAlignment w:val="center"/>
                    <w:rPr>
                      <w:rFonts w:ascii="宋体" w:hAnsi="宋体" w:cs="宋体"/>
                      <w:kern w:val="0"/>
                      <w:sz w:val="18"/>
                      <w:szCs w:val="18"/>
                    </w:rPr>
                  </w:pPr>
                  <w:r>
                    <w:rPr>
                      <w:rFonts w:ascii="Times New Roman" w:hAnsi="Times New Roman" w:eastAsia="宋体"/>
                      <w:sz w:val="18"/>
                      <w:szCs w:val="18"/>
                    </w:rPr>
                    <w:t>危废暂存间</w:t>
                  </w:r>
                  <w:r>
                    <w:rPr>
                      <w:rFonts w:hint="eastAsia" w:ascii="Times New Roman" w:hAnsi="Times New Roman" w:eastAsia="宋体"/>
                      <w:sz w:val="18"/>
                      <w:szCs w:val="18"/>
                      <w:lang w:eastAsia="zh-CN"/>
                    </w:rPr>
                    <w:t>、</w:t>
                  </w:r>
                  <w:r>
                    <w:rPr>
                      <w:rFonts w:hint="eastAsia" w:ascii="Times New Roman" w:hAnsi="Times New Roman" w:eastAsia="宋体"/>
                      <w:sz w:val="18"/>
                      <w:szCs w:val="18"/>
                      <w:lang w:val="en-US" w:eastAsia="zh-CN"/>
                    </w:rPr>
                    <w:t>化粪池、水性油墨存放区</w:t>
                  </w:r>
                </w:p>
              </w:tc>
              <w:tc>
                <w:tcPr>
                  <w:tcW w:w="2786" w:type="dxa"/>
                  <w:vAlign w:val="center"/>
                </w:tcPr>
                <w:p>
                  <w:pPr>
                    <w:tabs>
                      <w:tab w:val="left" w:pos="5580"/>
                    </w:tabs>
                    <w:adjustRightInd w:val="0"/>
                    <w:snapToGrid w:val="0"/>
                    <w:textAlignment w:val="center"/>
                    <w:rPr>
                      <w:rFonts w:ascii="宋体" w:hAnsi="宋体" w:cs="宋体"/>
                      <w:kern w:val="0"/>
                      <w:sz w:val="18"/>
                      <w:szCs w:val="18"/>
                    </w:rPr>
                  </w:pPr>
                  <w:r>
                    <w:rPr>
                      <w:rFonts w:hint="eastAsia" w:ascii="宋体" w:hAnsi="宋体" w:cs="宋体"/>
                      <w:kern w:val="0"/>
                      <w:sz w:val="18"/>
                      <w:szCs w:val="18"/>
                    </w:rPr>
                    <w:t>基础防渗层为至少1米厚粘土(渗透系数≤10</w:t>
                  </w:r>
                  <w:r>
                    <w:rPr>
                      <w:rFonts w:hint="eastAsia" w:ascii="宋体" w:hAnsi="宋体" w:cs="宋体"/>
                      <w:kern w:val="0"/>
                      <w:sz w:val="18"/>
                      <w:szCs w:val="18"/>
                      <w:vertAlign w:val="superscript"/>
                    </w:rPr>
                    <w:t>-7</w:t>
                  </w:r>
                  <w:r>
                    <w:rPr>
                      <w:rFonts w:hint="eastAsia" w:ascii="宋体" w:hAnsi="宋体" w:cs="宋体"/>
                      <w:kern w:val="0"/>
                      <w:sz w:val="18"/>
                      <w:szCs w:val="18"/>
                    </w:rPr>
                    <w:t>cm/s)，或2毫米厚高密度聚乙烯，或至少2毫米厚的其它人工材料(渗透系数≤10</w:t>
                  </w:r>
                  <w:r>
                    <w:rPr>
                      <w:rFonts w:hint="eastAsia" w:ascii="宋体" w:hAnsi="宋体" w:cs="宋体"/>
                      <w:kern w:val="0"/>
                      <w:sz w:val="18"/>
                      <w:szCs w:val="18"/>
                      <w:vertAlign w:val="superscript"/>
                    </w:rPr>
                    <w:t>-10</w:t>
                  </w:r>
                  <w:r>
                    <w:rPr>
                      <w:rFonts w:hint="eastAsia" w:ascii="宋体" w:hAnsi="宋体" w:cs="宋体"/>
                      <w:kern w:val="0"/>
                      <w:sz w:val="18"/>
                      <w:szCs w:val="18"/>
                    </w:rPr>
                    <w:t>cm/s)；面层可采用防渗涂料面层或防渗钢筋钢纤维混凝土面层(渗透系数≤10</w:t>
                  </w:r>
                  <w:r>
                    <w:rPr>
                      <w:rFonts w:hint="eastAsia" w:ascii="宋体" w:hAnsi="宋体" w:cs="宋体"/>
                      <w:kern w:val="0"/>
                      <w:sz w:val="18"/>
                      <w:szCs w:val="18"/>
                      <w:vertAlign w:val="superscript"/>
                    </w:rPr>
                    <w:t>-12</w:t>
                  </w:r>
                  <w:r>
                    <w:rPr>
                      <w:rFonts w:hint="eastAsia" w:ascii="宋体" w:hAnsi="宋体" w:cs="宋体"/>
                      <w:kern w:val="0"/>
                      <w:sz w:val="18"/>
                      <w:szCs w:val="18"/>
                    </w:rPr>
                    <w:t>cm/s)。</w:t>
                  </w:r>
                </w:p>
              </w:tc>
              <w:tc>
                <w:tcPr>
                  <w:tcW w:w="2799" w:type="dxa"/>
                  <w:vAlign w:val="center"/>
                </w:tcPr>
                <w:p>
                  <w:pPr>
                    <w:tabs>
                      <w:tab w:val="left" w:pos="5580"/>
                    </w:tabs>
                    <w:adjustRightInd w:val="0"/>
                    <w:snapToGrid w:val="0"/>
                    <w:textAlignment w:val="center"/>
                    <w:rPr>
                      <w:rFonts w:ascii="宋体" w:hAnsi="宋体" w:cs="宋体"/>
                      <w:kern w:val="0"/>
                      <w:sz w:val="18"/>
                      <w:szCs w:val="18"/>
                    </w:rPr>
                  </w:pPr>
                  <w:r>
                    <w:rPr>
                      <w:rFonts w:hint="eastAsia" w:ascii="宋体" w:hAnsi="宋体" w:cs="宋体"/>
                      <w:kern w:val="0"/>
                      <w:sz w:val="18"/>
                      <w:szCs w:val="18"/>
                    </w:rPr>
                    <w:t>天然材料防渗结构：天然材料防渗层饱和渗透系数不应大于1.0×10</w:t>
                  </w:r>
                  <w:r>
                    <w:rPr>
                      <w:rFonts w:hint="eastAsia" w:ascii="宋体" w:hAnsi="宋体" w:cs="宋体"/>
                      <w:kern w:val="0"/>
                      <w:sz w:val="18"/>
                      <w:szCs w:val="18"/>
                      <w:vertAlign w:val="superscript"/>
                    </w:rPr>
                    <w:t>-10</w:t>
                  </w:r>
                  <w:r>
                    <w:rPr>
                      <w:rFonts w:hint="eastAsia" w:ascii="宋体" w:hAnsi="宋体" w:cs="宋体"/>
                      <w:kern w:val="0"/>
                      <w:sz w:val="18"/>
                      <w:szCs w:val="18"/>
                    </w:rPr>
                    <w:t>cm/s；</w:t>
                  </w:r>
                </w:p>
                <w:p>
                  <w:pPr>
                    <w:tabs>
                      <w:tab w:val="left" w:pos="5580"/>
                    </w:tabs>
                    <w:adjustRightInd w:val="0"/>
                    <w:snapToGrid w:val="0"/>
                    <w:textAlignment w:val="center"/>
                    <w:rPr>
                      <w:rFonts w:ascii="宋体" w:hAnsi="宋体" w:cs="宋体"/>
                      <w:sz w:val="18"/>
                      <w:szCs w:val="18"/>
                    </w:rPr>
                  </w:pPr>
                  <w:r>
                    <w:rPr>
                      <w:rFonts w:hint="eastAsia" w:ascii="宋体" w:hAnsi="宋体" w:cs="宋体"/>
                      <w:kern w:val="0"/>
                      <w:sz w:val="18"/>
                      <w:szCs w:val="18"/>
                    </w:rPr>
                    <w:t>刚性防渗结构：水泥基渗透结晶型抗渗混凝土（厚度不宜小于150mm）＋水泥基渗透结晶型防渗涂层（厚度不小于0.8mm）的结构型式；防渗结构层渗透系数不应大于1.0×10</w:t>
                  </w:r>
                  <w:r>
                    <w:rPr>
                      <w:rFonts w:hint="eastAsia" w:ascii="宋体" w:hAnsi="宋体" w:cs="宋体"/>
                      <w:kern w:val="0"/>
                      <w:sz w:val="18"/>
                      <w:szCs w:val="18"/>
                      <w:vertAlign w:val="superscript"/>
                    </w:rPr>
                    <w:t>-10</w:t>
                  </w:r>
                  <w:r>
                    <w:rPr>
                      <w:rFonts w:hint="eastAsia" w:ascii="宋体" w:hAnsi="宋体" w:cs="宋体"/>
                      <w:kern w:val="0"/>
                      <w:sz w:val="18"/>
                      <w:szCs w:val="18"/>
                    </w:rPr>
                    <w:t>cm/s</w:t>
                  </w:r>
                </w:p>
              </w:tc>
              <w:tc>
                <w:tcPr>
                  <w:tcW w:w="1530" w:type="dxa"/>
                  <w:vAlign w:val="center"/>
                </w:tcPr>
                <w:p>
                  <w:pPr>
                    <w:tabs>
                      <w:tab w:val="left" w:pos="5580"/>
                    </w:tabs>
                    <w:adjustRightInd w:val="0"/>
                    <w:snapToGrid w:val="0"/>
                    <w:jc w:val="center"/>
                    <w:textAlignment w:val="center"/>
                    <w:rPr>
                      <w:rFonts w:ascii="宋体" w:hAnsi="宋体" w:cs="宋体"/>
                      <w:kern w:val="0"/>
                      <w:sz w:val="18"/>
                      <w:szCs w:val="18"/>
                    </w:rPr>
                  </w:pPr>
                  <w:r>
                    <w:rPr>
                      <w:rFonts w:hint="eastAsia" w:ascii="宋体" w:hAnsi="宋体" w:cs="宋体"/>
                      <w:kern w:val="0"/>
                      <w:sz w:val="18"/>
                      <w:szCs w:val="18"/>
                    </w:rPr>
                    <w:t>符合《危险废物贮存污染控制标准》（GB18597-2001）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Merge w:val="restart"/>
                  <w:vAlign w:val="center"/>
                </w:tcPr>
                <w:p>
                  <w:pPr>
                    <w:tabs>
                      <w:tab w:val="left" w:pos="5580"/>
                    </w:tabs>
                    <w:adjustRightInd w:val="0"/>
                    <w:snapToGrid w:val="0"/>
                    <w:jc w:val="center"/>
                    <w:textAlignment w:val="center"/>
                    <w:rPr>
                      <w:rFonts w:ascii="宋体" w:hAnsi="宋体" w:cs="宋体"/>
                      <w:kern w:val="0"/>
                      <w:sz w:val="18"/>
                      <w:szCs w:val="18"/>
                    </w:rPr>
                  </w:pPr>
                  <w:r>
                    <w:rPr>
                      <w:rFonts w:hint="eastAsia" w:ascii="宋体" w:hAnsi="宋体" w:cs="宋体"/>
                      <w:kern w:val="0"/>
                      <w:sz w:val="18"/>
                      <w:szCs w:val="18"/>
                    </w:rPr>
                    <w:t>一般防渗区</w:t>
                  </w:r>
                </w:p>
              </w:tc>
              <w:tc>
                <w:tcPr>
                  <w:tcW w:w="1073" w:type="dxa"/>
                  <w:vAlign w:val="center"/>
                </w:tcPr>
                <w:p>
                  <w:pPr>
                    <w:tabs>
                      <w:tab w:val="left" w:pos="5580"/>
                    </w:tabs>
                    <w:adjustRightInd w:val="0"/>
                    <w:snapToGrid w:val="0"/>
                    <w:jc w:val="center"/>
                    <w:textAlignment w:val="center"/>
                    <w:rPr>
                      <w:rFonts w:ascii="宋体" w:hAnsi="宋体" w:cs="宋体"/>
                      <w:kern w:val="0"/>
                      <w:sz w:val="18"/>
                      <w:szCs w:val="18"/>
                    </w:rPr>
                  </w:pPr>
                  <w:r>
                    <w:rPr>
                      <w:rFonts w:hint="eastAsia" w:ascii="宋体" w:hAnsi="宋体" w:cs="宋体"/>
                      <w:kern w:val="0"/>
                      <w:sz w:val="18"/>
                      <w:szCs w:val="18"/>
                    </w:rPr>
                    <w:t>生产车间</w:t>
                  </w:r>
                </w:p>
              </w:tc>
              <w:tc>
                <w:tcPr>
                  <w:tcW w:w="2786" w:type="dxa"/>
                  <w:vAlign w:val="center"/>
                </w:tcPr>
                <w:p>
                  <w:pPr>
                    <w:tabs>
                      <w:tab w:val="left" w:pos="5580"/>
                    </w:tabs>
                    <w:adjustRightInd w:val="0"/>
                    <w:snapToGrid w:val="0"/>
                    <w:textAlignment w:val="center"/>
                    <w:rPr>
                      <w:rFonts w:ascii="宋体" w:hAnsi="宋体" w:cs="宋体"/>
                      <w:kern w:val="0"/>
                      <w:sz w:val="18"/>
                      <w:szCs w:val="18"/>
                    </w:rPr>
                  </w:pPr>
                  <w:r>
                    <w:rPr>
                      <w:rFonts w:hint="eastAsia" w:ascii="宋体" w:hAnsi="宋体" w:cs="宋体"/>
                      <w:kern w:val="0"/>
                      <w:sz w:val="18"/>
                      <w:szCs w:val="18"/>
                    </w:rPr>
                    <w:t>采用灰土垫层，铺设2mm厚的单层HDPE膜(渗透系数≤10</w:t>
                  </w:r>
                  <w:r>
                    <w:rPr>
                      <w:rFonts w:hint="eastAsia" w:ascii="宋体" w:hAnsi="宋体" w:cs="宋体"/>
                      <w:kern w:val="0"/>
                      <w:sz w:val="18"/>
                      <w:szCs w:val="18"/>
                      <w:vertAlign w:val="superscript"/>
                    </w:rPr>
                    <w:t>-12</w:t>
                  </w:r>
                  <w:r>
                    <w:rPr>
                      <w:rFonts w:hint="eastAsia" w:ascii="宋体" w:hAnsi="宋体" w:cs="宋体"/>
                      <w:kern w:val="0"/>
                      <w:sz w:val="18"/>
                      <w:szCs w:val="18"/>
                    </w:rPr>
                    <w:t>cm/s)，砂石透水层，防渗钢筋钢纤维混凝土面层(渗透系数≤10</w:t>
                  </w:r>
                  <w:r>
                    <w:rPr>
                      <w:rFonts w:hint="eastAsia" w:ascii="宋体" w:hAnsi="宋体" w:cs="宋体"/>
                      <w:kern w:val="0"/>
                      <w:sz w:val="18"/>
                      <w:szCs w:val="18"/>
                      <w:vertAlign w:val="superscript"/>
                    </w:rPr>
                    <w:t>-12</w:t>
                  </w:r>
                  <w:r>
                    <w:rPr>
                      <w:rFonts w:hint="eastAsia" w:ascii="宋体" w:hAnsi="宋体" w:cs="宋体"/>
                      <w:kern w:val="0"/>
                      <w:sz w:val="18"/>
                      <w:szCs w:val="18"/>
                    </w:rPr>
                    <w:t>cm/s)。</w:t>
                  </w:r>
                </w:p>
              </w:tc>
              <w:tc>
                <w:tcPr>
                  <w:tcW w:w="2799" w:type="dxa"/>
                  <w:vMerge w:val="restart"/>
                  <w:vAlign w:val="center"/>
                </w:tcPr>
                <w:p>
                  <w:pPr>
                    <w:tabs>
                      <w:tab w:val="left" w:pos="5580"/>
                    </w:tabs>
                    <w:adjustRightInd w:val="0"/>
                    <w:snapToGrid w:val="0"/>
                    <w:textAlignment w:val="center"/>
                    <w:rPr>
                      <w:rFonts w:ascii="宋体" w:hAnsi="宋体" w:cs="宋体"/>
                      <w:kern w:val="0"/>
                      <w:sz w:val="18"/>
                      <w:szCs w:val="18"/>
                    </w:rPr>
                  </w:pPr>
                  <w:r>
                    <w:rPr>
                      <w:rFonts w:hint="eastAsia" w:ascii="宋体" w:hAnsi="宋体" w:cs="宋体"/>
                      <w:kern w:val="0"/>
                      <w:sz w:val="18"/>
                      <w:szCs w:val="18"/>
                    </w:rPr>
                    <w:t>天然材料防渗结构：天然材料防渗层饱和渗透系数不应大于1.0×10</w:t>
                  </w:r>
                  <w:r>
                    <w:rPr>
                      <w:rFonts w:hint="eastAsia" w:ascii="宋体" w:hAnsi="宋体" w:cs="宋体"/>
                      <w:kern w:val="0"/>
                      <w:sz w:val="18"/>
                      <w:szCs w:val="18"/>
                      <w:vertAlign w:val="superscript"/>
                    </w:rPr>
                    <w:t>-7</w:t>
                  </w:r>
                  <w:r>
                    <w:rPr>
                      <w:rFonts w:hint="eastAsia" w:ascii="宋体" w:hAnsi="宋体" w:cs="宋体"/>
                      <w:kern w:val="0"/>
                      <w:sz w:val="18"/>
                      <w:szCs w:val="18"/>
                    </w:rPr>
                    <w:t>cm/s；</w:t>
                  </w:r>
                </w:p>
                <w:p>
                  <w:pPr>
                    <w:tabs>
                      <w:tab w:val="left" w:pos="5580"/>
                    </w:tabs>
                    <w:adjustRightInd w:val="0"/>
                    <w:snapToGrid w:val="0"/>
                    <w:textAlignment w:val="center"/>
                    <w:rPr>
                      <w:rFonts w:ascii="宋体" w:hAnsi="宋体" w:cs="宋体"/>
                      <w:kern w:val="0"/>
                      <w:sz w:val="18"/>
                      <w:szCs w:val="18"/>
                    </w:rPr>
                  </w:pPr>
                  <w:r>
                    <w:rPr>
                      <w:rFonts w:hint="eastAsia" w:ascii="宋体" w:hAnsi="宋体" w:cs="宋体"/>
                      <w:kern w:val="0"/>
                      <w:sz w:val="18"/>
                      <w:szCs w:val="18"/>
                    </w:rPr>
                    <w:t>刚性防渗结构：抗渗混凝土（厚度不宜小于100mm），渗透系数不应大于1.0×10</w:t>
                  </w:r>
                  <w:r>
                    <w:rPr>
                      <w:rFonts w:hint="eastAsia" w:ascii="宋体" w:hAnsi="宋体" w:cs="宋体"/>
                      <w:kern w:val="0"/>
                      <w:sz w:val="18"/>
                      <w:szCs w:val="18"/>
                      <w:vertAlign w:val="superscript"/>
                    </w:rPr>
                    <w:t>-8</w:t>
                  </w:r>
                  <w:r>
                    <w:rPr>
                      <w:rFonts w:hint="eastAsia" w:ascii="宋体" w:hAnsi="宋体" w:cs="宋体"/>
                      <w:kern w:val="0"/>
                      <w:sz w:val="18"/>
                      <w:szCs w:val="18"/>
                    </w:rPr>
                    <w:t>cm/s；</w:t>
                  </w:r>
                </w:p>
                <w:p>
                  <w:pPr>
                    <w:tabs>
                      <w:tab w:val="left" w:pos="5580"/>
                    </w:tabs>
                    <w:adjustRightInd w:val="0"/>
                    <w:snapToGrid w:val="0"/>
                    <w:textAlignment w:val="center"/>
                    <w:rPr>
                      <w:rFonts w:ascii="宋体" w:hAnsi="宋体" w:cs="宋体"/>
                      <w:kern w:val="0"/>
                      <w:sz w:val="18"/>
                      <w:szCs w:val="18"/>
                    </w:rPr>
                  </w:pPr>
                  <w:r>
                    <w:rPr>
                      <w:rFonts w:hint="eastAsia" w:ascii="宋体" w:hAnsi="宋体" w:cs="宋体"/>
                      <w:kern w:val="0"/>
                      <w:sz w:val="18"/>
                      <w:szCs w:val="18"/>
                    </w:rPr>
                    <w:t>复合防渗结构：土工膜（厚度不小于1.5mm）</w:t>
                  </w:r>
                </w:p>
              </w:tc>
              <w:tc>
                <w:tcPr>
                  <w:tcW w:w="1530" w:type="dxa"/>
                  <w:vMerge w:val="restart"/>
                  <w:vAlign w:val="center"/>
                </w:tcPr>
                <w:p>
                  <w:pPr>
                    <w:tabs>
                      <w:tab w:val="left" w:pos="5580"/>
                    </w:tabs>
                    <w:adjustRightInd w:val="0"/>
                    <w:snapToGrid w:val="0"/>
                    <w:textAlignment w:val="center"/>
                    <w:rPr>
                      <w:rFonts w:ascii="宋体" w:hAnsi="宋体" w:cs="宋体"/>
                      <w:kern w:val="0"/>
                      <w:sz w:val="18"/>
                      <w:szCs w:val="18"/>
                    </w:rPr>
                  </w:pPr>
                  <w:r>
                    <w:rPr>
                      <w:rFonts w:hint="eastAsia" w:ascii="宋体" w:hAnsi="宋体" w:cs="宋体"/>
                      <w:kern w:val="0"/>
                      <w:sz w:val="18"/>
                      <w:szCs w:val="18"/>
                    </w:rPr>
                    <w:t>符合《一般工业固体废物贮存、处置场污染控制标准》（GB18599-2001）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Merge w:val="continue"/>
                  <w:vAlign w:val="center"/>
                </w:tcPr>
                <w:p>
                  <w:pPr>
                    <w:tabs>
                      <w:tab w:val="left" w:pos="5580"/>
                    </w:tabs>
                    <w:adjustRightInd w:val="0"/>
                    <w:snapToGrid w:val="0"/>
                    <w:jc w:val="center"/>
                    <w:textAlignment w:val="center"/>
                    <w:rPr>
                      <w:rFonts w:ascii="宋体" w:hAnsi="宋体" w:cs="宋体"/>
                      <w:kern w:val="0"/>
                      <w:sz w:val="18"/>
                      <w:szCs w:val="18"/>
                    </w:rPr>
                  </w:pPr>
                </w:p>
              </w:tc>
              <w:tc>
                <w:tcPr>
                  <w:tcW w:w="1073" w:type="dxa"/>
                  <w:vAlign w:val="center"/>
                </w:tcPr>
                <w:p>
                  <w:pPr>
                    <w:tabs>
                      <w:tab w:val="left" w:pos="5580"/>
                    </w:tabs>
                    <w:adjustRightInd w:val="0"/>
                    <w:snapToGrid w:val="0"/>
                    <w:jc w:val="center"/>
                    <w:textAlignment w:val="center"/>
                    <w:rPr>
                      <w:rFonts w:ascii="宋体" w:hAnsi="宋体" w:cs="宋体"/>
                      <w:kern w:val="0"/>
                      <w:sz w:val="18"/>
                      <w:szCs w:val="18"/>
                    </w:rPr>
                  </w:pPr>
                  <w:r>
                    <w:rPr>
                      <w:rFonts w:hint="eastAsia" w:ascii="宋体" w:hAnsi="宋体" w:cs="宋体"/>
                      <w:kern w:val="0"/>
                      <w:sz w:val="18"/>
                      <w:szCs w:val="18"/>
                    </w:rPr>
                    <w:t>辅助工程等其他一般污染防治区</w:t>
                  </w:r>
                </w:p>
              </w:tc>
              <w:tc>
                <w:tcPr>
                  <w:tcW w:w="2786" w:type="dxa"/>
                  <w:vAlign w:val="center"/>
                </w:tcPr>
                <w:p>
                  <w:pPr>
                    <w:tabs>
                      <w:tab w:val="left" w:pos="5580"/>
                    </w:tabs>
                    <w:adjustRightInd w:val="0"/>
                    <w:snapToGrid w:val="0"/>
                    <w:textAlignment w:val="center"/>
                    <w:rPr>
                      <w:rFonts w:ascii="宋体" w:hAnsi="宋体" w:cs="宋体"/>
                      <w:kern w:val="0"/>
                      <w:sz w:val="18"/>
                      <w:szCs w:val="18"/>
                    </w:rPr>
                  </w:pPr>
                  <w:r>
                    <w:rPr>
                      <w:rFonts w:hint="eastAsia" w:ascii="宋体" w:hAnsi="宋体" w:cs="宋体"/>
                      <w:kern w:val="0"/>
                      <w:sz w:val="18"/>
                      <w:szCs w:val="18"/>
                    </w:rPr>
                    <w:t>可采用在抗渗混凝土面层中掺水泥基渗透结晶型防水剂，其下铺砌砂石基层，原土夯实达到防渗目的。或采用至少1米厚粘土层(渗透系数≤10</w:t>
                  </w:r>
                  <w:r>
                    <w:rPr>
                      <w:rFonts w:hint="eastAsia" w:ascii="宋体" w:hAnsi="宋体" w:cs="宋体"/>
                      <w:kern w:val="0"/>
                      <w:sz w:val="18"/>
                      <w:szCs w:val="18"/>
                      <w:vertAlign w:val="superscript"/>
                    </w:rPr>
                    <w:t>-7</w:t>
                  </w:r>
                  <w:r>
                    <w:rPr>
                      <w:rFonts w:hint="eastAsia" w:ascii="宋体" w:hAnsi="宋体" w:cs="宋体"/>
                      <w:kern w:val="0"/>
                      <w:sz w:val="18"/>
                      <w:szCs w:val="18"/>
                    </w:rPr>
                    <w:t>cm/s)进行防渗。</w:t>
                  </w:r>
                </w:p>
              </w:tc>
              <w:tc>
                <w:tcPr>
                  <w:tcW w:w="2799" w:type="dxa"/>
                  <w:vMerge w:val="continue"/>
                  <w:vAlign w:val="center"/>
                </w:tcPr>
                <w:p>
                  <w:pPr>
                    <w:tabs>
                      <w:tab w:val="left" w:pos="5580"/>
                    </w:tabs>
                    <w:adjustRightInd w:val="0"/>
                    <w:snapToGrid w:val="0"/>
                    <w:jc w:val="center"/>
                    <w:textAlignment w:val="center"/>
                    <w:rPr>
                      <w:rFonts w:ascii="宋体" w:hAnsi="宋体" w:cs="宋体"/>
                      <w:kern w:val="0"/>
                      <w:sz w:val="18"/>
                      <w:szCs w:val="18"/>
                    </w:rPr>
                  </w:pPr>
                </w:p>
              </w:tc>
              <w:tc>
                <w:tcPr>
                  <w:tcW w:w="1530" w:type="dxa"/>
                  <w:vMerge w:val="continue"/>
                  <w:vAlign w:val="center"/>
                </w:tcPr>
                <w:p>
                  <w:pPr>
                    <w:tabs>
                      <w:tab w:val="left" w:pos="5580"/>
                    </w:tabs>
                    <w:adjustRightInd w:val="0"/>
                    <w:snapToGrid w:val="0"/>
                    <w:jc w:val="center"/>
                    <w:textAlignment w:val="center"/>
                    <w:rPr>
                      <w:rFonts w:ascii="宋体" w:hAnsi="宋体" w:cs="宋体"/>
                      <w:kern w:val="0"/>
                      <w:sz w:val="18"/>
                      <w:szCs w:val="18"/>
                    </w:rPr>
                  </w:pPr>
                </w:p>
              </w:tc>
            </w:tr>
          </w:tbl>
          <w:p>
            <w:pPr>
              <w:spacing w:line="360" w:lineRule="auto"/>
              <w:ind w:firstLine="480" w:firstLineChars="200"/>
              <w:rPr>
                <w:rFonts w:hint="eastAsia" w:ascii="Times New Roman" w:hAnsi="Times New Roman" w:eastAsia="宋体"/>
                <w:sz w:val="24"/>
              </w:rPr>
            </w:pPr>
            <w:r>
              <w:rPr>
                <w:rFonts w:hint="eastAsia" w:ascii="Times New Roman" w:hAnsi="Times New Roman" w:eastAsia="宋体"/>
                <w:sz w:val="24"/>
              </w:rPr>
              <w:t>由于项目场区地下水不敏感，项目污染物排放简单，在落实好防渗、防污措施后，本项目污染物下渗风险可得到有效预防，不会对地下水水质造成不利影响。</w:t>
            </w:r>
          </w:p>
          <w:p>
            <w:pPr>
              <w:spacing w:line="360" w:lineRule="auto"/>
              <w:ind w:firstLine="480" w:firstLineChars="200"/>
              <w:rPr>
                <w:rFonts w:ascii="Times New Roman" w:hAnsi="Times New Roman" w:eastAsia="宋体"/>
                <w:sz w:val="24"/>
              </w:rPr>
            </w:pPr>
            <w:r>
              <w:rPr>
                <w:rFonts w:ascii="Times New Roman" w:hAnsi="Times New Roman" w:eastAsia="宋体"/>
                <w:sz w:val="24"/>
              </w:rPr>
              <w:t>（3）跟踪监测要求</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对照《环境影响评价技术导则地下水环境》（HJ610-2016）附录 A“地下水环境影响评价行业分类表”，本项目属于“N、轻工——113、纸制品”中报告表项目，属于Ⅳ类建设项目。根据导则要求，IV 类项目可不开展地下水环境影响评价工作。</w:t>
            </w:r>
          </w:p>
          <w:p>
            <w:pPr>
              <w:spacing w:line="360" w:lineRule="auto"/>
              <w:ind w:firstLine="556" w:firstLineChars="232"/>
              <w:rPr>
                <w:rFonts w:hint="default" w:ascii="黑体" w:hAnsi="黑体" w:eastAsia="黑体" w:cs="黑体"/>
                <w:sz w:val="24"/>
                <w:lang w:val="en-US" w:eastAsia="zh-CN"/>
              </w:rPr>
            </w:pPr>
            <w:r>
              <w:rPr>
                <w:rFonts w:hint="eastAsia" w:ascii="黑体" w:hAnsi="黑体" w:eastAsia="黑体" w:cs="黑体"/>
                <w:sz w:val="24"/>
              </w:rPr>
              <w:t>七、环境</w:t>
            </w:r>
            <w:r>
              <w:rPr>
                <w:rFonts w:hint="eastAsia" w:ascii="黑体" w:hAnsi="黑体" w:eastAsia="黑体" w:cs="黑体"/>
                <w:sz w:val="24"/>
                <w:lang w:val="en-US" w:eastAsia="zh-CN"/>
              </w:rPr>
              <w:t>风险影响分析</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本项目主要环境风险为存放的原料和成品等堆放不当以及管理不当产生的火灾事故。为了避免各种环境事故的发生，降低项目存在的环境风险值，建设单位应根据相关要求编制环境突发事件应急预案，采取相应的风险防范措施，使项目环境风险降到最低水平，具体风险防范措施如下：</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1、原料储存防范措施：</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1）对原料库房和成品库房贴上明确的防火标识，严禁烟火，必须配备必要的消防设施。对油墨和洗车水等原辅材料应按照有关消防规范分类储存。为防止危险品万一发生泄漏而污染附近的土壤及水体，应对危险品库房地面进行水泥硬化，并作防渗处理。</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lang w:val="en-US" w:eastAsia="zh-CN"/>
              </w:rPr>
              <w:t>2</w:t>
            </w:r>
            <w:r>
              <w:rPr>
                <w:rFonts w:ascii="Times New Roman" w:hAnsi="Times New Roman" w:cs="Times New Roman"/>
                <w:sz w:val="24"/>
              </w:rPr>
              <w:t>）采用桶、瓶等专用储存容器的密封性应良好，放置时须防破损。在不影响生产的情况下，尽可能减少有机易燃物质的贮存量。加强职工管理，建立原料的日常保管、使用制度，进行必要的安全消防教育，并做好个人防护。</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lang w:val="en-US" w:eastAsia="zh-CN"/>
              </w:rPr>
              <w:t>3</w:t>
            </w:r>
            <w:r>
              <w:rPr>
                <w:rFonts w:ascii="Times New Roman" w:hAnsi="Times New Roman" w:cs="Times New Roman"/>
                <w:sz w:val="24"/>
              </w:rPr>
              <w:t>）项目在设计中应使仓库、生产车间符合消防要求，备有充足的消防器材。</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lang w:val="en-US" w:eastAsia="zh-CN"/>
              </w:rPr>
              <w:t>4</w:t>
            </w:r>
            <w:r>
              <w:rPr>
                <w:rFonts w:ascii="Times New Roman" w:hAnsi="Times New Roman" w:cs="Times New Roman"/>
                <w:sz w:val="24"/>
              </w:rPr>
              <w:t>）车间、仓库严禁烟火。</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lang w:val="en-US" w:eastAsia="zh-CN"/>
              </w:rPr>
              <w:t>5</w:t>
            </w:r>
            <w:r>
              <w:rPr>
                <w:rFonts w:ascii="Times New Roman" w:hAnsi="Times New Roman" w:cs="Times New Roman"/>
                <w:sz w:val="24"/>
              </w:rPr>
              <w:t>）加强管理，严格操作规范，制定一系列的防火规章制度。</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lang w:val="en-US" w:eastAsia="zh-CN"/>
              </w:rPr>
              <w:t>6</w:t>
            </w:r>
            <w:r>
              <w:rPr>
                <w:rFonts w:ascii="Times New Roman" w:hAnsi="Times New Roman" w:cs="Times New Roman"/>
                <w:sz w:val="24"/>
              </w:rPr>
              <w:t>）注意用电安全，制定事故应急计划，进行事故应急处置演习</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2、应急措施</w:t>
            </w:r>
          </w:p>
          <w:p>
            <w:pPr>
              <w:spacing w:line="360" w:lineRule="auto"/>
              <w:ind w:firstLine="556" w:firstLineChars="232"/>
              <w:rPr>
                <w:rFonts w:hint="eastAsia" w:ascii="Times New Roman" w:hAnsi="Times New Roman" w:cs="Times New Roman"/>
                <w:sz w:val="24"/>
              </w:rPr>
            </w:pPr>
            <w:r>
              <w:rPr>
                <w:rFonts w:ascii="Times New Roman" w:hAnsi="Times New Roman" w:cs="Times New Roman"/>
                <w:sz w:val="24"/>
              </w:rPr>
              <w:t>（1）泄漏应急处理</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一旦油墨、洗车水等原料发生泄漏，应迅速撤离泄漏污染区人员至安全距离， 并对泄漏区进行隔离，严格限制出入。应急处理人员人体皮肤不能直接接触泄漏物，遮盖下水地漏，防止泄漏物进入下水道，尽可能切断泄漏源，可用砂土或其他不燃材料吸附或吸收。由于本项目油墨、洗车水等有泄漏可能的原料存储量小， 且均在生产车间内使用，即使发生泄漏其影响也仅限于在厂区范围内，对外部环境影响小。</w:t>
            </w:r>
          </w:p>
          <w:p>
            <w:pPr>
              <w:spacing w:line="360" w:lineRule="auto"/>
              <w:ind w:firstLine="556" w:firstLineChars="232"/>
              <w:rPr>
                <w:rFonts w:ascii="Times New Roman" w:hAnsi="Times New Roman" w:cs="Times New Roman"/>
                <w:sz w:val="24"/>
              </w:rPr>
            </w:pPr>
            <w:r>
              <w:rPr>
                <w:rFonts w:hint="eastAsia" w:ascii="Times New Roman" w:hAnsi="Times New Roman" w:cs="Times New Roman"/>
                <w:sz w:val="24"/>
                <w:lang w:val="en-US" w:eastAsia="zh-CN"/>
              </w:rPr>
              <w:t>3</w:t>
            </w:r>
            <w:r>
              <w:rPr>
                <w:rFonts w:ascii="Times New Roman" w:hAnsi="Times New Roman" w:cs="Times New Roman"/>
                <w:sz w:val="24"/>
              </w:rPr>
              <w:t>、火灾应急措施</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对燃烧事故，应迅速切断着火源，即关掉总阀门，关闭电源；对爆炸事故， 应迅速切断电源，即切断火源，防止火灾，并关闭所有进出阀门，切断着火源。</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在火灾事故状态下，会对周边居民产生影响。同时由于本项目所处位置四周为工业场所，当发生火灾时，势必会对周边企业产生影响。因此，本项目应做好自身消防、安全措施，一旦发生火灾，尽可能将暂存易燃易爆物质尽快撤离火场或对其进行隔离，同时喷水和泡沫使其冷却。若发生火灾的同时，油墨和洗车书等原料发生泄漏，应尽可能切断泄漏源，泄漏物，再交由当地的消防部门进行应急处置，防止再次发生事故。</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一旦发生火灾，根据《建筑设计防火规范》不同场所的火灾延续时间的规定， 本项目厂房属于丙类厂房，即需要进行事故消防废水的收集，按照项目相关设计要求，室内外消防用水，由市政管网供给。</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在落实以上各项风险防范措施，加强厂区日常生产的管理，将环境风险降到最低水平，确保事故发生时能得到及时有效处理的前提下，项目存在的环境风险是可控的。</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综上所述，通过采取以上各项风险防范措施和应急预案后，项目营运期间产生的环境风险影响处于可接受的范围内，危险化学品和危险废物均能够得到合理的使用和处置，基本不会对项目项目周边环境产生较大的影响。</w:t>
            </w:r>
          </w:p>
          <w:p>
            <w:pPr>
              <w:spacing w:line="360" w:lineRule="auto"/>
              <w:ind w:firstLine="556" w:firstLineChars="232"/>
              <w:rPr>
                <w:rFonts w:ascii="黑体" w:hAnsi="黑体" w:eastAsia="黑体" w:cs="黑体"/>
                <w:sz w:val="24"/>
              </w:rPr>
            </w:pPr>
            <w:r>
              <w:rPr>
                <w:rFonts w:hint="eastAsia" w:ascii="黑体" w:hAnsi="黑体" w:eastAsia="黑体" w:cs="黑体"/>
                <w:sz w:val="24"/>
                <w:lang w:val="en-US" w:eastAsia="zh-CN"/>
              </w:rPr>
              <w:t>八</w:t>
            </w:r>
            <w:r>
              <w:rPr>
                <w:rFonts w:hint="eastAsia" w:ascii="黑体" w:hAnsi="黑体" w:eastAsia="黑体" w:cs="黑体"/>
                <w:sz w:val="24"/>
              </w:rPr>
              <w:t>、环境管理与监测计划</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（1）环境管理</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根据《建设项目环境保护设计规定》的要求，拟建项目应在“三同时”的原则下配套建设相应的污染治理设施，一方面为有效保护区域环境提供良好的技术基础，另一方面科学地管理、监督这些环保设施的运行又是保证治理效果的必要手段。因此项目实施后，应组织设立专门的环境保护机构，配备相应的监测仪器，并设置专职环保人员负责环境管理、环境监测。</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A.环境管理制度：</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①严格执行“三同时”制度，在项目筹备、实施、建设阶段，应严格执行“三同时”，确保污染处理设施和生产工艺“同时设计、同时施工、同时竣工”。</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②建立排污定期报告制度</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在企业产品结构和排污量发生重大变化、污染治理设施发生改变时，必须向当地环保主管部门申报。</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③健全污染处理设施管理制度</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将污染处理设施的管理和生产经营活动一起纳入企业单位日常管理工作的范畴，落实责任人，不得擅自拆除或闲置已有的污染处理设施，严禁故意不正常使用污染处理设施。</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④环境目标管理责任制和环保奖惩条例</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建立并实施从校长到各部门的环境目标管理责任制，把完成环境目标责任与奖惩制度结合起来。设置环境保护奖惩条例，对爱护环保设施、节能降耗、减少污染物排放、改善环境者实施奖励；对环保观念淡薄，不按环保要求管理，造成环保设施非正常损坏、发生污染事故以及浪费资源者一律予以重罚。</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⑤职工环保教育、培训制度</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加强职工的环保知识教育，提高职工环保意识，增加对生产污染危害的认识，明白自身在工作过程中的位置和责任。加强员工的上岗培训工作，严格执行培训考核制度，不合格人员均不允许上岗操作。</w:t>
            </w:r>
          </w:p>
          <w:p>
            <w:pPr>
              <w:spacing w:line="360" w:lineRule="auto"/>
              <w:ind w:firstLine="556" w:firstLineChars="232"/>
              <w:rPr>
                <w:rFonts w:ascii="Times New Roman" w:hAnsi="Times New Roman" w:cs="Times New Roman"/>
                <w:sz w:val="24"/>
              </w:rPr>
            </w:pPr>
            <w:r>
              <w:rPr>
                <w:rFonts w:hint="eastAsia" w:ascii="Times New Roman" w:hAnsi="Times New Roman" w:cs="Times New Roman"/>
                <w:sz w:val="24"/>
                <w:lang w:val="en-US" w:eastAsia="zh-CN"/>
              </w:rPr>
              <w:t>B</w:t>
            </w:r>
            <w:r>
              <w:rPr>
                <w:rFonts w:ascii="Times New Roman" w:hAnsi="Times New Roman" w:cs="Times New Roman"/>
                <w:sz w:val="24"/>
              </w:rPr>
              <w:t>.</w:t>
            </w:r>
            <w:r>
              <w:rPr>
                <w:rFonts w:hint="eastAsia" w:ascii="Times New Roman" w:hAnsi="Times New Roman" w:cs="Times New Roman"/>
                <w:sz w:val="24"/>
                <w:lang w:val="en-US" w:eastAsia="zh-CN"/>
              </w:rPr>
              <w:t>污染物</w:t>
            </w:r>
            <w:r>
              <w:rPr>
                <w:rFonts w:ascii="Times New Roman" w:hAnsi="Times New Roman" w:cs="Times New Roman"/>
                <w:sz w:val="24"/>
              </w:rPr>
              <w:t>管理计划</w:t>
            </w:r>
          </w:p>
          <w:p>
            <w:pPr>
              <w:spacing w:line="360" w:lineRule="auto"/>
              <w:ind w:firstLine="556" w:firstLineChars="232"/>
              <w:rPr>
                <w:rFonts w:ascii="Times New Roman" w:hAnsi="Times New Roman" w:cs="Times New Roman"/>
                <w:sz w:val="24"/>
              </w:rPr>
            </w:pPr>
            <w:r>
              <w:rPr>
                <w:rFonts w:hint="eastAsia" w:ascii="Times New Roman" w:hAnsi="Times New Roman" w:cs="Times New Roman"/>
                <w:sz w:val="24"/>
              </w:rPr>
              <w:t>污染物排放要求</w:t>
            </w:r>
          </w:p>
          <w:p>
            <w:pPr>
              <w:spacing w:line="360" w:lineRule="auto"/>
              <w:ind w:firstLine="556" w:firstLineChars="232"/>
              <w:rPr>
                <w:rFonts w:ascii="Times New Roman" w:hAnsi="Times New Roman" w:cs="Times New Roman"/>
                <w:sz w:val="24"/>
              </w:rPr>
            </w:pPr>
            <w:r>
              <w:rPr>
                <w:rFonts w:hint="eastAsia" w:ascii="Times New Roman" w:hAnsi="Times New Roman" w:cs="Times New Roman"/>
                <w:sz w:val="24"/>
              </w:rPr>
              <w:t>①废气排放要求</w:t>
            </w:r>
          </w:p>
          <w:p>
            <w:pPr>
              <w:spacing w:line="360" w:lineRule="auto"/>
              <w:ind w:firstLine="556" w:firstLineChars="232"/>
              <w:rPr>
                <w:rFonts w:ascii="Times New Roman" w:hAnsi="Times New Roman" w:cs="Times New Roman"/>
                <w:sz w:val="24"/>
              </w:rPr>
            </w:pPr>
            <w:r>
              <w:rPr>
                <w:rFonts w:hint="eastAsia" w:ascii="Times New Roman" w:hAnsi="Times New Roman" w:cs="Times New Roman"/>
                <w:sz w:val="24"/>
              </w:rPr>
              <w:t>项目产生的废气主要为</w:t>
            </w:r>
            <w:r>
              <w:rPr>
                <w:rFonts w:hint="eastAsia" w:ascii="Times New Roman" w:hAnsi="Times New Roman" w:cs="Times New Roman"/>
                <w:sz w:val="24"/>
                <w:lang w:val="en-US" w:eastAsia="zh-CN"/>
              </w:rPr>
              <w:t>粘合工序</w:t>
            </w:r>
            <w:r>
              <w:rPr>
                <w:rFonts w:hint="eastAsia" w:ascii="Times New Roman" w:hAnsi="Times New Roman" w:cs="Times New Roman"/>
                <w:sz w:val="24"/>
              </w:rPr>
              <w:t>过程中产生的有机废气、胶印印刷</w:t>
            </w:r>
            <w:r>
              <w:rPr>
                <w:rFonts w:hint="eastAsia" w:ascii="Times New Roman" w:hAnsi="Times New Roman" w:cs="Times New Roman"/>
                <w:sz w:val="24"/>
                <w:lang w:eastAsia="zh-CN"/>
              </w:rPr>
              <w:t>，</w:t>
            </w:r>
            <w:r>
              <w:rPr>
                <w:rFonts w:hint="eastAsia" w:ascii="Times New Roman" w:hAnsi="Times New Roman" w:cs="Times New Roman"/>
                <w:sz w:val="24"/>
              </w:rPr>
              <w:t>过程中产生的有机废气。产生的废气经集气罩（风机量为5000m</w:t>
            </w:r>
            <w:r>
              <w:rPr>
                <w:rFonts w:hint="eastAsia" w:ascii="Times New Roman" w:hAnsi="Times New Roman" w:cs="Times New Roman"/>
                <w:sz w:val="24"/>
                <w:vertAlign w:val="superscript"/>
              </w:rPr>
              <w:t>3</w:t>
            </w:r>
            <w:r>
              <w:rPr>
                <w:rFonts w:hint="eastAsia" w:ascii="Times New Roman" w:hAnsi="Times New Roman" w:cs="Times New Roman"/>
                <w:sz w:val="24"/>
              </w:rPr>
              <w:t>/h）收集连接到配套的“活性炭吸附箱”处理后经1根15米高的排气筒排放</w:t>
            </w:r>
            <w:r>
              <w:rPr>
                <w:rFonts w:hint="eastAsia" w:ascii="Times New Roman" w:hAnsi="Times New Roman" w:cs="Times New Roman"/>
                <w:sz w:val="24"/>
                <w:lang w:eastAsia="zh-CN"/>
              </w:rPr>
              <w:t>，</w:t>
            </w:r>
            <w:r>
              <w:rPr>
                <w:rFonts w:hint="eastAsia" w:ascii="Times New Roman" w:hAnsi="Times New Roman" w:cs="Times New Roman"/>
                <w:sz w:val="24"/>
              </w:rPr>
              <w:t>在达到设计废气收集效率和处理效率下，项目正常工况下能做到达标排放。项目生产同时使用人工防护降低无组织排放。废气排放情况满足</w:t>
            </w:r>
            <w:r>
              <w:rPr>
                <w:rFonts w:hint="eastAsia" w:ascii="宋体" w:hAnsi="宋体" w:eastAsiaTheme="minorEastAsia" w:cstheme="minorBidi"/>
                <w:b w:val="0"/>
                <w:bCs w:val="0"/>
                <w:kern w:val="2"/>
                <w:sz w:val="24"/>
                <w:szCs w:val="24"/>
                <w:lang w:val="en-US" w:eastAsia="zh-CN" w:bidi="ar-SA"/>
              </w:rPr>
              <w:t>《大气污染物综合排放标准》（DB31/933-2015）中标准限值，企业厂区内VOCs无组织排放监控点浓度执行《挥发性有机物无组织排放控制标准》（GB 37822-2019）中表A.1规定的限值</w:t>
            </w:r>
            <w:r>
              <w:rPr>
                <w:rFonts w:hint="eastAsia" w:ascii="Times New Roman" w:hAnsi="Times New Roman" w:cs="Times New Roman"/>
                <w:sz w:val="24"/>
              </w:rPr>
              <w:t>。</w:t>
            </w:r>
          </w:p>
          <w:p>
            <w:pPr>
              <w:spacing w:line="360" w:lineRule="auto"/>
              <w:ind w:firstLine="556" w:firstLineChars="232"/>
              <w:rPr>
                <w:rFonts w:ascii="Times New Roman" w:hAnsi="Times New Roman" w:cs="Times New Roman"/>
                <w:sz w:val="24"/>
              </w:rPr>
            </w:pPr>
            <w:r>
              <w:rPr>
                <w:rFonts w:hint="eastAsia" w:ascii="Times New Roman" w:hAnsi="Times New Roman" w:cs="Times New Roman"/>
                <w:sz w:val="24"/>
              </w:rPr>
              <w:t>②废水排放要求</w:t>
            </w:r>
          </w:p>
          <w:p>
            <w:pPr>
              <w:spacing w:line="360" w:lineRule="auto"/>
              <w:ind w:firstLine="556" w:firstLineChars="232"/>
              <w:rPr>
                <w:rFonts w:ascii="Times New Roman" w:hAnsi="Times New Roman" w:cs="Times New Roman"/>
                <w:sz w:val="24"/>
              </w:rPr>
            </w:pPr>
            <w:r>
              <w:rPr>
                <w:rFonts w:hint="eastAsia" w:ascii="宋体" w:hAnsi="宋体" w:eastAsiaTheme="minorEastAsia" w:cstheme="minorBidi"/>
                <w:b w:val="0"/>
                <w:bCs w:val="0"/>
                <w:kern w:val="2"/>
                <w:sz w:val="24"/>
                <w:szCs w:val="24"/>
                <w:lang w:val="en-US" w:eastAsia="zh-CN" w:bidi="ar-SA"/>
              </w:rPr>
              <w:t>项目厂区生活污水经化粪池预处理后由附近居民定期清掏，不外排。</w:t>
            </w:r>
          </w:p>
          <w:p>
            <w:pPr>
              <w:spacing w:line="360" w:lineRule="auto"/>
              <w:ind w:firstLine="556" w:firstLineChars="232"/>
              <w:rPr>
                <w:rFonts w:ascii="Times New Roman" w:hAnsi="Times New Roman" w:cs="Times New Roman"/>
                <w:sz w:val="24"/>
              </w:rPr>
            </w:pPr>
            <w:r>
              <w:rPr>
                <w:rFonts w:hint="eastAsia" w:ascii="Times New Roman" w:hAnsi="Times New Roman" w:cs="Times New Roman"/>
                <w:sz w:val="24"/>
              </w:rPr>
              <w:t>③噪声排放要求</w:t>
            </w:r>
          </w:p>
          <w:p>
            <w:pPr>
              <w:spacing w:line="360" w:lineRule="auto"/>
              <w:ind w:firstLine="556" w:firstLineChars="232"/>
              <w:rPr>
                <w:rFonts w:ascii="Times New Roman" w:hAnsi="Times New Roman" w:cs="Times New Roman"/>
                <w:sz w:val="24"/>
              </w:rPr>
            </w:pPr>
            <w:r>
              <w:rPr>
                <w:rFonts w:hint="eastAsia" w:ascii="Times New Roman" w:hAnsi="Times New Roman" w:cs="Times New Roman"/>
                <w:sz w:val="24"/>
              </w:rPr>
              <w:t>车间设备经减震、隔音、距离衰减后，噪声排放满足《工业企业厂界环境噪声排放标准》（GB12348-2008）中3类区标准。</w:t>
            </w:r>
          </w:p>
          <w:p>
            <w:pPr>
              <w:spacing w:line="360" w:lineRule="auto"/>
              <w:ind w:firstLine="556" w:firstLineChars="232"/>
              <w:rPr>
                <w:rFonts w:ascii="Times New Roman" w:hAnsi="Times New Roman" w:cs="Times New Roman"/>
                <w:sz w:val="24"/>
              </w:rPr>
            </w:pPr>
            <w:r>
              <w:rPr>
                <w:rFonts w:hint="eastAsia" w:ascii="Times New Roman" w:hAnsi="Times New Roman" w:cs="Times New Roman"/>
                <w:sz w:val="24"/>
              </w:rPr>
              <w:t>④固废综合利用要求</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本项目产生的固体废物主要包括生活垃圾、一般固废、危险固废等。</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生活垃圾交由环卫部门处理，去向明确处置合理，对周围环境影响较小；</w:t>
            </w:r>
            <w:r>
              <w:rPr>
                <w:rFonts w:ascii="宋体" w:hAnsi="宋体"/>
                <w:sz w:val="24"/>
              </w:rPr>
              <w:t>一般工业固废贮存执行</w:t>
            </w:r>
            <w:r>
              <w:rPr>
                <w:rFonts w:hint="eastAsia" w:ascii="Times New Roman" w:hAnsi="Times New Roman" w:eastAsia="宋体"/>
                <w:sz w:val="24"/>
                <w:szCs w:val="32"/>
              </w:rPr>
              <w:t>GB18599-2020《一般工业固体废物贮存和填埋场污染控制标准》</w:t>
            </w:r>
            <w:r>
              <w:rPr>
                <w:rFonts w:ascii="宋体" w:hAnsi="宋体"/>
                <w:sz w:val="24"/>
              </w:rPr>
              <w:t>；危险废物临时贮存执行《危险废物贮存污染控制标准》（GB18597-2001）；</w:t>
            </w:r>
            <w:r>
              <w:rPr>
                <w:rFonts w:hint="eastAsia" w:ascii="Times New Roman" w:hAnsi="Times New Roman" w:eastAsia="宋体"/>
                <w:sz w:val="24"/>
              </w:rPr>
              <w:t>管理妥善去向明确处置合理，对周围环境影响较小。</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C.环境管理计划</w:t>
            </w:r>
          </w:p>
          <w:p>
            <w:pPr>
              <w:adjustRightInd w:val="0"/>
              <w:spacing w:line="360" w:lineRule="auto"/>
              <w:jc w:val="center"/>
              <w:rPr>
                <w:rFonts w:ascii="宋体" w:hAnsi="宋体" w:eastAsia="宋体" w:cs="宋体"/>
                <w:b/>
                <w:sz w:val="24"/>
              </w:rPr>
            </w:pPr>
            <w:r>
              <w:rPr>
                <w:rFonts w:hint="eastAsia" w:ascii="宋体" w:hAnsi="宋体" w:eastAsia="宋体" w:cs="宋体"/>
                <w:b/>
                <w:sz w:val="24"/>
              </w:rPr>
              <w:t>表4-</w:t>
            </w:r>
            <w:r>
              <w:rPr>
                <w:rFonts w:hint="eastAsia" w:ascii="宋体" w:hAnsi="宋体" w:eastAsia="宋体" w:cs="宋体"/>
                <w:b/>
                <w:sz w:val="24"/>
                <w:lang w:val="en-US" w:eastAsia="zh-CN"/>
              </w:rPr>
              <w:t>12</w:t>
            </w:r>
            <w:r>
              <w:rPr>
                <w:rFonts w:hint="eastAsia" w:ascii="宋体" w:hAnsi="宋体" w:eastAsia="宋体" w:cs="宋体"/>
                <w:b/>
                <w:sz w:val="24"/>
              </w:rPr>
              <w:t>环境管理计划一览表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85"/>
              <w:gridCol w:w="3230"/>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vAlign w:val="center"/>
                </w:tcPr>
                <w:p>
                  <w:pPr>
                    <w:pStyle w:val="107"/>
                  </w:pPr>
                  <w:r>
                    <w:t>序号</w:t>
                  </w:r>
                </w:p>
              </w:tc>
              <w:tc>
                <w:tcPr>
                  <w:tcW w:w="712" w:type="pct"/>
                  <w:tcBorders>
                    <w:tl2br w:val="nil"/>
                    <w:tr2bl w:val="nil"/>
                  </w:tcBorders>
                  <w:vAlign w:val="center"/>
                </w:tcPr>
                <w:p>
                  <w:pPr>
                    <w:pStyle w:val="107"/>
                  </w:pPr>
                  <w:r>
                    <w:t>监测类别</w:t>
                  </w:r>
                </w:p>
              </w:tc>
              <w:tc>
                <w:tcPr>
                  <w:tcW w:w="1941" w:type="pct"/>
                  <w:tcBorders>
                    <w:tl2br w:val="nil"/>
                    <w:tr2bl w:val="nil"/>
                  </w:tcBorders>
                  <w:vAlign w:val="center"/>
                </w:tcPr>
                <w:p>
                  <w:pPr>
                    <w:pStyle w:val="107"/>
                  </w:pPr>
                  <w:r>
                    <w:t>主要技术要求</w:t>
                  </w:r>
                </w:p>
              </w:tc>
              <w:tc>
                <w:tcPr>
                  <w:tcW w:w="1971" w:type="pct"/>
                  <w:tcBorders>
                    <w:tl2br w:val="nil"/>
                    <w:tr2bl w:val="nil"/>
                  </w:tcBorders>
                  <w:vAlign w:val="center"/>
                </w:tcPr>
                <w:p>
                  <w:pPr>
                    <w:pStyle w:val="107"/>
                  </w:pPr>
                  <w: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75" w:type="pct"/>
                  <w:vMerge w:val="restart"/>
                  <w:tcBorders>
                    <w:tl2br w:val="nil"/>
                    <w:tr2bl w:val="nil"/>
                  </w:tcBorders>
                  <w:vAlign w:val="center"/>
                </w:tcPr>
                <w:p>
                  <w:pPr>
                    <w:pStyle w:val="107"/>
                    <w:rPr>
                      <w:rFonts w:hint="eastAsia" w:eastAsia="新宋体"/>
                      <w:lang w:eastAsia="zh-CN"/>
                    </w:rPr>
                  </w:pPr>
                  <w:r>
                    <w:rPr>
                      <w:rFonts w:hint="eastAsia"/>
                      <w:lang w:val="en-US" w:eastAsia="zh-CN"/>
                    </w:rPr>
                    <w:t>1</w:t>
                  </w:r>
                </w:p>
              </w:tc>
              <w:tc>
                <w:tcPr>
                  <w:tcW w:w="712" w:type="pct"/>
                  <w:vMerge w:val="restart"/>
                  <w:tcBorders>
                    <w:tl2br w:val="nil"/>
                    <w:tr2bl w:val="nil"/>
                  </w:tcBorders>
                  <w:vAlign w:val="center"/>
                </w:tcPr>
                <w:p>
                  <w:pPr>
                    <w:pStyle w:val="107"/>
                  </w:pPr>
                  <w:r>
                    <w:t>废气</w:t>
                  </w:r>
                </w:p>
              </w:tc>
              <w:tc>
                <w:tcPr>
                  <w:tcW w:w="1941" w:type="pct"/>
                  <w:tcBorders>
                    <w:tl2br w:val="nil"/>
                    <w:tr2bl w:val="nil"/>
                  </w:tcBorders>
                  <w:vAlign w:val="center"/>
                </w:tcPr>
                <w:p>
                  <w:pPr>
                    <w:pStyle w:val="107"/>
                  </w:pPr>
                  <w:r>
                    <w:t>无组织监测项目：</w:t>
                  </w:r>
                  <w:r>
                    <w:rPr>
                      <w:rFonts w:hint="eastAsia"/>
                    </w:rPr>
                    <w:t>非甲烷总烃</w:t>
                  </w:r>
                  <w:r>
                    <w:t>；监测频次：1次/年；监测点位：上风向1个，下风向3个；</w:t>
                  </w:r>
                </w:p>
              </w:tc>
              <w:tc>
                <w:tcPr>
                  <w:tcW w:w="1971" w:type="pct"/>
                  <w:tcBorders>
                    <w:tl2br w:val="nil"/>
                    <w:tr2bl w:val="nil"/>
                  </w:tcBorders>
                  <w:vAlign w:val="center"/>
                </w:tcPr>
                <w:p>
                  <w:pPr>
                    <w:pStyle w:val="107"/>
                    <w:bidi w:val="0"/>
                    <w:rPr>
                      <w:rFonts w:hint="default"/>
                      <w:lang w:val="en-US"/>
                    </w:rPr>
                  </w:pPr>
                  <w:r>
                    <w:rPr>
                      <w:rFonts w:hint="eastAsia"/>
                      <w:lang w:val="en-US" w:eastAsia="zh-CN"/>
                    </w:rPr>
                    <w:t>参照执行</w:t>
                  </w:r>
                  <w:r>
                    <w:t>《挥发性有机物无组织排放控制标准》（GB 37822-2019）中表A.1规定的</w:t>
                  </w:r>
                  <w:r>
                    <w:rPr>
                      <w:rFonts w:hint="eastAsia"/>
                      <w:lang w:val="en-US" w:eastAsia="zh-CN"/>
                    </w:rPr>
                    <w:t>标准</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75" w:type="pct"/>
                  <w:vMerge w:val="continue"/>
                  <w:tcBorders>
                    <w:tl2br w:val="nil"/>
                    <w:tr2bl w:val="nil"/>
                  </w:tcBorders>
                  <w:vAlign w:val="center"/>
                </w:tcPr>
                <w:p>
                  <w:pPr>
                    <w:pStyle w:val="107"/>
                  </w:pPr>
                </w:p>
              </w:tc>
              <w:tc>
                <w:tcPr>
                  <w:tcW w:w="712" w:type="pct"/>
                  <w:vMerge w:val="continue"/>
                  <w:tcBorders>
                    <w:tl2br w:val="nil"/>
                    <w:tr2bl w:val="nil"/>
                  </w:tcBorders>
                  <w:vAlign w:val="center"/>
                </w:tcPr>
                <w:p>
                  <w:pPr>
                    <w:pStyle w:val="107"/>
                  </w:pPr>
                </w:p>
              </w:tc>
              <w:tc>
                <w:tcPr>
                  <w:tcW w:w="1941" w:type="pct"/>
                  <w:tcBorders>
                    <w:tl2br w:val="nil"/>
                    <w:tr2bl w:val="nil"/>
                  </w:tcBorders>
                  <w:vAlign w:val="center"/>
                </w:tcPr>
                <w:p>
                  <w:pPr>
                    <w:pStyle w:val="107"/>
                  </w:pPr>
                  <w:r>
                    <w:t>有组织排气筒</w:t>
                  </w:r>
                  <w:r>
                    <w:rPr>
                      <w:rFonts w:hint="eastAsia"/>
                    </w:rPr>
                    <w:t>DA001</w:t>
                  </w:r>
                  <w:r>
                    <w:t>，监测项目：</w:t>
                  </w:r>
                  <w:r>
                    <w:rPr>
                      <w:rFonts w:hint="eastAsia"/>
                    </w:rPr>
                    <w:t>非甲烷总烃</w:t>
                  </w:r>
                  <w:r>
                    <w:t>，监测频次：1次/年</w:t>
                  </w:r>
                </w:p>
              </w:tc>
              <w:tc>
                <w:tcPr>
                  <w:tcW w:w="1971" w:type="pct"/>
                  <w:tcBorders>
                    <w:tl2br w:val="nil"/>
                    <w:tr2bl w:val="nil"/>
                  </w:tcBorders>
                  <w:vAlign w:val="center"/>
                </w:tcPr>
                <w:p>
                  <w:pPr>
                    <w:pStyle w:val="107"/>
                  </w:pPr>
                  <w:r>
                    <w:t>参照执行</w:t>
                  </w:r>
                  <w:r>
                    <w:rPr>
                      <w:rFonts w:hint="eastAsia"/>
                    </w:rPr>
                    <w:t>《</w:t>
                  </w:r>
                  <w:r>
                    <w:rPr>
                      <w:rFonts w:hint="eastAsia"/>
                      <w:lang w:val="en-US" w:eastAsia="zh-CN"/>
                    </w:rPr>
                    <w:t>上海市地方标准大气污染物综合排放标准</w:t>
                  </w:r>
                  <w:r>
                    <w:rPr>
                      <w:rFonts w:hint="eastAsia"/>
                    </w:rPr>
                    <w:t>》</w:t>
                  </w:r>
                  <w:r>
                    <w:rPr>
                      <w:rFonts w:hint="eastAsia"/>
                      <w:lang w:val="en-US" w:eastAsia="zh-CN"/>
                    </w:rPr>
                    <w:t>DB31/933-2015中排放标准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Borders>
                    <w:tl2br w:val="nil"/>
                    <w:tr2bl w:val="nil"/>
                  </w:tcBorders>
                  <w:vAlign w:val="center"/>
                </w:tcPr>
                <w:p>
                  <w:pPr>
                    <w:pStyle w:val="107"/>
                    <w:rPr>
                      <w:rFonts w:hint="eastAsia" w:eastAsia="新宋体"/>
                      <w:lang w:eastAsia="zh-CN"/>
                    </w:rPr>
                  </w:pPr>
                  <w:r>
                    <w:rPr>
                      <w:rFonts w:hint="eastAsia"/>
                      <w:lang w:val="en-US" w:eastAsia="zh-CN"/>
                    </w:rPr>
                    <w:t>2</w:t>
                  </w:r>
                </w:p>
              </w:tc>
              <w:tc>
                <w:tcPr>
                  <w:tcW w:w="712" w:type="pct"/>
                  <w:tcBorders>
                    <w:tl2br w:val="nil"/>
                    <w:tr2bl w:val="nil"/>
                  </w:tcBorders>
                  <w:vAlign w:val="center"/>
                </w:tcPr>
                <w:p>
                  <w:pPr>
                    <w:pStyle w:val="107"/>
                  </w:pPr>
                  <w:r>
                    <w:t>噪声</w:t>
                  </w:r>
                </w:p>
              </w:tc>
              <w:tc>
                <w:tcPr>
                  <w:tcW w:w="1941" w:type="pct"/>
                  <w:tcBorders>
                    <w:tl2br w:val="nil"/>
                    <w:tr2bl w:val="nil"/>
                  </w:tcBorders>
                  <w:vAlign w:val="center"/>
                </w:tcPr>
                <w:p>
                  <w:pPr>
                    <w:pStyle w:val="107"/>
                  </w:pPr>
                  <w:r>
                    <w:t>厂界噪声，1年1次</w:t>
                  </w:r>
                </w:p>
              </w:tc>
              <w:tc>
                <w:tcPr>
                  <w:tcW w:w="1971" w:type="pct"/>
                  <w:tcBorders>
                    <w:tl2br w:val="nil"/>
                    <w:tr2bl w:val="nil"/>
                  </w:tcBorders>
                  <w:vAlign w:val="center"/>
                </w:tcPr>
                <w:p>
                  <w:pPr>
                    <w:pStyle w:val="107"/>
                  </w:pPr>
                  <w:r>
                    <w:t>《工业企业厂界环境噪声排放标准》（GB12348-2008）中</w:t>
                  </w:r>
                  <w:r>
                    <w:rPr>
                      <w:rFonts w:hint="eastAsia"/>
                    </w:rPr>
                    <w:t>3</w:t>
                  </w:r>
                  <w:r>
                    <w:t>类标准要求。即：</w:t>
                  </w:r>
                  <w:r>
                    <w:rPr>
                      <w:rFonts w:hint="eastAsia"/>
                    </w:rPr>
                    <w:t>3</w:t>
                  </w:r>
                  <w:r>
                    <w:t>类昼间噪声值≤</w:t>
                  </w:r>
                  <w:r>
                    <w:rPr>
                      <w:rFonts w:hint="eastAsia"/>
                    </w:rPr>
                    <w:t>65</w:t>
                  </w:r>
                  <w:r>
                    <w:t>dB</w:t>
                  </w:r>
                  <w:r>
                    <w:rPr>
                      <w:highlight w:val="none"/>
                    </w:rPr>
                    <w:t>(</w:t>
                  </w:r>
                  <w:r>
                    <w:t>A</w:t>
                  </w:r>
                  <w:r>
                    <w:rPr>
                      <w:highlight w:val="none"/>
                    </w:rPr>
                    <w:t>)</w:t>
                  </w:r>
                  <w:r>
                    <w:t>、</w:t>
                  </w:r>
                  <w:r>
                    <w:rPr>
                      <w:rFonts w:hint="eastAsia"/>
                    </w:rPr>
                    <w:t>3</w:t>
                  </w:r>
                  <w:r>
                    <w:t>类夜间≤5</w:t>
                  </w:r>
                  <w:r>
                    <w:rPr>
                      <w:rFonts w:hint="eastAsia"/>
                    </w:rPr>
                    <w:t>5</w:t>
                  </w:r>
                  <w:r>
                    <w:t>dB</w:t>
                  </w:r>
                  <w:r>
                    <w:rPr>
                      <w:highlight w:val="none"/>
                    </w:rPr>
                    <w:t>(</w:t>
                  </w:r>
                  <w:r>
                    <w:t>A</w:t>
                  </w:r>
                  <w:r>
                    <w:rPr>
                      <w:highlight w:val="none"/>
                    </w:rPr>
                    <w:t>)</w:t>
                  </w:r>
                </w:p>
              </w:tc>
            </w:tr>
          </w:tbl>
          <w:p>
            <w:pPr>
              <w:pStyle w:val="91"/>
              <w:ind w:firstLine="240" w:firstLineChars="100"/>
              <w:rPr>
                <w:rFonts w:ascii="Times New Roman" w:hAnsi="Times New Roman" w:eastAsia="宋体"/>
                <w:snapToGrid w:val="0"/>
                <w:kern w:val="20"/>
              </w:rPr>
            </w:pPr>
            <w:r>
              <w:rPr>
                <w:rFonts w:hint="eastAsia" w:ascii="宋体" w:hAnsi="宋体" w:eastAsia="宋体" w:cs="宋体"/>
                <w:snapToGrid w:val="0"/>
                <w:kern w:val="20"/>
              </w:rPr>
              <w:t>（2）环境监测</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为了掌握项目排污情况，监督排放标准的执行，检查环保治理设施的运行情况，同时确保项目符合所有管理标准，从而减少对环境的影响，使受本项目影响的区域环境质量保持一定的水平，达到本报告表提出的环境污染质量标准，必须建立完整的监测计划，监测计划的实施应贯穿工程的全过程，并由有资质的监测单位进行此项工作。</w:t>
            </w:r>
          </w:p>
          <w:p>
            <w:pPr>
              <w:spacing w:line="360" w:lineRule="auto"/>
              <w:ind w:firstLine="556" w:firstLineChars="232"/>
              <w:rPr>
                <w:rFonts w:ascii="Times New Roman" w:hAnsi="Times New Roman" w:cs="Times New Roman"/>
                <w:sz w:val="24"/>
              </w:rPr>
            </w:pPr>
            <w:r>
              <w:rPr>
                <w:rFonts w:ascii="Times New Roman" w:hAnsi="Times New Roman" w:cs="Times New Roman"/>
                <w:sz w:val="24"/>
              </w:rPr>
              <w:t>根据本项目污染特征，以及项目评价范围内环境保护敏感目标的分布情况，营运期的环境监测计划见下表。</w:t>
            </w:r>
          </w:p>
          <w:p>
            <w:pPr>
              <w:adjustRightInd w:val="0"/>
              <w:spacing w:line="360" w:lineRule="auto"/>
              <w:jc w:val="center"/>
              <w:rPr>
                <w:rFonts w:ascii="宋体" w:hAnsi="宋体" w:eastAsia="宋体" w:cs="宋体"/>
                <w:b/>
                <w:snapToGrid w:val="0"/>
                <w:kern w:val="20"/>
                <w:sz w:val="24"/>
              </w:rPr>
            </w:pPr>
            <w:r>
              <w:rPr>
                <w:rFonts w:hint="eastAsia" w:ascii="宋体" w:hAnsi="宋体" w:eastAsia="宋体" w:cs="宋体"/>
                <w:b/>
                <w:sz w:val="24"/>
              </w:rPr>
              <w:t>表4-</w:t>
            </w:r>
            <w:r>
              <w:rPr>
                <w:rFonts w:hint="eastAsia" w:ascii="宋体" w:hAnsi="宋体" w:eastAsia="宋体" w:cs="宋体"/>
                <w:b/>
                <w:sz w:val="24"/>
                <w:lang w:val="en-US" w:eastAsia="zh-CN"/>
              </w:rPr>
              <w:t>13</w:t>
            </w:r>
            <w:r>
              <w:rPr>
                <w:rFonts w:hint="eastAsia" w:ascii="宋体" w:hAnsi="宋体" w:eastAsia="宋体" w:cs="宋体"/>
                <w:b/>
                <w:sz w:val="24"/>
              </w:rPr>
              <w:t>营运期环境监测计划</w:t>
            </w:r>
          </w:p>
          <w:tbl>
            <w:tblPr>
              <w:tblStyle w:val="26"/>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884"/>
              <w:gridCol w:w="2217"/>
              <w:gridCol w:w="52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Align w:val="center"/>
                </w:tcPr>
                <w:p>
                  <w:pPr>
                    <w:pStyle w:val="48"/>
                    <w:jc w:val="center"/>
                    <w:rPr>
                      <w:rFonts w:ascii="宋体" w:hAnsi="宋体" w:cs="宋体"/>
                      <w:sz w:val="21"/>
                    </w:rPr>
                  </w:pPr>
                  <w:r>
                    <w:rPr>
                      <w:rFonts w:hint="eastAsia" w:ascii="宋体" w:hAnsi="宋体" w:cs="宋体"/>
                      <w:sz w:val="21"/>
                      <w:lang w:eastAsia="zh-TW"/>
                    </w:rPr>
                    <w:t>项目</w:t>
                  </w:r>
                </w:p>
              </w:tc>
              <w:tc>
                <w:tcPr>
                  <w:tcW w:w="7428" w:type="dxa"/>
                  <w:gridSpan w:val="2"/>
                  <w:vAlign w:val="center"/>
                </w:tcPr>
                <w:p>
                  <w:pPr>
                    <w:pStyle w:val="48"/>
                    <w:jc w:val="center"/>
                    <w:rPr>
                      <w:rFonts w:ascii="宋体" w:hAnsi="宋体" w:cs="宋体"/>
                      <w:sz w:val="21"/>
                    </w:rPr>
                  </w:pPr>
                  <w:r>
                    <w:rPr>
                      <w:rFonts w:hint="eastAsia" w:ascii="宋体" w:hAnsi="宋体" w:cs="宋体"/>
                      <w:sz w:val="21"/>
                      <w:lang w:eastAsia="zh-TW"/>
                    </w:rPr>
                    <w:t>监测制度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Merge w:val="restart"/>
                  <w:vAlign w:val="center"/>
                </w:tcPr>
                <w:p>
                  <w:pPr>
                    <w:pStyle w:val="48"/>
                    <w:jc w:val="center"/>
                    <w:rPr>
                      <w:rFonts w:ascii="宋体" w:hAnsi="宋体" w:cs="宋体"/>
                      <w:sz w:val="21"/>
                    </w:rPr>
                  </w:pPr>
                  <w:r>
                    <w:rPr>
                      <w:rFonts w:hint="eastAsia" w:ascii="宋体" w:hAnsi="宋体" w:cs="宋体"/>
                      <w:sz w:val="21"/>
                    </w:rPr>
                    <w:t>废气</w:t>
                  </w:r>
                </w:p>
              </w:tc>
              <w:tc>
                <w:tcPr>
                  <w:tcW w:w="2218" w:type="dxa"/>
                  <w:vAlign w:val="center"/>
                </w:tcPr>
                <w:p>
                  <w:pPr>
                    <w:pStyle w:val="48"/>
                    <w:jc w:val="center"/>
                    <w:rPr>
                      <w:rFonts w:ascii="宋体" w:hAnsi="宋体" w:cs="宋体"/>
                      <w:sz w:val="21"/>
                    </w:rPr>
                  </w:pPr>
                  <w:r>
                    <w:rPr>
                      <w:rFonts w:hint="eastAsia" w:ascii="宋体" w:hAnsi="宋体" w:cs="宋体"/>
                      <w:sz w:val="21"/>
                      <w:lang w:eastAsia="zh-TW"/>
                    </w:rPr>
                    <w:t>监测项目</w:t>
                  </w:r>
                </w:p>
              </w:tc>
              <w:tc>
                <w:tcPr>
                  <w:tcW w:w="5210" w:type="dxa"/>
                  <w:vAlign w:val="center"/>
                </w:tcPr>
                <w:p>
                  <w:pPr>
                    <w:pStyle w:val="48"/>
                    <w:jc w:val="center"/>
                    <w:rPr>
                      <w:rFonts w:ascii="宋体" w:hAnsi="宋体" w:cs="宋体"/>
                      <w:bCs/>
                      <w:sz w:val="21"/>
                    </w:rPr>
                  </w:pPr>
                  <w:r>
                    <w:rPr>
                      <w:rFonts w:hint="eastAsia" w:ascii="宋体" w:hAnsi="宋体" w:cs="宋体"/>
                      <w:bCs/>
                      <w:sz w:val="21"/>
                    </w:rPr>
                    <w:t>生产车间排气筒：非甲烷总烃；</w:t>
                  </w:r>
                </w:p>
                <w:p>
                  <w:pPr>
                    <w:pStyle w:val="48"/>
                    <w:jc w:val="center"/>
                    <w:rPr>
                      <w:rFonts w:ascii="宋体" w:hAnsi="宋体" w:cs="宋体"/>
                      <w:sz w:val="21"/>
                    </w:rPr>
                  </w:pPr>
                  <w:r>
                    <w:rPr>
                      <w:rFonts w:hint="eastAsia" w:ascii="宋体" w:hAnsi="宋体" w:cs="宋体"/>
                      <w:bCs/>
                      <w:sz w:val="21"/>
                    </w:rPr>
                    <w:t>厂界：非甲烷总烃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Merge w:val="continue"/>
                  <w:vAlign w:val="center"/>
                </w:tcPr>
                <w:p>
                  <w:pPr>
                    <w:pStyle w:val="48"/>
                    <w:jc w:val="center"/>
                    <w:rPr>
                      <w:rFonts w:ascii="宋体" w:hAnsi="宋体" w:cs="宋体"/>
                      <w:sz w:val="21"/>
                    </w:rPr>
                  </w:pPr>
                </w:p>
              </w:tc>
              <w:tc>
                <w:tcPr>
                  <w:tcW w:w="2218" w:type="dxa"/>
                  <w:vAlign w:val="center"/>
                </w:tcPr>
                <w:p>
                  <w:pPr>
                    <w:pStyle w:val="48"/>
                    <w:jc w:val="center"/>
                    <w:rPr>
                      <w:rFonts w:ascii="宋体" w:hAnsi="宋体" w:cs="宋体"/>
                      <w:sz w:val="21"/>
                    </w:rPr>
                  </w:pPr>
                  <w:r>
                    <w:rPr>
                      <w:rFonts w:hint="eastAsia" w:ascii="宋体" w:hAnsi="宋体" w:cs="宋体"/>
                      <w:sz w:val="21"/>
                      <w:lang w:eastAsia="zh-TW"/>
                    </w:rPr>
                    <w:t>监测周期与频率</w:t>
                  </w:r>
                </w:p>
              </w:tc>
              <w:tc>
                <w:tcPr>
                  <w:tcW w:w="5210" w:type="dxa"/>
                  <w:vAlign w:val="center"/>
                </w:tcPr>
                <w:p>
                  <w:pPr>
                    <w:pStyle w:val="48"/>
                    <w:jc w:val="center"/>
                    <w:rPr>
                      <w:rFonts w:ascii="宋体" w:hAnsi="宋体" w:cs="宋体"/>
                      <w:sz w:val="21"/>
                    </w:rPr>
                  </w:pPr>
                  <w:r>
                    <w:rPr>
                      <w:rFonts w:hint="eastAsia" w:ascii="宋体" w:hAnsi="宋体" w:cs="宋体"/>
                      <w:sz w:val="21"/>
                    </w:rPr>
                    <w:t>每</w:t>
                  </w:r>
                  <w:r>
                    <w:rPr>
                      <w:rFonts w:hint="eastAsia" w:ascii="宋体" w:hAnsi="宋体" w:cs="宋体"/>
                      <w:sz w:val="21"/>
                      <w:lang w:val="en-US" w:eastAsia="zh-CN"/>
                    </w:rPr>
                    <w:t>一</w:t>
                  </w:r>
                  <w:r>
                    <w:rPr>
                      <w:rFonts w:hint="eastAsia" w:ascii="宋体" w:hAnsi="宋体" w:cs="宋体"/>
                      <w:sz w:val="21"/>
                    </w:rPr>
                    <w:t>年一次，委托有环境检测资质的公司监测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Merge w:val="continue"/>
                  <w:vAlign w:val="center"/>
                </w:tcPr>
                <w:p>
                  <w:pPr>
                    <w:pStyle w:val="48"/>
                    <w:jc w:val="center"/>
                    <w:rPr>
                      <w:rFonts w:ascii="宋体" w:hAnsi="宋体" w:cs="宋体"/>
                      <w:sz w:val="21"/>
                    </w:rPr>
                  </w:pPr>
                </w:p>
              </w:tc>
              <w:tc>
                <w:tcPr>
                  <w:tcW w:w="2218" w:type="dxa"/>
                  <w:vAlign w:val="center"/>
                </w:tcPr>
                <w:p>
                  <w:pPr>
                    <w:pStyle w:val="48"/>
                    <w:jc w:val="center"/>
                    <w:rPr>
                      <w:rFonts w:ascii="宋体" w:hAnsi="宋体" w:cs="宋体"/>
                      <w:sz w:val="21"/>
                    </w:rPr>
                  </w:pPr>
                  <w:r>
                    <w:rPr>
                      <w:rFonts w:hint="eastAsia" w:ascii="宋体" w:hAnsi="宋体" w:cs="宋体"/>
                      <w:sz w:val="21"/>
                      <w:lang w:eastAsia="zh-TW"/>
                    </w:rPr>
                    <w:t>污染源</w:t>
                  </w:r>
                </w:p>
              </w:tc>
              <w:tc>
                <w:tcPr>
                  <w:tcW w:w="5210" w:type="dxa"/>
                  <w:vAlign w:val="center"/>
                </w:tcPr>
                <w:p>
                  <w:pPr>
                    <w:pStyle w:val="48"/>
                    <w:jc w:val="center"/>
                    <w:rPr>
                      <w:rFonts w:ascii="宋体" w:hAnsi="宋体" w:cs="宋体"/>
                      <w:sz w:val="21"/>
                    </w:rPr>
                  </w:pPr>
                  <w:r>
                    <w:rPr>
                      <w:rFonts w:hint="eastAsia" w:ascii="宋体" w:hAnsi="宋体" w:cs="宋体"/>
                      <w:sz w:val="21"/>
                    </w:rPr>
                    <w:t>厂区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Merge w:val="continue"/>
                  <w:vAlign w:val="center"/>
                </w:tcPr>
                <w:p>
                  <w:pPr>
                    <w:pStyle w:val="48"/>
                    <w:jc w:val="center"/>
                    <w:rPr>
                      <w:rFonts w:ascii="宋体" w:hAnsi="宋体" w:cs="宋体"/>
                      <w:sz w:val="21"/>
                    </w:rPr>
                  </w:pPr>
                </w:p>
              </w:tc>
              <w:tc>
                <w:tcPr>
                  <w:tcW w:w="2218" w:type="dxa"/>
                  <w:vAlign w:val="center"/>
                </w:tcPr>
                <w:p>
                  <w:pPr>
                    <w:pStyle w:val="48"/>
                    <w:jc w:val="center"/>
                    <w:rPr>
                      <w:rFonts w:ascii="宋体" w:hAnsi="宋体" w:cs="宋体"/>
                      <w:sz w:val="21"/>
                    </w:rPr>
                  </w:pPr>
                  <w:r>
                    <w:rPr>
                      <w:rFonts w:hint="eastAsia" w:ascii="宋体" w:hAnsi="宋体" w:cs="宋体"/>
                      <w:sz w:val="21"/>
                    </w:rPr>
                    <w:t>监测地点</w:t>
                  </w:r>
                </w:p>
              </w:tc>
              <w:tc>
                <w:tcPr>
                  <w:tcW w:w="5210" w:type="dxa"/>
                  <w:vAlign w:val="center"/>
                </w:tcPr>
                <w:p>
                  <w:pPr>
                    <w:pStyle w:val="48"/>
                    <w:jc w:val="center"/>
                    <w:rPr>
                      <w:rFonts w:ascii="宋体" w:hAnsi="宋体" w:cs="宋体"/>
                      <w:sz w:val="21"/>
                    </w:rPr>
                  </w:pPr>
                  <w:r>
                    <w:rPr>
                      <w:rFonts w:hint="eastAsia" w:ascii="宋体" w:hAnsi="宋体" w:cs="宋体"/>
                      <w:sz w:val="21"/>
                    </w:rPr>
                    <w:t>排气筒、</w:t>
                  </w:r>
                  <w:r>
                    <w:rPr>
                      <w:bCs/>
                      <w:color w:val="auto"/>
                    </w:rPr>
                    <w:t>厂界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Merge w:val="restart"/>
                  <w:vAlign w:val="center"/>
                </w:tcPr>
                <w:p>
                  <w:pPr>
                    <w:pStyle w:val="48"/>
                    <w:jc w:val="center"/>
                    <w:rPr>
                      <w:rFonts w:ascii="宋体" w:hAnsi="宋体" w:cs="宋体"/>
                      <w:sz w:val="21"/>
                    </w:rPr>
                  </w:pPr>
                  <w:r>
                    <w:rPr>
                      <w:rFonts w:hint="eastAsia" w:ascii="宋体" w:hAnsi="宋体" w:cs="宋体"/>
                      <w:sz w:val="21"/>
                      <w:lang w:eastAsia="zh-TW"/>
                    </w:rPr>
                    <w:t>噪</w:t>
                  </w:r>
                  <w:r>
                    <w:rPr>
                      <w:rFonts w:hint="eastAsia" w:ascii="宋体" w:hAnsi="宋体" w:cs="宋体"/>
                      <w:sz w:val="21"/>
                    </w:rPr>
                    <w:t>声</w:t>
                  </w:r>
                </w:p>
              </w:tc>
              <w:tc>
                <w:tcPr>
                  <w:tcW w:w="2218" w:type="dxa"/>
                  <w:vAlign w:val="center"/>
                </w:tcPr>
                <w:p>
                  <w:pPr>
                    <w:pStyle w:val="48"/>
                    <w:jc w:val="center"/>
                    <w:rPr>
                      <w:rFonts w:ascii="宋体" w:hAnsi="宋体" w:cs="宋体"/>
                      <w:sz w:val="21"/>
                    </w:rPr>
                  </w:pPr>
                  <w:r>
                    <w:rPr>
                      <w:rFonts w:hint="eastAsia" w:ascii="宋体" w:hAnsi="宋体" w:cs="宋体"/>
                      <w:sz w:val="21"/>
                      <w:lang w:eastAsia="zh-TW"/>
                    </w:rPr>
                    <w:t>监测项目</w:t>
                  </w:r>
                </w:p>
              </w:tc>
              <w:tc>
                <w:tcPr>
                  <w:tcW w:w="5210" w:type="dxa"/>
                  <w:vAlign w:val="center"/>
                </w:tcPr>
                <w:p>
                  <w:pPr>
                    <w:pStyle w:val="48"/>
                    <w:jc w:val="center"/>
                    <w:rPr>
                      <w:rFonts w:ascii="宋体" w:hAnsi="宋体" w:cs="宋体"/>
                      <w:sz w:val="21"/>
                    </w:rPr>
                  </w:pPr>
                  <w:r>
                    <w:rPr>
                      <w:rFonts w:hint="eastAsia" w:ascii="宋体" w:hAnsi="宋体" w:cs="宋体"/>
                      <w:sz w:val="21"/>
                    </w:rPr>
                    <w:t>Leq，dB(A)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Merge w:val="continue"/>
                  <w:vAlign w:val="center"/>
                </w:tcPr>
                <w:p>
                  <w:pPr>
                    <w:pStyle w:val="48"/>
                    <w:jc w:val="center"/>
                    <w:rPr>
                      <w:rFonts w:ascii="宋体" w:hAnsi="宋体" w:cs="宋体"/>
                      <w:sz w:val="21"/>
                    </w:rPr>
                  </w:pPr>
                </w:p>
              </w:tc>
              <w:tc>
                <w:tcPr>
                  <w:tcW w:w="2218" w:type="dxa"/>
                  <w:vAlign w:val="center"/>
                </w:tcPr>
                <w:p>
                  <w:pPr>
                    <w:pStyle w:val="48"/>
                    <w:jc w:val="center"/>
                    <w:rPr>
                      <w:rFonts w:ascii="宋体" w:hAnsi="宋体" w:cs="宋体"/>
                      <w:sz w:val="21"/>
                    </w:rPr>
                  </w:pPr>
                  <w:r>
                    <w:rPr>
                      <w:rFonts w:hint="eastAsia" w:ascii="宋体" w:hAnsi="宋体" w:cs="宋体"/>
                      <w:sz w:val="21"/>
                      <w:lang w:eastAsia="zh-TW"/>
                    </w:rPr>
                    <w:t>主要污染源</w:t>
                  </w:r>
                </w:p>
              </w:tc>
              <w:tc>
                <w:tcPr>
                  <w:tcW w:w="5210" w:type="dxa"/>
                  <w:vAlign w:val="center"/>
                </w:tcPr>
                <w:p>
                  <w:pPr>
                    <w:pStyle w:val="48"/>
                    <w:jc w:val="center"/>
                    <w:rPr>
                      <w:rFonts w:ascii="宋体" w:hAnsi="宋体" w:cs="宋体"/>
                      <w:sz w:val="21"/>
                    </w:rPr>
                  </w:pPr>
                  <w:r>
                    <w:rPr>
                      <w:rFonts w:hint="eastAsia" w:ascii="宋体" w:hAnsi="宋体" w:cs="宋体"/>
                      <w:sz w:val="21"/>
                    </w:rPr>
                    <w:t>生产设备等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Merge w:val="continue"/>
                  <w:vAlign w:val="center"/>
                </w:tcPr>
                <w:p>
                  <w:pPr>
                    <w:pStyle w:val="48"/>
                    <w:jc w:val="center"/>
                    <w:rPr>
                      <w:rFonts w:ascii="宋体" w:hAnsi="宋体" w:cs="宋体"/>
                      <w:sz w:val="21"/>
                    </w:rPr>
                  </w:pPr>
                </w:p>
              </w:tc>
              <w:tc>
                <w:tcPr>
                  <w:tcW w:w="2218" w:type="dxa"/>
                  <w:vAlign w:val="center"/>
                </w:tcPr>
                <w:p>
                  <w:pPr>
                    <w:pStyle w:val="48"/>
                    <w:jc w:val="center"/>
                    <w:rPr>
                      <w:rFonts w:ascii="宋体" w:hAnsi="宋体" w:cs="宋体"/>
                      <w:sz w:val="21"/>
                    </w:rPr>
                  </w:pPr>
                  <w:r>
                    <w:rPr>
                      <w:rFonts w:hint="eastAsia" w:ascii="宋体" w:hAnsi="宋体" w:cs="宋体"/>
                      <w:sz w:val="21"/>
                      <w:lang w:eastAsia="zh-TW"/>
                    </w:rPr>
                    <w:t>采样分析数据处理</w:t>
                  </w:r>
                </w:p>
              </w:tc>
              <w:tc>
                <w:tcPr>
                  <w:tcW w:w="5210" w:type="dxa"/>
                  <w:vAlign w:val="center"/>
                </w:tcPr>
                <w:p>
                  <w:pPr>
                    <w:pStyle w:val="48"/>
                    <w:jc w:val="center"/>
                    <w:rPr>
                      <w:rFonts w:ascii="宋体" w:hAnsi="宋体" w:cs="宋体"/>
                      <w:sz w:val="21"/>
                    </w:rPr>
                  </w:pPr>
                  <w:r>
                    <w:rPr>
                      <w:rFonts w:hint="eastAsia" w:ascii="宋体" w:hAnsi="宋体" w:cs="宋体"/>
                      <w:sz w:val="21"/>
                      <w:lang w:eastAsia="zh-TW"/>
                    </w:rPr>
                    <w:t>《</w:t>
                  </w:r>
                  <w:r>
                    <w:rPr>
                      <w:rFonts w:hint="eastAsia" w:ascii="宋体" w:hAnsi="宋体" w:cs="宋体"/>
                      <w:sz w:val="21"/>
                    </w:rPr>
                    <w:t>工业企业厂界环境噪声排放标准</w:t>
                  </w:r>
                  <w:r>
                    <w:rPr>
                      <w:rFonts w:hint="eastAsia" w:ascii="宋体" w:hAnsi="宋体" w:cs="宋体"/>
                      <w:sz w:val="21"/>
                      <w:lang w:eastAsia="zh-TW"/>
                    </w:rPr>
                    <w:t>》</w:t>
                  </w:r>
                  <w:r>
                    <w:rPr>
                      <w:rFonts w:hint="eastAsia" w:ascii="宋体" w:hAnsi="宋体" w:cs="宋体"/>
                      <w:sz w:val="21"/>
                    </w:rPr>
                    <w:t>(GB l2348-2008)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Merge w:val="continue"/>
                  <w:vAlign w:val="center"/>
                </w:tcPr>
                <w:p>
                  <w:pPr>
                    <w:pStyle w:val="48"/>
                    <w:jc w:val="center"/>
                    <w:rPr>
                      <w:rFonts w:ascii="宋体" w:hAnsi="宋体" w:cs="宋体"/>
                      <w:sz w:val="21"/>
                    </w:rPr>
                  </w:pPr>
                </w:p>
              </w:tc>
              <w:tc>
                <w:tcPr>
                  <w:tcW w:w="2218" w:type="dxa"/>
                  <w:vAlign w:val="center"/>
                </w:tcPr>
                <w:p>
                  <w:pPr>
                    <w:pStyle w:val="48"/>
                    <w:jc w:val="center"/>
                    <w:rPr>
                      <w:rFonts w:ascii="宋体" w:hAnsi="宋体" w:cs="宋体"/>
                      <w:sz w:val="21"/>
                    </w:rPr>
                  </w:pPr>
                  <w:r>
                    <w:rPr>
                      <w:rFonts w:hint="eastAsia" w:ascii="宋体" w:hAnsi="宋体" w:cs="宋体"/>
                      <w:sz w:val="21"/>
                      <w:lang w:eastAsia="zh-TW"/>
                    </w:rPr>
                    <w:t>监测周期与频率</w:t>
                  </w:r>
                </w:p>
              </w:tc>
              <w:tc>
                <w:tcPr>
                  <w:tcW w:w="5210" w:type="dxa"/>
                  <w:vAlign w:val="center"/>
                </w:tcPr>
                <w:p>
                  <w:pPr>
                    <w:pStyle w:val="48"/>
                    <w:jc w:val="center"/>
                    <w:rPr>
                      <w:rFonts w:ascii="宋体" w:hAnsi="宋体" w:cs="宋体"/>
                      <w:sz w:val="21"/>
                    </w:rPr>
                  </w:pPr>
                  <w:r>
                    <w:rPr>
                      <w:rFonts w:hint="eastAsia" w:ascii="宋体" w:hAnsi="宋体" w:cs="宋体"/>
                      <w:sz w:val="21"/>
                    </w:rPr>
                    <w:t>厂界</w:t>
                  </w:r>
                  <w:r>
                    <w:rPr>
                      <w:rFonts w:hint="eastAsia" w:ascii="宋体" w:hAnsi="宋体" w:cs="宋体"/>
                      <w:sz w:val="21"/>
                      <w:lang w:eastAsia="zh-TW"/>
                    </w:rPr>
                    <w:t>噪声</w:t>
                  </w:r>
                  <w:r>
                    <w:rPr>
                      <w:rFonts w:hint="eastAsia" w:ascii="宋体" w:hAnsi="宋体" w:cs="宋体"/>
                      <w:sz w:val="21"/>
                    </w:rPr>
                    <w:t>：</w:t>
                  </w:r>
                  <w:r>
                    <w:rPr>
                      <w:rFonts w:hint="eastAsia" w:ascii="宋体" w:hAnsi="宋体" w:cs="宋体"/>
                      <w:sz w:val="21"/>
                      <w:lang w:eastAsia="zh-TW"/>
                    </w:rPr>
                    <w:t>每</w:t>
                  </w:r>
                  <w:r>
                    <w:rPr>
                      <w:rFonts w:hint="eastAsia" w:ascii="宋体" w:hAnsi="宋体" w:cs="宋体"/>
                      <w:sz w:val="21"/>
                      <w:lang w:val="en-US" w:eastAsia="zh-CN"/>
                    </w:rPr>
                    <w:t>一</w:t>
                  </w:r>
                  <w:r>
                    <w:rPr>
                      <w:rFonts w:hint="eastAsia" w:ascii="宋体" w:hAnsi="宋体" w:cs="宋体"/>
                      <w:sz w:val="21"/>
                    </w:rPr>
                    <w:t>年</w:t>
                  </w:r>
                  <w:r>
                    <w:rPr>
                      <w:rFonts w:hint="eastAsia" w:ascii="宋体" w:hAnsi="宋体" w:cs="宋体"/>
                      <w:sz w:val="21"/>
                      <w:lang w:eastAsia="zh-TW"/>
                    </w:rPr>
                    <w:t>昼、夜各一次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Merge w:val="restart"/>
                  <w:vAlign w:val="center"/>
                </w:tcPr>
                <w:p>
                  <w:pPr>
                    <w:pStyle w:val="48"/>
                    <w:jc w:val="center"/>
                    <w:rPr>
                      <w:rFonts w:ascii="宋体" w:hAnsi="宋体" w:cs="宋体"/>
                      <w:sz w:val="21"/>
                    </w:rPr>
                  </w:pPr>
                  <w:r>
                    <w:rPr>
                      <w:rFonts w:hint="eastAsia" w:ascii="宋体" w:hAnsi="宋体" w:cs="宋体"/>
                      <w:sz w:val="21"/>
                    </w:rPr>
                    <w:t>固废</w:t>
                  </w:r>
                </w:p>
                <w:p>
                  <w:pPr>
                    <w:pStyle w:val="48"/>
                    <w:jc w:val="center"/>
                    <w:rPr>
                      <w:rFonts w:ascii="宋体" w:hAnsi="宋体" w:cs="宋体"/>
                      <w:sz w:val="21"/>
                    </w:rPr>
                  </w:pPr>
                  <w:r>
                    <w:rPr>
                      <w:rFonts w:hint="eastAsia" w:ascii="宋体" w:hAnsi="宋体" w:cs="宋体"/>
                      <w:sz w:val="21"/>
                      <w:lang w:eastAsia="zh-TW"/>
                    </w:rPr>
                    <w:t>调查</w:t>
                  </w:r>
                </w:p>
              </w:tc>
              <w:tc>
                <w:tcPr>
                  <w:tcW w:w="2218" w:type="dxa"/>
                  <w:vAlign w:val="center"/>
                </w:tcPr>
                <w:p>
                  <w:pPr>
                    <w:pStyle w:val="48"/>
                    <w:jc w:val="center"/>
                    <w:rPr>
                      <w:rFonts w:ascii="宋体" w:hAnsi="宋体" w:cs="宋体"/>
                      <w:sz w:val="21"/>
                    </w:rPr>
                  </w:pPr>
                  <w:r>
                    <w:rPr>
                      <w:rFonts w:hint="eastAsia" w:ascii="宋体" w:hAnsi="宋体" w:cs="宋体"/>
                      <w:sz w:val="21"/>
                      <w:lang w:eastAsia="zh-TW"/>
                    </w:rPr>
                    <w:t>监测项目</w:t>
                  </w:r>
                </w:p>
              </w:tc>
              <w:tc>
                <w:tcPr>
                  <w:tcW w:w="5210" w:type="dxa"/>
                  <w:vAlign w:val="center"/>
                </w:tcPr>
                <w:p>
                  <w:pPr>
                    <w:pStyle w:val="48"/>
                    <w:jc w:val="center"/>
                    <w:rPr>
                      <w:rFonts w:ascii="宋体" w:hAnsi="宋体" w:cs="宋体"/>
                      <w:sz w:val="21"/>
                    </w:rPr>
                  </w:pPr>
                  <w:r>
                    <w:rPr>
                      <w:rFonts w:hint="eastAsia" w:ascii="宋体" w:hAnsi="宋体" w:cs="宋体"/>
                      <w:sz w:val="21"/>
                    </w:rPr>
                    <w:t>固废产生量、贮存量、转移量、转移去向；危险固废暂存场防渗、截流、导气等设施的正常运行，同时保留联单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884" w:type="dxa"/>
                  <w:vMerge w:val="continue"/>
                  <w:vAlign w:val="center"/>
                </w:tcPr>
                <w:p>
                  <w:pPr>
                    <w:pStyle w:val="48"/>
                    <w:jc w:val="center"/>
                    <w:rPr>
                      <w:rFonts w:ascii="宋体" w:hAnsi="宋体" w:cs="宋体"/>
                      <w:sz w:val="21"/>
                    </w:rPr>
                  </w:pPr>
                </w:p>
              </w:tc>
              <w:tc>
                <w:tcPr>
                  <w:tcW w:w="2218" w:type="dxa"/>
                  <w:vAlign w:val="center"/>
                </w:tcPr>
                <w:p>
                  <w:pPr>
                    <w:pStyle w:val="48"/>
                    <w:jc w:val="center"/>
                    <w:rPr>
                      <w:rFonts w:ascii="宋体" w:hAnsi="宋体" w:cs="宋体"/>
                      <w:sz w:val="21"/>
                    </w:rPr>
                  </w:pPr>
                  <w:r>
                    <w:rPr>
                      <w:rFonts w:hint="eastAsia" w:ascii="宋体" w:hAnsi="宋体" w:cs="宋体"/>
                      <w:sz w:val="21"/>
                      <w:lang w:eastAsia="zh-TW"/>
                    </w:rPr>
                    <w:t>监测周期与频率</w:t>
                  </w:r>
                </w:p>
              </w:tc>
              <w:tc>
                <w:tcPr>
                  <w:tcW w:w="5210" w:type="dxa"/>
                  <w:vAlign w:val="center"/>
                </w:tcPr>
                <w:p>
                  <w:pPr>
                    <w:pStyle w:val="48"/>
                    <w:jc w:val="center"/>
                    <w:rPr>
                      <w:rFonts w:ascii="宋体" w:hAnsi="宋体" w:cs="宋体"/>
                      <w:sz w:val="21"/>
                    </w:rPr>
                  </w:pPr>
                  <w:r>
                    <w:rPr>
                      <w:rFonts w:hint="eastAsia" w:ascii="宋体" w:hAnsi="宋体" w:cs="宋体"/>
                      <w:sz w:val="21"/>
                      <w:lang w:eastAsia="zh-TW"/>
                    </w:rPr>
                    <w:t>每</w:t>
                  </w:r>
                  <w:r>
                    <w:rPr>
                      <w:rFonts w:hint="eastAsia" w:ascii="宋体" w:hAnsi="宋体" w:cs="宋体"/>
                      <w:sz w:val="21"/>
                    </w:rPr>
                    <w:t>周</w:t>
                  </w:r>
                  <w:r>
                    <w:rPr>
                      <w:rFonts w:hint="eastAsia" w:ascii="宋体" w:hAnsi="宋体" w:cs="宋体"/>
                      <w:sz w:val="21"/>
                      <w:lang w:eastAsia="zh-TW"/>
                    </w:rPr>
                    <w:t>统计一次</w:t>
                  </w:r>
                </w:p>
              </w:tc>
            </w:tr>
          </w:tbl>
          <w:p>
            <w:pPr>
              <w:pStyle w:val="4"/>
              <w:tabs>
                <w:tab w:val="left" w:pos="606"/>
              </w:tabs>
              <w:ind w:firstLine="480" w:firstLineChars="200"/>
              <w:rPr>
                <w:rFonts w:ascii="黑体" w:hAnsi="黑体" w:eastAsia="黑体" w:cs="黑体"/>
                <w:b w:val="0"/>
                <w:bCs/>
                <w:sz w:val="24"/>
                <w:szCs w:val="24"/>
              </w:rPr>
            </w:pPr>
            <w:r>
              <w:rPr>
                <w:rFonts w:hint="eastAsia" w:ascii="黑体" w:hAnsi="黑体" w:eastAsia="黑体" w:cs="黑体"/>
                <w:b w:val="0"/>
                <w:bCs/>
                <w:sz w:val="24"/>
                <w:szCs w:val="24"/>
              </w:rPr>
              <w:t>九、规范化排污口</w:t>
            </w:r>
          </w:p>
          <w:p>
            <w:pPr>
              <w:spacing w:line="480" w:lineRule="exact"/>
              <w:ind w:firstLine="480" w:firstLineChars="200"/>
              <w:rPr>
                <w:rFonts w:ascii="Times New Roman" w:hAnsi="Times New Roman" w:cs="Times New Roman"/>
                <w:sz w:val="24"/>
              </w:rPr>
            </w:pPr>
            <w:r>
              <w:rPr>
                <w:rFonts w:ascii="Times New Roman" w:hAnsi="Times New Roman" w:eastAsia="宋体"/>
                <w:sz w:val="24"/>
              </w:rPr>
              <w:t>根据</w:t>
            </w:r>
            <w:r>
              <w:rPr>
                <w:rFonts w:ascii="Times New Roman" w:hAnsi="Times New Roman" w:cs="Times New Roman"/>
                <w:sz w:val="24"/>
              </w:rPr>
              <w:t>《安徽省污染源排放口规范化整治管理办法》（环法函〔2005〕114）号要求，该项目废气排气筒、固废堆放场所必须进行规范化设置。</w:t>
            </w:r>
          </w:p>
          <w:p>
            <w:pPr>
              <w:autoSpaceDE w:val="0"/>
              <w:autoSpaceDN w:val="0"/>
              <w:spacing w:line="360" w:lineRule="auto"/>
              <w:ind w:firstLine="480" w:firstLineChars="200"/>
              <w:rPr>
                <w:rFonts w:ascii="Times New Roman" w:hAnsi="Times New Roman" w:cs="Times New Roman"/>
                <w:sz w:val="24"/>
              </w:rPr>
            </w:pPr>
            <w:r>
              <w:rPr>
                <w:rFonts w:ascii="Times New Roman" w:hAnsi="Times New Roman" w:cs="Times New Roman"/>
                <w:sz w:val="24"/>
              </w:rPr>
              <w:t>排放口图形标志见</w:t>
            </w:r>
            <w:r>
              <w:rPr>
                <w:rFonts w:hint="eastAsia" w:ascii="Times New Roman" w:hAnsi="Times New Roman" w:cs="Times New Roman"/>
                <w:sz w:val="24"/>
              </w:rPr>
              <w:t>下</w:t>
            </w:r>
            <w:r>
              <w:rPr>
                <w:rFonts w:ascii="Times New Roman" w:hAnsi="Times New Roman" w:cs="Times New Roman"/>
                <w:sz w:val="24"/>
              </w:rPr>
              <w:t>表。</w:t>
            </w:r>
          </w:p>
          <w:p>
            <w:pPr>
              <w:autoSpaceDE w:val="0"/>
              <w:autoSpaceDN w:val="0"/>
              <w:jc w:val="center"/>
              <w:rPr>
                <w:rFonts w:ascii="宋体" w:hAnsi="宋体" w:eastAsia="宋体" w:cs="宋体"/>
                <w:b/>
                <w:bCs/>
                <w:sz w:val="24"/>
              </w:rPr>
            </w:pPr>
            <w:r>
              <w:rPr>
                <w:rFonts w:hint="eastAsia" w:ascii="宋体" w:hAnsi="宋体" w:eastAsia="宋体" w:cs="宋体"/>
                <w:b/>
                <w:bCs/>
                <w:sz w:val="24"/>
              </w:rPr>
              <w:t>表4-</w:t>
            </w:r>
            <w:r>
              <w:rPr>
                <w:rFonts w:hint="eastAsia" w:ascii="宋体" w:hAnsi="宋体" w:eastAsia="宋体" w:cs="宋体"/>
                <w:b/>
                <w:bCs/>
                <w:sz w:val="24"/>
                <w:lang w:val="en-US" w:eastAsia="zh-CN"/>
              </w:rPr>
              <w:t>14</w:t>
            </w:r>
            <w:r>
              <w:rPr>
                <w:rFonts w:hint="eastAsia" w:ascii="宋体" w:hAnsi="宋体" w:eastAsia="宋体" w:cs="宋体"/>
                <w:b/>
                <w:bCs/>
                <w:sz w:val="24"/>
              </w:rPr>
              <w:t>厂区排污口图形符号（提示标志）一览表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842"/>
              <w:gridCol w:w="1664"/>
              <w:gridCol w:w="1653"/>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1" w:type="dxa"/>
                  <w:vAlign w:val="center"/>
                </w:tcPr>
                <w:p>
                  <w:pPr>
                    <w:jc w:val="center"/>
                    <w:rPr>
                      <w:rFonts w:asciiTheme="minorEastAsia" w:hAnsiTheme="minorEastAsia"/>
                      <w:szCs w:val="21"/>
                    </w:rPr>
                  </w:pPr>
                  <w:r>
                    <w:rPr>
                      <w:rFonts w:asciiTheme="minorEastAsia" w:hAnsiTheme="minorEastAsia"/>
                      <w:szCs w:val="21"/>
                    </w:rPr>
                    <w:t>项目排放部位</w:t>
                  </w:r>
                </w:p>
              </w:tc>
              <w:tc>
                <w:tcPr>
                  <w:tcW w:w="2002" w:type="dxa"/>
                  <w:vAlign w:val="center"/>
                </w:tcPr>
                <w:p>
                  <w:pPr>
                    <w:jc w:val="center"/>
                    <w:rPr>
                      <w:rFonts w:asciiTheme="minorEastAsia" w:hAnsiTheme="minorEastAsia"/>
                      <w:szCs w:val="21"/>
                    </w:rPr>
                  </w:pPr>
                  <w:r>
                    <w:rPr>
                      <w:rFonts w:asciiTheme="minorEastAsia" w:hAnsiTheme="minorEastAsia"/>
                      <w:szCs w:val="21"/>
                    </w:rPr>
                    <w:t>噪声排放源</w:t>
                  </w:r>
                </w:p>
              </w:tc>
              <w:tc>
                <w:tcPr>
                  <w:tcW w:w="1806" w:type="dxa"/>
                  <w:vAlign w:val="center"/>
                </w:tcPr>
                <w:p>
                  <w:pPr>
                    <w:jc w:val="center"/>
                    <w:rPr>
                      <w:rFonts w:asciiTheme="minorEastAsia" w:hAnsiTheme="minorEastAsia"/>
                      <w:szCs w:val="21"/>
                    </w:rPr>
                  </w:pPr>
                  <w:r>
                    <w:rPr>
                      <w:rFonts w:asciiTheme="minorEastAsia" w:hAnsiTheme="minorEastAsia"/>
                      <w:szCs w:val="21"/>
                    </w:rPr>
                    <w:t>一般固体废物排放源</w:t>
                  </w:r>
                </w:p>
              </w:tc>
              <w:tc>
                <w:tcPr>
                  <w:tcW w:w="1794" w:type="dxa"/>
                  <w:vAlign w:val="center"/>
                </w:tcPr>
                <w:p>
                  <w:pPr>
                    <w:jc w:val="center"/>
                    <w:rPr>
                      <w:rFonts w:asciiTheme="minorEastAsia" w:hAnsiTheme="minorEastAsia"/>
                      <w:szCs w:val="21"/>
                    </w:rPr>
                  </w:pPr>
                  <w:r>
                    <w:rPr>
                      <w:rFonts w:asciiTheme="minorEastAsia" w:hAnsiTheme="minorEastAsia"/>
                      <w:szCs w:val="21"/>
                    </w:rPr>
                    <w:t>废水排放源</w:t>
                  </w:r>
                </w:p>
              </w:tc>
              <w:tc>
                <w:tcPr>
                  <w:tcW w:w="1904" w:type="dxa"/>
                  <w:vAlign w:val="center"/>
                </w:tcPr>
                <w:p>
                  <w:pPr>
                    <w:jc w:val="center"/>
                    <w:rPr>
                      <w:rFonts w:asciiTheme="minorEastAsia" w:hAnsiTheme="minorEastAsia"/>
                      <w:szCs w:val="21"/>
                    </w:rPr>
                  </w:pPr>
                  <w:r>
                    <w:rPr>
                      <w:rFonts w:asciiTheme="minorEastAsia" w:hAnsiTheme="minorEastAsia"/>
                      <w:szCs w:val="21"/>
                    </w:rPr>
                    <w:t>废气排放源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1" w:type="dxa"/>
                  <w:vAlign w:val="center"/>
                </w:tcPr>
                <w:p>
                  <w:pPr>
                    <w:jc w:val="center"/>
                    <w:rPr>
                      <w:rFonts w:asciiTheme="minorEastAsia" w:hAnsiTheme="minorEastAsia"/>
                      <w:szCs w:val="21"/>
                    </w:rPr>
                  </w:pPr>
                  <w:r>
                    <w:rPr>
                      <w:rFonts w:asciiTheme="minorEastAsia" w:hAnsiTheme="minorEastAsia"/>
                      <w:szCs w:val="21"/>
                    </w:rPr>
                    <w:t>图形符号</w:t>
                  </w:r>
                </w:p>
              </w:tc>
              <w:tc>
                <w:tcPr>
                  <w:tcW w:w="2002" w:type="dxa"/>
                  <w:vAlign w:val="center"/>
                </w:tcPr>
                <w:p>
                  <w:pPr>
                    <w:jc w:val="center"/>
                    <w:rPr>
                      <w:rFonts w:asciiTheme="minorEastAsia" w:hAnsiTheme="minorEastAsia"/>
                      <w:szCs w:val="21"/>
                    </w:rPr>
                  </w:pPr>
                  <w:r>
                    <w:rPr>
                      <w:rFonts w:asciiTheme="minorEastAsia" w:hAnsiTheme="minorEastAsia"/>
                      <w:szCs w:val="21"/>
                    </w:rPr>
                    <w:drawing>
                      <wp:inline distT="0" distB="0" distL="114300" distR="114300">
                        <wp:extent cx="923925" cy="87630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cstate="print"/>
                                <a:stretch>
                                  <a:fillRect/>
                                </a:stretch>
                              </pic:blipFill>
                              <pic:spPr>
                                <a:xfrm>
                                  <a:off x="0" y="0"/>
                                  <a:ext cx="923925" cy="876300"/>
                                </a:xfrm>
                                <a:prstGeom prst="rect">
                                  <a:avLst/>
                                </a:prstGeom>
                                <a:noFill/>
                                <a:ln>
                                  <a:noFill/>
                                </a:ln>
                              </pic:spPr>
                            </pic:pic>
                          </a:graphicData>
                        </a:graphic>
                      </wp:inline>
                    </w:drawing>
                  </w:r>
                </w:p>
              </w:tc>
              <w:tc>
                <w:tcPr>
                  <w:tcW w:w="1806" w:type="dxa"/>
                  <w:vAlign w:val="center"/>
                </w:tcPr>
                <w:p>
                  <w:pPr>
                    <w:jc w:val="center"/>
                    <w:rPr>
                      <w:rFonts w:asciiTheme="minorEastAsia" w:hAnsiTheme="minorEastAsia"/>
                      <w:szCs w:val="21"/>
                    </w:rPr>
                  </w:pPr>
                  <w:r>
                    <w:rPr>
                      <w:rFonts w:asciiTheme="minorEastAsia" w:hAnsiTheme="minorEastAsia"/>
                      <w:szCs w:val="21"/>
                    </w:rPr>
                    <w:drawing>
                      <wp:inline distT="0" distB="0" distL="114300" distR="114300">
                        <wp:extent cx="857250" cy="8667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cstate="print"/>
                                <a:stretch>
                                  <a:fillRect/>
                                </a:stretch>
                              </pic:blipFill>
                              <pic:spPr>
                                <a:xfrm>
                                  <a:off x="0" y="0"/>
                                  <a:ext cx="857250" cy="866775"/>
                                </a:xfrm>
                                <a:prstGeom prst="rect">
                                  <a:avLst/>
                                </a:prstGeom>
                                <a:noFill/>
                                <a:ln>
                                  <a:noFill/>
                                </a:ln>
                              </pic:spPr>
                            </pic:pic>
                          </a:graphicData>
                        </a:graphic>
                      </wp:inline>
                    </w:drawing>
                  </w:r>
                </w:p>
              </w:tc>
              <w:tc>
                <w:tcPr>
                  <w:tcW w:w="1794" w:type="dxa"/>
                  <w:vAlign w:val="center"/>
                </w:tcPr>
                <w:p>
                  <w:pPr>
                    <w:jc w:val="center"/>
                    <w:rPr>
                      <w:rFonts w:asciiTheme="minorEastAsia" w:hAnsiTheme="minorEastAsia"/>
                      <w:szCs w:val="21"/>
                    </w:rPr>
                  </w:pPr>
                  <w:r>
                    <w:rPr>
                      <w:rFonts w:asciiTheme="minorEastAsia" w:hAnsiTheme="minorEastAsia"/>
                      <w:szCs w:val="21"/>
                    </w:rPr>
                    <w:drawing>
                      <wp:inline distT="0" distB="0" distL="114300" distR="114300">
                        <wp:extent cx="847090" cy="906145"/>
                        <wp:effectExtent l="0" t="0" r="10160"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cstate="print"/>
                                <a:stretch>
                                  <a:fillRect/>
                                </a:stretch>
                              </pic:blipFill>
                              <pic:spPr>
                                <a:xfrm>
                                  <a:off x="0" y="0"/>
                                  <a:ext cx="847090" cy="906145"/>
                                </a:xfrm>
                                <a:prstGeom prst="rect">
                                  <a:avLst/>
                                </a:prstGeom>
                                <a:noFill/>
                                <a:ln>
                                  <a:noFill/>
                                </a:ln>
                              </pic:spPr>
                            </pic:pic>
                          </a:graphicData>
                        </a:graphic>
                      </wp:inline>
                    </w:drawing>
                  </w:r>
                </w:p>
              </w:tc>
              <w:tc>
                <w:tcPr>
                  <w:tcW w:w="1904" w:type="dxa"/>
                  <w:vAlign w:val="center"/>
                </w:tcPr>
                <w:p>
                  <w:pPr>
                    <w:jc w:val="center"/>
                    <w:rPr>
                      <w:rFonts w:asciiTheme="minorEastAsia" w:hAnsiTheme="minorEastAsia"/>
                      <w:szCs w:val="21"/>
                    </w:rPr>
                  </w:pPr>
                  <w:r>
                    <w:rPr>
                      <w:rFonts w:asciiTheme="minorEastAsia" w:hAnsiTheme="minorEastAsia"/>
                      <w:szCs w:val="21"/>
                    </w:rPr>
                    <w:drawing>
                      <wp:inline distT="0" distB="0" distL="114300" distR="114300">
                        <wp:extent cx="1013460" cy="894715"/>
                        <wp:effectExtent l="0" t="0" r="15240" b="6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cstate="print"/>
                                <a:srcRect t="11118" b="8553"/>
                                <a:stretch>
                                  <a:fillRect/>
                                </a:stretch>
                              </pic:blipFill>
                              <pic:spPr>
                                <a:xfrm>
                                  <a:off x="0" y="0"/>
                                  <a:ext cx="1013460" cy="894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1" w:type="dxa"/>
                  <w:vAlign w:val="center"/>
                </w:tcPr>
                <w:p>
                  <w:pPr>
                    <w:jc w:val="center"/>
                    <w:rPr>
                      <w:rFonts w:asciiTheme="minorEastAsia" w:hAnsiTheme="minorEastAsia"/>
                      <w:szCs w:val="21"/>
                    </w:rPr>
                  </w:pPr>
                  <w:r>
                    <w:rPr>
                      <w:rFonts w:asciiTheme="minorEastAsia" w:hAnsiTheme="minorEastAsia"/>
                      <w:szCs w:val="21"/>
                    </w:rPr>
                    <w:t>形状</w:t>
                  </w:r>
                </w:p>
              </w:tc>
              <w:tc>
                <w:tcPr>
                  <w:tcW w:w="2002" w:type="dxa"/>
                  <w:vAlign w:val="center"/>
                </w:tcPr>
                <w:p>
                  <w:pPr>
                    <w:jc w:val="center"/>
                    <w:rPr>
                      <w:rFonts w:asciiTheme="minorEastAsia" w:hAnsiTheme="minorEastAsia"/>
                      <w:szCs w:val="21"/>
                    </w:rPr>
                  </w:pPr>
                  <w:r>
                    <w:rPr>
                      <w:rFonts w:asciiTheme="minorEastAsia" w:hAnsiTheme="minorEastAsia"/>
                      <w:szCs w:val="21"/>
                    </w:rPr>
                    <w:t>正方形边框</w:t>
                  </w:r>
                </w:p>
              </w:tc>
              <w:tc>
                <w:tcPr>
                  <w:tcW w:w="1806" w:type="dxa"/>
                  <w:vAlign w:val="center"/>
                </w:tcPr>
                <w:p>
                  <w:pPr>
                    <w:jc w:val="center"/>
                    <w:rPr>
                      <w:rFonts w:asciiTheme="minorEastAsia" w:hAnsiTheme="minorEastAsia"/>
                      <w:szCs w:val="21"/>
                    </w:rPr>
                  </w:pPr>
                  <w:r>
                    <w:rPr>
                      <w:rFonts w:asciiTheme="minorEastAsia" w:hAnsiTheme="minorEastAsia"/>
                      <w:szCs w:val="21"/>
                    </w:rPr>
                    <w:t>正方形边框</w:t>
                  </w:r>
                </w:p>
              </w:tc>
              <w:tc>
                <w:tcPr>
                  <w:tcW w:w="1794" w:type="dxa"/>
                  <w:vAlign w:val="center"/>
                </w:tcPr>
                <w:p>
                  <w:pPr>
                    <w:jc w:val="center"/>
                    <w:rPr>
                      <w:rFonts w:asciiTheme="minorEastAsia" w:hAnsiTheme="minorEastAsia"/>
                      <w:szCs w:val="21"/>
                    </w:rPr>
                  </w:pPr>
                  <w:r>
                    <w:rPr>
                      <w:rFonts w:asciiTheme="minorEastAsia" w:hAnsiTheme="minorEastAsia"/>
                      <w:szCs w:val="21"/>
                    </w:rPr>
                    <w:t>正方形边框</w:t>
                  </w:r>
                </w:p>
              </w:tc>
              <w:tc>
                <w:tcPr>
                  <w:tcW w:w="1904" w:type="dxa"/>
                  <w:vAlign w:val="center"/>
                </w:tcPr>
                <w:p>
                  <w:pPr>
                    <w:jc w:val="center"/>
                    <w:rPr>
                      <w:rFonts w:asciiTheme="minorEastAsia" w:hAnsiTheme="minorEastAsia"/>
                      <w:szCs w:val="21"/>
                    </w:rPr>
                  </w:pPr>
                  <w:r>
                    <w:rPr>
                      <w:rFonts w:asciiTheme="minorEastAsia" w:hAnsiTheme="minorEastAsia"/>
                      <w:szCs w:val="21"/>
                    </w:rPr>
                    <w:t>正方形边框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1" w:type="dxa"/>
                  <w:vAlign w:val="center"/>
                </w:tcPr>
                <w:p>
                  <w:pPr>
                    <w:jc w:val="center"/>
                    <w:rPr>
                      <w:rFonts w:asciiTheme="minorEastAsia" w:hAnsiTheme="minorEastAsia"/>
                      <w:szCs w:val="21"/>
                    </w:rPr>
                  </w:pPr>
                  <w:r>
                    <w:rPr>
                      <w:rFonts w:asciiTheme="minorEastAsia" w:hAnsiTheme="minorEastAsia"/>
                      <w:szCs w:val="21"/>
                    </w:rPr>
                    <w:t>背景颜色</w:t>
                  </w:r>
                </w:p>
              </w:tc>
              <w:tc>
                <w:tcPr>
                  <w:tcW w:w="2002" w:type="dxa"/>
                  <w:vAlign w:val="center"/>
                </w:tcPr>
                <w:p>
                  <w:pPr>
                    <w:jc w:val="center"/>
                    <w:rPr>
                      <w:rFonts w:asciiTheme="minorEastAsia" w:hAnsiTheme="minorEastAsia"/>
                      <w:szCs w:val="21"/>
                    </w:rPr>
                  </w:pPr>
                  <w:r>
                    <w:rPr>
                      <w:rFonts w:asciiTheme="minorEastAsia" w:hAnsiTheme="minorEastAsia"/>
                      <w:szCs w:val="21"/>
                    </w:rPr>
                    <w:t>绿色</w:t>
                  </w:r>
                </w:p>
              </w:tc>
              <w:tc>
                <w:tcPr>
                  <w:tcW w:w="1806" w:type="dxa"/>
                  <w:vAlign w:val="center"/>
                </w:tcPr>
                <w:p>
                  <w:pPr>
                    <w:jc w:val="center"/>
                    <w:rPr>
                      <w:rFonts w:asciiTheme="minorEastAsia" w:hAnsiTheme="minorEastAsia"/>
                      <w:szCs w:val="21"/>
                    </w:rPr>
                  </w:pPr>
                  <w:r>
                    <w:rPr>
                      <w:rFonts w:asciiTheme="minorEastAsia" w:hAnsiTheme="minorEastAsia"/>
                      <w:szCs w:val="21"/>
                    </w:rPr>
                    <w:t>绿色</w:t>
                  </w:r>
                </w:p>
              </w:tc>
              <w:tc>
                <w:tcPr>
                  <w:tcW w:w="1794" w:type="dxa"/>
                  <w:vAlign w:val="center"/>
                </w:tcPr>
                <w:p>
                  <w:pPr>
                    <w:jc w:val="center"/>
                    <w:rPr>
                      <w:rFonts w:asciiTheme="minorEastAsia" w:hAnsiTheme="minorEastAsia"/>
                      <w:szCs w:val="21"/>
                    </w:rPr>
                  </w:pPr>
                  <w:r>
                    <w:rPr>
                      <w:rFonts w:asciiTheme="minorEastAsia" w:hAnsiTheme="minorEastAsia"/>
                      <w:szCs w:val="21"/>
                    </w:rPr>
                    <w:t>绿色</w:t>
                  </w:r>
                </w:p>
              </w:tc>
              <w:tc>
                <w:tcPr>
                  <w:tcW w:w="1904" w:type="dxa"/>
                  <w:vAlign w:val="center"/>
                </w:tcPr>
                <w:p>
                  <w:pPr>
                    <w:jc w:val="center"/>
                    <w:rPr>
                      <w:rFonts w:asciiTheme="minorEastAsia" w:hAnsiTheme="minorEastAsia"/>
                      <w:szCs w:val="21"/>
                    </w:rPr>
                  </w:pPr>
                  <w:r>
                    <w:rPr>
                      <w:rFonts w:asciiTheme="minorEastAsia" w:hAnsiTheme="minorEastAsia"/>
                      <w:szCs w:val="21"/>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1" w:type="dxa"/>
                  <w:vAlign w:val="center"/>
                </w:tcPr>
                <w:p>
                  <w:pPr>
                    <w:jc w:val="center"/>
                    <w:rPr>
                      <w:rFonts w:asciiTheme="minorEastAsia" w:hAnsiTheme="minorEastAsia"/>
                      <w:szCs w:val="21"/>
                    </w:rPr>
                  </w:pPr>
                  <w:r>
                    <w:rPr>
                      <w:rFonts w:asciiTheme="minorEastAsia" w:hAnsiTheme="minorEastAsia"/>
                      <w:szCs w:val="21"/>
                    </w:rPr>
                    <w:t>图形颜色</w:t>
                  </w:r>
                </w:p>
              </w:tc>
              <w:tc>
                <w:tcPr>
                  <w:tcW w:w="2002" w:type="dxa"/>
                  <w:vAlign w:val="center"/>
                </w:tcPr>
                <w:p>
                  <w:pPr>
                    <w:jc w:val="center"/>
                    <w:rPr>
                      <w:rFonts w:asciiTheme="minorEastAsia" w:hAnsiTheme="minorEastAsia"/>
                      <w:szCs w:val="21"/>
                    </w:rPr>
                  </w:pPr>
                  <w:r>
                    <w:rPr>
                      <w:rFonts w:asciiTheme="minorEastAsia" w:hAnsiTheme="minorEastAsia"/>
                      <w:szCs w:val="21"/>
                    </w:rPr>
                    <w:t>白色</w:t>
                  </w:r>
                </w:p>
              </w:tc>
              <w:tc>
                <w:tcPr>
                  <w:tcW w:w="1806" w:type="dxa"/>
                  <w:vAlign w:val="center"/>
                </w:tcPr>
                <w:p>
                  <w:pPr>
                    <w:jc w:val="center"/>
                    <w:rPr>
                      <w:rFonts w:asciiTheme="minorEastAsia" w:hAnsiTheme="minorEastAsia"/>
                      <w:szCs w:val="21"/>
                    </w:rPr>
                  </w:pPr>
                  <w:r>
                    <w:rPr>
                      <w:rFonts w:asciiTheme="minorEastAsia" w:hAnsiTheme="minorEastAsia"/>
                      <w:szCs w:val="21"/>
                    </w:rPr>
                    <w:t>白色</w:t>
                  </w:r>
                </w:p>
              </w:tc>
              <w:tc>
                <w:tcPr>
                  <w:tcW w:w="1794" w:type="dxa"/>
                  <w:vAlign w:val="center"/>
                </w:tcPr>
                <w:p>
                  <w:pPr>
                    <w:jc w:val="center"/>
                    <w:rPr>
                      <w:rFonts w:asciiTheme="minorEastAsia" w:hAnsiTheme="minorEastAsia"/>
                      <w:szCs w:val="21"/>
                    </w:rPr>
                  </w:pPr>
                  <w:r>
                    <w:rPr>
                      <w:rFonts w:asciiTheme="minorEastAsia" w:hAnsiTheme="minorEastAsia"/>
                      <w:szCs w:val="21"/>
                    </w:rPr>
                    <w:t>白色</w:t>
                  </w:r>
                </w:p>
              </w:tc>
              <w:tc>
                <w:tcPr>
                  <w:tcW w:w="1904" w:type="dxa"/>
                  <w:vAlign w:val="center"/>
                </w:tcPr>
                <w:p>
                  <w:pPr>
                    <w:jc w:val="center"/>
                    <w:rPr>
                      <w:rFonts w:asciiTheme="minorEastAsia" w:hAnsiTheme="minorEastAsia"/>
                      <w:szCs w:val="21"/>
                    </w:rPr>
                  </w:pPr>
                  <w:r>
                    <w:rPr>
                      <w:rFonts w:asciiTheme="minorEastAsia" w:hAnsiTheme="minorEastAsia"/>
                      <w:szCs w:val="21"/>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1" w:type="dxa"/>
                  <w:vAlign w:val="center"/>
                </w:tcPr>
                <w:p>
                  <w:pPr>
                    <w:jc w:val="center"/>
                    <w:rPr>
                      <w:rFonts w:asciiTheme="minorEastAsia" w:hAnsiTheme="minorEastAsia"/>
                      <w:szCs w:val="21"/>
                    </w:rPr>
                  </w:pPr>
                  <w:r>
                    <w:rPr>
                      <w:rFonts w:asciiTheme="minorEastAsia" w:hAnsiTheme="minorEastAsia"/>
                      <w:szCs w:val="21"/>
                    </w:rPr>
                    <w:t>功能</w:t>
                  </w:r>
                </w:p>
              </w:tc>
              <w:tc>
                <w:tcPr>
                  <w:tcW w:w="2002" w:type="dxa"/>
                  <w:vAlign w:val="center"/>
                </w:tcPr>
                <w:p>
                  <w:pPr>
                    <w:jc w:val="center"/>
                    <w:rPr>
                      <w:rFonts w:asciiTheme="minorEastAsia" w:hAnsiTheme="minorEastAsia"/>
                      <w:szCs w:val="21"/>
                    </w:rPr>
                  </w:pPr>
                  <w:r>
                    <w:rPr>
                      <w:rFonts w:asciiTheme="minorEastAsia" w:hAnsiTheme="minorEastAsia"/>
                      <w:szCs w:val="21"/>
                    </w:rPr>
                    <w:t>表示噪声向外环境排放</w:t>
                  </w:r>
                </w:p>
              </w:tc>
              <w:tc>
                <w:tcPr>
                  <w:tcW w:w="1806" w:type="dxa"/>
                  <w:vAlign w:val="center"/>
                </w:tcPr>
                <w:p>
                  <w:pPr>
                    <w:jc w:val="center"/>
                    <w:rPr>
                      <w:rFonts w:asciiTheme="minorEastAsia" w:hAnsiTheme="minorEastAsia"/>
                      <w:szCs w:val="21"/>
                    </w:rPr>
                  </w:pPr>
                  <w:r>
                    <w:rPr>
                      <w:rFonts w:asciiTheme="minorEastAsia" w:hAnsiTheme="minorEastAsia"/>
                      <w:szCs w:val="21"/>
                    </w:rPr>
                    <w:t>表示一般固体废物</w:t>
                  </w:r>
                </w:p>
              </w:tc>
              <w:tc>
                <w:tcPr>
                  <w:tcW w:w="1794" w:type="dxa"/>
                  <w:vAlign w:val="center"/>
                </w:tcPr>
                <w:p>
                  <w:pPr>
                    <w:jc w:val="center"/>
                    <w:rPr>
                      <w:rFonts w:asciiTheme="minorEastAsia" w:hAnsiTheme="minorEastAsia"/>
                      <w:szCs w:val="21"/>
                    </w:rPr>
                  </w:pPr>
                  <w:r>
                    <w:rPr>
                      <w:rFonts w:asciiTheme="minorEastAsia" w:hAnsiTheme="minorEastAsia"/>
                      <w:szCs w:val="21"/>
                    </w:rPr>
                    <w:t>表示废水向外排放</w:t>
                  </w:r>
                </w:p>
              </w:tc>
              <w:tc>
                <w:tcPr>
                  <w:tcW w:w="1904" w:type="dxa"/>
                  <w:vAlign w:val="center"/>
                </w:tcPr>
                <w:p>
                  <w:pPr>
                    <w:jc w:val="center"/>
                    <w:rPr>
                      <w:rFonts w:asciiTheme="minorEastAsia" w:hAnsiTheme="minorEastAsia"/>
                      <w:szCs w:val="21"/>
                    </w:rPr>
                  </w:pPr>
                  <w:r>
                    <w:rPr>
                      <w:rFonts w:asciiTheme="minorEastAsia" w:hAnsiTheme="minorEastAsia"/>
                      <w:szCs w:val="21"/>
                    </w:rPr>
                    <w:t>表示废气向外排放</w:t>
                  </w:r>
                </w:p>
              </w:tc>
            </w:tr>
          </w:tbl>
          <w:p>
            <w:pPr>
              <w:autoSpaceDE w:val="0"/>
              <w:autoSpaceDN w:val="0"/>
              <w:spacing w:line="348" w:lineRule="auto"/>
              <w:ind w:firstLine="480" w:firstLineChars="200"/>
              <w:rPr>
                <w:rFonts w:ascii="Times New Roman" w:hAnsi="Times New Roman" w:cs="Times New Roman"/>
                <w:sz w:val="24"/>
              </w:rPr>
            </w:pPr>
            <w:r>
              <w:rPr>
                <w:rFonts w:hint="eastAsia" w:ascii="Times New Roman" w:hAnsi="Times New Roman" w:cs="Times New Roman"/>
                <w:sz w:val="24"/>
              </w:rPr>
              <w:t>①</w:t>
            </w:r>
            <w:r>
              <w:rPr>
                <w:rFonts w:ascii="Times New Roman" w:hAnsi="Times New Roman" w:cs="Times New Roman"/>
                <w:sz w:val="24"/>
              </w:rPr>
              <w:t>废气排气筒规范化</w:t>
            </w:r>
          </w:p>
          <w:p>
            <w:pPr>
              <w:autoSpaceDE w:val="0"/>
              <w:autoSpaceDN w:val="0"/>
              <w:spacing w:line="348" w:lineRule="auto"/>
              <w:ind w:firstLine="480" w:firstLineChars="200"/>
              <w:rPr>
                <w:rFonts w:ascii="Times New Roman" w:hAnsi="Times New Roman" w:cs="Times New Roman"/>
                <w:sz w:val="24"/>
              </w:rPr>
            </w:pPr>
            <w:r>
              <w:rPr>
                <w:rFonts w:ascii="Times New Roman" w:hAnsi="Times New Roman" w:cs="Times New Roman"/>
                <w:sz w:val="24"/>
              </w:rPr>
              <w:t>废气排气筒应设置便于采样、监测并符合《污染源监测技术规范》要求的采样口和采样平台，无法满足要求的应由市级以上环境监测部门确认采样口位置。并且按照《环境保护图形标志》（GB15562.1-1995）、（GB15562.2-1995）的规定设置与之相适应的环境保护图形标志牌。环境保护图形标志牌设置位置应距污染物排放口或采样点较近且醒目处，并能长久保留。</w:t>
            </w:r>
          </w:p>
          <w:p>
            <w:pPr>
              <w:autoSpaceDE w:val="0"/>
              <w:autoSpaceDN w:val="0"/>
              <w:spacing w:line="348" w:lineRule="auto"/>
              <w:ind w:firstLine="480" w:firstLineChars="200"/>
              <w:rPr>
                <w:rFonts w:ascii="Times New Roman" w:hAnsi="Times New Roman" w:cs="Times New Roman"/>
                <w:sz w:val="24"/>
              </w:rPr>
            </w:pPr>
            <w:r>
              <w:rPr>
                <w:rFonts w:hint="eastAsia" w:ascii="Times New Roman" w:hAnsi="Times New Roman" w:cs="Times New Roman"/>
                <w:sz w:val="24"/>
              </w:rPr>
              <w:t>②</w:t>
            </w:r>
            <w:r>
              <w:rPr>
                <w:rFonts w:ascii="Times New Roman" w:hAnsi="Times New Roman" w:cs="Times New Roman"/>
                <w:sz w:val="24"/>
              </w:rPr>
              <w:t>固体废物堆放场所规范化</w:t>
            </w:r>
          </w:p>
          <w:p>
            <w:pPr>
              <w:autoSpaceDE w:val="0"/>
              <w:autoSpaceDN w:val="0"/>
              <w:spacing w:line="348" w:lineRule="auto"/>
              <w:ind w:firstLine="480" w:firstLineChars="200"/>
              <w:rPr>
                <w:rFonts w:ascii="Times New Roman" w:hAnsi="Times New Roman" w:cs="Times New Roman"/>
                <w:sz w:val="24"/>
              </w:rPr>
            </w:pPr>
            <w:r>
              <w:rPr>
                <w:rFonts w:ascii="Times New Roman" w:hAnsi="Times New Roman" w:cs="Times New Roman"/>
                <w:sz w:val="24"/>
              </w:rPr>
              <w:t>本项目固体废物应按照固废处理相关规定加强管理，应加强暂存期间的管理，存放场应采取严格的防渗、防流失措施，并在存放场边界和进出口位置设置环保标志牌。环境保护图形标志牌设置位置应距固体废物贮存场较近且醒目处，并能长久保留。危险废物贮存（堆放）场应设置警告性环境保护图形标志牌。</w:t>
            </w:r>
          </w:p>
          <w:p>
            <w:pPr>
              <w:pStyle w:val="14"/>
              <w:spacing w:line="240" w:lineRule="auto"/>
              <w:ind w:firstLine="0" w:firstLineChars="0"/>
              <w:rPr>
                <w:rFonts w:eastAsia="宋体"/>
                <w:bCs/>
                <w:sz w:val="21"/>
              </w:rPr>
            </w:pPr>
          </w:p>
        </w:tc>
      </w:tr>
    </w:tbl>
    <w:p>
      <w:pPr>
        <w:outlineLvl w:val="0"/>
        <w:rPr>
          <w:rFonts w:ascii="Times New Roman" w:hAnsi="Times New Roman" w:eastAsia="宋体" w:cs="Times New Roman"/>
          <w:b/>
          <w:bCs/>
          <w:spacing w:val="6"/>
          <w:sz w:val="32"/>
          <w:szCs w:val="32"/>
        </w:rPr>
      </w:pPr>
      <w:r>
        <w:rPr>
          <w:rFonts w:ascii="Times New Roman" w:hAnsi="Times New Roman" w:eastAsia="宋体" w:cs="Times New Roman"/>
          <w:b/>
          <w:bCs/>
          <w:spacing w:val="6"/>
          <w:sz w:val="32"/>
          <w:szCs w:val="32"/>
        </w:rPr>
        <w:br w:type="page"/>
      </w:r>
    </w:p>
    <w:p>
      <w:pPr>
        <w:pStyle w:val="3"/>
        <w:jc w:val="center"/>
        <w:rPr>
          <w:rFonts w:eastAsia="宋体"/>
          <w:b w:val="0"/>
          <w:bCs w:val="0"/>
          <w:szCs w:val="32"/>
        </w:rPr>
      </w:pPr>
      <w:r>
        <w:rPr>
          <w:rFonts w:hint="eastAsia" w:eastAsia="宋体"/>
          <w:szCs w:val="32"/>
        </w:rPr>
        <w:t>五</w:t>
      </w:r>
      <w:r>
        <w:rPr>
          <w:rFonts w:eastAsia="宋体"/>
          <w:szCs w:val="32"/>
        </w:rPr>
        <w:t>、</w:t>
      </w:r>
      <w:r>
        <w:rPr>
          <w:rFonts w:hint="eastAsia" w:eastAsia="宋体"/>
          <w:szCs w:val="32"/>
        </w:rPr>
        <w:t>环境保护措施监督检查清单</w:t>
      </w:r>
    </w:p>
    <w:tbl>
      <w:tblPr>
        <w:tblStyle w:val="27"/>
        <w:tblW w:w="88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428"/>
        <w:gridCol w:w="1515"/>
        <w:gridCol w:w="3210"/>
        <w:gridCol w:w="16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12" w:hRule="atLeast"/>
          <w:jc w:val="center"/>
        </w:trPr>
        <w:tc>
          <w:tcPr>
            <w:tcW w:w="1101" w:type="dxa"/>
            <w:tcBorders>
              <w:top w:val="single" w:color="auto" w:sz="12" w:space="0"/>
              <w:bottom w:val="single" w:color="auto" w:sz="6" w:space="0"/>
              <w:tl2br w:val="single" w:color="auto" w:sz="12" w:space="0"/>
            </w:tcBorders>
            <w:vAlign w:val="center"/>
          </w:tcPr>
          <w:p>
            <w:pPr>
              <w:jc w:val="right"/>
              <w:rPr>
                <w:rFonts w:ascii="Times New Roman" w:hAnsi="Times New Roman" w:eastAsia="宋体" w:cs="Times New Roman"/>
                <w:b/>
                <w:bCs/>
                <w:sz w:val="24"/>
              </w:rPr>
            </w:pPr>
            <w:r>
              <w:rPr>
                <w:rFonts w:hint="eastAsia" w:ascii="Times New Roman" w:hAnsi="Times New Roman" w:eastAsia="宋体" w:cs="Times New Roman"/>
                <w:b/>
                <w:bCs/>
                <w:sz w:val="24"/>
              </w:rPr>
              <w:t>内容</w:t>
            </w:r>
          </w:p>
          <w:p>
            <w:pPr>
              <w:rPr>
                <w:rFonts w:ascii="Times New Roman" w:hAnsi="Times New Roman" w:eastAsia="宋体" w:cs="Times New Roman"/>
                <w:b/>
                <w:bCs/>
                <w:sz w:val="24"/>
              </w:rPr>
            </w:pPr>
            <w:r>
              <w:rPr>
                <w:rFonts w:hint="eastAsia" w:ascii="Times New Roman" w:hAnsi="Times New Roman" w:eastAsia="宋体" w:cs="Times New Roman"/>
                <w:b/>
                <w:bCs/>
                <w:sz w:val="24"/>
              </w:rPr>
              <w:t>要素</w:t>
            </w:r>
          </w:p>
        </w:tc>
        <w:tc>
          <w:tcPr>
            <w:tcW w:w="1428" w:type="dxa"/>
            <w:vAlign w:val="center"/>
          </w:tcPr>
          <w:p>
            <w:pPr>
              <w:jc w:val="center"/>
              <w:rPr>
                <w:rFonts w:ascii="Times New Roman" w:hAnsi="Times New Roman" w:eastAsia="宋体" w:cs="Times New Roman"/>
                <w:b/>
                <w:bCs/>
                <w:sz w:val="24"/>
              </w:rPr>
            </w:pPr>
            <w:r>
              <w:rPr>
                <w:rFonts w:hint="eastAsia" w:ascii="宋体" w:eastAsia="宋体"/>
                <w:b/>
                <w:bCs/>
              </w:rPr>
              <w:t>排放口(编号、名称)/污染源</w:t>
            </w:r>
          </w:p>
        </w:tc>
        <w:tc>
          <w:tcPr>
            <w:tcW w:w="1515" w:type="dxa"/>
            <w:vAlign w:val="center"/>
          </w:tcPr>
          <w:p>
            <w:pPr>
              <w:jc w:val="center"/>
              <w:rPr>
                <w:rFonts w:ascii="Times New Roman" w:hAnsi="Times New Roman" w:eastAsia="宋体" w:cs="Times New Roman"/>
                <w:b/>
                <w:bCs/>
                <w:sz w:val="24"/>
              </w:rPr>
            </w:pPr>
            <w:r>
              <w:rPr>
                <w:rFonts w:hint="eastAsia" w:ascii="宋体" w:eastAsia="宋体"/>
                <w:b/>
                <w:bCs/>
              </w:rPr>
              <w:t>污染物项目</w:t>
            </w:r>
          </w:p>
        </w:tc>
        <w:tc>
          <w:tcPr>
            <w:tcW w:w="3210" w:type="dxa"/>
            <w:vAlign w:val="center"/>
          </w:tcPr>
          <w:p>
            <w:pPr>
              <w:jc w:val="center"/>
              <w:rPr>
                <w:rFonts w:ascii="Times New Roman" w:hAnsi="Times New Roman" w:eastAsia="宋体" w:cs="Times New Roman"/>
                <w:b/>
                <w:bCs/>
                <w:sz w:val="24"/>
              </w:rPr>
            </w:pPr>
            <w:r>
              <w:rPr>
                <w:rFonts w:hint="eastAsia" w:ascii="宋体" w:eastAsia="宋体"/>
                <w:b/>
                <w:bCs/>
              </w:rPr>
              <w:t>环境保护措施</w:t>
            </w:r>
          </w:p>
        </w:tc>
        <w:tc>
          <w:tcPr>
            <w:tcW w:w="1643" w:type="dxa"/>
            <w:vAlign w:val="center"/>
          </w:tcPr>
          <w:p>
            <w:pPr>
              <w:jc w:val="center"/>
              <w:rPr>
                <w:rFonts w:ascii="Times New Roman" w:hAnsi="Times New Roman" w:eastAsia="宋体" w:cs="Times New Roman"/>
                <w:b/>
                <w:bCs/>
                <w:sz w:val="24"/>
              </w:rPr>
            </w:pPr>
            <w:r>
              <w:rPr>
                <w:rFonts w:hint="eastAsia" w:ascii="宋体" w:eastAsia="宋体"/>
                <w:b/>
                <w:bCs/>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1101" w:type="dxa"/>
            <w:vMerge w:val="restart"/>
            <w:vAlign w:val="center"/>
          </w:tcPr>
          <w:p>
            <w:pPr>
              <w:jc w:val="center"/>
              <w:rPr>
                <w:rFonts w:ascii="Times New Roman" w:hAnsi="Times New Roman" w:eastAsia="宋体" w:cs="Times New Roman"/>
                <w:b/>
                <w:bCs/>
                <w:sz w:val="24"/>
              </w:rPr>
            </w:pPr>
            <w:r>
              <w:rPr>
                <w:rFonts w:hint="eastAsia" w:ascii="Times New Roman" w:hAnsi="Times New Roman" w:eastAsia="宋体" w:cs="Times New Roman"/>
                <w:b/>
                <w:bCs/>
                <w:sz w:val="24"/>
              </w:rPr>
              <w:t>大气环境</w:t>
            </w:r>
          </w:p>
        </w:tc>
        <w:tc>
          <w:tcPr>
            <w:tcW w:w="1428" w:type="dxa"/>
            <w:vAlign w:val="center"/>
          </w:tcPr>
          <w:p>
            <w:pPr>
              <w:jc w:val="center"/>
              <w:rPr>
                <w:rFonts w:ascii="宋体" w:hAnsi="宋体" w:eastAsia="宋体" w:cs="宋体"/>
                <w:bCs/>
                <w:sz w:val="18"/>
                <w:szCs w:val="18"/>
              </w:rPr>
            </w:pPr>
            <w:r>
              <w:rPr>
                <w:rFonts w:hint="eastAsia" w:ascii="宋体" w:hAnsi="宋体" w:eastAsia="宋体" w:cs="宋体"/>
                <w:bCs/>
                <w:sz w:val="18"/>
                <w:szCs w:val="18"/>
                <w:lang w:val="en-US" w:eastAsia="zh-CN"/>
              </w:rPr>
              <w:t>粘合工序</w:t>
            </w:r>
            <w:r>
              <w:rPr>
                <w:rFonts w:hint="eastAsia" w:ascii="宋体" w:hAnsi="宋体" w:eastAsia="宋体" w:cs="宋体"/>
                <w:bCs/>
                <w:sz w:val="18"/>
                <w:szCs w:val="18"/>
              </w:rPr>
              <w:t>废气</w:t>
            </w:r>
          </w:p>
        </w:tc>
        <w:tc>
          <w:tcPr>
            <w:tcW w:w="1515" w:type="dxa"/>
            <w:vMerge w:val="restart"/>
            <w:vAlign w:val="center"/>
          </w:tcPr>
          <w:p>
            <w:pPr>
              <w:jc w:val="center"/>
              <w:rPr>
                <w:rFonts w:ascii="宋体" w:hAnsi="宋体" w:eastAsia="宋体" w:cs="宋体"/>
                <w:bCs/>
                <w:sz w:val="18"/>
                <w:szCs w:val="18"/>
              </w:rPr>
            </w:pPr>
            <w:r>
              <w:rPr>
                <w:rFonts w:hint="eastAsia" w:ascii="宋体" w:hAnsi="宋体" w:eastAsia="宋体" w:cs="宋体"/>
                <w:bCs/>
                <w:sz w:val="18"/>
                <w:szCs w:val="18"/>
              </w:rPr>
              <w:t>非甲烷总烃</w:t>
            </w:r>
          </w:p>
        </w:tc>
        <w:tc>
          <w:tcPr>
            <w:tcW w:w="3210" w:type="dxa"/>
            <w:vMerge w:val="restart"/>
            <w:vAlign w:val="center"/>
          </w:tcPr>
          <w:p>
            <w:pPr>
              <w:jc w:val="center"/>
              <w:rPr>
                <w:rFonts w:ascii="宋体" w:hAnsi="宋体" w:eastAsia="宋体" w:cs="宋体"/>
                <w:bCs/>
                <w:sz w:val="18"/>
                <w:szCs w:val="18"/>
              </w:rPr>
            </w:pPr>
            <w:r>
              <w:rPr>
                <w:rFonts w:hint="eastAsia" w:ascii="宋体" w:hAnsi="宋体" w:eastAsia="宋体" w:cs="宋体"/>
                <w:bCs/>
                <w:sz w:val="18"/>
                <w:szCs w:val="18"/>
              </w:rPr>
              <w:t>活性炭吸附箱装置+15m排气筒</w:t>
            </w:r>
          </w:p>
        </w:tc>
        <w:tc>
          <w:tcPr>
            <w:tcW w:w="1643" w:type="dxa"/>
            <w:vMerge w:val="restart"/>
          </w:tcPr>
          <w:p>
            <w:pPr>
              <w:rPr>
                <w:rFonts w:ascii="宋体" w:hAnsi="宋体" w:eastAsia="宋体" w:cs="宋体"/>
                <w:bCs/>
                <w:sz w:val="18"/>
                <w:szCs w:val="18"/>
              </w:rPr>
            </w:pPr>
            <w:r>
              <w:rPr>
                <w:rFonts w:hint="eastAsia" w:ascii="宋体" w:hAnsi="宋体" w:eastAsia="宋体" w:cs="宋体"/>
                <w:bCs/>
                <w:sz w:val="18"/>
                <w:szCs w:val="18"/>
              </w:rPr>
              <w:t>满足《上海市地方标准大气污染物综合排放标准》DB31/933-2015中排放标准；参照执行《挥发性有机物无组织排放控制标准》（GB 37822-2019）中表A.1规定的标准。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1101" w:type="dxa"/>
            <w:vMerge w:val="continue"/>
            <w:vAlign w:val="center"/>
          </w:tcPr>
          <w:p>
            <w:pPr>
              <w:jc w:val="center"/>
            </w:pPr>
          </w:p>
        </w:tc>
        <w:tc>
          <w:tcPr>
            <w:tcW w:w="1428"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胶印印刷废气</w:t>
            </w:r>
          </w:p>
        </w:tc>
        <w:tc>
          <w:tcPr>
            <w:tcW w:w="1515" w:type="dxa"/>
            <w:vMerge w:val="continue"/>
            <w:vAlign w:val="center"/>
          </w:tcPr>
          <w:p>
            <w:pPr>
              <w:jc w:val="center"/>
              <w:rPr>
                <w:rFonts w:ascii="宋体" w:hAnsi="宋体" w:eastAsia="宋体" w:cs="宋体"/>
                <w:bCs/>
                <w:sz w:val="18"/>
                <w:szCs w:val="18"/>
              </w:rPr>
            </w:pPr>
          </w:p>
        </w:tc>
        <w:tc>
          <w:tcPr>
            <w:tcW w:w="3210" w:type="dxa"/>
            <w:vMerge w:val="continue"/>
            <w:vAlign w:val="center"/>
          </w:tcPr>
          <w:p>
            <w:pPr>
              <w:jc w:val="center"/>
              <w:rPr>
                <w:rFonts w:ascii="宋体" w:hAnsi="宋体" w:eastAsia="宋体" w:cs="宋体"/>
                <w:bCs/>
                <w:sz w:val="18"/>
                <w:szCs w:val="18"/>
              </w:rPr>
            </w:pPr>
          </w:p>
        </w:tc>
        <w:tc>
          <w:tcPr>
            <w:tcW w:w="1643" w:type="dxa"/>
            <w:vMerge w:val="continue"/>
            <w:vAlign w:val="center"/>
          </w:tcPr>
          <w:p>
            <w:pPr>
              <w:jc w:val="center"/>
              <w:rPr>
                <w:rFonts w:ascii="宋体" w:hAnsi="宋体" w:eastAsia="宋体" w:cs="宋体"/>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1101" w:type="dxa"/>
            <w:vMerge w:val="restart"/>
            <w:vAlign w:val="center"/>
          </w:tcPr>
          <w:p>
            <w:pPr>
              <w:jc w:val="center"/>
              <w:rPr>
                <w:rFonts w:ascii="Times New Roman" w:hAnsi="Times New Roman" w:eastAsia="宋体" w:cs="Times New Roman"/>
                <w:b/>
                <w:bCs/>
                <w:sz w:val="24"/>
              </w:rPr>
            </w:pPr>
            <w:r>
              <w:rPr>
                <w:rFonts w:hint="eastAsia" w:ascii="Times New Roman" w:hAnsi="Times New Roman" w:eastAsia="宋体" w:cs="Times New Roman"/>
                <w:b/>
                <w:bCs/>
                <w:sz w:val="24"/>
              </w:rPr>
              <w:t>地表水环境</w:t>
            </w:r>
          </w:p>
        </w:tc>
        <w:tc>
          <w:tcPr>
            <w:tcW w:w="1428"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生活污水</w:t>
            </w:r>
          </w:p>
        </w:tc>
        <w:tc>
          <w:tcPr>
            <w:tcW w:w="1515"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COD、BOD</w:t>
            </w:r>
            <w:r>
              <w:rPr>
                <w:rFonts w:hint="eastAsia" w:ascii="宋体" w:hAnsi="宋体" w:eastAsia="宋体" w:cs="宋体"/>
                <w:bCs/>
                <w:sz w:val="18"/>
                <w:szCs w:val="18"/>
                <w:vertAlign w:val="subscript"/>
              </w:rPr>
              <w:t>5</w:t>
            </w:r>
            <w:r>
              <w:rPr>
                <w:rFonts w:hint="eastAsia" w:ascii="宋体" w:hAnsi="宋体" w:eastAsia="宋体" w:cs="宋体"/>
                <w:bCs/>
                <w:sz w:val="18"/>
                <w:szCs w:val="18"/>
              </w:rPr>
              <w:t>、SS、NH</w:t>
            </w:r>
            <w:r>
              <w:rPr>
                <w:rFonts w:hint="eastAsia" w:ascii="宋体" w:hAnsi="宋体" w:eastAsia="宋体" w:cs="宋体"/>
                <w:bCs/>
                <w:sz w:val="18"/>
                <w:szCs w:val="18"/>
                <w:vertAlign w:val="subscript"/>
              </w:rPr>
              <w:t>3</w:t>
            </w:r>
            <w:r>
              <w:rPr>
                <w:rFonts w:hint="eastAsia" w:ascii="宋体" w:hAnsi="宋体" w:eastAsia="宋体" w:cs="宋体"/>
                <w:bCs/>
                <w:sz w:val="18"/>
                <w:szCs w:val="18"/>
              </w:rPr>
              <w:t>-N等</w:t>
            </w:r>
          </w:p>
        </w:tc>
        <w:tc>
          <w:tcPr>
            <w:tcW w:w="3210"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经化粪池预处理后，由附近村民定期清掏</w:t>
            </w:r>
          </w:p>
        </w:tc>
        <w:tc>
          <w:tcPr>
            <w:tcW w:w="1643"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1101" w:type="dxa"/>
            <w:vMerge w:val="continue"/>
            <w:vAlign w:val="center"/>
          </w:tcPr>
          <w:p>
            <w:pPr>
              <w:jc w:val="center"/>
              <w:rPr>
                <w:rFonts w:ascii="Times New Roman" w:hAnsi="Times New Roman" w:eastAsia="宋体" w:cs="Times New Roman"/>
                <w:b/>
                <w:bCs/>
                <w:sz w:val="24"/>
              </w:rPr>
            </w:pPr>
          </w:p>
        </w:tc>
        <w:tc>
          <w:tcPr>
            <w:tcW w:w="1428"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生产废水</w:t>
            </w:r>
          </w:p>
        </w:tc>
        <w:tc>
          <w:tcPr>
            <w:tcW w:w="1515"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COD、色度、SS、NH</w:t>
            </w:r>
            <w:r>
              <w:rPr>
                <w:rFonts w:hint="eastAsia" w:ascii="宋体" w:hAnsi="宋体" w:eastAsia="宋体" w:cs="宋体"/>
                <w:bCs/>
                <w:sz w:val="18"/>
                <w:szCs w:val="18"/>
                <w:vertAlign w:val="subscript"/>
              </w:rPr>
              <w:t>3</w:t>
            </w:r>
            <w:r>
              <w:rPr>
                <w:rFonts w:hint="eastAsia" w:ascii="宋体" w:hAnsi="宋体" w:eastAsia="宋体" w:cs="宋体"/>
                <w:bCs/>
                <w:sz w:val="18"/>
                <w:szCs w:val="18"/>
              </w:rPr>
              <w:t>-N</w:t>
            </w:r>
          </w:p>
        </w:tc>
        <w:tc>
          <w:tcPr>
            <w:tcW w:w="3210"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经自建的废水处理设施1#处理后回用于印刷机清洗</w:t>
            </w:r>
          </w:p>
        </w:tc>
        <w:tc>
          <w:tcPr>
            <w:tcW w:w="1643"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1101" w:type="dxa"/>
            <w:vMerge w:val="restart"/>
            <w:vAlign w:val="center"/>
          </w:tcPr>
          <w:p>
            <w:pPr>
              <w:jc w:val="center"/>
              <w:rPr>
                <w:rFonts w:ascii="Times New Roman" w:hAnsi="Times New Roman" w:eastAsia="宋体" w:cs="Times New Roman"/>
                <w:b/>
                <w:bCs/>
                <w:sz w:val="24"/>
              </w:rPr>
            </w:pPr>
            <w:r>
              <w:rPr>
                <w:rFonts w:hint="eastAsia" w:ascii="Times New Roman" w:hAnsi="Times New Roman" w:eastAsia="宋体" w:cs="Times New Roman"/>
                <w:b/>
                <w:bCs/>
                <w:sz w:val="24"/>
              </w:rPr>
              <w:t>固体废物</w:t>
            </w:r>
          </w:p>
        </w:tc>
        <w:tc>
          <w:tcPr>
            <w:tcW w:w="1428"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生活垃圾</w:t>
            </w:r>
          </w:p>
        </w:tc>
        <w:tc>
          <w:tcPr>
            <w:tcW w:w="1515"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生活垃圾</w:t>
            </w:r>
          </w:p>
        </w:tc>
        <w:tc>
          <w:tcPr>
            <w:tcW w:w="3210"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交由环卫部门统一处理</w:t>
            </w:r>
          </w:p>
        </w:tc>
        <w:tc>
          <w:tcPr>
            <w:tcW w:w="1643" w:type="dxa"/>
            <w:vMerge w:val="restart"/>
            <w:vAlign w:val="center"/>
          </w:tcPr>
          <w:p>
            <w:pPr>
              <w:jc w:val="center"/>
              <w:rPr>
                <w:rFonts w:ascii="宋体" w:hAnsi="宋体" w:eastAsia="宋体" w:cs="宋体"/>
                <w:bCs/>
                <w:sz w:val="18"/>
                <w:szCs w:val="18"/>
              </w:rPr>
            </w:pPr>
            <w:r>
              <w:rPr>
                <w:rFonts w:hint="eastAsia" w:ascii="宋体" w:hAnsi="宋体" w:eastAsia="宋体" w:cs="宋体"/>
                <w:bCs/>
                <w:sz w:val="18"/>
                <w:szCs w:val="18"/>
              </w:rPr>
              <w:t>均得到合理处置不产生二次污染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101" w:type="dxa"/>
            <w:vMerge w:val="continue"/>
            <w:vAlign w:val="center"/>
          </w:tcPr>
          <w:p>
            <w:pPr>
              <w:jc w:val="center"/>
              <w:rPr>
                <w:rFonts w:ascii="Times New Roman" w:hAnsi="Times New Roman" w:eastAsia="宋体" w:cs="Times New Roman"/>
                <w:b/>
                <w:bCs/>
                <w:sz w:val="24"/>
              </w:rPr>
            </w:pPr>
          </w:p>
        </w:tc>
        <w:tc>
          <w:tcPr>
            <w:tcW w:w="1428" w:type="dxa"/>
            <w:vMerge w:val="restart"/>
            <w:vAlign w:val="center"/>
          </w:tcPr>
          <w:p>
            <w:pPr>
              <w:jc w:val="center"/>
              <w:rPr>
                <w:rFonts w:ascii="宋体" w:hAnsi="宋体" w:eastAsia="宋体" w:cs="宋体"/>
                <w:bCs/>
                <w:sz w:val="18"/>
                <w:szCs w:val="18"/>
              </w:rPr>
            </w:pPr>
            <w:r>
              <w:rPr>
                <w:rFonts w:hint="eastAsia" w:ascii="宋体" w:hAnsi="宋体" w:eastAsia="宋体" w:cs="宋体"/>
                <w:bCs/>
                <w:sz w:val="18"/>
                <w:szCs w:val="18"/>
              </w:rPr>
              <w:t>一般固废</w:t>
            </w:r>
          </w:p>
        </w:tc>
        <w:tc>
          <w:tcPr>
            <w:tcW w:w="1515"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废边角料</w:t>
            </w:r>
          </w:p>
        </w:tc>
        <w:tc>
          <w:tcPr>
            <w:tcW w:w="3210"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外售给物资公司</w:t>
            </w:r>
          </w:p>
        </w:tc>
        <w:tc>
          <w:tcPr>
            <w:tcW w:w="1643" w:type="dxa"/>
            <w:vMerge w:val="continue"/>
            <w:vAlign w:val="center"/>
          </w:tcPr>
          <w:p>
            <w:pPr>
              <w:jc w:val="center"/>
              <w:rPr>
                <w:rFonts w:ascii="宋体" w:hAnsi="宋体" w:eastAsia="宋体" w:cs="宋体"/>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101" w:type="dxa"/>
            <w:vMerge w:val="continue"/>
            <w:vAlign w:val="center"/>
          </w:tcPr>
          <w:p>
            <w:pPr>
              <w:jc w:val="center"/>
            </w:pPr>
          </w:p>
        </w:tc>
        <w:tc>
          <w:tcPr>
            <w:tcW w:w="1428" w:type="dxa"/>
            <w:vMerge w:val="continue"/>
            <w:vAlign w:val="center"/>
          </w:tcPr>
          <w:p>
            <w:pPr>
              <w:jc w:val="center"/>
              <w:rPr>
                <w:rFonts w:ascii="宋体" w:hAnsi="宋体" w:eastAsia="宋体" w:cs="宋体"/>
                <w:bCs/>
                <w:sz w:val="18"/>
                <w:szCs w:val="18"/>
              </w:rPr>
            </w:pPr>
          </w:p>
        </w:tc>
        <w:tc>
          <w:tcPr>
            <w:tcW w:w="1515"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废淀粉胶水桶</w:t>
            </w:r>
          </w:p>
        </w:tc>
        <w:tc>
          <w:tcPr>
            <w:tcW w:w="3210"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交由供应商回收处置</w:t>
            </w:r>
          </w:p>
        </w:tc>
        <w:tc>
          <w:tcPr>
            <w:tcW w:w="1643" w:type="dxa"/>
            <w:vMerge w:val="continue"/>
            <w:vAlign w:val="center"/>
          </w:tcPr>
          <w:p>
            <w:pPr>
              <w:jc w:val="center"/>
              <w:rPr>
                <w:rFonts w:ascii="宋体" w:hAnsi="宋体" w:eastAsia="宋体" w:cs="宋体"/>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07" w:hRule="atLeast"/>
          <w:jc w:val="center"/>
        </w:trPr>
        <w:tc>
          <w:tcPr>
            <w:tcW w:w="1101" w:type="dxa"/>
            <w:vMerge w:val="continue"/>
            <w:vAlign w:val="center"/>
          </w:tcPr>
          <w:p>
            <w:pPr>
              <w:jc w:val="center"/>
              <w:rPr>
                <w:rFonts w:ascii="宋体" w:hAnsi="宋体" w:eastAsia="宋体" w:cs="宋体"/>
                <w:bCs/>
                <w:sz w:val="18"/>
                <w:szCs w:val="18"/>
              </w:rPr>
            </w:pPr>
          </w:p>
        </w:tc>
        <w:tc>
          <w:tcPr>
            <w:tcW w:w="1428" w:type="dxa"/>
            <w:vMerge w:val="continue"/>
            <w:vAlign w:val="center"/>
          </w:tcPr>
          <w:p>
            <w:pPr>
              <w:jc w:val="center"/>
              <w:rPr>
                <w:rFonts w:ascii="宋体" w:hAnsi="宋体" w:eastAsia="宋体" w:cs="宋体"/>
                <w:bCs/>
                <w:sz w:val="18"/>
                <w:szCs w:val="18"/>
              </w:rPr>
            </w:pPr>
          </w:p>
        </w:tc>
        <w:tc>
          <w:tcPr>
            <w:tcW w:w="1515"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废擦拭抹布</w:t>
            </w:r>
          </w:p>
        </w:tc>
        <w:tc>
          <w:tcPr>
            <w:tcW w:w="3210"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交由环卫部门统一处理</w:t>
            </w:r>
          </w:p>
        </w:tc>
        <w:tc>
          <w:tcPr>
            <w:tcW w:w="1643" w:type="dxa"/>
            <w:vMerge w:val="continue"/>
            <w:vAlign w:val="center"/>
          </w:tcPr>
          <w:p>
            <w:pPr>
              <w:jc w:val="center"/>
              <w:rPr>
                <w:rFonts w:ascii="宋体" w:hAnsi="宋体" w:eastAsia="宋体" w:cs="宋体"/>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1101" w:type="dxa"/>
            <w:vMerge w:val="continue"/>
            <w:vAlign w:val="center"/>
          </w:tcPr>
          <w:p>
            <w:pPr>
              <w:jc w:val="center"/>
              <w:rPr>
                <w:rFonts w:ascii="Times New Roman" w:hAnsi="Times New Roman" w:eastAsia="宋体" w:cs="Times New Roman"/>
                <w:b/>
                <w:bCs/>
                <w:sz w:val="24"/>
              </w:rPr>
            </w:pPr>
          </w:p>
        </w:tc>
        <w:tc>
          <w:tcPr>
            <w:tcW w:w="1428" w:type="dxa"/>
            <w:vMerge w:val="restart"/>
            <w:vAlign w:val="center"/>
          </w:tcPr>
          <w:p>
            <w:pPr>
              <w:jc w:val="center"/>
              <w:rPr>
                <w:rFonts w:ascii="宋体" w:hAnsi="宋体" w:eastAsia="宋体" w:cs="宋体"/>
                <w:bCs/>
                <w:sz w:val="18"/>
                <w:szCs w:val="18"/>
              </w:rPr>
            </w:pPr>
            <w:r>
              <w:rPr>
                <w:rFonts w:hint="eastAsia" w:ascii="宋体" w:hAnsi="宋体" w:eastAsia="宋体" w:cs="宋体"/>
                <w:bCs/>
                <w:sz w:val="18"/>
                <w:szCs w:val="18"/>
              </w:rPr>
              <w:t>危险废物</w:t>
            </w:r>
          </w:p>
        </w:tc>
        <w:tc>
          <w:tcPr>
            <w:tcW w:w="1515"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废活性炭</w:t>
            </w:r>
          </w:p>
        </w:tc>
        <w:tc>
          <w:tcPr>
            <w:tcW w:w="3210" w:type="dxa"/>
            <w:vMerge w:val="restart"/>
            <w:vAlign w:val="center"/>
          </w:tcPr>
          <w:p>
            <w:pPr>
              <w:jc w:val="center"/>
              <w:rPr>
                <w:rFonts w:ascii="宋体" w:hAnsi="宋体" w:eastAsia="宋体" w:cs="宋体"/>
                <w:bCs/>
                <w:sz w:val="18"/>
                <w:szCs w:val="18"/>
              </w:rPr>
            </w:pPr>
            <w:r>
              <w:rPr>
                <w:rFonts w:hint="eastAsia" w:ascii="宋体" w:hAnsi="宋体" w:eastAsia="宋体" w:cs="宋体"/>
                <w:bCs/>
                <w:sz w:val="18"/>
                <w:szCs w:val="18"/>
              </w:rPr>
              <w:t>暂存于危废间内，由有资质单位定期安全处置</w:t>
            </w:r>
          </w:p>
        </w:tc>
        <w:tc>
          <w:tcPr>
            <w:tcW w:w="1643" w:type="dxa"/>
            <w:vMerge w:val="continue"/>
            <w:vAlign w:val="center"/>
          </w:tcPr>
          <w:p>
            <w:pPr>
              <w:jc w:val="center"/>
              <w:rPr>
                <w:rFonts w:ascii="宋体" w:hAnsi="宋体" w:eastAsia="宋体" w:cs="宋体"/>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6" w:hRule="atLeast"/>
          <w:jc w:val="center"/>
        </w:trPr>
        <w:tc>
          <w:tcPr>
            <w:tcW w:w="1101" w:type="dxa"/>
            <w:vMerge w:val="continue"/>
            <w:vAlign w:val="center"/>
          </w:tcPr>
          <w:p>
            <w:pPr>
              <w:jc w:val="center"/>
              <w:rPr>
                <w:rFonts w:ascii="Times New Roman" w:hAnsi="Times New Roman" w:eastAsia="宋体" w:cs="Times New Roman"/>
                <w:b/>
                <w:bCs/>
                <w:sz w:val="24"/>
              </w:rPr>
            </w:pPr>
          </w:p>
        </w:tc>
        <w:tc>
          <w:tcPr>
            <w:tcW w:w="1428" w:type="dxa"/>
            <w:vMerge w:val="continue"/>
            <w:vAlign w:val="center"/>
          </w:tcPr>
          <w:p>
            <w:pPr>
              <w:jc w:val="center"/>
              <w:rPr>
                <w:rFonts w:ascii="宋体" w:hAnsi="宋体" w:eastAsia="宋体" w:cs="宋体"/>
                <w:bCs/>
                <w:sz w:val="18"/>
                <w:szCs w:val="18"/>
              </w:rPr>
            </w:pPr>
          </w:p>
        </w:tc>
        <w:tc>
          <w:tcPr>
            <w:tcW w:w="1515" w:type="dxa"/>
            <w:vAlign w:val="center"/>
          </w:tcPr>
          <w:p>
            <w:pPr>
              <w:jc w:val="center"/>
              <w:rPr>
                <w:rFonts w:ascii="宋体" w:hAnsi="宋体" w:eastAsia="宋体" w:cs="宋体"/>
                <w:bCs/>
                <w:sz w:val="18"/>
                <w:szCs w:val="18"/>
              </w:rPr>
            </w:pPr>
            <w:r>
              <w:rPr>
                <w:rFonts w:hint="eastAsia" w:ascii="宋体" w:hAnsi="宋体" w:eastAsia="宋体" w:cs="宋体"/>
                <w:bCs/>
                <w:sz w:val="18"/>
                <w:szCs w:val="18"/>
              </w:rPr>
              <w:t>污泥</w:t>
            </w:r>
          </w:p>
        </w:tc>
        <w:tc>
          <w:tcPr>
            <w:tcW w:w="3210" w:type="dxa"/>
            <w:vMerge w:val="continue"/>
            <w:vAlign w:val="center"/>
          </w:tcPr>
          <w:p>
            <w:pPr>
              <w:jc w:val="center"/>
              <w:rPr>
                <w:rFonts w:ascii="宋体" w:hAnsi="宋体" w:eastAsia="宋体" w:cs="宋体"/>
                <w:bCs/>
                <w:sz w:val="18"/>
                <w:szCs w:val="18"/>
              </w:rPr>
            </w:pPr>
          </w:p>
        </w:tc>
        <w:tc>
          <w:tcPr>
            <w:tcW w:w="1643" w:type="dxa"/>
            <w:vMerge w:val="continue"/>
            <w:vAlign w:val="center"/>
          </w:tcPr>
          <w:p>
            <w:pPr>
              <w:jc w:val="center"/>
              <w:rPr>
                <w:rFonts w:ascii="宋体" w:hAnsi="宋体" w:eastAsia="宋体" w:cs="宋体"/>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35" w:hRule="atLeast"/>
          <w:jc w:val="center"/>
        </w:trPr>
        <w:tc>
          <w:tcPr>
            <w:tcW w:w="1101" w:type="dxa"/>
            <w:vAlign w:val="center"/>
          </w:tcPr>
          <w:p>
            <w:pPr>
              <w:jc w:val="center"/>
              <w:rPr>
                <w:rFonts w:ascii="Times New Roman" w:hAnsi="Times New Roman" w:eastAsia="宋体" w:cs="Times New Roman"/>
                <w:b/>
                <w:bCs/>
                <w:sz w:val="24"/>
              </w:rPr>
            </w:pPr>
            <w:r>
              <w:rPr>
                <w:rFonts w:hint="eastAsia" w:ascii="Times New Roman" w:hAnsi="Times New Roman" w:eastAsia="宋体" w:cs="Times New Roman"/>
                <w:b/>
                <w:bCs/>
                <w:sz w:val="24"/>
              </w:rPr>
              <w:t>声环境</w:t>
            </w:r>
          </w:p>
        </w:tc>
        <w:tc>
          <w:tcPr>
            <w:tcW w:w="7796" w:type="dxa"/>
            <w:gridSpan w:val="4"/>
            <w:vAlign w:val="center"/>
          </w:tcPr>
          <w:p>
            <w:pPr>
              <w:pStyle w:val="66"/>
              <w:spacing w:before="97"/>
              <w:ind w:left="527" w:firstLine="360" w:firstLineChars="200"/>
              <w:jc w:val="left"/>
              <w:rPr>
                <w:rFonts w:ascii="宋体" w:hAnsi="宋体" w:eastAsia="宋体" w:cs="宋体"/>
                <w:bCs/>
                <w:sz w:val="18"/>
                <w:szCs w:val="18"/>
                <w:lang w:val="en-US" w:bidi="ar-SA"/>
              </w:rPr>
            </w:pPr>
            <w:r>
              <w:rPr>
                <w:rFonts w:hint="eastAsia" w:ascii="宋体" w:hAnsi="宋体" w:eastAsia="宋体" w:cs="宋体"/>
                <w:bCs/>
                <w:sz w:val="18"/>
                <w:szCs w:val="18"/>
                <w:lang w:val="en-US" w:bidi="ar-SA"/>
              </w:rPr>
              <w:t>《工业企业厂界环境噪声排放标准》GB12348-2008 中2类标准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1101" w:type="dxa"/>
            <w:vAlign w:val="center"/>
          </w:tcPr>
          <w:p>
            <w:pPr>
              <w:jc w:val="center"/>
              <w:rPr>
                <w:rFonts w:ascii="Times New Roman" w:hAnsi="Times New Roman" w:eastAsia="宋体" w:cs="Times New Roman"/>
                <w:bCs/>
                <w:sz w:val="24"/>
              </w:rPr>
            </w:pPr>
            <w:r>
              <w:rPr>
                <w:rFonts w:hint="eastAsia" w:ascii="Times New Roman" w:hAnsi="Times New Roman" w:eastAsia="宋体" w:cs="Times New Roman"/>
                <w:b/>
                <w:bCs/>
                <w:sz w:val="24"/>
              </w:rPr>
              <w:t>土壤及地下水污染防治措施</w:t>
            </w:r>
          </w:p>
        </w:tc>
        <w:tc>
          <w:tcPr>
            <w:tcW w:w="7796" w:type="dxa"/>
            <w:gridSpan w:val="4"/>
            <w:vAlign w:val="center"/>
          </w:tcPr>
          <w:p>
            <w:pPr>
              <w:jc w:val="center"/>
              <w:rPr>
                <w:rFonts w:ascii="宋体" w:hAnsi="宋体" w:eastAsia="宋体" w:cs="宋体"/>
                <w:bCs/>
                <w:sz w:val="18"/>
                <w:szCs w:val="18"/>
              </w:rPr>
            </w:pPr>
            <w:r>
              <w:rPr>
                <w:rFonts w:hint="eastAsia" w:ascii="宋体" w:hAnsi="宋体" w:eastAsia="宋体" w:cs="宋体"/>
                <w:bCs/>
                <w:sz w:val="18"/>
                <w:szCs w:val="18"/>
              </w:rPr>
              <w:t>危废暂存间作为重点防渗区地面刷环氧树脂等防腐、防渗措施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7" w:hRule="atLeast"/>
          <w:jc w:val="center"/>
        </w:trPr>
        <w:tc>
          <w:tcPr>
            <w:tcW w:w="1101" w:type="dxa"/>
            <w:vAlign w:val="center"/>
          </w:tcPr>
          <w:p>
            <w:pPr>
              <w:jc w:val="center"/>
              <w:rPr>
                <w:rFonts w:ascii="Times New Roman" w:hAnsi="Times New Roman" w:eastAsia="宋体" w:cs="Times New Roman"/>
                <w:bCs/>
                <w:sz w:val="24"/>
              </w:rPr>
            </w:pPr>
            <w:r>
              <w:rPr>
                <w:rFonts w:hint="eastAsia" w:ascii="Times New Roman" w:hAnsi="Times New Roman" w:eastAsia="宋体" w:cs="Times New Roman"/>
                <w:b/>
                <w:bCs/>
                <w:sz w:val="24"/>
              </w:rPr>
              <w:t>生态保护措施</w:t>
            </w:r>
          </w:p>
        </w:tc>
        <w:tc>
          <w:tcPr>
            <w:tcW w:w="7796" w:type="dxa"/>
            <w:gridSpan w:val="4"/>
            <w:vAlign w:val="center"/>
          </w:tcPr>
          <w:p>
            <w:pPr>
              <w:pStyle w:val="23"/>
              <w:jc w:val="center"/>
              <w:rPr>
                <w:rFonts w:ascii="宋体" w:hAnsi="宋体" w:eastAsia="宋体" w:cs="宋体"/>
                <w:bCs/>
                <w:sz w:val="18"/>
                <w:szCs w:val="18"/>
              </w:rPr>
            </w:pPr>
            <w:r>
              <w:rPr>
                <w:rFonts w:hint="eastAsia" w:ascii="宋体" w:hAnsi="宋体" w:eastAsia="宋体" w:cs="宋体"/>
                <w:bCs/>
                <w:sz w:val="18"/>
                <w:szCs w:val="18"/>
              </w:rPr>
              <w:t>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1" w:hRule="atLeast"/>
          <w:jc w:val="center"/>
        </w:trPr>
        <w:tc>
          <w:tcPr>
            <w:tcW w:w="1101" w:type="dxa"/>
            <w:vAlign w:val="center"/>
          </w:tcPr>
          <w:p>
            <w:pPr>
              <w:jc w:val="center"/>
              <w:rPr>
                <w:rFonts w:ascii="Times New Roman" w:hAnsi="Times New Roman" w:eastAsia="宋体" w:cs="Times New Roman"/>
                <w:bCs/>
                <w:sz w:val="24"/>
              </w:rPr>
            </w:pPr>
            <w:r>
              <w:rPr>
                <w:rFonts w:hint="eastAsia" w:ascii="Times New Roman" w:hAnsi="Times New Roman" w:eastAsia="宋体" w:cs="Times New Roman"/>
                <w:b/>
                <w:bCs/>
                <w:sz w:val="24"/>
              </w:rPr>
              <w:t>环境风险防范措施</w:t>
            </w:r>
          </w:p>
        </w:tc>
        <w:tc>
          <w:tcPr>
            <w:tcW w:w="7796" w:type="dxa"/>
            <w:gridSpan w:val="4"/>
            <w:vAlign w:val="center"/>
          </w:tcPr>
          <w:p>
            <w:pPr>
              <w:jc w:val="center"/>
              <w:rPr>
                <w:rFonts w:ascii="宋体" w:hAnsi="宋体" w:eastAsia="宋体" w:cs="宋体"/>
                <w:bCs/>
                <w:sz w:val="18"/>
                <w:szCs w:val="18"/>
              </w:rPr>
            </w:pPr>
            <w:r>
              <w:rPr>
                <w:rFonts w:hint="eastAsia" w:ascii="宋体" w:hAnsi="宋体" w:eastAsia="宋体" w:cs="宋体"/>
                <w:bCs/>
                <w:sz w:val="18"/>
                <w:szCs w:val="18"/>
              </w:rPr>
              <w:t>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218" w:hRule="atLeast"/>
          <w:jc w:val="center"/>
        </w:trPr>
        <w:tc>
          <w:tcPr>
            <w:tcW w:w="1101" w:type="dxa"/>
            <w:vAlign w:val="center"/>
          </w:tcPr>
          <w:p>
            <w:pPr>
              <w:jc w:val="center"/>
              <w:rPr>
                <w:rFonts w:ascii="Times New Roman" w:hAnsi="Times New Roman" w:eastAsia="宋体" w:cs="Times New Roman"/>
                <w:bCs/>
                <w:sz w:val="24"/>
              </w:rPr>
            </w:pPr>
            <w:r>
              <w:rPr>
                <w:rFonts w:hint="eastAsia" w:ascii="Times New Roman" w:hAnsi="Times New Roman" w:eastAsia="宋体" w:cs="Times New Roman"/>
                <w:b/>
                <w:bCs/>
                <w:sz w:val="24"/>
              </w:rPr>
              <w:t>其他环境管理要求</w:t>
            </w:r>
          </w:p>
        </w:tc>
        <w:tc>
          <w:tcPr>
            <w:tcW w:w="7796" w:type="dxa"/>
            <w:gridSpan w:val="4"/>
            <w:vAlign w:val="center"/>
          </w:tcPr>
          <w:p>
            <w:pPr>
              <w:jc w:val="center"/>
              <w:rPr>
                <w:rFonts w:ascii="宋体" w:hAnsi="宋体" w:eastAsia="宋体" w:cs="宋体"/>
                <w:bCs/>
                <w:sz w:val="18"/>
                <w:szCs w:val="18"/>
              </w:rPr>
            </w:pPr>
            <w:r>
              <w:rPr>
                <w:rFonts w:hint="eastAsia" w:ascii="宋体" w:hAnsi="宋体" w:eastAsia="宋体" w:cs="宋体"/>
                <w:bCs/>
                <w:sz w:val="18"/>
                <w:szCs w:val="18"/>
              </w:rPr>
              <w:t>落实专人负责制度，废气处理设施需有专人维护保养并挂牌明示。做好废气设施的日常运行记录，建立健全管理台账，了解处理设施的动态信息，确保废气处理设施的正常运行。</w:t>
            </w:r>
          </w:p>
        </w:tc>
      </w:tr>
    </w:tbl>
    <w:p>
      <w:pPr>
        <w:rPr>
          <w:rFonts w:ascii="Times New Roman" w:hAnsi="Times New Roman" w:eastAsia="宋体" w:cs="Times New Roman"/>
        </w:rPr>
      </w:pPr>
      <w:r>
        <w:rPr>
          <w:rFonts w:ascii="Times New Roman" w:hAnsi="Times New Roman" w:eastAsia="宋体" w:cs="Times New Roman"/>
        </w:rPr>
        <w:br w:type="page"/>
      </w:r>
    </w:p>
    <w:p>
      <w:pPr>
        <w:pStyle w:val="3"/>
        <w:jc w:val="center"/>
        <w:rPr>
          <w:rFonts w:eastAsia="宋体"/>
          <w:b w:val="0"/>
          <w:bCs w:val="0"/>
          <w:szCs w:val="32"/>
        </w:rPr>
      </w:pPr>
      <w:r>
        <w:rPr>
          <w:rFonts w:hint="eastAsia" w:eastAsia="宋体"/>
          <w:szCs w:val="32"/>
        </w:rPr>
        <w:t>六</w:t>
      </w:r>
      <w:r>
        <w:rPr>
          <w:rFonts w:eastAsia="宋体"/>
          <w:szCs w:val="32"/>
        </w:rPr>
        <w:t>、</w:t>
      </w:r>
      <w:r>
        <w:rPr>
          <w:rFonts w:hint="eastAsia" w:eastAsia="宋体"/>
          <w:szCs w:val="32"/>
        </w:rPr>
        <w:t>结论</w:t>
      </w:r>
      <w:r>
        <w:rPr>
          <w:rFonts w:eastAsia="宋体"/>
          <w:szCs w:val="32"/>
        </w:rPr>
        <w:t>与建议</w:t>
      </w:r>
    </w:p>
    <w:tbl>
      <w:tblPr>
        <w:tblStyle w:val="27"/>
        <w:tblW w:w="9047"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4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9477" w:hRule="atLeast"/>
        </w:trPr>
        <w:tc>
          <w:tcPr>
            <w:tcW w:w="9047" w:type="dxa"/>
          </w:tcPr>
          <w:p>
            <w:pPr>
              <w:adjustRightInd w:val="0"/>
              <w:snapToGrid w:val="0"/>
              <w:spacing w:line="360" w:lineRule="auto"/>
              <w:ind w:left="40" w:firstLine="420" w:firstLineChars="200"/>
              <w:rPr>
                <w:rFonts w:ascii="宋体" w:hAnsi="宋体" w:eastAsia="宋体" w:cs="宋体"/>
                <w:szCs w:val="21"/>
              </w:rPr>
            </w:pPr>
            <w:r>
              <w:rPr>
                <w:rFonts w:hint="eastAsia" w:ascii="宋体" w:hAnsi="宋体" w:eastAsia="宋体" w:cs="宋体"/>
                <w:szCs w:val="21"/>
              </w:rPr>
              <w:t>晨阳塑料纸箱二次扩建项目建设符合国家产业政策、当地规划以及相关法律法规要求。建设单位需认真落实本报告提出的各项污染防治措施，切实做到“三同时”，加强环境管理，做好环境污染防治工作，项目营运过程中各污染物均能达标排放，可满足当地环境质量要求，对区域环境造成影响较小。</w:t>
            </w:r>
          </w:p>
          <w:p>
            <w:pPr>
              <w:pStyle w:val="23"/>
              <w:spacing w:after="0" w:line="240" w:lineRule="auto"/>
              <w:ind w:firstLine="420" w:firstLineChars="200"/>
            </w:pPr>
            <w:r>
              <w:rPr>
                <w:rFonts w:hint="eastAsia" w:ascii="宋体" w:hAnsi="宋体" w:eastAsia="宋体" w:cs="宋体"/>
                <w:szCs w:val="21"/>
              </w:rPr>
              <w:t>因此，从环境影响角度看，该项目是可行的</w:t>
            </w:r>
            <w:r>
              <w:rPr>
                <w:rFonts w:hint="eastAsia" w:ascii="宋体" w:cs="宋体"/>
                <w:sz w:val="24"/>
              </w:rPr>
              <w:t>。</w:t>
            </w:r>
          </w:p>
        </w:tc>
      </w:tr>
    </w:tbl>
    <w:p>
      <w:pPr>
        <w:pStyle w:val="23"/>
        <w:spacing w:after="0" w:line="240" w:lineRule="auto"/>
        <w:rPr>
          <w:rFonts w:ascii="微软雅黑" w:eastAsia="微软雅黑"/>
          <w:sz w:val="38"/>
        </w:rPr>
      </w:pPr>
      <w:r>
        <w:rPr>
          <w:rFonts w:hint="eastAsia" w:ascii="微软雅黑" w:eastAsia="微软雅黑"/>
          <w:sz w:val="38"/>
        </w:rPr>
        <w:br w:type="page"/>
      </w:r>
    </w:p>
    <w:p>
      <w:pPr>
        <w:pStyle w:val="23"/>
        <w:spacing w:after="0" w:line="240" w:lineRule="auto"/>
        <w:jc w:val="center"/>
        <w:rPr>
          <w:rFonts w:ascii="微软雅黑" w:eastAsia="微软雅黑"/>
          <w:sz w:val="38"/>
        </w:rPr>
        <w:sectPr>
          <w:headerReference r:id="rId5" w:type="default"/>
          <w:footerReference r:id="rId6" w:type="default"/>
          <w:pgSz w:w="11906" w:h="16838"/>
          <w:pgMar w:top="1417" w:right="1417" w:bottom="1417" w:left="1417" w:header="737" w:footer="850" w:gutter="0"/>
          <w:cols w:space="0" w:num="1"/>
          <w:docGrid w:type="lines" w:linePitch="312" w:charSpace="0"/>
        </w:sectPr>
      </w:pPr>
    </w:p>
    <w:p>
      <w:pPr>
        <w:pStyle w:val="23"/>
        <w:spacing w:after="0" w:line="240" w:lineRule="auto"/>
        <w:jc w:val="center"/>
      </w:pPr>
      <w:r>
        <w:rPr>
          <w:rFonts w:hint="eastAsia" w:ascii="微软雅黑" w:eastAsia="微软雅黑"/>
          <w:sz w:val="38"/>
        </w:rPr>
        <w:t>建设项目污染物排放量汇总表</w:t>
      </w:r>
    </w:p>
    <w:tbl>
      <w:tblPr>
        <w:tblStyle w:val="26"/>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7"/>
        <w:gridCol w:w="716"/>
        <w:gridCol w:w="704"/>
        <w:gridCol w:w="1701"/>
        <w:gridCol w:w="1278"/>
        <w:gridCol w:w="1703"/>
        <w:gridCol w:w="1559"/>
        <w:gridCol w:w="1763"/>
        <w:gridCol w:w="1821"/>
        <w:gridCol w:w="12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17" w:hRule="atLeast"/>
        </w:trPr>
        <w:tc>
          <w:tcPr>
            <w:tcW w:w="1287" w:type="dxa"/>
            <w:tcBorders>
              <w:bottom w:val="single" w:color="000000" w:sz="4" w:space="0"/>
              <w:right w:val="single" w:color="000000" w:sz="4" w:space="0"/>
            </w:tcBorders>
          </w:tcPr>
          <w:p>
            <w:pPr>
              <w:pStyle w:val="66"/>
              <w:spacing w:before="114"/>
              <w:ind w:left="861"/>
              <w:rPr>
                <w:rFonts w:ascii="宋体" w:hAnsi="宋体" w:eastAsia="宋体" w:cs="宋体"/>
                <w:szCs w:val="21"/>
                <w:lang w:val="en-US" w:bidi="ar-SA"/>
              </w:rPr>
            </w:pPr>
            <w:r>
              <w:rPr>
                <w:lang w:val="en-US" w:bidi="ar-SA"/>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1905</wp:posOffset>
                      </wp:positionV>
                      <wp:extent cx="770255" cy="753745"/>
                      <wp:effectExtent l="12700" t="11430" r="7620" b="6350"/>
                      <wp:wrapNone/>
                      <wp:docPr id="2" name="Freeform 411"/>
                      <wp:cNvGraphicFramePr/>
                      <a:graphic xmlns:a="http://schemas.openxmlformats.org/drawingml/2006/main">
                        <a:graphicData uri="http://schemas.microsoft.com/office/word/2010/wordprocessingShape">
                          <wps:wsp>
                            <wps:cNvSpPr/>
                            <wps:spPr bwMode="auto">
                              <a:xfrm>
                                <a:off x="0" y="0"/>
                                <a:ext cx="770255" cy="753745"/>
                              </a:xfrm>
                              <a:custGeom>
                                <a:avLst/>
                                <a:gdLst>
                                  <a:gd name="T0" fmla="*/ 0 w 1213"/>
                                  <a:gd name="T1" fmla="*/ 0 h 1187"/>
                                  <a:gd name="T2" fmla="*/ 1186 w 1213"/>
                                  <a:gd name="T3" fmla="*/ 1187 h 1187"/>
                                  <a:gd name="T4" fmla="*/ 1213 w 1213"/>
                                  <a:gd name="T5" fmla="*/ 1187 h 1187"/>
                                </a:gdLst>
                                <a:ahLst/>
                                <a:cxnLst>
                                  <a:cxn ang="0">
                                    <a:pos x="T0" y="T1"/>
                                  </a:cxn>
                                  <a:cxn ang="0">
                                    <a:pos x="T2" y="T3"/>
                                  </a:cxn>
                                  <a:cxn ang="0">
                                    <a:pos x="T4" y="T5"/>
                                  </a:cxn>
                                </a:cxnLst>
                                <a:rect l="0" t="0" r="r" b="b"/>
                                <a:pathLst>
                                  <a:path w="1213" h="1187">
                                    <a:moveTo>
                                      <a:pt x="0" y="0"/>
                                    </a:moveTo>
                                    <a:lnTo>
                                      <a:pt x="1186" y="1187"/>
                                    </a:lnTo>
                                    <a:lnTo>
                                      <a:pt x="1213" y="1187"/>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Freeform 411" o:spid="_x0000_s1026" o:spt="100" style="position:absolute;left:0pt;margin-left:1.75pt;margin-top:0.15pt;height:59.35pt;width:60.65pt;z-index:251663360;mso-width-relative:page;mso-height-relative:page;" filled="f" stroked="t" coordsize="1213,1187" o:gfxdata="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vMhAc1QAAAAYBAAAP&#10;AAAAAAAAAAEAIAAAACIAAABkcnMvZG93bnJldi54bWxQSwECFAAUAAAACACHTuJAjlvRIsYCAAB0&#10;BgAADgAAAAAAAAABACAAAAAkAQAAZHJzL2Uyb0RvYy54bWxQSwUGAAAAAAYABgBZAQAAXAYAAAAA&#10;" path="m0,0l1186,1187,1213,1187e">
                      <v:path o:connectlocs="0,0;753110,753745;770255,753745" o:connectangles="0,0,0"/>
                      <v:fill on="f" focussize="0,0"/>
                      <v:stroke color="#000000" joinstyle="round"/>
                      <v:imagedata o:title=""/>
                      <o:lock v:ext="edit" aspectratio="f"/>
                    </v:shape>
                  </w:pict>
                </mc:Fallback>
              </mc:AlternateContent>
            </w:r>
            <w:r>
              <w:rPr>
                <w:rFonts w:hint="eastAsia" w:ascii="宋体" w:hAnsi="宋体" w:eastAsia="宋体" w:cs="宋体"/>
                <w:szCs w:val="21"/>
                <w:lang w:val="en-US" w:bidi="ar-SA"/>
              </w:rPr>
              <w:t>项目</w:t>
            </w:r>
          </w:p>
          <w:p>
            <w:pPr>
              <w:pStyle w:val="66"/>
              <w:spacing w:before="5"/>
              <w:ind w:left="25"/>
              <w:rPr>
                <w:rFonts w:ascii="宋体" w:hAnsi="宋体" w:eastAsia="宋体" w:cs="宋体"/>
                <w:szCs w:val="21"/>
                <w:lang w:val="en-US" w:bidi="ar-SA"/>
              </w:rPr>
            </w:pPr>
            <w:r>
              <w:rPr>
                <w:rFonts w:hint="eastAsia" w:ascii="宋体" w:hAnsi="宋体" w:eastAsia="宋体" w:cs="宋体"/>
                <w:szCs w:val="21"/>
                <w:lang w:val="en-US" w:bidi="ar-SA"/>
              </w:rPr>
              <w:t>分类</w:t>
            </w:r>
          </w:p>
        </w:tc>
        <w:tc>
          <w:tcPr>
            <w:tcW w:w="1420" w:type="dxa"/>
            <w:gridSpan w:val="2"/>
            <w:tcBorders>
              <w:left w:val="single" w:color="000000" w:sz="4" w:space="0"/>
              <w:bottom w:val="single" w:color="000000" w:sz="4" w:space="0"/>
              <w:right w:val="single" w:color="000000" w:sz="4" w:space="0"/>
            </w:tcBorders>
          </w:tcPr>
          <w:p>
            <w:pPr>
              <w:pStyle w:val="66"/>
              <w:spacing w:before="1"/>
              <w:ind w:left="218"/>
              <w:rPr>
                <w:rFonts w:ascii="宋体" w:hAnsi="宋体" w:eastAsia="宋体" w:cs="宋体"/>
                <w:szCs w:val="21"/>
                <w:lang w:val="en-US" w:bidi="ar-SA"/>
              </w:rPr>
            </w:pPr>
          </w:p>
          <w:p>
            <w:pPr>
              <w:pStyle w:val="66"/>
              <w:spacing w:before="1"/>
              <w:ind w:left="218"/>
              <w:rPr>
                <w:rFonts w:ascii="宋体" w:hAnsi="宋体" w:eastAsia="宋体" w:cs="宋体"/>
                <w:szCs w:val="21"/>
                <w:lang w:val="en-US" w:bidi="ar-SA"/>
              </w:rPr>
            </w:pPr>
            <w:r>
              <w:rPr>
                <w:rFonts w:hint="eastAsia" w:ascii="宋体" w:hAnsi="宋体" w:eastAsia="宋体" w:cs="宋体"/>
                <w:szCs w:val="21"/>
                <w:lang w:val="en-US" w:bidi="ar-SA"/>
              </w:rPr>
              <w:t>污染物名称</w:t>
            </w:r>
          </w:p>
        </w:tc>
        <w:tc>
          <w:tcPr>
            <w:tcW w:w="1701" w:type="dxa"/>
            <w:tcBorders>
              <w:left w:val="single" w:color="000000" w:sz="4" w:space="0"/>
              <w:bottom w:val="single" w:color="000000" w:sz="4" w:space="0"/>
              <w:right w:val="single" w:color="000000" w:sz="4" w:space="0"/>
            </w:tcBorders>
          </w:tcPr>
          <w:p>
            <w:pPr>
              <w:pStyle w:val="66"/>
              <w:spacing w:line="249" w:lineRule="exact"/>
              <w:ind w:left="149" w:right="34"/>
              <w:jc w:val="center"/>
              <w:rPr>
                <w:rFonts w:ascii="宋体" w:hAnsi="宋体" w:eastAsia="宋体" w:cs="宋体"/>
                <w:szCs w:val="21"/>
                <w:lang w:val="en-US" w:bidi="ar-SA"/>
              </w:rPr>
            </w:pPr>
            <w:r>
              <w:rPr>
                <w:rFonts w:hint="eastAsia" w:ascii="宋体" w:hAnsi="宋体" w:eastAsia="宋体" w:cs="宋体"/>
                <w:szCs w:val="21"/>
                <w:lang w:val="en-US" w:bidi="ar-SA"/>
              </w:rPr>
              <w:t>现有工程</w:t>
            </w:r>
          </w:p>
          <w:p>
            <w:pPr>
              <w:pStyle w:val="66"/>
              <w:spacing w:before="2" w:line="244" w:lineRule="auto"/>
              <w:ind w:left="58" w:right="34"/>
              <w:jc w:val="center"/>
              <w:rPr>
                <w:rFonts w:ascii="宋体" w:hAnsi="宋体" w:eastAsia="宋体" w:cs="宋体"/>
                <w:szCs w:val="21"/>
                <w:lang w:val="en-US" w:bidi="ar-SA"/>
              </w:rPr>
            </w:pPr>
            <w:r>
              <w:rPr>
                <w:rFonts w:hint="eastAsia" w:ascii="宋体" w:hAnsi="宋体" w:eastAsia="宋体" w:cs="宋体"/>
                <w:szCs w:val="21"/>
                <w:lang w:val="en-US" w:bidi="ar-SA"/>
              </w:rPr>
              <w:t>排放量（固体废物产生量）（t/a）①</w:t>
            </w:r>
          </w:p>
        </w:tc>
        <w:tc>
          <w:tcPr>
            <w:tcW w:w="1278" w:type="dxa"/>
            <w:tcBorders>
              <w:left w:val="single" w:color="000000" w:sz="4" w:space="0"/>
              <w:bottom w:val="single" w:color="000000" w:sz="4" w:space="0"/>
              <w:right w:val="single" w:color="000000" w:sz="4" w:space="0"/>
            </w:tcBorders>
          </w:tcPr>
          <w:p>
            <w:pPr>
              <w:pStyle w:val="66"/>
              <w:spacing w:line="249" w:lineRule="exact"/>
              <w:ind w:left="146" w:right="29"/>
              <w:jc w:val="center"/>
              <w:rPr>
                <w:rFonts w:ascii="宋体" w:hAnsi="宋体" w:eastAsia="宋体" w:cs="宋体"/>
                <w:szCs w:val="21"/>
                <w:lang w:val="en-US" w:bidi="ar-SA"/>
              </w:rPr>
            </w:pPr>
            <w:r>
              <w:rPr>
                <w:rFonts w:hint="eastAsia" w:ascii="宋体" w:hAnsi="宋体" w:eastAsia="宋体" w:cs="宋体"/>
                <w:szCs w:val="21"/>
                <w:lang w:val="en-US" w:bidi="ar-SA"/>
              </w:rPr>
              <w:t>现有工程</w:t>
            </w:r>
          </w:p>
          <w:p>
            <w:pPr>
              <w:pStyle w:val="66"/>
              <w:spacing w:before="2"/>
              <w:ind w:left="146" w:right="31"/>
              <w:jc w:val="center"/>
              <w:rPr>
                <w:rFonts w:ascii="宋体" w:hAnsi="宋体" w:eastAsia="宋体" w:cs="宋体"/>
                <w:szCs w:val="21"/>
                <w:lang w:val="en-US" w:bidi="ar-SA"/>
              </w:rPr>
            </w:pPr>
            <w:r>
              <w:rPr>
                <w:rFonts w:hint="eastAsia" w:ascii="宋体" w:hAnsi="宋体" w:eastAsia="宋体" w:cs="宋体"/>
                <w:szCs w:val="21"/>
                <w:lang w:val="en-US" w:bidi="ar-SA"/>
              </w:rPr>
              <w:t>许可排放量</w:t>
            </w:r>
          </w:p>
          <w:p>
            <w:pPr>
              <w:pStyle w:val="66"/>
              <w:spacing w:before="4"/>
              <w:ind w:left="146" w:right="31"/>
              <w:jc w:val="center"/>
              <w:rPr>
                <w:rFonts w:ascii="宋体" w:hAnsi="宋体" w:eastAsia="宋体" w:cs="宋体"/>
                <w:szCs w:val="21"/>
                <w:lang w:val="en-US" w:bidi="ar-SA"/>
              </w:rPr>
            </w:pPr>
            <w:r>
              <w:rPr>
                <w:rFonts w:hint="eastAsia" w:ascii="宋体" w:hAnsi="宋体" w:eastAsia="宋体" w:cs="宋体"/>
                <w:szCs w:val="21"/>
                <w:lang w:val="en-US" w:bidi="ar-SA"/>
              </w:rPr>
              <w:t>②</w:t>
            </w:r>
          </w:p>
        </w:tc>
        <w:tc>
          <w:tcPr>
            <w:tcW w:w="1703" w:type="dxa"/>
            <w:tcBorders>
              <w:left w:val="single" w:color="000000" w:sz="4" w:space="0"/>
              <w:bottom w:val="single" w:color="000000" w:sz="4" w:space="0"/>
              <w:right w:val="single" w:color="000000" w:sz="4" w:space="0"/>
            </w:tcBorders>
          </w:tcPr>
          <w:p>
            <w:pPr>
              <w:pStyle w:val="66"/>
              <w:spacing w:line="249" w:lineRule="exact"/>
              <w:ind w:left="148" w:right="36"/>
              <w:jc w:val="center"/>
              <w:rPr>
                <w:rFonts w:ascii="宋体" w:hAnsi="宋体" w:eastAsia="宋体" w:cs="宋体"/>
                <w:szCs w:val="21"/>
                <w:lang w:val="en-US" w:bidi="ar-SA"/>
              </w:rPr>
            </w:pPr>
            <w:r>
              <w:rPr>
                <w:rFonts w:hint="eastAsia" w:ascii="宋体" w:hAnsi="宋体" w:eastAsia="宋体" w:cs="宋体"/>
                <w:szCs w:val="21"/>
                <w:lang w:val="en-US" w:bidi="ar-SA"/>
              </w:rPr>
              <w:t>在建工程</w:t>
            </w:r>
          </w:p>
          <w:p>
            <w:pPr>
              <w:pStyle w:val="66"/>
              <w:spacing w:before="2" w:line="244" w:lineRule="auto"/>
              <w:ind w:left="58" w:right="36"/>
              <w:jc w:val="center"/>
              <w:rPr>
                <w:rFonts w:ascii="宋体" w:hAnsi="宋体" w:eastAsia="宋体" w:cs="宋体"/>
                <w:szCs w:val="21"/>
                <w:lang w:val="en-US" w:bidi="ar-SA"/>
              </w:rPr>
            </w:pPr>
            <w:r>
              <w:rPr>
                <w:rFonts w:hint="eastAsia" w:ascii="宋体" w:hAnsi="宋体" w:eastAsia="宋体" w:cs="宋体"/>
                <w:szCs w:val="21"/>
                <w:lang w:val="en-US" w:bidi="ar-SA"/>
              </w:rPr>
              <w:t>排放量（固体废物产生量）③</w:t>
            </w:r>
          </w:p>
        </w:tc>
        <w:tc>
          <w:tcPr>
            <w:tcW w:w="1559" w:type="dxa"/>
            <w:tcBorders>
              <w:left w:val="single" w:color="000000" w:sz="4" w:space="0"/>
              <w:bottom w:val="single" w:color="000000" w:sz="4" w:space="0"/>
              <w:right w:val="single" w:color="000000" w:sz="4" w:space="0"/>
            </w:tcBorders>
          </w:tcPr>
          <w:p>
            <w:pPr>
              <w:pStyle w:val="66"/>
              <w:spacing w:line="249" w:lineRule="exact"/>
              <w:ind w:left="116" w:right="6"/>
              <w:jc w:val="center"/>
              <w:rPr>
                <w:rFonts w:ascii="宋体" w:hAnsi="宋体" w:eastAsia="宋体" w:cs="宋体"/>
                <w:szCs w:val="21"/>
                <w:lang w:val="en-US" w:bidi="ar-SA"/>
              </w:rPr>
            </w:pPr>
            <w:r>
              <w:rPr>
                <w:rFonts w:hint="eastAsia" w:ascii="宋体" w:hAnsi="宋体" w:eastAsia="宋体" w:cs="宋体"/>
                <w:szCs w:val="21"/>
                <w:lang w:val="en-US" w:bidi="ar-SA"/>
              </w:rPr>
              <w:t>本项目</w:t>
            </w:r>
          </w:p>
          <w:p>
            <w:pPr>
              <w:pStyle w:val="66"/>
              <w:spacing w:before="2" w:line="244" w:lineRule="auto"/>
              <w:ind w:left="25" w:right="6"/>
              <w:jc w:val="center"/>
              <w:rPr>
                <w:rFonts w:ascii="宋体" w:hAnsi="宋体" w:eastAsia="宋体" w:cs="宋体"/>
                <w:szCs w:val="21"/>
                <w:lang w:val="en-US" w:bidi="ar-SA"/>
              </w:rPr>
            </w:pPr>
            <w:r>
              <w:rPr>
                <w:rFonts w:hint="eastAsia" w:ascii="宋体" w:hAnsi="宋体" w:eastAsia="宋体" w:cs="宋体"/>
                <w:szCs w:val="21"/>
                <w:lang w:val="en-US" w:bidi="ar-SA"/>
              </w:rPr>
              <w:t>排放量（固体废物产生量）（t/a）④</w:t>
            </w:r>
          </w:p>
        </w:tc>
        <w:tc>
          <w:tcPr>
            <w:tcW w:w="1763" w:type="dxa"/>
            <w:tcBorders>
              <w:left w:val="single" w:color="000000" w:sz="4" w:space="0"/>
              <w:bottom w:val="single" w:color="000000" w:sz="4" w:space="0"/>
              <w:right w:val="single" w:color="000000" w:sz="4" w:space="0"/>
            </w:tcBorders>
          </w:tcPr>
          <w:p>
            <w:pPr>
              <w:pStyle w:val="66"/>
              <w:spacing w:before="114"/>
              <w:ind w:left="175" w:right="68"/>
              <w:jc w:val="center"/>
              <w:rPr>
                <w:rFonts w:ascii="宋体" w:hAnsi="宋体" w:eastAsia="宋体" w:cs="宋体"/>
                <w:szCs w:val="21"/>
                <w:lang w:val="en-US" w:bidi="ar-SA"/>
              </w:rPr>
            </w:pPr>
            <w:r>
              <w:rPr>
                <w:rFonts w:hint="eastAsia" w:ascii="宋体" w:hAnsi="宋体" w:eastAsia="宋体" w:cs="宋体"/>
                <w:szCs w:val="21"/>
                <w:lang w:val="en-US" w:bidi="ar-SA"/>
              </w:rPr>
              <w:t>以新带老削减量</w:t>
            </w:r>
          </w:p>
          <w:p>
            <w:pPr>
              <w:pStyle w:val="66"/>
              <w:spacing w:before="5"/>
              <w:ind w:left="60" w:right="-58"/>
              <w:jc w:val="center"/>
              <w:rPr>
                <w:rFonts w:ascii="宋体" w:hAnsi="宋体" w:eastAsia="宋体" w:cs="宋体"/>
                <w:szCs w:val="21"/>
                <w:lang w:val="en-US" w:bidi="ar-SA"/>
              </w:rPr>
            </w:pPr>
            <w:r>
              <w:rPr>
                <w:rFonts w:hint="eastAsia" w:ascii="宋体" w:hAnsi="宋体" w:eastAsia="宋体" w:cs="宋体"/>
                <w:szCs w:val="21"/>
                <w:lang w:val="en-US" w:bidi="ar-SA"/>
              </w:rPr>
              <w:t>⑤</w:t>
            </w:r>
          </w:p>
        </w:tc>
        <w:tc>
          <w:tcPr>
            <w:tcW w:w="1821" w:type="dxa"/>
            <w:tcBorders>
              <w:left w:val="single" w:color="000000" w:sz="4" w:space="0"/>
              <w:bottom w:val="single" w:color="000000" w:sz="4" w:space="0"/>
              <w:right w:val="single" w:color="000000" w:sz="4" w:space="0"/>
            </w:tcBorders>
          </w:tcPr>
          <w:p>
            <w:pPr>
              <w:pStyle w:val="66"/>
              <w:spacing w:line="249" w:lineRule="exact"/>
              <w:ind w:left="310" w:right="200"/>
              <w:jc w:val="center"/>
              <w:rPr>
                <w:rFonts w:ascii="宋体" w:hAnsi="宋体" w:eastAsia="宋体" w:cs="宋体"/>
                <w:szCs w:val="21"/>
                <w:lang w:val="en-US" w:bidi="ar-SA"/>
              </w:rPr>
            </w:pPr>
            <w:r>
              <w:rPr>
                <w:rFonts w:hint="eastAsia" w:ascii="宋体" w:hAnsi="宋体" w:eastAsia="宋体" w:cs="宋体"/>
                <w:szCs w:val="21"/>
                <w:lang w:val="en-US" w:bidi="ar-SA"/>
              </w:rPr>
              <w:t>本项目建成后</w:t>
            </w:r>
          </w:p>
          <w:p>
            <w:pPr>
              <w:pStyle w:val="66"/>
              <w:spacing w:before="2" w:line="244" w:lineRule="auto"/>
              <w:ind w:left="25" w:right="-15"/>
              <w:jc w:val="center"/>
              <w:rPr>
                <w:rFonts w:ascii="宋体" w:hAnsi="宋体" w:eastAsia="宋体" w:cs="宋体"/>
                <w:szCs w:val="21"/>
                <w:lang w:val="en-US" w:bidi="ar-SA"/>
              </w:rPr>
            </w:pPr>
            <w:r>
              <w:rPr>
                <w:rFonts w:hint="eastAsia" w:ascii="宋体" w:hAnsi="宋体" w:eastAsia="宋体" w:cs="宋体"/>
                <w:szCs w:val="21"/>
                <w:lang w:val="en-US" w:bidi="ar-SA"/>
              </w:rPr>
              <w:t>全厂排放量</w:t>
            </w:r>
          </w:p>
          <w:p>
            <w:pPr>
              <w:pStyle w:val="66"/>
              <w:spacing w:before="2" w:line="244" w:lineRule="auto"/>
              <w:ind w:left="25" w:right="-15"/>
              <w:jc w:val="center"/>
              <w:rPr>
                <w:rFonts w:ascii="宋体" w:hAnsi="宋体" w:eastAsia="宋体" w:cs="宋体"/>
                <w:szCs w:val="21"/>
                <w:lang w:val="en-US" w:bidi="ar-SA"/>
              </w:rPr>
            </w:pPr>
            <w:r>
              <w:rPr>
                <w:rFonts w:hint="eastAsia" w:ascii="宋体" w:hAnsi="宋体" w:eastAsia="宋体" w:cs="宋体"/>
                <w:szCs w:val="21"/>
                <w:lang w:val="en-US" w:bidi="ar-SA"/>
              </w:rPr>
              <w:t>（固体废物产生量）（t/a）⑥</w:t>
            </w:r>
          </w:p>
        </w:tc>
        <w:tc>
          <w:tcPr>
            <w:tcW w:w="1232" w:type="dxa"/>
            <w:tcBorders>
              <w:left w:val="single" w:color="000000" w:sz="4" w:space="0"/>
              <w:bottom w:val="single" w:color="000000" w:sz="4" w:space="0"/>
            </w:tcBorders>
          </w:tcPr>
          <w:p>
            <w:pPr>
              <w:pStyle w:val="66"/>
              <w:spacing w:before="114"/>
              <w:ind w:left="330" w:right="217"/>
              <w:jc w:val="center"/>
              <w:rPr>
                <w:rFonts w:ascii="宋体" w:hAnsi="宋体" w:eastAsia="宋体" w:cs="宋体"/>
                <w:szCs w:val="21"/>
                <w:lang w:val="en-US" w:bidi="ar-SA"/>
              </w:rPr>
            </w:pPr>
            <w:r>
              <w:rPr>
                <w:rFonts w:hint="eastAsia" w:ascii="宋体" w:hAnsi="宋体" w:eastAsia="宋体" w:cs="宋体"/>
                <w:szCs w:val="21"/>
                <w:lang w:val="en-US" w:bidi="ar-SA"/>
              </w:rPr>
              <w:t>变化量</w:t>
            </w:r>
          </w:p>
          <w:p>
            <w:pPr>
              <w:pStyle w:val="66"/>
              <w:spacing w:before="5"/>
              <w:ind w:left="330" w:right="217"/>
              <w:jc w:val="center"/>
              <w:rPr>
                <w:rFonts w:ascii="宋体" w:hAnsi="宋体" w:eastAsia="宋体" w:cs="宋体"/>
                <w:szCs w:val="21"/>
                <w:lang w:val="en-US" w:bidi="ar-SA"/>
              </w:rPr>
            </w:pPr>
            <w:r>
              <w:rPr>
                <w:rFonts w:hint="eastAsia" w:ascii="宋体" w:hAnsi="宋体" w:eastAsia="宋体" w:cs="宋体"/>
                <w:szCs w:val="21"/>
                <w:lang w:val="en-US" w:bidi="ar-SA"/>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9" w:hRule="atLeast"/>
        </w:trPr>
        <w:tc>
          <w:tcPr>
            <w:tcW w:w="1287" w:type="dxa"/>
            <w:vMerge w:val="restart"/>
            <w:tcBorders>
              <w:top w:val="single" w:color="000000" w:sz="4" w:space="0"/>
              <w:right w:val="single" w:color="000000" w:sz="4" w:space="0"/>
            </w:tcBorders>
            <w:vAlign w:val="center"/>
          </w:tcPr>
          <w:p>
            <w:pPr>
              <w:pStyle w:val="66"/>
              <w:ind w:left="434"/>
              <w:jc w:val="center"/>
              <w:rPr>
                <w:rFonts w:ascii="宋体" w:eastAsia="宋体"/>
              </w:rPr>
            </w:pPr>
            <w:r>
              <w:rPr>
                <w:rFonts w:hint="eastAsia" w:ascii="宋体" w:eastAsia="宋体"/>
              </w:rPr>
              <w:t>废气</w:t>
            </w:r>
          </w:p>
        </w:tc>
        <w:tc>
          <w:tcPr>
            <w:tcW w:w="716" w:type="dxa"/>
            <w:vMerge w:val="restart"/>
            <w:tcBorders>
              <w:top w:val="single" w:color="000000" w:sz="4" w:space="0"/>
              <w:left w:val="single" w:color="000000" w:sz="4" w:space="0"/>
              <w:right w:val="single" w:color="000000" w:sz="4" w:space="0"/>
            </w:tcBorders>
            <w:vAlign w:val="center"/>
          </w:tcPr>
          <w:p>
            <w:pPr>
              <w:pStyle w:val="66"/>
              <w:spacing w:before="1"/>
              <w:ind w:left="218"/>
              <w:jc w:val="left"/>
              <w:rPr>
                <w:rFonts w:ascii="宋体" w:hAnsi="宋体" w:eastAsia="宋体" w:cs="宋体"/>
                <w:szCs w:val="21"/>
                <w:lang w:val="en-US" w:bidi="ar-SA"/>
              </w:rPr>
            </w:pPr>
            <w:r>
              <w:rPr>
                <w:rFonts w:hint="eastAsia" w:ascii="Times New Roman" w:hAnsi="宋体" w:eastAsia="宋体" w:cs="宋体"/>
                <w:bCs/>
                <w:snapToGrid w:val="0"/>
                <w:color w:val="000000"/>
                <w:kern w:val="21"/>
                <w:szCs w:val="21"/>
                <w:lang w:val="en-US" w:bidi="ar-SA"/>
              </w:rPr>
              <w:t>非甲烷总烃</w:t>
            </w:r>
          </w:p>
        </w:tc>
        <w:tc>
          <w:tcPr>
            <w:tcW w:w="704" w:type="dxa"/>
            <w:tcBorders>
              <w:top w:val="single" w:color="000000" w:sz="4" w:space="0"/>
              <w:left w:val="single" w:color="000000" w:sz="4" w:space="0"/>
              <w:right w:val="single" w:color="000000" w:sz="4" w:space="0"/>
            </w:tcBorders>
            <w:vAlign w:val="center"/>
          </w:tcPr>
          <w:p>
            <w:pPr>
              <w:pStyle w:val="43"/>
              <w:rPr>
                <w:rFonts w:ascii="宋体" w:hAnsi="宋体" w:cs="宋体"/>
                <w:szCs w:val="21"/>
              </w:rPr>
            </w:pPr>
            <w:r>
              <w:rPr>
                <w:rFonts w:hint="eastAsia" w:hAnsi="宋体" w:cs="宋体"/>
                <w:snapToGrid w:val="0"/>
                <w:color w:val="000000"/>
                <w:kern w:val="21"/>
                <w:szCs w:val="21"/>
              </w:rPr>
              <w:t>有组织</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14"/>
              <w:jc w:val="center"/>
              <w:rPr>
                <w:rFonts w:ascii="Times New Roman"/>
              </w:rPr>
            </w:pPr>
            <w:r>
              <w:rPr>
                <w:rFonts w:hint="eastAsia" w:ascii="Times New Roman"/>
                <w:lang w:val="en-US"/>
              </w:rPr>
              <w:t>0</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703"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8"/>
              <w:jc w:val="center"/>
              <w:rPr>
                <w:rFonts w:ascii="Times New Roman"/>
              </w:rPr>
            </w:pPr>
            <w:r>
              <w:rPr>
                <w:rFonts w:hint="eastAsia" w:ascii="Times New Roman"/>
                <w:lang w:val="en-US"/>
              </w:rPr>
              <w:t>0</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eastAsiaTheme="minorEastAsia"/>
                <w:sz w:val="20"/>
                <w:lang w:val="en-US" w:eastAsia="zh-CN"/>
              </w:rPr>
            </w:pPr>
            <w:r>
              <w:rPr>
                <w:rFonts w:hint="eastAsia" w:ascii="Times New Roman"/>
                <w:lang w:val="en-US" w:eastAsia="zh-CN"/>
              </w:rPr>
              <w:t>0.1126</w:t>
            </w:r>
          </w:p>
        </w:tc>
        <w:tc>
          <w:tcPr>
            <w:tcW w:w="1763"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5"/>
              <w:jc w:val="center"/>
              <w:rPr>
                <w:rFonts w:ascii="Times New Roman"/>
              </w:rPr>
            </w:pPr>
            <w:r>
              <w:rPr>
                <w:rFonts w:hint="eastAsia" w:ascii="Times New Roman"/>
                <w:lang w:val="en-US"/>
              </w:rPr>
              <w:t>0</w:t>
            </w:r>
          </w:p>
        </w:tc>
        <w:tc>
          <w:tcPr>
            <w:tcW w:w="182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sz w:val="20"/>
              </w:rPr>
            </w:pPr>
            <w:r>
              <w:rPr>
                <w:rFonts w:hint="eastAsia" w:ascii="Times New Roman"/>
                <w:lang w:val="en-US" w:eastAsia="zh-CN"/>
              </w:rPr>
              <w:t>0.1126</w:t>
            </w:r>
          </w:p>
        </w:tc>
        <w:tc>
          <w:tcPr>
            <w:tcW w:w="1232" w:type="dxa"/>
            <w:tcBorders>
              <w:top w:val="single" w:color="000000" w:sz="4" w:space="0"/>
              <w:left w:val="single" w:color="000000" w:sz="4" w:space="0"/>
              <w:bottom w:val="single" w:color="000000" w:sz="4" w:space="0"/>
            </w:tcBorders>
            <w:vAlign w:val="center"/>
          </w:tcPr>
          <w:p>
            <w:pPr>
              <w:pStyle w:val="66"/>
              <w:spacing w:before="25"/>
              <w:ind w:left="5"/>
              <w:jc w:val="center"/>
              <w:rPr>
                <w:rFonts w:ascii="Times New Roman"/>
                <w:sz w:val="20"/>
              </w:rPr>
            </w:pPr>
            <w:r>
              <w:rPr>
                <w:rFonts w:hint="eastAsia" w:cs="Times New Roman"/>
                <w:szCs w:val="21"/>
                <w:lang w:val="en-US"/>
              </w:rPr>
              <w:t>+</w:t>
            </w:r>
            <w:r>
              <w:rPr>
                <w:rFonts w:hint="eastAsia" w:ascii="Times New Roman"/>
                <w:lang w:val="en-US" w:eastAsia="zh-CN"/>
              </w:rPr>
              <w:t>0.1126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287" w:type="dxa"/>
            <w:vMerge w:val="continue"/>
            <w:tcBorders>
              <w:bottom w:val="single" w:color="000000" w:sz="4" w:space="0"/>
              <w:right w:val="single" w:color="000000" w:sz="4" w:space="0"/>
            </w:tcBorders>
            <w:vAlign w:val="center"/>
          </w:tcPr>
          <w:p>
            <w:pPr>
              <w:pStyle w:val="66"/>
              <w:ind w:left="434"/>
              <w:jc w:val="center"/>
              <w:rPr>
                <w:rFonts w:ascii="宋体" w:eastAsia="宋体"/>
              </w:rPr>
            </w:pPr>
          </w:p>
        </w:tc>
        <w:tc>
          <w:tcPr>
            <w:tcW w:w="716" w:type="dxa"/>
            <w:vMerge w:val="continue"/>
            <w:tcBorders>
              <w:left w:val="single" w:color="000000" w:sz="4" w:space="0"/>
              <w:bottom w:val="single" w:color="000000" w:sz="4" w:space="0"/>
              <w:right w:val="single" w:color="000000" w:sz="4" w:space="0"/>
            </w:tcBorders>
            <w:vAlign w:val="center"/>
          </w:tcPr>
          <w:p>
            <w:pPr>
              <w:pStyle w:val="66"/>
              <w:spacing w:before="11"/>
              <w:ind w:right="468"/>
              <w:jc w:val="center"/>
              <w:rPr>
                <w:lang w:val="en-US"/>
              </w:rPr>
            </w:pPr>
          </w:p>
        </w:tc>
        <w:tc>
          <w:tcPr>
            <w:tcW w:w="704" w:type="dxa"/>
            <w:tcBorders>
              <w:left w:val="single" w:color="000000" w:sz="4" w:space="0"/>
              <w:bottom w:val="single" w:color="000000" w:sz="4" w:space="0"/>
              <w:right w:val="single" w:color="000000" w:sz="4" w:space="0"/>
            </w:tcBorders>
            <w:vAlign w:val="center"/>
          </w:tcPr>
          <w:p>
            <w:pPr>
              <w:pStyle w:val="43"/>
            </w:pPr>
            <w:r>
              <w:rPr>
                <w:rFonts w:hint="eastAsia" w:hAnsi="宋体" w:cs="宋体"/>
                <w:snapToGrid w:val="0"/>
                <w:color w:val="000000"/>
                <w:kern w:val="21"/>
                <w:szCs w:val="21"/>
              </w:rPr>
              <w:t>无组织</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14"/>
              <w:jc w:val="center"/>
              <w:rPr>
                <w:rFonts w:ascii="Times New Roman"/>
                <w:lang w:val="en-US"/>
              </w:rPr>
            </w:pPr>
            <w:r>
              <w:rPr>
                <w:rFonts w:hint="eastAsia" w:ascii="Times New Roman"/>
                <w:lang w:val="en-US"/>
              </w:rPr>
              <w:t>0</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703"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8"/>
              <w:jc w:val="center"/>
              <w:rPr>
                <w:rFonts w:ascii="Times New Roman"/>
                <w:lang w:val="en-US"/>
              </w:rPr>
            </w:pPr>
            <w:r>
              <w:rPr>
                <w:rFonts w:hint="eastAsia" w:ascii="Times New Roman"/>
                <w:lang w:val="en-US"/>
              </w:rPr>
              <w:t>0</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eastAsiaTheme="minorEastAsia"/>
                <w:lang w:val="en-US" w:eastAsia="zh-CN"/>
              </w:rPr>
            </w:pPr>
            <w:r>
              <w:rPr>
                <w:rFonts w:hint="eastAsia" w:ascii="Times New Roman"/>
                <w:lang w:val="en-US" w:eastAsia="zh-CN"/>
              </w:rPr>
              <w:t>0.01265</w:t>
            </w:r>
          </w:p>
        </w:tc>
        <w:tc>
          <w:tcPr>
            <w:tcW w:w="1763"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5"/>
              <w:jc w:val="center"/>
              <w:rPr>
                <w:rFonts w:ascii="Times New Roman"/>
                <w:lang w:val="en-US"/>
              </w:rPr>
            </w:pPr>
            <w:r>
              <w:rPr>
                <w:rFonts w:hint="eastAsia" w:ascii="Times New Roman"/>
                <w:lang w:val="en-US"/>
              </w:rPr>
              <w:t>0</w:t>
            </w:r>
          </w:p>
        </w:tc>
        <w:tc>
          <w:tcPr>
            <w:tcW w:w="182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rPr>
            </w:pPr>
            <w:r>
              <w:rPr>
                <w:rFonts w:hint="eastAsia" w:ascii="Times New Roman"/>
                <w:lang w:val="en-US" w:eastAsia="zh-CN"/>
              </w:rPr>
              <w:t>0.01265</w:t>
            </w:r>
          </w:p>
        </w:tc>
        <w:tc>
          <w:tcPr>
            <w:tcW w:w="1232" w:type="dxa"/>
            <w:tcBorders>
              <w:top w:val="single" w:color="000000" w:sz="4" w:space="0"/>
              <w:left w:val="single" w:color="000000" w:sz="4" w:space="0"/>
              <w:bottom w:val="single" w:color="000000" w:sz="4" w:space="0"/>
            </w:tcBorders>
            <w:vAlign w:val="center"/>
          </w:tcPr>
          <w:p>
            <w:pPr>
              <w:pStyle w:val="66"/>
              <w:spacing w:before="25"/>
              <w:ind w:left="5"/>
              <w:jc w:val="center"/>
              <w:rPr>
                <w:rFonts w:ascii="Times New Roman"/>
                <w:lang w:val="en-US"/>
              </w:rPr>
            </w:pPr>
            <w:r>
              <w:rPr>
                <w:rFonts w:hint="eastAsia" w:cs="Times New Roman"/>
                <w:szCs w:val="21"/>
                <w:lang w:val="en-US"/>
              </w:rPr>
              <w:t>+</w:t>
            </w:r>
            <w:r>
              <w:rPr>
                <w:rFonts w:hint="eastAsia" w:ascii="Times New Roman"/>
                <w:lang w:val="en-US" w:eastAsia="zh-CN"/>
              </w:rPr>
              <w:t>0.01265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1" w:hRule="atLeast"/>
        </w:trPr>
        <w:tc>
          <w:tcPr>
            <w:tcW w:w="1287" w:type="dxa"/>
            <w:vMerge w:val="restart"/>
            <w:tcBorders>
              <w:top w:val="single" w:color="000000" w:sz="4" w:space="0"/>
              <w:right w:val="single" w:color="000000" w:sz="4" w:space="0"/>
            </w:tcBorders>
            <w:vAlign w:val="center"/>
          </w:tcPr>
          <w:p>
            <w:pPr>
              <w:pStyle w:val="66"/>
              <w:ind w:left="434"/>
              <w:jc w:val="center"/>
              <w:rPr>
                <w:rFonts w:ascii="宋体" w:eastAsia="宋体"/>
              </w:rPr>
            </w:pPr>
            <w:r>
              <w:rPr>
                <w:rFonts w:hint="eastAsia" w:ascii="宋体" w:eastAsia="宋体"/>
              </w:rPr>
              <w:t>废水</w:t>
            </w:r>
          </w:p>
        </w:tc>
        <w:tc>
          <w:tcPr>
            <w:tcW w:w="716" w:type="dxa"/>
            <w:vMerge w:val="restart"/>
            <w:tcBorders>
              <w:top w:val="single" w:color="000000" w:sz="4" w:space="0"/>
              <w:left w:val="single" w:color="000000" w:sz="4" w:space="0"/>
              <w:right w:val="single" w:color="000000" w:sz="4" w:space="0"/>
            </w:tcBorders>
            <w:vAlign w:val="center"/>
          </w:tcPr>
          <w:p>
            <w:pPr>
              <w:pStyle w:val="66"/>
              <w:spacing w:line="242" w:lineRule="auto"/>
              <w:ind w:left="174" w:right="158"/>
              <w:jc w:val="center"/>
            </w:pPr>
            <w:r>
              <w:rPr>
                <w:rFonts w:hint="eastAsia" w:ascii="Times New Roman" w:hAnsi="宋体" w:eastAsia="宋体" w:cs="宋体"/>
                <w:bCs/>
                <w:snapToGrid w:val="0"/>
                <w:color w:val="000000"/>
                <w:kern w:val="21"/>
                <w:szCs w:val="21"/>
                <w:lang w:val="en-US" w:bidi="ar-SA"/>
              </w:rPr>
              <w:t>生活废水</w:t>
            </w:r>
          </w:p>
        </w:tc>
        <w:tc>
          <w:tcPr>
            <w:tcW w:w="704"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98" w:right="80"/>
              <w:jc w:val="center"/>
              <w:rPr>
                <w:rFonts w:ascii="Times New Roman"/>
                <w:sz w:val="14"/>
              </w:rPr>
            </w:pPr>
            <w:r>
              <w:rPr>
                <w:rFonts w:ascii="Times New Roman"/>
                <w:position w:val="2"/>
              </w:rPr>
              <w:t>COD</w:t>
            </w:r>
            <w:r>
              <w:rPr>
                <w:rFonts w:ascii="Times New Roman"/>
                <w:sz w:val="14"/>
              </w:rPr>
              <w:t>Cr</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6"/>
              <w:ind w:left="14"/>
              <w:jc w:val="center"/>
              <w:rPr>
                <w:rFonts w:ascii="Times New Roman" w:eastAsia="仿宋"/>
              </w:rPr>
            </w:pPr>
            <w:r>
              <w:rPr>
                <w:rFonts w:hint="eastAsia" w:ascii="Times New Roman" w:eastAsia="仿宋"/>
              </w:rPr>
              <w:t>0.11</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6"/>
              <w:ind w:left="14"/>
              <w:jc w:val="center"/>
              <w:rPr>
                <w:rFonts w:ascii="Times New Roman"/>
              </w:rPr>
            </w:pPr>
            <w:r>
              <w:rPr>
                <w:rFonts w:hint="eastAsia" w:ascii="Times New Roman" w:eastAsia="仿宋"/>
              </w:rPr>
              <w:t>0.11</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6"/>
              <w:ind w:left="8"/>
              <w:jc w:val="center"/>
              <w:rPr>
                <w:rFonts w:ascii="Times New Roman"/>
              </w:rPr>
            </w:pPr>
            <w:r>
              <w:rPr>
                <w:rFonts w:ascii="Times New Roman"/>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66"/>
              <w:spacing w:before="26"/>
              <w:ind w:left="14"/>
              <w:jc w:val="center"/>
              <w:rPr>
                <w:rFonts w:hint="default" w:ascii="Times New Roman" w:eastAsia="仿宋"/>
                <w:sz w:val="20"/>
                <w:lang w:val="en-US" w:eastAsia="zh-CN"/>
              </w:rPr>
            </w:pPr>
            <w:r>
              <w:rPr>
                <w:rFonts w:hint="eastAsia" w:ascii="Times New Roman"/>
                <w:lang w:val="en-US" w:eastAsia="zh-CN"/>
              </w:rPr>
              <w:t>0.06048</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6"/>
              <w:ind w:left="14"/>
              <w:jc w:val="center"/>
              <w:rPr>
                <w:rFonts w:ascii="Times New Roman"/>
              </w:rPr>
            </w:pPr>
            <w:r>
              <w:rPr>
                <w:rFonts w:hint="eastAsia" w:ascii="Times New Roman" w:eastAsia="仿宋"/>
              </w:rPr>
              <w:t>0.11</w:t>
            </w:r>
          </w:p>
        </w:tc>
        <w:tc>
          <w:tcPr>
            <w:tcW w:w="1821" w:type="dxa"/>
            <w:tcBorders>
              <w:top w:val="single" w:color="000000" w:sz="4" w:space="0"/>
              <w:left w:val="single" w:color="000000" w:sz="4" w:space="0"/>
              <w:bottom w:val="single" w:color="000000" w:sz="4" w:space="0"/>
              <w:right w:val="single" w:color="000000" w:sz="4" w:space="0"/>
            </w:tcBorders>
            <w:vAlign w:val="center"/>
          </w:tcPr>
          <w:p>
            <w:pPr>
              <w:pStyle w:val="66"/>
              <w:spacing w:before="26"/>
              <w:ind w:left="14"/>
              <w:jc w:val="center"/>
              <w:rPr>
                <w:rFonts w:ascii="Times New Roman"/>
                <w:sz w:val="20"/>
              </w:rPr>
            </w:pPr>
            <w:r>
              <w:rPr>
                <w:rFonts w:hint="eastAsia" w:ascii="Times New Roman"/>
                <w:lang w:val="en-US"/>
              </w:rPr>
              <w:t>0</w:t>
            </w:r>
          </w:p>
        </w:tc>
        <w:tc>
          <w:tcPr>
            <w:tcW w:w="1232" w:type="dxa"/>
            <w:tcBorders>
              <w:top w:val="single" w:color="000000" w:sz="4" w:space="0"/>
              <w:left w:val="single" w:color="000000" w:sz="4" w:space="0"/>
              <w:bottom w:val="single" w:color="000000" w:sz="4" w:space="0"/>
            </w:tcBorders>
            <w:vAlign w:val="center"/>
          </w:tcPr>
          <w:p>
            <w:pPr>
              <w:pStyle w:val="66"/>
              <w:spacing w:before="26"/>
              <w:ind w:left="14"/>
              <w:jc w:val="center"/>
              <w:rPr>
                <w:rFonts w:ascii="Times New Roman"/>
                <w:sz w:val="20"/>
              </w:rPr>
            </w:pPr>
            <w:r>
              <w:rPr>
                <w:rFonts w:hint="eastAsia" w:ascii="Times New Roman"/>
                <w:lang w:val="en-US"/>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287" w:type="dxa"/>
            <w:vMerge w:val="continue"/>
            <w:tcBorders>
              <w:right w:val="single" w:color="000000" w:sz="4" w:space="0"/>
            </w:tcBorders>
            <w:vAlign w:val="center"/>
          </w:tcPr>
          <w:p>
            <w:pPr>
              <w:jc w:val="center"/>
              <w:rPr>
                <w:sz w:val="2"/>
                <w:szCs w:val="2"/>
              </w:rPr>
            </w:pPr>
          </w:p>
        </w:tc>
        <w:tc>
          <w:tcPr>
            <w:tcW w:w="716" w:type="dxa"/>
            <w:vMerge w:val="continue"/>
            <w:tcBorders>
              <w:left w:val="single" w:color="000000" w:sz="4" w:space="0"/>
              <w:right w:val="single" w:color="000000" w:sz="4" w:space="0"/>
            </w:tcBorders>
            <w:vAlign w:val="center"/>
          </w:tcPr>
          <w:p>
            <w:pPr>
              <w:jc w:val="center"/>
              <w:rPr>
                <w:sz w:val="2"/>
                <w:szCs w:val="2"/>
              </w:rPr>
            </w:pPr>
          </w:p>
        </w:tc>
        <w:tc>
          <w:tcPr>
            <w:tcW w:w="704"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98" w:right="79"/>
              <w:jc w:val="center"/>
              <w:rPr>
                <w:rFonts w:ascii="Times New Roman"/>
                <w:sz w:val="14"/>
              </w:rPr>
            </w:pPr>
            <w:r>
              <w:rPr>
                <w:rFonts w:ascii="Times New Roman"/>
                <w:position w:val="2"/>
              </w:rPr>
              <w:t>BOD</w:t>
            </w:r>
            <w:r>
              <w:rPr>
                <w:rFonts w:ascii="Times New Roman"/>
                <w:sz w:val="14"/>
              </w:rPr>
              <w:t>5</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0.06</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rPr>
            </w:pPr>
            <w:r>
              <w:rPr>
                <w:rFonts w:hint="eastAsia" w:ascii="Times New Roman" w:eastAsia="仿宋"/>
              </w:rPr>
              <w:t>0.06</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5"/>
              <w:ind w:left="8"/>
              <w:jc w:val="center"/>
              <w:rPr>
                <w:rFonts w:ascii="Times New Roman"/>
              </w:rPr>
            </w:pPr>
            <w:r>
              <w:rPr>
                <w:rFonts w:ascii="Times New Roman"/>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14"/>
              <w:jc w:val="center"/>
              <w:rPr>
                <w:rFonts w:hint="default" w:ascii="Times New Roman" w:eastAsia="仿宋"/>
                <w:sz w:val="20"/>
                <w:lang w:val="en-US" w:eastAsia="zh-CN"/>
              </w:rPr>
            </w:pPr>
            <w:r>
              <w:rPr>
                <w:rFonts w:hint="eastAsia" w:ascii="Times New Roman"/>
                <w:lang w:val="en-US" w:eastAsia="zh-CN"/>
              </w:rPr>
              <w:t>0.054</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rPr>
            </w:pPr>
            <w:r>
              <w:rPr>
                <w:rFonts w:hint="eastAsia" w:ascii="Times New Roman" w:eastAsia="仿宋"/>
              </w:rPr>
              <w:t>0.06</w:t>
            </w:r>
          </w:p>
        </w:tc>
        <w:tc>
          <w:tcPr>
            <w:tcW w:w="1821"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14"/>
              <w:jc w:val="center"/>
              <w:rPr>
                <w:rFonts w:ascii="Times New Roman"/>
                <w:sz w:val="20"/>
              </w:rPr>
            </w:pPr>
            <w:r>
              <w:rPr>
                <w:rFonts w:hint="eastAsia" w:ascii="Times New Roman"/>
                <w:lang w:val="en-US"/>
              </w:rPr>
              <w:t>0</w:t>
            </w:r>
          </w:p>
        </w:tc>
        <w:tc>
          <w:tcPr>
            <w:tcW w:w="1232" w:type="dxa"/>
            <w:tcBorders>
              <w:top w:val="single" w:color="000000" w:sz="4" w:space="0"/>
              <w:left w:val="single" w:color="000000" w:sz="4" w:space="0"/>
              <w:bottom w:val="single" w:color="000000" w:sz="4" w:space="0"/>
            </w:tcBorders>
            <w:vAlign w:val="center"/>
          </w:tcPr>
          <w:p>
            <w:pPr>
              <w:pStyle w:val="66"/>
              <w:spacing w:before="25"/>
              <w:ind w:left="14"/>
              <w:jc w:val="center"/>
              <w:rPr>
                <w:rFonts w:ascii="Times New Roman"/>
                <w:sz w:val="20"/>
              </w:rPr>
            </w:pPr>
            <w:r>
              <w:rPr>
                <w:rFonts w:hint="eastAsia" w:ascii="Times New Roman"/>
                <w:lang w:val="en-US"/>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 w:hRule="atLeast"/>
        </w:trPr>
        <w:tc>
          <w:tcPr>
            <w:tcW w:w="1287" w:type="dxa"/>
            <w:vMerge w:val="continue"/>
            <w:tcBorders>
              <w:right w:val="single" w:color="000000" w:sz="4" w:space="0"/>
            </w:tcBorders>
            <w:vAlign w:val="center"/>
          </w:tcPr>
          <w:p>
            <w:pPr>
              <w:jc w:val="center"/>
              <w:rPr>
                <w:sz w:val="2"/>
                <w:szCs w:val="2"/>
              </w:rPr>
            </w:pPr>
          </w:p>
        </w:tc>
        <w:tc>
          <w:tcPr>
            <w:tcW w:w="716" w:type="dxa"/>
            <w:vMerge w:val="continue"/>
            <w:tcBorders>
              <w:left w:val="single" w:color="000000" w:sz="4" w:space="0"/>
              <w:right w:val="single" w:color="000000" w:sz="4" w:space="0"/>
            </w:tcBorders>
            <w:vAlign w:val="center"/>
          </w:tcPr>
          <w:p>
            <w:pPr>
              <w:jc w:val="center"/>
              <w:rPr>
                <w:sz w:val="2"/>
                <w:szCs w:val="2"/>
              </w:rPr>
            </w:pPr>
          </w:p>
        </w:tc>
        <w:tc>
          <w:tcPr>
            <w:tcW w:w="704"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98" w:right="81"/>
              <w:jc w:val="center"/>
              <w:rPr>
                <w:rFonts w:ascii="Times New Roman"/>
              </w:rPr>
            </w:pPr>
            <w:r>
              <w:rPr>
                <w:rFonts w:ascii="Times New Roman"/>
                <w:position w:val="2"/>
              </w:rPr>
              <w:t>NH</w:t>
            </w:r>
            <w:r>
              <w:rPr>
                <w:rFonts w:ascii="Times New Roman"/>
                <w:sz w:val="14"/>
              </w:rPr>
              <w:t>3</w:t>
            </w:r>
            <w:r>
              <w:rPr>
                <w:rFonts w:ascii="Times New Roman"/>
                <w:position w:val="2"/>
              </w:rPr>
              <w:t>-N</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0.015</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rPr>
            </w:pPr>
            <w:r>
              <w:rPr>
                <w:rFonts w:hint="eastAsia" w:ascii="Times New Roman" w:eastAsia="仿宋"/>
              </w:rPr>
              <w:t>0.015</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5"/>
              <w:ind w:left="8"/>
              <w:jc w:val="center"/>
              <w:rPr>
                <w:rFonts w:ascii="Times New Roman"/>
              </w:rPr>
            </w:pPr>
            <w:r>
              <w:rPr>
                <w:rFonts w:ascii="Times New Roman"/>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14"/>
              <w:jc w:val="center"/>
              <w:rPr>
                <w:rFonts w:hint="default" w:ascii="Times New Roman" w:eastAsia="仿宋"/>
                <w:sz w:val="20"/>
                <w:lang w:val="en-US" w:eastAsia="zh-CN"/>
              </w:rPr>
            </w:pPr>
            <w:r>
              <w:rPr>
                <w:rFonts w:hint="eastAsia" w:ascii="Times New Roman"/>
                <w:lang w:val="en-US" w:eastAsia="zh-CN"/>
              </w:rPr>
              <w:t>0.0054</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rPr>
            </w:pPr>
            <w:r>
              <w:rPr>
                <w:rFonts w:hint="eastAsia" w:ascii="Times New Roman" w:eastAsia="仿宋"/>
              </w:rPr>
              <w:t>0.015</w:t>
            </w:r>
          </w:p>
        </w:tc>
        <w:tc>
          <w:tcPr>
            <w:tcW w:w="1821" w:type="dxa"/>
            <w:tcBorders>
              <w:top w:val="single" w:color="000000" w:sz="4" w:space="0"/>
              <w:left w:val="single" w:color="000000" w:sz="4" w:space="0"/>
              <w:bottom w:val="single" w:color="000000" w:sz="4" w:space="0"/>
              <w:right w:val="single" w:color="000000" w:sz="4" w:space="0"/>
            </w:tcBorders>
            <w:vAlign w:val="center"/>
          </w:tcPr>
          <w:p>
            <w:pPr>
              <w:pStyle w:val="66"/>
              <w:spacing w:before="25"/>
              <w:ind w:left="14"/>
              <w:jc w:val="center"/>
              <w:rPr>
                <w:rFonts w:ascii="Times New Roman"/>
                <w:sz w:val="20"/>
              </w:rPr>
            </w:pPr>
            <w:r>
              <w:rPr>
                <w:rFonts w:hint="eastAsia" w:ascii="Times New Roman"/>
                <w:lang w:val="en-US"/>
              </w:rPr>
              <w:t>0</w:t>
            </w:r>
          </w:p>
        </w:tc>
        <w:tc>
          <w:tcPr>
            <w:tcW w:w="1232" w:type="dxa"/>
            <w:tcBorders>
              <w:top w:val="single" w:color="000000" w:sz="4" w:space="0"/>
              <w:left w:val="single" w:color="000000" w:sz="4" w:space="0"/>
              <w:bottom w:val="single" w:color="000000" w:sz="4" w:space="0"/>
            </w:tcBorders>
            <w:vAlign w:val="center"/>
          </w:tcPr>
          <w:p>
            <w:pPr>
              <w:pStyle w:val="66"/>
              <w:spacing w:before="25"/>
              <w:ind w:left="14"/>
              <w:jc w:val="center"/>
              <w:rPr>
                <w:rFonts w:ascii="Times New Roman"/>
                <w:sz w:val="20"/>
              </w:rPr>
            </w:pPr>
            <w:r>
              <w:rPr>
                <w:rFonts w:hint="eastAsia" w:ascii="Times New Roman"/>
                <w:lang w:val="en-US"/>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287" w:type="dxa"/>
            <w:vMerge w:val="continue"/>
            <w:tcBorders>
              <w:right w:val="single" w:color="000000" w:sz="4" w:space="0"/>
            </w:tcBorders>
            <w:vAlign w:val="center"/>
          </w:tcPr>
          <w:p>
            <w:pPr>
              <w:jc w:val="center"/>
              <w:rPr>
                <w:sz w:val="2"/>
                <w:szCs w:val="2"/>
              </w:rPr>
            </w:pPr>
          </w:p>
        </w:tc>
        <w:tc>
          <w:tcPr>
            <w:tcW w:w="716" w:type="dxa"/>
            <w:vMerge w:val="continue"/>
            <w:tcBorders>
              <w:left w:val="single" w:color="000000" w:sz="4" w:space="0"/>
              <w:right w:val="single" w:color="000000" w:sz="4" w:space="0"/>
            </w:tcBorders>
            <w:vAlign w:val="center"/>
          </w:tcPr>
          <w:p>
            <w:pPr>
              <w:jc w:val="center"/>
              <w:rPr>
                <w:sz w:val="2"/>
                <w:szCs w:val="2"/>
              </w:rPr>
            </w:pPr>
          </w:p>
        </w:tc>
        <w:tc>
          <w:tcPr>
            <w:tcW w:w="704" w:type="dxa"/>
            <w:tcBorders>
              <w:top w:val="single" w:color="000000" w:sz="4" w:space="0"/>
              <w:left w:val="single" w:color="000000" w:sz="4" w:space="0"/>
              <w:bottom w:val="single" w:color="000000" w:sz="4" w:space="0"/>
              <w:right w:val="single" w:color="000000" w:sz="4" w:space="0"/>
            </w:tcBorders>
            <w:vAlign w:val="center"/>
          </w:tcPr>
          <w:p>
            <w:pPr>
              <w:pStyle w:val="66"/>
              <w:spacing w:before="28"/>
              <w:ind w:left="98" w:right="82"/>
              <w:jc w:val="center"/>
              <w:rPr>
                <w:rFonts w:ascii="Times New Roman"/>
              </w:rPr>
            </w:pPr>
            <w:r>
              <w:rPr>
                <w:rFonts w:ascii="Times New Roman"/>
              </w:rPr>
              <w:t>SS</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8"/>
              <w:ind w:left="14"/>
              <w:jc w:val="center"/>
              <w:rPr>
                <w:rFonts w:ascii="Times New Roman" w:eastAsia="仿宋"/>
              </w:rPr>
            </w:pPr>
            <w:r>
              <w:rPr>
                <w:rFonts w:hint="eastAsia" w:ascii="Times New Roman" w:eastAsia="仿宋"/>
              </w:rPr>
              <w:t>0.06</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8"/>
              <w:ind w:left="14"/>
              <w:jc w:val="center"/>
              <w:rPr>
                <w:rFonts w:ascii="Times New Roman"/>
              </w:rPr>
            </w:pPr>
            <w:r>
              <w:rPr>
                <w:rFonts w:hint="eastAsia" w:ascii="Times New Roman" w:eastAsia="仿宋"/>
              </w:rPr>
              <w:t>0.06</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8"/>
              <w:ind w:left="8"/>
              <w:jc w:val="center"/>
              <w:rPr>
                <w:rFonts w:ascii="Times New Roman"/>
              </w:rPr>
            </w:pPr>
            <w:r>
              <w:rPr>
                <w:rFonts w:ascii="Times New Roman"/>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66"/>
              <w:spacing w:before="28"/>
              <w:ind w:left="14"/>
              <w:jc w:val="center"/>
              <w:rPr>
                <w:rFonts w:hint="default" w:ascii="Times New Roman" w:eastAsia="仿宋"/>
                <w:sz w:val="20"/>
                <w:lang w:val="en-US" w:eastAsia="zh-CN"/>
              </w:rPr>
            </w:pPr>
            <w:r>
              <w:rPr>
                <w:rFonts w:hint="eastAsia" w:ascii="Times New Roman"/>
                <w:lang w:val="en-US" w:eastAsia="zh-CN"/>
              </w:rPr>
              <w:t>0.0324</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8"/>
              <w:ind w:left="14"/>
              <w:jc w:val="center"/>
              <w:rPr>
                <w:rFonts w:ascii="Times New Roman"/>
              </w:rPr>
            </w:pPr>
            <w:r>
              <w:rPr>
                <w:rFonts w:hint="eastAsia" w:ascii="Times New Roman" w:eastAsia="仿宋"/>
              </w:rPr>
              <w:t>0.06</w:t>
            </w:r>
          </w:p>
        </w:tc>
        <w:tc>
          <w:tcPr>
            <w:tcW w:w="1821" w:type="dxa"/>
            <w:tcBorders>
              <w:top w:val="single" w:color="000000" w:sz="4" w:space="0"/>
              <w:left w:val="single" w:color="000000" w:sz="4" w:space="0"/>
              <w:bottom w:val="single" w:color="000000" w:sz="4" w:space="0"/>
              <w:right w:val="single" w:color="000000" w:sz="4" w:space="0"/>
            </w:tcBorders>
            <w:vAlign w:val="center"/>
          </w:tcPr>
          <w:p>
            <w:pPr>
              <w:pStyle w:val="66"/>
              <w:spacing w:before="28"/>
              <w:ind w:left="14"/>
              <w:jc w:val="center"/>
              <w:rPr>
                <w:rFonts w:ascii="Times New Roman"/>
                <w:sz w:val="20"/>
              </w:rPr>
            </w:pPr>
            <w:r>
              <w:rPr>
                <w:rFonts w:hint="eastAsia" w:ascii="Times New Roman"/>
                <w:lang w:val="en-US"/>
              </w:rPr>
              <w:t>0</w:t>
            </w:r>
          </w:p>
        </w:tc>
        <w:tc>
          <w:tcPr>
            <w:tcW w:w="1232" w:type="dxa"/>
            <w:tcBorders>
              <w:top w:val="single" w:color="000000" w:sz="4" w:space="0"/>
              <w:left w:val="single" w:color="000000" w:sz="4" w:space="0"/>
              <w:bottom w:val="single" w:color="000000" w:sz="4" w:space="0"/>
            </w:tcBorders>
            <w:vAlign w:val="center"/>
          </w:tcPr>
          <w:p>
            <w:pPr>
              <w:pStyle w:val="66"/>
              <w:spacing w:before="28"/>
              <w:ind w:left="14"/>
              <w:jc w:val="center"/>
              <w:rPr>
                <w:rFonts w:ascii="Times New Roman"/>
                <w:sz w:val="20"/>
              </w:rPr>
            </w:pPr>
            <w:r>
              <w:rPr>
                <w:rFonts w:hint="eastAsia" w:ascii="Times New Roman"/>
                <w:lang w:val="en-US"/>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 w:hRule="atLeast"/>
        </w:trPr>
        <w:tc>
          <w:tcPr>
            <w:tcW w:w="1287" w:type="dxa"/>
            <w:vMerge w:val="restart"/>
            <w:tcBorders>
              <w:top w:val="single" w:color="000000" w:sz="4" w:space="0"/>
              <w:right w:val="single" w:color="000000" w:sz="4" w:space="0"/>
            </w:tcBorders>
            <w:vAlign w:val="center"/>
          </w:tcPr>
          <w:p>
            <w:pPr>
              <w:pStyle w:val="66"/>
              <w:spacing w:before="1" w:line="242" w:lineRule="auto"/>
              <w:ind w:right="101"/>
              <w:jc w:val="center"/>
              <w:rPr>
                <w:rFonts w:ascii="宋体" w:eastAsia="宋体"/>
              </w:rPr>
            </w:pPr>
            <w:r>
              <w:rPr>
                <w:rFonts w:hint="eastAsia" w:ascii="宋体" w:eastAsia="宋体"/>
              </w:rPr>
              <w:t>一般固体废物</w:t>
            </w:r>
          </w:p>
        </w:tc>
        <w:tc>
          <w:tcPr>
            <w:tcW w:w="1420" w:type="dxa"/>
            <w:gridSpan w:val="2"/>
            <w:tcBorders>
              <w:top w:val="single" w:color="000000" w:sz="4" w:space="0"/>
              <w:left w:val="single" w:color="000000" w:sz="4" w:space="0"/>
              <w:bottom w:val="single" w:color="000000" w:sz="4" w:space="0"/>
              <w:right w:val="single" w:color="000000" w:sz="4" w:space="0"/>
            </w:tcBorders>
            <w:vAlign w:val="center"/>
          </w:tcPr>
          <w:p>
            <w:pPr>
              <w:pStyle w:val="66"/>
              <w:spacing w:before="1"/>
              <w:ind w:left="218"/>
              <w:jc w:val="left"/>
              <w:rPr>
                <w:rFonts w:ascii="Times New Roman" w:hAnsi="宋体" w:eastAsia="宋体" w:cs="宋体"/>
                <w:bCs/>
                <w:snapToGrid w:val="0"/>
                <w:color w:val="000000"/>
                <w:kern w:val="21"/>
                <w:szCs w:val="21"/>
                <w:lang w:val="en-US" w:bidi="ar-SA"/>
              </w:rPr>
            </w:pPr>
            <w:r>
              <w:rPr>
                <w:rFonts w:hint="eastAsia" w:ascii="Times New Roman" w:hAnsi="宋体" w:eastAsia="宋体" w:cs="宋体"/>
                <w:bCs/>
                <w:snapToGrid w:val="0"/>
                <w:color w:val="000000"/>
                <w:kern w:val="21"/>
                <w:szCs w:val="21"/>
                <w:lang w:val="en-US" w:bidi="ar-SA"/>
              </w:rPr>
              <w:t>生活垃圾</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10.2</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5.4</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82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15.6</w:t>
            </w:r>
          </w:p>
        </w:tc>
        <w:tc>
          <w:tcPr>
            <w:tcW w:w="1232" w:type="dxa"/>
            <w:tcBorders>
              <w:top w:val="single" w:color="000000" w:sz="4" w:space="0"/>
              <w:left w:val="single" w:color="000000" w:sz="4" w:space="0"/>
              <w:bottom w:val="single" w:color="000000" w:sz="4" w:space="0"/>
            </w:tcBorders>
            <w:vAlign w:val="center"/>
          </w:tcPr>
          <w:p>
            <w:pPr>
              <w:spacing w:before="25"/>
              <w:ind w:left="14"/>
              <w:jc w:val="center"/>
              <w:rPr>
                <w:rFonts w:ascii="Times New Roman" w:eastAsia="仿宋"/>
              </w:rPr>
            </w:pPr>
            <w:r>
              <w:rPr>
                <w:rFonts w:hint="eastAsia" w:ascii="Times New Roma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287" w:type="dxa"/>
            <w:vMerge w:val="continue"/>
            <w:tcBorders>
              <w:right w:val="single" w:color="000000" w:sz="4" w:space="0"/>
            </w:tcBorders>
            <w:vAlign w:val="center"/>
          </w:tcPr>
          <w:p>
            <w:pPr>
              <w:pStyle w:val="66"/>
              <w:spacing w:before="1" w:line="242" w:lineRule="auto"/>
              <w:ind w:right="101"/>
              <w:jc w:val="center"/>
              <w:rPr>
                <w:rFonts w:ascii="宋体" w:eastAsia="宋体"/>
              </w:rPr>
            </w:pPr>
          </w:p>
        </w:tc>
        <w:tc>
          <w:tcPr>
            <w:tcW w:w="1420" w:type="dxa"/>
            <w:gridSpan w:val="2"/>
            <w:tcBorders>
              <w:top w:val="single" w:color="000000" w:sz="4" w:space="0"/>
              <w:left w:val="single" w:color="000000" w:sz="4" w:space="0"/>
              <w:bottom w:val="single" w:color="000000" w:sz="4" w:space="0"/>
              <w:right w:val="single" w:color="000000" w:sz="4" w:space="0"/>
            </w:tcBorders>
            <w:vAlign w:val="center"/>
          </w:tcPr>
          <w:p>
            <w:pPr>
              <w:pStyle w:val="66"/>
              <w:spacing w:before="1"/>
              <w:ind w:left="218"/>
              <w:jc w:val="left"/>
              <w:rPr>
                <w:rFonts w:ascii="Times New Roman" w:hAnsi="宋体" w:eastAsia="宋体" w:cs="宋体"/>
                <w:bCs/>
                <w:snapToGrid w:val="0"/>
                <w:color w:val="000000"/>
                <w:kern w:val="21"/>
                <w:szCs w:val="21"/>
                <w:lang w:val="en-US" w:bidi="ar-SA"/>
              </w:rPr>
            </w:pPr>
            <w:r>
              <w:rPr>
                <w:rFonts w:hint="eastAsia" w:ascii="Times New Roman" w:hAnsi="宋体" w:eastAsia="宋体" w:cs="宋体"/>
                <w:bCs/>
                <w:snapToGrid w:val="0"/>
                <w:color w:val="000000"/>
                <w:kern w:val="21"/>
                <w:szCs w:val="21"/>
                <w:lang w:val="en-US" w:bidi="ar-SA"/>
              </w:rPr>
              <w:t>废边角料</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1.92</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5</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82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6.92</w:t>
            </w:r>
          </w:p>
        </w:tc>
        <w:tc>
          <w:tcPr>
            <w:tcW w:w="1232" w:type="dxa"/>
            <w:tcBorders>
              <w:top w:val="single" w:color="000000" w:sz="4" w:space="0"/>
              <w:left w:val="single" w:color="000000" w:sz="4" w:space="0"/>
              <w:bottom w:val="single" w:color="000000" w:sz="4" w:space="0"/>
            </w:tcBorders>
            <w:vAlign w:val="center"/>
          </w:tcPr>
          <w:p>
            <w:pPr>
              <w:spacing w:before="25"/>
              <w:ind w:left="14"/>
              <w:jc w:val="center"/>
              <w:rPr>
                <w:rFonts w:cs="Times New Roman"/>
                <w:szCs w:val="21"/>
              </w:rPr>
            </w:pPr>
            <w:r>
              <w:rPr>
                <w:rFonts w:hint="eastAsia" w:ascii="Times New Roma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287" w:type="dxa"/>
            <w:vMerge w:val="continue"/>
            <w:tcBorders>
              <w:right w:val="single" w:color="000000" w:sz="4" w:space="0"/>
            </w:tcBorders>
            <w:vAlign w:val="center"/>
          </w:tcPr>
          <w:p>
            <w:pPr>
              <w:pStyle w:val="66"/>
              <w:spacing w:before="1" w:line="242" w:lineRule="auto"/>
              <w:ind w:right="101"/>
              <w:jc w:val="center"/>
              <w:rPr>
                <w:rFonts w:ascii="宋体" w:eastAsia="宋体"/>
              </w:rPr>
            </w:pPr>
          </w:p>
        </w:tc>
        <w:tc>
          <w:tcPr>
            <w:tcW w:w="1420" w:type="dxa"/>
            <w:gridSpan w:val="2"/>
            <w:tcBorders>
              <w:top w:val="single" w:color="000000" w:sz="4" w:space="0"/>
              <w:left w:val="single" w:color="000000" w:sz="4" w:space="0"/>
              <w:bottom w:val="single" w:color="000000" w:sz="4" w:space="0"/>
              <w:right w:val="single" w:color="000000" w:sz="4" w:space="0"/>
            </w:tcBorders>
            <w:vAlign w:val="center"/>
          </w:tcPr>
          <w:p>
            <w:pPr>
              <w:pStyle w:val="66"/>
              <w:spacing w:before="1"/>
              <w:ind w:left="218"/>
              <w:jc w:val="left"/>
              <w:rPr>
                <w:rFonts w:hint="default" w:ascii="Times New Roman" w:hAnsi="宋体" w:eastAsia="宋体" w:cs="宋体"/>
                <w:bCs/>
                <w:snapToGrid w:val="0"/>
                <w:color w:val="000000"/>
                <w:kern w:val="21"/>
                <w:szCs w:val="21"/>
                <w:lang w:val="en-US" w:eastAsia="zh-CN" w:bidi="ar-SA"/>
              </w:rPr>
            </w:pPr>
            <w:r>
              <w:rPr>
                <w:rFonts w:hint="eastAsia" w:ascii="Times New Roman" w:hAnsi="宋体" w:eastAsia="宋体" w:cs="宋体"/>
                <w:bCs/>
                <w:snapToGrid w:val="0"/>
                <w:color w:val="000000"/>
                <w:kern w:val="21"/>
                <w:szCs w:val="21"/>
                <w:lang w:val="en-US" w:bidi="ar-SA"/>
              </w:rPr>
              <w:t>废淀粉胶水桶</w:t>
            </w:r>
            <w:r>
              <w:rPr>
                <w:rFonts w:hint="eastAsia" w:ascii="Times New Roman" w:hAnsi="宋体" w:eastAsia="宋体" w:cs="宋体"/>
                <w:bCs/>
                <w:snapToGrid w:val="0"/>
                <w:color w:val="000000"/>
                <w:kern w:val="21"/>
                <w:szCs w:val="21"/>
                <w:lang w:val="en-US" w:eastAsia="zh-CN" w:bidi="ar-SA"/>
              </w:rPr>
              <w:t>、废油墨桶</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hint="default" w:ascii="Times New Roman" w:eastAsia="仿宋"/>
                <w:lang w:val="en-US" w:eastAsia="zh-CN"/>
              </w:rPr>
            </w:pPr>
            <w:r>
              <w:rPr>
                <w:rFonts w:hint="eastAsia" w:ascii="Times New Roman" w:eastAsia="仿宋"/>
                <w:lang w:val="en-US" w:eastAsia="zh-CN"/>
              </w:rPr>
              <w:t>0.208</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1.2</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82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hint="default" w:ascii="Times New Roman" w:eastAsia="仿宋"/>
                <w:lang w:val="en-US" w:eastAsia="zh-CN"/>
              </w:rPr>
            </w:pPr>
            <w:r>
              <w:rPr>
                <w:rFonts w:hint="eastAsia" w:ascii="Times New Roman" w:eastAsia="仿宋"/>
                <w:lang w:val="en-US" w:eastAsia="zh-CN"/>
              </w:rPr>
              <w:t>1.408</w:t>
            </w:r>
          </w:p>
        </w:tc>
        <w:tc>
          <w:tcPr>
            <w:tcW w:w="1232" w:type="dxa"/>
            <w:tcBorders>
              <w:top w:val="single" w:color="000000" w:sz="4" w:space="0"/>
              <w:left w:val="single" w:color="000000" w:sz="4" w:space="0"/>
              <w:bottom w:val="single" w:color="000000" w:sz="4" w:space="0"/>
            </w:tcBorders>
            <w:vAlign w:val="center"/>
          </w:tcPr>
          <w:p>
            <w:pPr>
              <w:spacing w:before="25"/>
              <w:ind w:left="14"/>
              <w:jc w:val="center"/>
              <w:rPr>
                <w:rFonts w:cs="Times New Roman"/>
                <w:szCs w:val="21"/>
              </w:rPr>
            </w:pPr>
            <w:r>
              <w:rPr>
                <w:rFonts w:hint="eastAsia" w:ascii="Times New Roma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 w:hRule="atLeast"/>
        </w:trPr>
        <w:tc>
          <w:tcPr>
            <w:tcW w:w="1287" w:type="dxa"/>
            <w:vMerge w:val="continue"/>
            <w:tcBorders>
              <w:bottom w:val="single" w:color="000000" w:sz="4" w:space="0"/>
              <w:right w:val="single" w:color="000000" w:sz="4" w:space="0"/>
            </w:tcBorders>
            <w:vAlign w:val="center"/>
          </w:tcPr>
          <w:p>
            <w:pPr>
              <w:pStyle w:val="66"/>
              <w:spacing w:before="1" w:line="242" w:lineRule="auto"/>
              <w:ind w:right="101"/>
              <w:jc w:val="center"/>
              <w:rPr>
                <w:rFonts w:ascii="宋体" w:eastAsia="宋体"/>
              </w:rPr>
            </w:pPr>
          </w:p>
        </w:tc>
        <w:tc>
          <w:tcPr>
            <w:tcW w:w="1420" w:type="dxa"/>
            <w:gridSpan w:val="2"/>
            <w:tcBorders>
              <w:top w:val="single" w:color="000000" w:sz="4" w:space="0"/>
              <w:left w:val="single" w:color="000000" w:sz="4" w:space="0"/>
              <w:bottom w:val="single" w:color="000000" w:sz="4" w:space="0"/>
              <w:right w:val="single" w:color="000000" w:sz="4" w:space="0"/>
            </w:tcBorders>
            <w:vAlign w:val="center"/>
          </w:tcPr>
          <w:p>
            <w:pPr>
              <w:pStyle w:val="66"/>
              <w:spacing w:before="1"/>
              <w:ind w:left="218"/>
              <w:jc w:val="left"/>
              <w:rPr>
                <w:rFonts w:ascii="Times New Roman" w:hAnsi="宋体" w:eastAsia="宋体" w:cs="宋体"/>
                <w:bCs/>
                <w:snapToGrid w:val="0"/>
                <w:color w:val="000000"/>
                <w:kern w:val="21"/>
                <w:szCs w:val="21"/>
                <w:lang w:val="en-US" w:bidi="ar-SA"/>
              </w:rPr>
            </w:pPr>
            <w:r>
              <w:rPr>
                <w:rFonts w:hint="eastAsia" w:ascii="Times New Roman" w:hAnsi="宋体" w:eastAsia="宋体" w:cs="宋体"/>
                <w:bCs/>
                <w:snapToGrid w:val="0"/>
                <w:color w:val="000000"/>
                <w:kern w:val="21"/>
                <w:szCs w:val="21"/>
                <w:lang w:val="en-US" w:bidi="ar-SA"/>
              </w:rPr>
              <w:t>废擦拭抹布</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0.2</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82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0.2</w:t>
            </w:r>
          </w:p>
        </w:tc>
        <w:tc>
          <w:tcPr>
            <w:tcW w:w="1232" w:type="dxa"/>
            <w:tcBorders>
              <w:top w:val="single" w:color="000000" w:sz="4" w:space="0"/>
              <w:left w:val="single" w:color="000000" w:sz="4" w:space="0"/>
              <w:bottom w:val="single" w:color="000000" w:sz="4" w:space="0"/>
            </w:tcBorders>
            <w:vAlign w:val="center"/>
          </w:tcPr>
          <w:p>
            <w:pPr>
              <w:spacing w:before="25"/>
              <w:ind w:left="14"/>
              <w:jc w:val="center"/>
              <w:rPr>
                <w:rFonts w:cs="Times New Roman"/>
                <w:szCs w:val="21"/>
              </w:rPr>
            </w:pPr>
            <w:r>
              <w:rPr>
                <w:rFonts w:hint="eastAsia" w:ascii="Times New Roma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287" w:type="dxa"/>
            <w:vMerge w:val="restart"/>
            <w:tcBorders>
              <w:top w:val="nil"/>
              <w:right w:val="single" w:color="000000" w:sz="4" w:space="0"/>
            </w:tcBorders>
            <w:vAlign w:val="center"/>
          </w:tcPr>
          <w:p>
            <w:pPr>
              <w:pStyle w:val="66"/>
              <w:spacing w:before="11"/>
              <w:ind w:left="222"/>
              <w:jc w:val="center"/>
              <w:rPr>
                <w:rFonts w:ascii="宋体" w:eastAsia="宋体"/>
              </w:rPr>
            </w:pPr>
            <w:r>
              <w:rPr>
                <w:rFonts w:hint="eastAsia" w:ascii="宋体" w:eastAsia="宋体"/>
              </w:rPr>
              <w:t>危险废物</w:t>
            </w:r>
          </w:p>
        </w:tc>
        <w:tc>
          <w:tcPr>
            <w:tcW w:w="1420" w:type="dxa"/>
            <w:gridSpan w:val="2"/>
            <w:tcBorders>
              <w:top w:val="single" w:color="000000" w:sz="4" w:space="0"/>
              <w:left w:val="single" w:color="000000" w:sz="4" w:space="0"/>
              <w:bottom w:val="single" w:color="000000" w:sz="4" w:space="0"/>
              <w:right w:val="single" w:color="000000" w:sz="4" w:space="0"/>
            </w:tcBorders>
            <w:vAlign w:val="center"/>
          </w:tcPr>
          <w:p>
            <w:pPr>
              <w:pStyle w:val="66"/>
              <w:spacing w:before="1"/>
              <w:ind w:left="218"/>
              <w:jc w:val="left"/>
              <w:rPr>
                <w:rFonts w:ascii="Times New Roman" w:hAnsi="宋体" w:eastAsia="宋体" w:cs="宋体"/>
                <w:bCs/>
                <w:snapToGrid w:val="0"/>
                <w:color w:val="000000"/>
                <w:kern w:val="21"/>
                <w:szCs w:val="21"/>
                <w:lang w:val="en-US" w:bidi="ar-SA"/>
              </w:rPr>
            </w:pPr>
            <w:r>
              <w:rPr>
                <w:rFonts w:hint="eastAsia" w:ascii="Times New Roman" w:hAnsi="宋体" w:eastAsia="宋体" w:cs="宋体"/>
                <w:bCs/>
                <w:snapToGrid w:val="0"/>
                <w:color w:val="000000"/>
                <w:kern w:val="21"/>
                <w:szCs w:val="21"/>
                <w:lang w:val="en-US" w:bidi="ar-SA"/>
              </w:rPr>
              <w:t>废活性炭</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0.09</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82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0.09</w:t>
            </w:r>
          </w:p>
        </w:tc>
        <w:tc>
          <w:tcPr>
            <w:tcW w:w="1232" w:type="dxa"/>
            <w:tcBorders>
              <w:top w:val="single" w:color="000000" w:sz="4" w:space="0"/>
              <w:left w:val="single" w:color="000000" w:sz="4" w:space="0"/>
              <w:bottom w:val="single" w:color="000000" w:sz="4" w:space="0"/>
            </w:tcBorders>
            <w:vAlign w:val="center"/>
          </w:tcPr>
          <w:p>
            <w:pPr>
              <w:spacing w:before="25"/>
              <w:ind w:left="14"/>
              <w:jc w:val="center"/>
              <w:rPr>
                <w:rFonts w:ascii="Times New Roman" w:eastAsia="仿宋"/>
              </w:rPr>
            </w:pPr>
            <w:r>
              <w:rPr>
                <w:rFonts w:hint="eastAsia" w:ascii="Times New Roma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287" w:type="dxa"/>
            <w:vMerge w:val="continue"/>
            <w:tcBorders>
              <w:right w:val="single" w:color="000000" w:sz="4" w:space="0"/>
            </w:tcBorders>
            <w:vAlign w:val="center"/>
          </w:tcPr>
          <w:p>
            <w:pPr>
              <w:pStyle w:val="66"/>
              <w:spacing w:before="11"/>
              <w:ind w:left="222"/>
              <w:jc w:val="center"/>
              <w:rPr>
                <w:rFonts w:ascii="宋体" w:eastAsia="宋体"/>
              </w:rPr>
            </w:pPr>
          </w:p>
        </w:tc>
        <w:tc>
          <w:tcPr>
            <w:tcW w:w="1420" w:type="dxa"/>
            <w:gridSpan w:val="2"/>
            <w:tcBorders>
              <w:top w:val="single" w:color="000000" w:sz="4" w:space="0"/>
              <w:left w:val="single" w:color="000000" w:sz="4" w:space="0"/>
              <w:bottom w:val="single" w:color="000000" w:sz="4" w:space="0"/>
              <w:right w:val="single" w:color="000000" w:sz="4" w:space="0"/>
            </w:tcBorders>
            <w:vAlign w:val="center"/>
          </w:tcPr>
          <w:p>
            <w:pPr>
              <w:pStyle w:val="66"/>
              <w:spacing w:before="1"/>
              <w:ind w:left="218"/>
              <w:jc w:val="left"/>
              <w:rPr>
                <w:rFonts w:ascii="Times New Roman" w:hAnsi="宋体" w:eastAsia="宋体" w:cs="宋体"/>
                <w:bCs/>
                <w:snapToGrid w:val="0"/>
                <w:color w:val="000000"/>
                <w:kern w:val="21"/>
                <w:szCs w:val="21"/>
                <w:lang w:val="en-US" w:bidi="ar-SA"/>
              </w:rPr>
            </w:pPr>
            <w:r>
              <w:rPr>
                <w:rFonts w:hint="eastAsia" w:ascii="Times New Roman" w:hAnsi="宋体" w:eastAsia="宋体" w:cs="宋体"/>
                <w:bCs/>
                <w:snapToGrid w:val="0"/>
                <w:color w:val="000000"/>
                <w:kern w:val="21"/>
                <w:szCs w:val="21"/>
                <w:lang w:val="en-US" w:bidi="ar-SA"/>
              </w:rPr>
              <w:t>污泥</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0.00324</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w:t>
            </w:r>
          </w:p>
        </w:tc>
        <w:tc>
          <w:tcPr>
            <w:tcW w:w="182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ascii="Times New Roman" w:eastAsia="仿宋"/>
              </w:rPr>
            </w:pPr>
            <w:r>
              <w:rPr>
                <w:rFonts w:hint="eastAsia" w:ascii="Times New Roman" w:eastAsia="仿宋"/>
              </w:rPr>
              <w:t>0.00324</w:t>
            </w:r>
          </w:p>
        </w:tc>
        <w:tc>
          <w:tcPr>
            <w:tcW w:w="1232" w:type="dxa"/>
            <w:tcBorders>
              <w:top w:val="single" w:color="000000" w:sz="4" w:space="0"/>
              <w:left w:val="single" w:color="000000" w:sz="4" w:space="0"/>
              <w:bottom w:val="single" w:color="000000" w:sz="4" w:space="0"/>
            </w:tcBorders>
            <w:vAlign w:val="center"/>
          </w:tcPr>
          <w:p>
            <w:pPr>
              <w:spacing w:before="25"/>
              <w:ind w:left="14"/>
              <w:jc w:val="center"/>
              <w:rPr>
                <w:rFonts w:ascii="Times New Roman" w:eastAsia="仿宋"/>
              </w:rPr>
            </w:pPr>
            <w:r>
              <w:rPr>
                <w:rFonts w:hint="eastAsia" w:ascii="Times New Roma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287" w:type="dxa"/>
            <w:vMerge w:val="continue"/>
            <w:tcBorders>
              <w:right w:val="single" w:color="000000" w:sz="4" w:space="0"/>
            </w:tcBorders>
            <w:vAlign w:val="center"/>
          </w:tcPr>
          <w:p>
            <w:pPr>
              <w:pStyle w:val="66"/>
              <w:spacing w:before="11"/>
              <w:ind w:left="222"/>
              <w:jc w:val="center"/>
              <w:rPr>
                <w:rFonts w:ascii="宋体" w:eastAsia="宋体"/>
              </w:rPr>
            </w:pPr>
          </w:p>
        </w:tc>
        <w:tc>
          <w:tcPr>
            <w:tcW w:w="1420" w:type="dxa"/>
            <w:gridSpan w:val="2"/>
            <w:tcBorders>
              <w:top w:val="single" w:color="000000" w:sz="4" w:space="0"/>
              <w:left w:val="single" w:color="000000" w:sz="4" w:space="0"/>
              <w:bottom w:val="single" w:color="000000" w:sz="4" w:space="0"/>
              <w:right w:val="single" w:color="000000" w:sz="4" w:space="0"/>
            </w:tcBorders>
            <w:vAlign w:val="center"/>
          </w:tcPr>
          <w:p>
            <w:pPr>
              <w:pStyle w:val="66"/>
              <w:spacing w:before="1"/>
              <w:ind w:left="218"/>
              <w:jc w:val="left"/>
              <w:rPr>
                <w:rFonts w:hint="default" w:ascii="Times New Roman" w:hAnsi="宋体" w:eastAsia="宋体" w:cs="宋体"/>
                <w:bCs/>
                <w:snapToGrid w:val="0"/>
                <w:color w:val="000000"/>
                <w:kern w:val="21"/>
                <w:szCs w:val="21"/>
                <w:lang w:val="en-US" w:eastAsia="zh-CN" w:bidi="ar-SA"/>
              </w:rPr>
            </w:pPr>
            <w:r>
              <w:rPr>
                <w:rFonts w:hint="eastAsia" w:ascii="Times New Roman" w:hAnsi="宋体" w:eastAsia="宋体" w:cs="宋体"/>
                <w:bCs/>
                <w:snapToGrid w:val="0"/>
                <w:color w:val="000000"/>
                <w:kern w:val="21"/>
                <w:szCs w:val="21"/>
                <w:lang w:val="en-US" w:eastAsia="zh-CN" w:bidi="ar-SA"/>
              </w:rPr>
              <w:t>废机油</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before="25"/>
              <w:ind w:left="14"/>
              <w:jc w:val="center"/>
              <w:rPr>
                <w:rFonts w:hint="default" w:ascii="Times New Roman" w:eastAsia="仿宋"/>
                <w:lang w:val="en-US" w:eastAsia="zh-CN"/>
              </w:rPr>
            </w:pPr>
            <w:r>
              <w:rPr>
                <w:rFonts w:hint="eastAsia" w:ascii="Times New Roman" w:eastAsia="仿宋"/>
                <w:lang w:val="en-US" w:eastAsia="zh-CN"/>
              </w:rPr>
              <w:t>0.06</w:t>
            </w:r>
          </w:p>
        </w:tc>
        <w:tc>
          <w:tcPr>
            <w:tcW w:w="1278" w:type="dxa"/>
            <w:tcBorders>
              <w:top w:val="single" w:color="000000" w:sz="4" w:space="0"/>
              <w:left w:val="single" w:color="000000" w:sz="4" w:space="0"/>
              <w:bottom w:val="single" w:color="000000" w:sz="4" w:space="0"/>
              <w:right w:val="single" w:color="000000" w:sz="4" w:space="0"/>
            </w:tcBorders>
            <w:vAlign w:val="center"/>
          </w:tcPr>
          <w:p>
            <w:pPr>
              <w:spacing w:before="25"/>
              <w:ind w:left="14" w:leftChars="0"/>
              <w:jc w:val="center"/>
              <w:rPr>
                <w:rFonts w:hint="eastAsia" w:ascii="Times New Roman" w:eastAsia="仿宋"/>
              </w:rPr>
            </w:pPr>
            <w:r>
              <w:rPr>
                <w:rFonts w:hint="eastAsia" w:ascii="Times New Roman" w:eastAsia="仿宋"/>
              </w:rPr>
              <w:t>/</w:t>
            </w:r>
          </w:p>
        </w:tc>
        <w:tc>
          <w:tcPr>
            <w:tcW w:w="1703" w:type="dxa"/>
            <w:tcBorders>
              <w:top w:val="single" w:color="000000" w:sz="4" w:space="0"/>
              <w:left w:val="single" w:color="000000" w:sz="4" w:space="0"/>
              <w:bottom w:val="single" w:color="000000" w:sz="4" w:space="0"/>
              <w:right w:val="single" w:color="000000" w:sz="4" w:space="0"/>
            </w:tcBorders>
            <w:vAlign w:val="center"/>
          </w:tcPr>
          <w:p>
            <w:pPr>
              <w:spacing w:before="25"/>
              <w:ind w:left="14" w:leftChars="0"/>
              <w:jc w:val="center"/>
              <w:rPr>
                <w:rFonts w:hint="eastAsia" w:ascii="Times New Roman" w:eastAsia="仿宋"/>
              </w:rPr>
            </w:pPr>
            <w:r>
              <w:rPr>
                <w:rFonts w:hint="eastAsia" w:ascii="Times New Roman" w:eastAsia="仿宋"/>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before="25"/>
              <w:ind w:left="14" w:leftChars="0"/>
              <w:jc w:val="center"/>
              <w:rPr>
                <w:rFonts w:hint="eastAsia" w:ascii="Times New Roman" w:eastAsia="仿宋"/>
                <w:lang w:eastAsia="zh-CN"/>
              </w:rPr>
            </w:pPr>
            <w:r>
              <w:rPr>
                <w:rFonts w:hint="eastAsia" w:ascii="Times New Roman" w:eastAsia="仿宋"/>
              </w:rPr>
              <w:t>/</w:t>
            </w:r>
          </w:p>
        </w:tc>
        <w:tc>
          <w:tcPr>
            <w:tcW w:w="1763" w:type="dxa"/>
            <w:tcBorders>
              <w:top w:val="single" w:color="000000" w:sz="4" w:space="0"/>
              <w:left w:val="single" w:color="000000" w:sz="4" w:space="0"/>
              <w:bottom w:val="single" w:color="000000" w:sz="4" w:space="0"/>
              <w:right w:val="single" w:color="000000" w:sz="4" w:space="0"/>
            </w:tcBorders>
            <w:vAlign w:val="center"/>
          </w:tcPr>
          <w:p>
            <w:pPr>
              <w:spacing w:before="25"/>
              <w:ind w:left="14" w:leftChars="0"/>
              <w:jc w:val="center"/>
              <w:rPr>
                <w:rFonts w:hint="eastAsia" w:ascii="Times New Roman" w:eastAsia="仿宋"/>
              </w:rPr>
            </w:pPr>
            <w:r>
              <w:rPr>
                <w:rFonts w:hint="eastAsia" w:ascii="Times New Roman" w:eastAsia="仿宋"/>
              </w:rPr>
              <w:t>0</w:t>
            </w:r>
          </w:p>
        </w:tc>
        <w:tc>
          <w:tcPr>
            <w:tcW w:w="1821" w:type="dxa"/>
            <w:tcBorders>
              <w:top w:val="single" w:color="000000" w:sz="4" w:space="0"/>
              <w:left w:val="single" w:color="000000" w:sz="4" w:space="0"/>
              <w:bottom w:val="single" w:color="000000" w:sz="4" w:space="0"/>
              <w:right w:val="single" w:color="000000" w:sz="4" w:space="0"/>
            </w:tcBorders>
            <w:vAlign w:val="center"/>
          </w:tcPr>
          <w:p>
            <w:pPr>
              <w:spacing w:before="25"/>
              <w:ind w:left="14" w:leftChars="0"/>
              <w:jc w:val="center"/>
              <w:rPr>
                <w:rFonts w:hint="default" w:ascii="Times New Roman" w:eastAsia="仿宋"/>
                <w:lang w:val="en-US" w:eastAsia="zh-CN"/>
              </w:rPr>
            </w:pPr>
            <w:r>
              <w:rPr>
                <w:rFonts w:hint="eastAsia" w:ascii="Times New Roman" w:eastAsia="仿宋"/>
                <w:lang w:val="en-US" w:eastAsia="zh-CN"/>
              </w:rPr>
              <w:t>0.06</w:t>
            </w:r>
          </w:p>
        </w:tc>
        <w:tc>
          <w:tcPr>
            <w:tcW w:w="1232" w:type="dxa"/>
            <w:tcBorders>
              <w:top w:val="single" w:color="000000" w:sz="4" w:space="0"/>
              <w:left w:val="single" w:color="000000" w:sz="4" w:space="0"/>
              <w:bottom w:val="single" w:color="000000" w:sz="4" w:space="0"/>
            </w:tcBorders>
            <w:vAlign w:val="center"/>
          </w:tcPr>
          <w:p>
            <w:pPr>
              <w:spacing w:before="25"/>
              <w:ind w:left="14" w:leftChars="0"/>
              <w:jc w:val="center"/>
              <w:rPr>
                <w:rFonts w:hint="eastAsia" w:ascii="Times New Roman"/>
              </w:rPr>
            </w:pPr>
            <w:r>
              <w:rPr>
                <w:rFonts w:hint="eastAsia" w:ascii="Times New Roman"/>
              </w:rPr>
              <w:t>0</w:t>
            </w:r>
          </w:p>
        </w:tc>
      </w:tr>
    </w:tbl>
    <w:p>
      <w:pPr>
        <w:pStyle w:val="23"/>
        <w:spacing w:after="0" w:line="240" w:lineRule="auto"/>
        <w:jc w:val="center"/>
        <w:rPr>
          <w:rFonts w:ascii="微软雅黑" w:eastAsia="微软雅黑"/>
          <w:sz w:val="38"/>
        </w:rPr>
        <w:sectPr>
          <w:pgSz w:w="16838" w:h="11906" w:orient="landscape"/>
          <w:pgMar w:top="1417" w:right="1417" w:bottom="1417" w:left="1417" w:header="737" w:footer="850" w:gutter="0"/>
          <w:cols w:space="0" w:num="1"/>
          <w:docGrid w:type="lines" w:linePitch="312" w:charSpace="0"/>
        </w:sectPr>
      </w:pPr>
      <w:bookmarkStart w:id="14" w:name="_GoBack"/>
      <w:bookmarkEnd w:id="14"/>
    </w:p>
    <w:tbl>
      <w:tblPr>
        <w:tblStyle w:val="27"/>
        <w:tblW w:w="9042"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4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343" w:hRule="atLeast"/>
        </w:trPr>
        <w:tc>
          <w:tcPr>
            <w:tcW w:w="9042" w:type="dxa"/>
          </w:tcPr>
          <w:p>
            <w:pPr>
              <w:tabs>
                <w:tab w:val="left" w:pos="417"/>
              </w:tabs>
              <w:spacing w:before="156" w:beforeLines="50" w:after="156" w:afterLines="50"/>
              <w:jc w:val="center"/>
              <w:rPr>
                <w:rFonts w:ascii="Times New Roman" w:hAnsi="Times New Roman" w:eastAsia="宋体" w:cs="Times New Roman"/>
                <w:sz w:val="24"/>
              </w:rPr>
            </w:pPr>
            <w:r>
              <w:rPr>
                <w:rFonts w:ascii="Times New Roman" w:hAnsi="Times New Roman" w:eastAsia="宋体" w:cs="Times New Roman"/>
                <w:b/>
                <w:sz w:val="28"/>
                <w:szCs w:val="28"/>
              </w:rPr>
              <w:t>注释</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cs="Times New Roman" w:asciiTheme="minorEastAsia" w:hAnsiTheme="minorEastAsia"/>
                <w:sz w:val="28"/>
                <w:szCs w:val="28"/>
              </w:rPr>
              <w:t>一、本报告表应附以下附图、附件：</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附件1环评委托书</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附件2备案文件</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附件3土地证明</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附件4危废承诺书</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附件5检测报告</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附件6水性油墨MSDS</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附图1项目地理位置图</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附图2项目平面布置图</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附图3环境保护目标图</w:t>
            </w:r>
          </w:p>
          <w:p>
            <w:pPr>
              <w:tabs>
                <w:tab w:val="left" w:pos="417"/>
              </w:tabs>
              <w:adjustRightInd w:val="0"/>
              <w:snapToGrid w:val="0"/>
              <w:spacing w:line="336"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附图4车间平面布置图</w:t>
            </w:r>
          </w:p>
          <w:p>
            <w:pPr>
              <w:tabs>
                <w:tab w:val="left" w:pos="417"/>
              </w:tabs>
              <w:adjustRightInd w:val="0"/>
              <w:snapToGrid w:val="0"/>
              <w:spacing w:line="336" w:lineRule="auto"/>
              <w:ind w:firstLine="560" w:firstLineChars="200"/>
              <w:rPr>
                <w:rFonts w:hint="eastAsia" w:cs="Times New Roman" w:asciiTheme="minorEastAsia" w:hAnsiTheme="minorEastAsia"/>
                <w:sz w:val="28"/>
                <w:szCs w:val="28"/>
              </w:rPr>
            </w:pPr>
            <w:r>
              <w:rPr>
                <w:rFonts w:hint="eastAsia" w:cs="Times New Roman" w:asciiTheme="minorEastAsia" w:hAnsiTheme="minorEastAsia"/>
                <w:sz w:val="28"/>
                <w:szCs w:val="28"/>
              </w:rPr>
              <w:t>附图5本项目外环境关系图</w:t>
            </w:r>
          </w:p>
          <w:p>
            <w:pPr>
              <w:tabs>
                <w:tab w:val="left" w:pos="417"/>
              </w:tabs>
              <w:adjustRightInd w:val="0"/>
              <w:snapToGrid w:val="0"/>
              <w:spacing w:line="336" w:lineRule="auto"/>
              <w:ind w:firstLine="560" w:firstLineChars="200"/>
              <w:rPr>
                <w:rFonts w:hint="default" w:cs="Times New Roman" w:asciiTheme="minorEastAsia" w:hAnsiTheme="minorEastAsia"/>
                <w:sz w:val="28"/>
                <w:szCs w:val="28"/>
                <w:lang w:val="en-US" w:eastAsia="zh-CN"/>
              </w:rPr>
            </w:pPr>
            <w:r>
              <w:rPr>
                <w:rFonts w:hint="eastAsia" w:cs="Times New Roman" w:asciiTheme="minorEastAsia" w:hAnsiTheme="minorEastAsia"/>
                <w:sz w:val="28"/>
                <w:szCs w:val="28"/>
                <w:lang w:val="en-US" w:eastAsia="zh-CN"/>
              </w:rPr>
              <w:t>附图6</w:t>
            </w:r>
            <w:r>
              <w:rPr>
                <w:rFonts w:hint="eastAsia" w:cs="Times New Roman" w:asciiTheme="minorEastAsia" w:hAnsiTheme="minorEastAsia"/>
                <w:sz w:val="28"/>
                <w:szCs w:val="28"/>
              </w:rPr>
              <w:t>本项目</w:t>
            </w:r>
            <w:r>
              <w:rPr>
                <w:rFonts w:hint="eastAsia" w:cs="Times New Roman" w:asciiTheme="minorEastAsia" w:hAnsiTheme="minorEastAsia"/>
                <w:sz w:val="28"/>
                <w:szCs w:val="28"/>
                <w:lang w:val="en-US" w:eastAsia="zh-CN"/>
              </w:rPr>
              <w:t>与淮河的位置</w:t>
            </w:r>
            <w:r>
              <w:rPr>
                <w:rFonts w:hint="eastAsia" w:cs="Times New Roman" w:asciiTheme="minorEastAsia" w:hAnsiTheme="minorEastAsia"/>
                <w:sz w:val="28"/>
                <w:szCs w:val="28"/>
              </w:rPr>
              <w:t>关系图</w:t>
            </w:r>
          </w:p>
          <w:p>
            <w:pPr>
              <w:tabs>
                <w:tab w:val="left" w:pos="417"/>
              </w:tabs>
              <w:snapToGrid w:val="0"/>
              <w:spacing w:line="44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二、如果本报告表不能说明项目产生的污染及对环境造成的影响，应进行专项评价。根据建设项目的特点和当地环境特征，应选下列1-2项进行专项评价。</w:t>
            </w:r>
          </w:p>
          <w:p>
            <w:pPr>
              <w:tabs>
                <w:tab w:val="left" w:pos="417"/>
              </w:tabs>
              <w:snapToGrid w:val="0"/>
              <w:spacing w:line="44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1、大气环境影响专项评价</w:t>
            </w:r>
          </w:p>
          <w:p>
            <w:pPr>
              <w:tabs>
                <w:tab w:val="left" w:pos="417"/>
              </w:tabs>
              <w:snapToGrid w:val="0"/>
              <w:spacing w:line="44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2、水环境影响专项评价(包括地表水和地下水)</w:t>
            </w:r>
          </w:p>
          <w:p>
            <w:pPr>
              <w:tabs>
                <w:tab w:val="left" w:pos="417"/>
              </w:tabs>
              <w:snapToGrid w:val="0"/>
              <w:spacing w:line="44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3、生态影响专项评价</w:t>
            </w:r>
          </w:p>
          <w:p>
            <w:pPr>
              <w:tabs>
                <w:tab w:val="left" w:pos="417"/>
              </w:tabs>
              <w:snapToGrid w:val="0"/>
              <w:spacing w:line="44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4、声影响专项评价</w:t>
            </w:r>
          </w:p>
          <w:p>
            <w:pPr>
              <w:tabs>
                <w:tab w:val="left" w:pos="417"/>
              </w:tabs>
              <w:snapToGrid w:val="0"/>
              <w:spacing w:line="44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5、土壤影响专项评价</w:t>
            </w:r>
          </w:p>
          <w:p>
            <w:pPr>
              <w:tabs>
                <w:tab w:val="left" w:pos="417"/>
              </w:tabs>
              <w:snapToGrid w:val="0"/>
              <w:spacing w:line="44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6、固体废弃物影响专项评价</w:t>
            </w:r>
          </w:p>
          <w:p>
            <w:pPr>
              <w:tabs>
                <w:tab w:val="left" w:pos="417"/>
              </w:tabs>
              <w:snapToGrid w:val="0"/>
              <w:spacing w:line="440" w:lineRule="exact"/>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以上专项评价未包括的可另列专项，专项评价按照《环境影响评价技术导则》中的要求进行。</w:t>
            </w:r>
          </w:p>
          <w:p>
            <w:pPr>
              <w:pStyle w:val="51"/>
              <w:rPr>
                <w:rFonts w:ascii="Times New Roman" w:hAnsi="Times New Roman"/>
              </w:rPr>
            </w:pPr>
          </w:p>
        </w:tc>
      </w:tr>
    </w:tbl>
    <w:p>
      <w:pPr>
        <w:rPr>
          <w:rFonts w:ascii="Times New Roman" w:hAnsi="Times New Roman" w:eastAsia="宋体" w:cs="Times New Roman"/>
          <w:b/>
          <w:bCs/>
          <w:sz w:val="10"/>
          <w:szCs w:val="10"/>
        </w:rPr>
      </w:pPr>
    </w:p>
    <w:sectPr>
      <w:pgSz w:w="11906" w:h="16838"/>
      <w:pgMar w:top="1417" w:right="1417" w:bottom="1417" w:left="1417" w:header="737" w:footer="850"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新宋体">
    <w:panose1 w:val="02010609030101010101"/>
    <w:charset w:val="86"/>
    <w:family w:val="modern"/>
    <w:pitch w:val="default"/>
    <w:sig w:usb0="00000003" w:usb1="288F0000" w:usb2="0000000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华康简宋">
    <w:altName w:val="新宋体"/>
    <w:panose1 w:val="00000000000000000000"/>
    <w:charset w:val="86"/>
    <w:family w:val="auto"/>
    <w:pitch w:val="default"/>
    <w:sig w:usb0="00000000" w:usb1="00000000" w:usb2="00000010" w:usb3="00000000" w:csb0="00040000" w:csb1="00000000"/>
  </w:font>
  <w:font w:name="Calibri">
    <w:panose1 w:val="020F0502020204030204"/>
    <w:charset w:val="86"/>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rPr>
        <w:rFonts w:hint="eastAsia"/>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fldChar w:fldCharType="begin"/>
    </w:r>
    <w:r>
      <w:rPr>
        <w:rStyle w:val="31"/>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Times New Roman" w:hAnsi="Times New Roman" w:cs="Times New Roman"/>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118"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sdt>
                          <w:sdtPr>
                            <w:id w:val="2111615106"/>
                          </w:sdtPr>
                          <w:sdtEndPr>
                            <w:rPr>
                              <w:rFonts w:ascii="Times New Roman" w:hAnsi="Times New Roman" w:cs="Times New Roman"/>
                            </w:rPr>
                          </w:sdtEndPr>
                          <w:sdtContent>
                            <w:p>
                              <w:pPr>
                                <w:pStyle w:val="1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27</w:t>
                              </w:r>
                              <w:r>
                                <w:rPr>
                                  <w:rFonts w:ascii="Times New Roman" w:hAnsi="Times New Roman" w:cs="Times New Roman"/>
                                </w:rPr>
                                <w:fldChar w:fldCharType="end"/>
                              </w:r>
                            </w:p>
                          </w:sdtContent>
                        </w:sdt>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7257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5X5J0AAAAAMBAAAPAAAAAAAAAAEAIAAAACIAAABkcnMvZG93&#10;bnJldi54bWxQSwECFAAUAAAACACHTuJAdC8vOc8BAACZAwAADgAAAAAAAAABACAAAAAfAQAAZHJz&#10;L2Uyb0RvYy54bWxQSwUGAAAAAAYABgBZAQAAYAUAAAAA&#10;">
              <v:fill on="f" focussize="0,0"/>
              <v:stroke on="f"/>
              <v:imagedata o:title=""/>
              <o:lock v:ext="edit" aspectratio="f"/>
              <v:textbox inset="0mm,0mm,0mm,0mm" style="mso-fit-shape-to-text:t;">
                <w:txbxContent>
                  <w:sdt>
                    <w:sdtPr>
                      <w:id w:val="2111615106"/>
                    </w:sdtPr>
                    <w:sdtEndPr>
                      <w:rPr>
                        <w:rFonts w:ascii="Times New Roman" w:hAnsi="Times New Roman" w:cs="Times New Roman"/>
                      </w:rPr>
                    </w:sdtEndPr>
                    <w:sdtContent>
                      <w:p>
                        <w:pPr>
                          <w:pStyle w:val="1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27</w:t>
                        </w:r>
                        <w:r>
                          <w:rPr>
                            <w:rFonts w:ascii="Times New Roman" w:hAnsi="Times New Roman" w:cs="Times New Roman"/>
                          </w:rPr>
                          <w:fldChar w:fldCharType="end"/>
                        </w:r>
                      </w:p>
                    </w:sdtContent>
                  </w:sdt>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center" w:pos="4213"/>
      </w:tabs>
      <w:jc w:val="center"/>
      <w:rPr>
        <w:rFonts w:ascii="Times New Roman" w:hAnsi="Times New Roman" w:cs="Times New Roman"/>
        <w:sz w:val="20"/>
        <w:szCs w:val="21"/>
      </w:rPr>
    </w:pPr>
    <w:r>
      <w:rPr>
        <w:rFonts w:hint="eastAsia" w:ascii="Times New Roman" w:hAnsi="Times New Roman" w:eastAsia="宋体"/>
        <w:sz w:val="20"/>
      </w:rPr>
      <w:t>晨阳塑料纸箱二次扩建项目环境影响评价报告表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9958B"/>
    <w:multiLevelType w:val="singleLevel"/>
    <w:tmpl w:val="8CE9958B"/>
    <w:lvl w:ilvl="0" w:tentative="0">
      <w:start w:val="1"/>
      <w:numFmt w:val="decimal"/>
      <w:suff w:val="nothing"/>
      <w:lvlText w:val="%1、"/>
      <w:lvlJc w:val="left"/>
    </w:lvl>
  </w:abstractNum>
  <w:abstractNum w:abstractNumId="1">
    <w:nsid w:val="E7273484"/>
    <w:multiLevelType w:val="singleLevel"/>
    <w:tmpl w:val="E7273484"/>
    <w:lvl w:ilvl="0" w:tentative="0">
      <w:start w:val="3"/>
      <w:numFmt w:val="decimal"/>
      <w:suff w:val="nothing"/>
      <w:lvlText w:val="%1）"/>
      <w:lvlJc w:val="left"/>
    </w:lvl>
  </w:abstractNum>
  <w:abstractNum w:abstractNumId="2">
    <w:nsid w:val="042E53EF"/>
    <w:multiLevelType w:val="singleLevel"/>
    <w:tmpl w:val="042E53EF"/>
    <w:lvl w:ilvl="0" w:tentative="0">
      <w:start w:val="2"/>
      <w:numFmt w:val="chineseCounting"/>
      <w:suff w:val="nothing"/>
      <w:lvlText w:val="%1、"/>
      <w:lvlJc w:val="left"/>
      <w:rPr>
        <w:rFonts w:hint="eastAsia"/>
      </w:rPr>
    </w:lvl>
  </w:abstractNum>
  <w:abstractNum w:abstractNumId="3">
    <w:nsid w:val="6A36B6B6"/>
    <w:multiLevelType w:val="singleLevel"/>
    <w:tmpl w:val="6A36B6B6"/>
    <w:lvl w:ilvl="0" w:tentative="0">
      <w:start w:val="2"/>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BB4AE0"/>
    <w:rsid w:val="000023D7"/>
    <w:rsid w:val="000025FE"/>
    <w:rsid w:val="0000264C"/>
    <w:rsid w:val="0000797B"/>
    <w:rsid w:val="00010072"/>
    <w:rsid w:val="00011738"/>
    <w:rsid w:val="00012F18"/>
    <w:rsid w:val="000139C5"/>
    <w:rsid w:val="0001402D"/>
    <w:rsid w:val="00020650"/>
    <w:rsid w:val="000214C2"/>
    <w:rsid w:val="000216A7"/>
    <w:rsid w:val="00022E63"/>
    <w:rsid w:val="00023CF2"/>
    <w:rsid w:val="00023E8B"/>
    <w:rsid w:val="00025721"/>
    <w:rsid w:val="00026992"/>
    <w:rsid w:val="00032C77"/>
    <w:rsid w:val="000340A4"/>
    <w:rsid w:val="00037C26"/>
    <w:rsid w:val="00041DCB"/>
    <w:rsid w:val="000425C9"/>
    <w:rsid w:val="00043370"/>
    <w:rsid w:val="000438EC"/>
    <w:rsid w:val="00050AF9"/>
    <w:rsid w:val="0005319B"/>
    <w:rsid w:val="000534DD"/>
    <w:rsid w:val="000544C1"/>
    <w:rsid w:val="00055887"/>
    <w:rsid w:val="0006187A"/>
    <w:rsid w:val="00062F7F"/>
    <w:rsid w:val="00070306"/>
    <w:rsid w:val="00082030"/>
    <w:rsid w:val="00090E0C"/>
    <w:rsid w:val="00091E91"/>
    <w:rsid w:val="00094F14"/>
    <w:rsid w:val="00095282"/>
    <w:rsid w:val="00095C48"/>
    <w:rsid w:val="000A1366"/>
    <w:rsid w:val="000A1FFB"/>
    <w:rsid w:val="000A46C1"/>
    <w:rsid w:val="000A4E0D"/>
    <w:rsid w:val="000A5AAD"/>
    <w:rsid w:val="000A6266"/>
    <w:rsid w:val="000A786F"/>
    <w:rsid w:val="000B1292"/>
    <w:rsid w:val="000B38AA"/>
    <w:rsid w:val="000B4220"/>
    <w:rsid w:val="000B4FE7"/>
    <w:rsid w:val="000B6A74"/>
    <w:rsid w:val="000B6DC1"/>
    <w:rsid w:val="000C38F2"/>
    <w:rsid w:val="000C6D0B"/>
    <w:rsid w:val="000C7570"/>
    <w:rsid w:val="000D15B2"/>
    <w:rsid w:val="000D1716"/>
    <w:rsid w:val="000D17C3"/>
    <w:rsid w:val="000D2332"/>
    <w:rsid w:val="000D3343"/>
    <w:rsid w:val="000D3AED"/>
    <w:rsid w:val="000D4B06"/>
    <w:rsid w:val="000D56C8"/>
    <w:rsid w:val="000E0184"/>
    <w:rsid w:val="000E138F"/>
    <w:rsid w:val="000E4086"/>
    <w:rsid w:val="000E5D15"/>
    <w:rsid w:val="000E7FEE"/>
    <w:rsid w:val="000F0856"/>
    <w:rsid w:val="000F0F71"/>
    <w:rsid w:val="000F203B"/>
    <w:rsid w:val="000F2900"/>
    <w:rsid w:val="000F37B5"/>
    <w:rsid w:val="000F4B11"/>
    <w:rsid w:val="000F6637"/>
    <w:rsid w:val="00102739"/>
    <w:rsid w:val="00102773"/>
    <w:rsid w:val="0010367E"/>
    <w:rsid w:val="001101C8"/>
    <w:rsid w:val="00114D05"/>
    <w:rsid w:val="00121E10"/>
    <w:rsid w:val="00122690"/>
    <w:rsid w:val="001243BA"/>
    <w:rsid w:val="00125E27"/>
    <w:rsid w:val="00126D8D"/>
    <w:rsid w:val="00136318"/>
    <w:rsid w:val="001373CC"/>
    <w:rsid w:val="001373D6"/>
    <w:rsid w:val="00140092"/>
    <w:rsid w:val="001400C4"/>
    <w:rsid w:val="00140A1E"/>
    <w:rsid w:val="00142DC8"/>
    <w:rsid w:val="00143579"/>
    <w:rsid w:val="00145F1B"/>
    <w:rsid w:val="0014686D"/>
    <w:rsid w:val="00146BB3"/>
    <w:rsid w:val="0014787A"/>
    <w:rsid w:val="00150987"/>
    <w:rsid w:val="001509A1"/>
    <w:rsid w:val="00153107"/>
    <w:rsid w:val="00153961"/>
    <w:rsid w:val="001566EB"/>
    <w:rsid w:val="001578FD"/>
    <w:rsid w:val="001615A4"/>
    <w:rsid w:val="00161AB3"/>
    <w:rsid w:val="0016604E"/>
    <w:rsid w:val="001677A2"/>
    <w:rsid w:val="00167D0F"/>
    <w:rsid w:val="001731BE"/>
    <w:rsid w:val="001734B5"/>
    <w:rsid w:val="00176DAC"/>
    <w:rsid w:val="00177352"/>
    <w:rsid w:val="0018216B"/>
    <w:rsid w:val="00184E06"/>
    <w:rsid w:val="0018604C"/>
    <w:rsid w:val="001867E9"/>
    <w:rsid w:val="001870EE"/>
    <w:rsid w:val="0018734A"/>
    <w:rsid w:val="001956DC"/>
    <w:rsid w:val="00195D7F"/>
    <w:rsid w:val="001970D8"/>
    <w:rsid w:val="00197335"/>
    <w:rsid w:val="001A009E"/>
    <w:rsid w:val="001A147B"/>
    <w:rsid w:val="001A1C49"/>
    <w:rsid w:val="001A2583"/>
    <w:rsid w:val="001A29B3"/>
    <w:rsid w:val="001A3A75"/>
    <w:rsid w:val="001A60B6"/>
    <w:rsid w:val="001B429D"/>
    <w:rsid w:val="001B637B"/>
    <w:rsid w:val="001C2418"/>
    <w:rsid w:val="001C2B96"/>
    <w:rsid w:val="001D0547"/>
    <w:rsid w:val="001D1917"/>
    <w:rsid w:val="001D2A81"/>
    <w:rsid w:val="001D2EA1"/>
    <w:rsid w:val="001D632F"/>
    <w:rsid w:val="001E0602"/>
    <w:rsid w:val="001E785F"/>
    <w:rsid w:val="001F24A8"/>
    <w:rsid w:val="001F30AD"/>
    <w:rsid w:val="001F419F"/>
    <w:rsid w:val="00200269"/>
    <w:rsid w:val="002037AF"/>
    <w:rsid w:val="00204EBE"/>
    <w:rsid w:val="002053FD"/>
    <w:rsid w:val="00212F5B"/>
    <w:rsid w:val="00213065"/>
    <w:rsid w:val="00214971"/>
    <w:rsid w:val="0021582A"/>
    <w:rsid w:val="00216DB3"/>
    <w:rsid w:val="00222094"/>
    <w:rsid w:val="00222481"/>
    <w:rsid w:val="0022706F"/>
    <w:rsid w:val="00232CF6"/>
    <w:rsid w:val="00235973"/>
    <w:rsid w:val="00240D71"/>
    <w:rsid w:val="0024282B"/>
    <w:rsid w:val="002459D0"/>
    <w:rsid w:val="00246A81"/>
    <w:rsid w:val="0025132D"/>
    <w:rsid w:val="0025369B"/>
    <w:rsid w:val="00255866"/>
    <w:rsid w:val="00255BA9"/>
    <w:rsid w:val="00261A45"/>
    <w:rsid w:val="00262D7E"/>
    <w:rsid w:val="00262E33"/>
    <w:rsid w:val="00263974"/>
    <w:rsid w:val="00266D74"/>
    <w:rsid w:val="00271C1A"/>
    <w:rsid w:val="00274D79"/>
    <w:rsid w:val="0027701D"/>
    <w:rsid w:val="0027746B"/>
    <w:rsid w:val="002802A6"/>
    <w:rsid w:val="002857F1"/>
    <w:rsid w:val="00290335"/>
    <w:rsid w:val="00290B8B"/>
    <w:rsid w:val="0029598B"/>
    <w:rsid w:val="00297AE4"/>
    <w:rsid w:val="002A0E29"/>
    <w:rsid w:val="002A0E4E"/>
    <w:rsid w:val="002A4294"/>
    <w:rsid w:val="002B2BBF"/>
    <w:rsid w:val="002B2DA3"/>
    <w:rsid w:val="002C06FC"/>
    <w:rsid w:val="002C1C21"/>
    <w:rsid w:val="002C2056"/>
    <w:rsid w:val="002C253E"/>
    <w:rsid w:val="002C394B"/>
    <w:rsid w:val="002C5C89"/>
    <w:rsid w:val="002C63C7"/>
    <w:rsid w:val="002D3C92"/>
    <w:rsid w:val="002E1988"/>
    <w:rsid w:val="002E30FB"/>
    <w:rsid w:val="002E382B"/>
    <w:rsid w:val="002E4C6C"/>
    <w:rsid w:val="002E5718"/>
    <w:rsid w:val="002E612F"/>
    <w:rsid w:val="002E6546"/>
    <w:rsid w:val="002F35BC"/>
    <w:rsid w:val="002F5D70"/>
    <w:rsid w:val="00300026"/>
    <w:rsid w:val="0030215C"/>
    <w:rsid w:val="003024E5"/>
    <w:rsid w:val="003040F6"/>
    <w:rsid w:val="00304166"/>
    <w:rsid w:val="00305A91"/>
    <w:rsid w:val="003103C5"/>
    <w:rsid w:val="00312C12"/>
    <w:rsid w:val="00317314"/>
    <w:rsid w:val="003230A3"/>
    <w:rsid w:val="0032577A"/>
    <w:rsid w:val="0032624B"/>
    <w:rsid w:val="00332D6B"/>
    <w:rsid w:val="00336D9F"/>
    <w:rsid w:val="003379CF"/>
    <w:rsid w:val="00337C89"/>
    <w:rsid w:val="003524A5"/>
    <w:rsid w:val="00352745"/>
    <w:rsid w:val="0035303D"/>
    <w:rsid w:val="003551AC"/>
    <w:rsid w:val="00356AB9"/>
    <w:rsid w:val="003614FA"/>
    <w:rsid w:val="0036203E"/>
    <w:rsid w:val="00365648"/>
    <w:rsid w:val="0037285A"/>
    <w:rsid w:val="00374021"/>
    <w:rsid w:val="00374378"/>
    <w:rsid w:val="00376074"/>
    <w:rsid w:val="00376DCC"/>
    <w:rsid w:val="003823F1"/>
    <w:rsid w:val="00382B2B"/>
    <w:rsid w:val="00383857"/>
    <w:rsid w:val="00385AA1"/>
    <w:rsid w:val="00387252"/>
    <w:rsid w:val="0039092C"/>
    <w:rsid w:val="003915F8"/>
    <w:rsid w:val="003915FA"/>
    <w:rsid w:val="003946AB"/>
    <w:rsid w:val="003A2A1F"/>
    <w:rsid w:val="003A449D"/>
    <w:rsid w:val="003A5A97"/>
    <w:rsid w:val="003A5F5B"/>
    <w:rsid w:val="003A76CB"/>
    <w:rsid w:val="003B611B"/>
    <w:rsid w:val="003B7C0B"/>
    <w:rsid w:val="003C2FAD"/>
    <w:rsid w:val="003C3CA7"/>
    <w:rsid w:val="003C6144"/>
    <w:rsid w:val="003C78B1"/>
    <w:rsid w:val="003D17E2"/>
    <w:rsid w:val="003D1DA7"/>
    <w:rsid w:val="003D2601"/>
    <w:rsid w:val="003D2E93"/>
    <w:rsid w:val="003D46BF"/>
    <w:rsid w:val="003D59D1"/>
    <w:rsid w:val="003D5B1E"/>
    <w:rsid w:val="003D5DAC"/>
    <w:rsid w:val="003D63DD"/>
    <w:rsid w:val="003E03F9"/>
    <w:rsid w:val="003E0C48"/>
    <w:rsid w:val="003E2C4D"/>
    <w:rsid w:val="003E62B0"/>
    <w:rsid w:val="003E6E62"/>
    <w:rsid w:val="003F0F59"/>
    <w:rsid w:val="003F2B97"/>
    <w:rsid w:val="003F509B"/>
    <w:rsid w:val="003F61CE"/>
    <w:rsid w:val="00403469"/>
    <w:rsid w:val="00403795"/>
    <w:rsid w:val="0040676C"/>
    <w:rsid w:val="00411B80"/>
    <w:rsid w:val="00416668"/>
    <w:rsid w:val="004179C6"/>
    <w:rsid w:val="00422F87"/>
    <w:rsid w:val="00425229"/>
    <w:rsid w:val="004263BC"/>
    <w:rsid w:val="00430F9C"/>
    <w:rsid w:val="0043106A"/>
    <w:rsid w:val="00431E13"/>
    <w:rsid w:val="004329D2"/>
    <w:rsid w:val="0043751F"/>
    <w:rsid w:val="00440FF9"/>
    <w:rsid w:val="0044192E"/>
    <w:rsid w:val="00441A0E"/>
    <w:rsid w:val="004457EF"/>
    <w:rsid w:val="004478FD"/>
    <w:rsid w:val="004514DA"/>
    <w:rsid w:val="004514E2"/>
    <w:rsid w:val="00453E71"/>
    <w:rsid w:val="00454EB5"/>
    <w:rsid w:val="00455C2B"/>
    <w:rsid w:val="004565A5"/>
    <w:rsid w:val="00461F46"/>
    <w:rsid w:val="00462B45"/>
    <w:rsid w:val="00464AC0"/>
    <w:rsid w:val="00464B6D"/>
    <w:rsid w:val="00465118"/>
    <w:rsid w:val="00465D0C"/>
    <w:rsid w:val="00466666"/>
    <w:rsid w:val="00471C9A"/>
    <w:rsid w:val="00472F8C"/>
    <w:rsid w:val="0047327C"/>
    <w:rsid w:val="004762FB"/>
    <w:rsid w:val="0047724D"/>
    <w:rsid w:val="0048371C"/>
    <w:rsid w:val="00483ECB"/>
    <w:rsid w:val="00485A00"/>
    <w:rsid w:val="0048768E"/>
    <w:rsid w:val="00487F62"/>
    <w:rsid w:val="00491F6A"/>
    <w:rsid w:val="00492A0F"/>
    <w:rsid w:val="004948F5"/>
    <w:rsid w:val="004968C4"/>
    <w:rsid w:val="004A0C59"/>
    <w:rsid w:val="004A335C"/>
    <w:rsid w:val="004A33ED"/>
    <w:rsid w:val="004A3AD5"/>
    <w:rsid w:val="004A7340"/>
    <w:rsid w:val="004B180E"/>
    <w:rsid w:val="004B72CD"/>
    <w:rsid w:val="004B7BA2"/>
    <w:rsid w:val="004C01F8"/>
    <w:rsid w:val="004C0D84"/>
    <w:rsid w:val="004C0FBA"/>
    <w:rsid w:val="004C2693"/>
    <w:rsid w:val="004C26E3"/>
    <w:rsid w:val="004C27B5"/>
    <w:rsid w:val="004C2BA0"/>
    <w:rsid w:val="004C3928"/>
    <w:rsid w:val="004C467D"/>
    <w:rsid w:val="004C48B1"/>
    <w:rsid w:val="004C546B"/>
    <w:rsid w:val="004C6CCD"/>
    <w:rsid w:val="004D032B"/>
    <w:rsid w:val="004D04BE"/>
    <w:rsid w:val="004D1FCB"/>
    <w:rsid w:val="004D48AA"/>
    <w:rsid w:val="004D54CC"/>
    <w:rsid w:val="004D6C7B"/>
    <w:rsid w:val="004D73FB"/>
    <w:rsid w:val="004D75FB"/>
    <w:rsid w:val="004D7E40"/>
    <w:rsid w:val="004E4193"/>
    <w:rsid w:val="004E4C31"/>
    <w:rsid w:val="004E4CBD"/>
    <w:rsid w:val="004E56BA"/>
    <w:rsid w:val="004E7A46"/>
    <w:rsid w:val="004F2E3D"/>
    <w:rsid w:val="004F4C97"/>
    <w:rsid w:val="004F74E1"/>
    <w:rsid w:val="004F7775"/>
    <w:rsid w:val="005010E0"/>
    <w:rsid w:val="00502724"/>
    <w:rsid w:val="00502852"/>
    <w:rsid w:val="0050311D"/>
    <w:rsid w:val="005062A9"/>
    <w:rsid w:val="00507001"/>
    <w:rsid w:val="005106AE"/>
    <w:rsid w:val="005112C4"/>
    <w:rsid w:val="005142D5"/>
    <w:rsid w:val="00516185"/>
    <w:rsid w:val="005177AA"/>
    <w:rsid w:val="005204FC"/>
    <w:rsid w:val="00521718"/>
    <w:rsid w:val="005270D6"/>
    <w:rsid w:val="0053045F"/>
    <w:rsid w:val="00531A98"/>
    <w:rsid w:val="00536D4A"/>
    <w:rsid w:val="0053721A"/>
    <w:rsid w:val="00537C29"/>
    <w:rsid w:val="00540D93"/>
    <w:rsid w:val="00543A9D"/>
    <w:rsid w:val="00545C91"/>
    <w:rsid w:val="00551A93"/>
    <w:rsid w:val="00553BC0"/>
    <w:rsid w:val="00554CC4"/>
    <w:rsid w:val="00555254"/>
    <w:rsid w:val="00556127"/>
    <w:rsid w:val="00556450"/>
    <w:rsid w:val="00557A40"/>
    <w:rsid w:val="00560449"/>
    <w:rsid w:val="00561C95"/>
    <w:rsid w:val="00561F91"/>
    <w:rsid w:val="0056240B"/>
    <w:rsid w:val="0056342D"/>
    <w:rsid w:val="00564661"/>
    <w:rsid w:val="00564F88"/>
    <w:rsid w:val="00565E70"/>
    <w:rsid w:val="005716DC"/>
    <w:rsid w:val="00571C95"/>
    <w:rsid w:val="00572587"/>
    <w:rsid w:val="00581E0E"/>
    <w:rsid w:val="0058754B"/>
    <w:rsid w:val="005920F3"/>
    <w:rsid w:val="005922A6"/>
    <w:rsid w:val="005925A9"/>
    <w:rsid w:val="00593662"/>
    <w:rsid w:val="00594381"/>
    <w:rsid w:val="00597F2B"/>
    <w:rsid w:val="005A0E68"/>
    <w:rsid w:val="005A6A57"/>
    <w:rsid w:val="005A7016"/>
    <w:rsid w:val="005B01B3"/>
    <w:rsid w:val="005B1778"/>
    <w:rsid w:val="005B257E"/>
    <w:rsid w:val="005B2D3A"/>
    <w:rsid w:val="005B3634"/>
    <w:rsid w:val="005B43FB"/>
    <w:rsid w:val="005B66F2"/>
    <w:rsid w:val="005C053F"/>
    <w:rsid w:val="005C16EC"/>
    <w:rsid w:val="005C22FB"/>
    <w:rsid w:val="005C2FE2"/>
    <w:rsid w:val="005C3515"/>
    <w:rsid w:val="005C6289"/>
    <w:rsid w:val="005C77F4"/>
    <w:rsid w:val="005D061B"/>
    <w:rsid w:val="005D3736"/>
    <w:rsid w:val="005D46F2"/>
    <w:rsid w:val="005D6579"/>
    <w:rsid w:val="005D6F43"/>
    <w:rsid w:val="005E1D61"/>
    <w:rsid w:val="005E217C"/>
    <w:rsid w:val="005E43D1"/>
    <w:rsid w:val="005E49B2"/>
    <w:rsid w:val="005E4B49"/>
    <w:rsid w:val="005E515C"/>
    <w:rsid w:val="005F0300"/>
    <w:rsid w:val="005F3DA9"/>
    <w:rsid w:val="005F4B29"/>
    <w:rsid w:val="00600739"/>
    <w:rsid w:val="00601B83"/>
    <w:rsid w:val="006027D7"/>
    <w:rsid w:val="00603C3B"/>
    <w:rsid w:val="00610DBC"/>
    <w:rsid w:val="00611C49"/>
    <w:rsid w:val="00611F2C"/>
    <w:rsid w:val="00614B27"/>
    <w:rsid w:val="00615B02"/>
    <w:rsid w:val="00617915"/>
    <w:rsid w:val="00620290"/>
    <w:rsid w:val="0062139F"/>
    <w:rsid w:val="00623513"/>
    <w:rsid w:val="00623ECD"/>
    <w:rsid w:val="006327A9"/>
    <w:rsid w:val="006335E2"/>
    <w:rsid w:val="006369E2"/>
    <w:rsid w:val="00636A79"/>
    <w:rsid w:val="0063762D"/>
    <w:rsid w:val="00640471"/>
    <w:rsid w:val="006422AB"/>
    <w:rsid w:val="006442C5"/>
    <w:rsid w:val="006500CF"/>
    <w:rsid w:val="006525D9"/>
    <w:rsid w:val="006529E8"/>
    <w:rsid w:val="00653FD7"/>
    <w:rsid w:val="00654B6C"/>
    <w:rsid w:val="00654D0D"/>
    <w:rsid w:val="006559F0"/>
    <w:rsid w:val="006569ED"/>
    <w:rsid w:val="006571C4"/>
    <w:rsid w:val="00657760"/>
    <w:rsid w:val="0066018B"/>
    <w:rsid w:val="006610D1"/>
    <w:rsid w:val="006653F5"/>
    <w:rsid w:val="00670254"/>
    <w:rsid w:val="0067203F"/>
    <w:rsid w:val="0067307D"/>
    <w:rsid w:val="00673167"/>
    <w:rsid w:val="00674F9D"/>
    <w:rsid w:val="006757B2"/>
    <w:rsid w:val="006766EE"/>
    <w:rsid w:val="00676E10"/>
    <w:rsid w:val="0067780B"/>
    <w:rsid w:val="00677CE3"/>
    <w:rsid w:val="00681255"/>
    <w:rsid w:val="006817DA"/>
    <w:rsid w:val="0068345D"/>
    <w:rsid w:val="00683B53"/>
    <w:rsid w:val="006850C8"/>
    <w:rsid w:val="0068568A"/>
    <w:rsid w:val="00686F9B"/>
    <w:rsid w:val="00687C19"/>
    <w:rsid w:val="00690A9C"/>
    <w:rsid w:val="00690D07"/>
    <w:rsid w:val="006948F6"/>
    <w:rsid w:val="006A0319"/>
    <w:rsid w:val="006A0417"/>
    <w:rsid w:val="006A3043"/>
    <w:rsid w:val="006A3868"/>
    <w:rsid w:val="006A40E0"/>
    <w:rsid w:val="006A65F9"/>
    <w:rsid w:val="006A6822"/>
    <w:rsid w:val="006A7F56"/>
    <w:rsid w:val="006B35F7"/>
    <w:rsid w:val="006B3EA1"/>
    <w:rsid w:val="006B6A25"/>
    <w:rsid w:val="006C05B5"/>
    <w:rsid w:val="006C292B"/>
    <w:rsid w:val="006C32A6"/>
    <w:rsid w:val="006C71BA"/>
    <w:rsid w:val="006D033B"/>
    <w:rsid w:val="006D044A"/>
    <w:rsid w:val="006D0694"/>
    <w:rsid w:val="006D55DA"/>
    <w:rsid w:val="006D6510"/>
    <w:rsid w:val="006E1181"/>
    <w:rsid w:val="006E13EC"/>
    <w:rsid w:val="006E1F2D"/>
    <w:rsid w:val="006E2B40"/>
    <w:rsid w:val="006E469D"/>
    <w:rsid w:val="006E5E3C"/>
    <w:rsid w:val="006E790E"/>
    <w:rsid w:val="006F18D5"/>
    <w:rsid w:val="006F2BBB"/>
    <w:rsid w:val="006F471C"/>
    <w:rsid w:val="006F47F8"/>
    <w:rsid w:val="006F610A"/>
    <w:rsid w:val="00701E21"/>
    <w:rsid w:val="0070201A"/>
    <w:rsid w:val="00702CA3"/>
    <w:rsid w:val="00702FB3"/>
    <w:rsid w:val="00704655"/>
    <w:rsid w:val="00710C93"/>
    <w:rsid w:val="007123A9"/>
    <w:rsid w:val="00714DBF"/>
    <w:rsid w:val="0071543F"/>
    <w:rsid w:val="0072508C"/>
    <w:rsid w:val="007264A4"/>
    <w:rsid w:val="00726FCE"/>
    <w:rsid w:val="007275F4"/>
    <w:rsid w:val="00731224"/>
    <w:rsid w:val="0073329D"/>
    <w:rsid w:val="007346D3"/>
    <w:rsid w:val="007356CB"/>
    <w:rsid w:val="0073652A"/>
    <w:rsid w:val="007368AB"/>
    <w:rsid w:val="00737D46"/>
    <w:rsid w:val="00742B20"/>
    <w:rsid w:val="00743A36"/>
    <w:rsid w:val="00743C95"/>
    <w:rsid w:val="00744EA2"/>
    <w:rsid w:val="007460E0"/>
    <w:rsid w:val="007576B4"/>
    <w:rsid w:val="007577F1"/>
    <w:rsid w:val="0076414A"/>
    <w:rsid w:val="007645C5"/>
    <w:rsid w:val="0076653D"/>
    <w:rsid w:val="007707BB"/>
    <w:rsid w:val="00772050"/>
    <w:rsid w:val="007720AF"/>
    <w:rsid w:val="00775955"/>
    <w:rsid w:val="00776EDE"/>
    <w:rsid w:val="007807AB"/>
    <w:rsid w:val="007813C5"/>
    <w:rsid w:val="00785015"/>
    <w:rsid w:val="007870F7"/>
    <w:rsid w:val="007875C7"/>
    <w:rsid w:val="00787A00"/>
    <w:rsid w:val="00790251"/>
    <w:rsid w:val="007924A1"/>
    <w:rsid w:val="007933D8"/>
    <w:rsid w:val="007949F6"/>
    <w:rsid w:val="007979FD"/>
    <w:rsid w:val="007A12B6"/>
    <w:rsid w:val="007A1732"/>
    <w:rsid w:val="007A3FAC"/>
    <w:rsid w:val="007A3FE9"/>
    <w:rsid w:val="007A77E2"/>
    <w:rsid w:val="007B1FC4"/>
    <w:rsid w:val="007B2766"/>
    <w:rsid w:val="007B5927"/>
    <w:rsid w:val="007B703E"/>
    <w:rsid w:val="007B78B7"/>
    <w:rsid w:val="007B7F6E"/>
    <w:rsid w:val="007C6E46"/>
    <w:rsid w:val="007C7F7D"/>
    <w:rsid w:val="007D10E9"/>
    <w:rsid w:val="007D2F61"/>
    <w:rsid w:val="007D3620"/>
    <w:rsid w:val="007E121F"/>
    <w:rsid w:val="007E5F36"/>
    <w:rsid w:val="007E7ABF"/>
    <w:rsid w:val="007F0605"/>
    <w:rsid w:val="007F35C5"/>
    <w:rsid w:val="007F48ED"/>
    <w:rsid w:val="007F49DE"/>
    <w:rsid w:val="007F5850"/>
    <w:rsid w:val="007F6A70"/>
    <w:rsid w:val="007F7596"/>
    <w:rsid w:val="007F769D"/>
    <w:rsid w:val="007F7BD9"/>
    <w:rsid w:val="00800B34"/>
    <w:rsid w:val="008015BC"/>
    <w:rsid w:val="008020C1"/>
    <w:rsid w:val="0080667C"/>
    <w:rsid w:val="0081017A"/>
    <w:rsid w:val="00813F43"/>
    <w:rsid w:val="008157DB"/>
    <w:rsid w:val="008210BC"/>
    <w:rsid w:val="0082197B"/>
    <w:rsid w:val="008231F1"/>
    <w:rsid w:val="008233AB"/>
    <w:rsid w:val="00825DA2"/>
    <w:rsid w:val="00827080"/>
    <w:rsid w:val="0082737A"/>
    <w:rsid w:val="00827A8B"/>
    <w:rsid w:val="008316B5"/>
    <w:rsid w:val="008344EC"/>
    <w:rsid w:val="008349D2"/>
    <w:rsid w:val="008368BA"/>
    <w:rsid w:val="00836A73"/>
    <w:rsid w:val="0084023D"/>
    <w:rsid w:val="0084222F"/>
    <w:rsid w:val="00843002"/>
    <w:rsid w:val="00845C6A"/>
    <w:rsid w:val="0085063B"/>
    <w:rsid w:val="00853CF5"/>
    <w:rsid w:val="00853EBB"/>
    <w:rsid w:val="008542A8"/>
    <w:rsid w:val="00854CC4"/>
    <w:rsid w:val="008574C0"/>
    <w:rsid w:val="00861F55"/>
    <w:rsid w:val="0086267A"/>
    <w:rsid w:val="008650FE"/>
    <w:rsid w:val="0086748B"/>
    <w:rsid w:val="00872CE7"/>
    <w:rsid w:val="00873561"/>
    <w:rsid w:val="00873FD7"/>
    <w:rsid w:val="00874337"/>
    <w:rsid w:val="00874E1B"/>
    <w:rsid w:val="00874F16"/>
    <w:rsid w:val="00874F52"/>
    <w:rsid w:val="008752C9"/>
    <w:rsid w:val="0087631B"/>
    <w:rsid w:val="0087633C"/>
    <w:rsid w:val="0088007B"/>
    <w:rsid w:val="00880792"/>
    <w:rsid w:val="00880C81"/>
    <w:rsid w:val="00884229"/>
    <w:rsid w:val="00884C41"/>
    <w:rsid w:val="00893677"/>
    <w:rsid w:val="00893D23"/>
    <w:rsid w:val="00893D86"/>
    <w:rsid w:val="00894D29"/>
    <w:rsid w:val="00897A12"/>
    <w:rsid w:val="008A0428"/>
    <w:rsid w:val="008A2039"/>
    <w:rsid w:val="008A3D44"/>
    <w:rsid w:val="008A4B53"/>
    <w:rsid w:val="008A4E96"/>
    <w:rsid w:val="008A6DB2"/>
    <w:rsid w:val="008B336B"/>
    <w:rsid w:val="008B3A76"/>
    <w:rsid w:val="008B4C5A"/>
    <w:rsid w:val="008B536A"/>
    <w:rsid w:val="008D203B"/>
    <w:rsid w:val="008D2895"/>
    <w:rsid w:val="008D5B83"/>
    <w:rsid w:val="008D7068"/>
    <w:rsid w:val="008D712E"/>
    <w:rsid w:val="008D7F90"/>
    <w:rsid w:val="008E21A7"/>
    <w:rsid w:val="008F7590"/>
    <w:rsid w:val="0090046A"/>
    <w:rsid w:val="00901248"/>
    <w:rsid w:val="00902201"/>
    <w:rsid w:val="00902C8F"/>
    <w:rsid w:val="009048DE"/>
    <w:rsid w:val="00905152"/>
    <w:rsid w:val="00910C9B"/>
    <w:rsid w:val="00911DC2"/>
    <w:rsid w:val="00912794"/>
    <w:rsid w:val="009127A4"/>
    <w:rsid w:val="0091723F"/>
    <w:rsid w:val="009174D5"/>
    <w:rsid w:val="009208A1"/>
    <w:rsid w:val="00922814"/>
    <w:rsid w:val="00925111"/>
    <w:rsid w:val="009274EC"/>
    <w:rsid w:val="00932CC7"/>
    <w:rsid w:val="009358E6"/>
    <w:rsid w:val="009359CC"/>
    <w:rsid w:val="009366F2"/>
    <w:rsid w:val="00941558"/>
    <w:rsid w:val="00946E72"/>
    <w:rsid w:val="00947B36"/>
    <w:rsid w:val="00950D24"/>
    <w:rsid w:val="00953F73"/>
    <w:rsid w:val="00955E50"/>
    <w:rsid w:val="00956665"/>
    <w:rsid w:val="0096185C"/>
    <w:rsid w:val="009623A9"/>
    <w:rsid w:val="00963C3D"/>
    <w:rsid w:val="009663EB"/>
    <w:rsid w:val="00966AE1"/>
    <w:rsid w:val="00967234"/>
    <w:rsid w:val="00967A1D"/>
    <w:rsid w:val="009701FE"/>
    <w:rsid w:val="00970756"/>
    <w:rsid w:val="0097089E"/>
    <w:rsid w:val="00971A45"/>
    <w:rsid w:val="00972E41"/>
    <w:rsid w:val="009732E8"/>
    <w:rsid w:val="00976B2C"/>
    <w:rsid w:val="00980C1F"/>
    <w:rsid w:val="00981488"/>
    <w:rsid w:val="009826B0"/>
    <w:rsid w:val="00983799"/>
    <w:rsid w:val="009848B7"/>
    <w:rsid w:val="00985D92"/>
    <w:rsid w:val="00986877"/>
    <w:rsid w:val="00987010"/>
    <w:rsid w:val="00990879"/>
    <w:rsid w:val="009909C2"/>
    <w:rsid w:val="00990F6B"/>
    <w:rsid w:val="00991249"/>
    <w:rsid w:val="00991A95"/>
    <w:rsid w:val="00994B63"/>
    <w:rsid w:val="00995CFE"/>
    <w:rsid w:val="009B26AA"/>
    <w:rsid w:val="009B57E8"/>
    <w:rsid w:val="009B5A66"/>
    <w:rsid w:val="009C2EFC"/>
    <w:rsid w:val="009C3658"/>
    <w:rsid w:val="009D146F"/>
    <w:rsid w:val="009D4835"/>
    <w:rsid w:val="009D4BE5"/>
    <w:rsid w:val="009D5154"/>
    <w:rsid w:val="009D7B8D"/>
    <w:rsid w:val="009E0CBA"/>
    <w:rsid w:val="009E1556"/>
    <w:rsid w:val="009E2F82"/>
    <w:rsid w:val="009E4486"/>
    <w:rsid w:val="009E4793"/>
    <w:rsid w:val="009E5673"/>
    <w:rsid w:val="009E63D2"/>
    <w:rsid w:val="009E7D05"/>
    <w:rsid w:val="009F0189"/>
    <w:rsid w:val="009F7053"/>
    <w:rsid w:val="00A006BD"/>
    <w:rsid w:val="00A009E4"/>
    <w:rsid w:val="00A05548"/>
    <w:rsid w:val="00A05AAB"/>
    <w:rsid w:val="00A07CAD"/>
    <w:rsid w:val="00A1184F"/>
    <w:rsid w:val="00A1399D"/>
    <w:rsid w:val="00A14247"/>
    <w:rsid w:val="00A148FE"/>
    <w:rsid w:val="00A15A6F"/>
    <w:rsid w:val="00A161C2"/>
    <w:rsid w:val="00A16EC3"/>
    <w:rsid w:val="00A17CD3"/>
    <w:rsid w:val="00A207D5"/>
    <w:rsid w:val="00A228BA"/>
    <w:rsid w:val="00A23130"/>
    <w:rsid w:val="00A25505"/>
    <w:rsid w:val="00A25679"/>
    <w:rsid w:val="00A263C8"/>
    <w:rsid w:val="00A30423"/>
    <w:rsid w:val="00A32567"/>
    <w:rsid w:val="00A32F2F"/>
    <w:rsid w:val="00A3555A"/>
    <w:rsid w:val="00A35EF8"/>
    <w:rsid w:val="00A37A53"/>
    <w:rsid w:val="00A463A4"/>
    <w:rsid w:val="00A46C5C"/>
    <w:rsid w:val="00A476CE"/>
    <w:rsid w:val="00A50D9F"/>
    <w:rsid w:val="00A51352"/>
    <w:rsid w:val="00A53CC8"/>
    <w:rsid w:val="00A56C54"/>
    <w:rsid w:val="00A608A6"/>
    <w:rsid w:val="00A620F9"/>
    <w:rsid w:val="00A6564E"/>
    <w:rsid w:val="00A67AEC"/>
    <w:rsid w:val="00A81810"/>
    <w:rsid w:val="00A84ED4"/>
    <w:rsid w:val="00A87B5E"/>
    <w:rsid w:val="00A934C6"/>
    <w:rsid w:val="00A937AF"/>
    <w:rsid w:val="00A96505"/>
    <w:rsid w:val="00A96874"/>
    <w:rsid w:val="00AA45CC"/>
    <w:rsid w:val="00AA52EE"/>
    <w:rsid w:val="00AA53DA"/>
    <w:rsid w:val="00AA58B4"/>
    <w:rsid w:val="00AA6070"/>
    <w:rsid w:val="00AA6B32"/>
    <w:rsid w:val="00AA7BFE"/>
    <w:rsid w:val="00AB2B37"/>
    <w:rsid w:val="00AB3970"/>
    <w:rsid w:val="00AB529A"/>
    <w:rsid w:val="00AB6BE8"/>
    <w:rsid w:val="00AC0783"/>
    <w:rsid w:val="00AC2F28"/>
    <w:rsid w:val="00AC54C5"/>
    <w:rsid w:val="00AC5F16"/>
    <w:rsid w:val="00AC5FFE"/>
    <w:rsid w:val="00AD0FF2"/>
    <w:rsid w:val="00AD325D"/>
    <w:rsid w:val="00AD4198"/>
    <w:rsid w:val="00AD4579"/>
    <w:rsid w:val="00AE0357"/>
    <w:rsid w:val="00AE0B6A"/>
    <w:rsid w:val="00AE69C6"/>
    <w:rsid w:val="00AF3C94"/>
    <w:rsid w:val="00AF4341"/>
    <w:rsid w:val="00AF4E7A"/>
    <w:rsid w:val="00AF5CE5"/>
    <w:rsid w:val="00AF7E67"/>
    <w:rsid w:val="00B02380"/>
    <w:rsid w:val="00B03C42"/>
    <w:rsid w:val="00B0502A"/>
    <w:rsid w:val="00B057F5"/>
    <w:rsid w:val="00B06547"/>
    <w:rsid w:val="00B07399"/>
    <w:rsid w:val="00B07743"/>
    <w:rsid w:val="00B07B63"/>
    <w:rsid w:val="00B103F7"/>
    <w:rsid w:val="00B10DE1"/>
    <w:rsid w:val="00B12681"/>
    <w:rsid w:val="00B126E7"/>
    <w:rsid w:val="00B12F5E"/>
    <w:rsid w:val="00B133A2"/>
    <w:rsid w:val="00B21073"/>
    <w:rsid w:val="00B21B28"/>
    <w:rsid w:val="00B21B8A"/>
    <w:rsid w:val="00B21C08"/>
    <w:rsid w:val="00B22244"/>
    <w:rsid w:val="00B24B65"/>
    <w:rsid w:val="00B25094"/>
    <w:rsid w:val="00B254C0"/>
    <w:rsid w:val="00B30CE4"/>
    <w:rsid w:val="00B3278C"/>
    <w:rsid w:val="00B346E0"/>
    <w:rsid w:val="00B351F6"/>
    <w:rsid w:val="00B41681"/>
    <w:rsid w:val="00B41C2F"/>
    <w:rsid w:val="00B47575"/>
    <w:rsid w:val="00B50A98"/>
    <w:rsid w:val="00B513DA"/>
    <w:rsid w:val="00B5476A"/>
    <w:rsid w:val="00B548AC"/>
    <w:rsid w:val="00B54F82"/>
    <w:rsid w:val="00B6046E"/>
    <w:rsid w:val="00B61CE5"/>
    <w:rsid w:val="00B61EDF"/>
    <w:rsid w:val="00B6364D"/>
    <w:rsid w:val="00B66820"/>
    <w:rsid w:val="00B6790A"/>
    <w:rsid w:val="00B73C49"/>
    <w:rsid w:val="00B73DE0"/>
    <w:rsid w:val="00B74704"/>
    <w:rsid w:val="00B74CBE"/>
    <w:rsid w:val="00B76A7C"/>
    <w:rsid w:val="00B813CA"/>
    <w:rsid w:val="00B82890"/>
    <w:rsid w:val="00B8583E"/>
    <w:rsid w:val="00B900BE"/>
    <w:rsid w:val="00B92263"/>
    <w:rsid w:val="00B92EBF"/>
    <w:rsid w:val="00B94814"/>
    <w:rsid w:val="00B948D5"/>
    <w:rsid w:val="00B96440"/>
    <w:rsid w:val="00B964B0"/>
    <w:rsid w:val="00B97FE3"/>
    <w:rsid w:val="00BA1E8C"/>
    <w:rsid w:val="00BA26C3"/>
    <w:rsid w:val="00BA2B19"/>
    <w:rsid w:val="00BA3A77"/>
    <w:rsid w:val="00BA5118"/>
    <w:rsid w:val="00BA5BB0"/>
    <w:rsid w:val="00BB0352"/>
    <w:rsid w:val="00BB10BA"/>
    <w:rsid w:val="00BB46DA"/>
    <w:rsid w:val="00BB4960"/>
    <w:rsid w:val="00BB5A0E"/>
    <w:rsid w:val="00BB62E4"/>
    <w:rsid w:val="00BB6E8C"/>
    <w:rsid w:val="00BC14DC"/>
    <w:rsid w:val="00BC7630"/>
    <w:rsid w:val="00BD1A30"/>
    <w:rsid w:val="00BD2189"/>
    <w:rsid w:val="00BD3376"/>
    <w:rsid w:val="00BD7859"/>
    <w:rsid w:val="00BE030D"/>
    <w:rsid w:val="00BE11B3"/>
    <w:rsid w:val="00BE221B"/>
    <w:rsid w:val="00BE3C2D"/>
    <w:rsid w:val="00BE50A9"/>
    <w:rsid w:val="00BE58E8"/>
    <w:rsid w:val="00BF008F"/>
    <w:rsid w:val="00BF0D77"/>
    <w:rsid w:val="00BF26C8"/>
    <w:rsid w:val="00BF2D1B"/>
    <w:rsid w:val="00BF401D"/>
    <w:rsid w:val="00BF460E"/>
    <w:rsid w:val="00BF6B35"/>
    <w:rsid w:val="00C0061D"/>
    <w:rsid w:val="00C01B1B"/>
    <w:rsid w:val="00C02BE5"/>
    <w:rsid w:val="00C0444C"/>
    <w:rsid w:val="00C1148A"/>
    <w:rsid w:val="00C11DA5"/>
    <w:rsid w:val="00C127F5"/>
    <w:rsid w:val="00C12F98"/>
    <w:rsid w:val="00C16768"/>
    <w:rsid w:val="00C25EE2"/>
    <w:rsid w:val="00C36441"/>
    <w:rsid w:val="00C37DC7"/>
    <w:rsid w:val="00C434A3"/>
    <w:rsid w:val="00C4525E"/>
    <w:rsid w:val="00C50150"/>
    <w:rsid w:val="00C515A7"/>
    <w:rsid w:val="00C53B4D"/>
    <w:rsid w:val="00C57CB7"/>
    <w:rsid w:val="00C57D6F"/>
    <w:rsid w:val="00C60130"/>
    <w:rsid w:val="00C6402E"/>
    <w:rsid w:val="00C64552"/>
    <w:rsid w:val="00C6513D"/>
    <w:rsid w:val="00C653D0"/>
    <w:rsid w:val="00C65AA2"/>
    <w:rsid w:val="00C74FC1"/>
    <w:rsid w:val="00C76B6C"/>
    <w:rsid w:val="00C77132"/>
    <w:rsid w:val="00C83C2E"/>
    <w:rsid w:val="00C84114"/>
    <w:rsid w:val="00C8785B"/>
    <w:rsid w:val="00C904E3"/>
    <w:rsid w:val="00C926CA"/>
    <w:rsid w:val="00C9316C"/>
    <w:rsid w:val="00C95B10"/>
    <w:rsid w:val="00CA0150"/>
    <w:rsid w:val="00CA14C2"/>
    <w:rsid w:val="00CA2FEA"/>
    <w:rsid w:val="00CA4967"/>
    <w:rsid w:val="00CB1B0D"/>
    <w:rsid w:val="00CB2464"/>
    <w:rsid w:val="00CB2829"/>
    <w:rsid w:val="00CB332E"/>
    <w:rsid w:val="00CB6F33"/>
    <w:rsid w:val="00CC0520"/>
    <w:rsid w:val="00CC1180"/>
    <w:rsid w:val="00CC31B6"/>
    <w:rsid w:val="00CC5EB4"/>
    <w:rsid w:val="00CD0FDC"/>
    <w:rsid w:val="00CD2412"/>
    <w:rsid w:val="00CD2430"/>
    <w:rsid w:val="00CD25AE"/>
    <w:rsid w:val="00CD2956"/>
    <w:rsid w:val="00CD2959"/>
    <w:rsid w:val="00CD4DDA"/>
    <w:rsid w:val="00CD4EA5"/>
    <w:rsid w:val="00CD6EBA"/>
    <w:rsid w:val="00CD713F"/>
    <w:rsid w:val="00CD71FA"/>
    <w:rsid w:val="00CD7A99"/>
    <w:rsid w:val="00CE7F4F"/>
    <w:rsid w:val="00CF0DEC"/>
    <w:rsid w:val="00CF2BBE"/>
    <w:rsid w:val="00CF52A8"/>
    <w:rsid w:val="00D00987"/>
    <w:rsid w:val="00D009FC"/>
    <w:rsid w:val="00D0139F"/>
    <w:rsid w:val="00D02328"/>
    <w:rsid w:val="00D037D3"/>
    <w:rsid w:val="00D11039"/>
    <w:rsid w:val="00D12FAD"/>
    <w:rsid w:val="00D1707D"/>
    <w:rsid w:val="00D22153"/>
    <w:rsid w:val="00D222D9"/>
    <w:rsid w:val="00D24100"/>
    <w:rsid w:val="00D25D9F"/>
    <w:rsid w:val="00D27409"/>
    <w:rsid w:val="00D27B42"/>
    <w:rsid w:val="00D27C91"/>
    <w:rsid w:val="00D324B7"/>
    <w:rsid w:val="00D337C7"/>
    <w:rsid w:val="00D34E32"/>
    <w:rsid w:val="00D37F89"/>
    <w:rsid w:val="00D443A0"/>
    <w:rsid w:val="00D44C5A"/>
    <w:rsid w:val="00D46CE0"/>
    <w:rsid w:val="00D51FB0"/>
    <w:rsid w:val="00D520F9"/>
    <w:rsid w:val="00D52A58"/>
    <w:rsid w:val="00D542AB"/>
    <w:rsid w:val="00D546E5"/>
    <w:rsid w:val="00D566F6"/>
    <w:rsid w:val="00D5677D"/>
    <w:rsid w:val="00D60047"/>
    <w:rsid w:val="00D62EFC"/>
    <w:rsid w:val="00D634A1"/>
    <w:rsid w:val="00D63736"/>
    <w:rsid w:val="00D64520"/>
    <w:rsid w:val="00D646F4"/>
    <w:rsid w:val="00D70756"/>
    <w:rsid w:val="00D71782"/>
    <w:rsid w:val="00D71F1C"/>
    <w:rsid w:val="00D71FC5"/>
    <w:rsid w:val="00D7267F"/>
    <w:rsid w:val="00D72B51"/>
    <w:rsid w:val="00D7423A"/>
    <w:rsid w:val="00D77C5C"/>
    <w:rsid w:val="00D83688"/>
    <w:rsid w:val="00D83B77"/>
    <w:rsid w:val="00D8523D"/>
    <w:rsid w:val="00D85698"/>
    <w:rsid w:val="00D86909"/>
    <w:rsid w:val="00D92CB4"/>
    <w:rsid w:val="00D92DDA"/>
    <w:rsid w:val="00D9382D"/>
    <w:rsid w:val="00D93EBC"/>
    <w:rsid w:val="00D94161"/>
    <w:rsid w:val="00D94314"/>
    <w:rsid w:val="00D955E1"/>
    <w:rsid w:val="00DA49C2"/>
    <w:rsid w:val="00DA4BC7"/>
    <w:rsid w:val="00DA588C"/>
    <w:rsid w:val="00DB135F"/>
    <w:rsid w:val="00DB32F8"/>
    <w:rsid w:val="00DB4C2B"/>
    <w:rsid w:val="00DB58E4"/>
    <w:rsid w:val="00DB5EE1"/>
    <w:rsid w:val="00DC378A"/>
    <w:rsid w:val="00DD0EE8"/>
    <w:rsid w:val="00DD0F4C"/>
    <w:rsid w:val="00DD1521"/>
    <w:rsid w:val="00DD3317"/>
    <w:rsid w:val="00DD5935"/>
    <w:rsid w:val="00DD5BE6"/>
    <w:rsid w:val="00DD6113"/>
    <w:rsid w:val="00DD7393"/>
    <w:rsid w:val="00DD7DB0"/>
    <w:rsid w:val="00DE0FF4"/>
    <w:rsid w:val="00DE3BA7"/>
    <w:rsid w:val="00DF2BE3"/>
    <w:rsid w:val="00DF43B6"/>
    <w:rsid w:val="00DF55E5"/>
    <w:rsid w:val="00DF566B"/>
    <w:rsid w:val="00DF63EE"/>
    <w:rsid w:val="00DF68DC"/>
    <w:rsid w:val="00E02118"/>
    <w:rsid w:val="00E02B46"/>
    <w:rsid w:val="00E0342F"/>
    <w:rsid w:val="00E05583"/>
    <w:rsid w:val="00E06417"/>
    <w:rsid w:val="00E07372"/>
    <w:rsid w:val="00E07EEE"/>
    <w:rsid w:val="00E1080D"/>
    <w:rsid w:val="00E12FB3"/>
    <w:rsid w:val="00E2239B"/>
    <w:rsid w:val="00E23EAD"/>
    <w:rsid w:val="00E27F03"/>
    <w:rsid w:val="00E31FD8"/>
    <w:rsid w:val="00E33F8E"/>
    <w:rsid w:val="00E3464A"/>
    <w:rsid w:val="00E355E6"/>
    <w:rsid w:val="00E415F4"/>
    <w:rsid w:val="00E4206C"/>
    <w:rsid w:val="00E421EA"/>
    <w:rsid w:val="00E432C3"/>
    <w:rsid w:val="00E50807"/>
    <w:rsid w:val="00E508B4"/>
    <w:rsid w:val="00E54D88"/>
    <w:rsid w:val="00E55A55"/>
    <w:rsid w:val="00E55D00"/>
    <w:rsid w:val="00E5767D"/>
    <w:rsid w:val="00E60A46"/>
    <w:rsid w:val="00E6192D"/>
    <w:rsid w:val="00E61FCA"/>
    <w:rsid w:val="00E62A90"/>
    <w:rsid w:val="00E65B31"/>
    <w:rsid w:val="00E666D5"/>
    <w:rsid w:val="00E66F0A"/>
    <w:rsid w:val="00E67856"/>
    <w:rsid w:val="00E70BEA"/>
    <w:rsid w:val="00E731A4"/>
    <w:rsid w:val="00E74B2E"/>
    <w:rsid w:val="00E771D3"/>
    <w:rsid w:val="00E77E94"/>
    <w:rsid w:val="00E803E8"/>
    <w:rsid w:val="00E80E96"/>
    <w:rsid w:val="00E8703A"/>
    <w:rsid w:val="00E931B7"/>
    <w:rsid w:val="00E95C04"/>
    <w:rsid w:val="00E9663D"/>
    <w:rsid w:val="00E96A5C"/>
    <w:rsid w:val="00E973E7"/>
    <w:rsid w:val="00E97F44"/>
    <w:rsid w:val="00EA101B"/>
    <w:rsid w:val="00EA28E4"/>
    <w:rsid w:val="00EA2C4E"/>
    <w:rsid w:val="00EA6AB4"/>
    <w:rsid w:val="00EA736A"/>
    <w:rsid w:val="00EB15C3"/>
    <w:rsid w:val="00EB2C11"/>
    <w:rsid w:val="00EB443A"/>
    <w:rsid w:val="00EB4F9D"/>
    <w:rsid w:val="00EB5FDF"/>
    <w:rsid w:val="00EB7486"/>
    <w:rsid w:val="00EC5E7E"/>
    <w:rsid w:val="00EC76BD"/>
    <w:rsid w:val="00ED0610"/>
    <w:rsid w:val="00ED289F"/>
    <w:rsid w:val="00ED2AD0"/>
    <w:rsid w:val="00ED4B22"/>
    <w:rsid w:val="00ED62B5"/>
    <w:rsid w:val="00EE6363"/>
    <w:rsid w:val="00EE65F6"/>
    <w:rsid w:val="00EE7CB8"/>
    <w:rsid w:val="00EF1D6B"/>
    <w:rsid w:val="00EF445F"/>
    <w:rsid w:val="00EF4942"/>
    <w:rsid w:val="00EF5710"/>
    <w:rsid w:val="00EF7E3D"/>
    <w:rsid w:val="00F00697"/>
    <w:rsid w:val="00F027AA"/>
    <w:rsid w:val="00F12888"/>
    <w:rsid w:val="00F144F1"/>
    <w:rsid w:val="00F146DE"/>
    <w:rsid w:val="00F15C10"/>
    <w:rsid w:val="00F16FA1"/>
    <w:rsid w:val="00F17B9C"/>
    <w:rsid w:val="00F2078E"/>
    <w:rsid w:val="00F23199"/>
    <w:rsid w:val="00F24984"/>
    <w:rsid w:val="00F258B5"/>
    <w:rsid w:val="00F26C2F"/>
    <w:rsid w:val="00F26FA7"/>
    <w:rsid w:val="00F27F05"/>
    <w:rsid w:val="00F30C19"/>
    <w:rsid w:val="00F31587"/>
    <w:rsid w:val="00F33040"/>
    <w:rsid w:val="00F33911"/>
    <w:rsid w:val="00F34F94"/>
    <w:rsid w:val="00F35EE1"/>
    <w:rsid w:val="00F465A8"/>
    <w:rsid w:val="00F47A5D"/>
    <w:rsid w:val="00F47ED7"/>
    <w:rsid w:val="00F5087D"/>
    <w:rsid w:val="00F52252"/>
    <w:rsid w:val="00F53C6E"/>
    <w:rsid w:val="00F55B76"/>
    <w:rsid w:val="00F56D28"/>
    <w:rsid w:val="00F60213"/>
    <w:rsid w:val="00F60CAB"/>
    <w:rsid w:val="00F62479"/>
    <w:rsid w:val="00F62E45"/>
    <w:rsid w:val="00F65958"/>
    <w:rsid w:val="00F70F39"/>
    <w:rsid w:val="00F715D4"/>
    <w:rsid w:val="00F72654"/>
    <w:rsid w:val="00F74E6F"/>
    <w:rsid w:val="00F776EA"/>
    <w:rsid w:val="00F8024E"/>
    <w:rsid w:val="00F809F4"/>
    <w:rsid w:val="00F820F9"/>
    <w:rsid w:val="00F84FFC"/>
    <w:rsid w:val="00F86CB3"/>
    <w:rsid w:val="00F93D85"/>
    <w:rsid w:val="00F9466B"/>
    <w:rsid w:val="00F9691F"/>
    <w:rsid w:val="00F975A1"/>
    <w:rsid w:val="00FA0E1A"/>
    <w:rsid w:val="00FA2D75"/>
    <w:rsid w:val="00FA4B20"/>
    <w:rsid w:val="00FA4C20"/>
    <w:rsid w:val="00FA53B0"/>
    <w:rsid w:val="00FA5869"/>
    <w:rsid w:val="00FA615F"/>
    <w:rsid w:val="00FA6AEA"/>
    <w:rsid w:val="00FA7017"/>
    <w:rsid w:val="00FB2E58"/>
    <w:rsid w:val="00FB379E"/>
    <w:rsid w:val="00FB49E0"/>
    <w:rsid w:val="00FB52F9"/>
    <w:rsid w:val="00FB5624"/>
    <w:rsid w:val="00FB76C5"/>
    <w:rsid w:val="00FC0D94"/>
    <w:rsid w:val="00FC19AD"/>
    <w:rsid w:val="00FC4313"/>
    <w:rsid w:val="00FC6B33"/>
    <w:rsid w:val="00FD0B59"/>
    <w:rsid w:val="00FD24BF"/>
    <w:rsid w:val="00FD3C04"/>
    <w:rsid w:val="00FD4D9A"/>
    <w:rsid w:val="00FD502C"/>
    <w:rsid w:val="00FD54E6"/>
    <w:rsid w:val="00FD5794"/>
    <w:rsid w:val="00FE01B4"/>
    <w:rsid w:val="00FE2E0B"/>
    <w:rsid w:val="00FE358E"/>
    <w:rsid w:val="00FE5708"/>
    <w:rsid w:val="00FE6020"/>
    <w:rsid w:val="00FE6EDD"/>
    <w:rsid w:val="00FF04DB"/>
    <w:rsid w:val="00FF06AD"/>
    <w:rsid w:val="00FF2ADF"/>
    <w:rsid w:val="00FF38D0"/>
    <w:rsid w:val="00FF7D9E"/>
    <w:rsid w:val="01706D33"/>
    <w:rsid w:val="0174627D"/>
    <w:rsid w:val="01AE0820"/>
    <w:rsid w:val="01DF4C4F"/>
    <w:rsid w:val="02947F8A"/>
    <w:rsid w:val="02993ED9"/>
    <w:rsid w:val="029E0E03"/>
    <w:rsid w:val="02E030AC"/>
    <w:rsid w:val="031C0786"/>
    <w:rsid w:val="036E5AC3"/>
    <w:rsid w:val="037B7025"/>
    <w:rsid w:val="037D2DE7"/>
    <w:rsid w:val="03B70B59"/>
    <w:rsid w:val="03BB4AE0"/>
    <w:rsid w:val="03EC0BD7"/>
    <w:rsid w:val="03F84C0A"/>
    <w:rsid w:val="045D7210"/>
    <w:rsid w:val="046214A9"/>
    <w:rsid w:val="04632495"/>
    <w:rsid w:val="04B46BCC"/>
    <w:rsid w:val="04C3508B"/>
    <w:rsid w:val="053132BC"/>
    <w:rsid w:val="055344A1"/>
    <w:rsid w:val="057345F3"/>
    <w:rsid w:val="05762577"/>
    <w:rsid w:val="05960570"/>
    <w:rsid w:val="05AF7640"/>
    <w:rsid w:val="05BB0C97"/>
    <w:rsid w:val="05CC65FD"/>
    <w:rsid w:val="05D6473D"/>
    <w:rsid w:val="05E8544C"/>
    <w:rsid w:val="060860A9"/>
    <w:rsid w:val="060D21D6"/>
    <w:rsid w:val="06185116"/>
    <w:rsid w:val="06264BF3"/>
    <w:rsid w:val="06717718"/>
    <w:rsid w:val="068A4D9E"/>
    <w:rsid w:val="07341522"/>
    <w:rsid w:val="07445FF1"/>
    <w:rsid w:val="077D6974"/>
    <w:rsid w:val="079721C9"/>
    <w:rsid w:val="079E04BF"/>
    <w:rsid w:val="07F91A49"/>
    <w:rsid w:val="08245307"/>
    <w:rsid w:val="08296D91"/>
    <w:rsid w:val="083828E1"/>
    <w:rsid w:val="0841271D"/>
    <w:rsid w:val="087C1DD9"/>
    <w:rsid w:val="08DB7D76"/>
    <w:rsid w:val="09153569"/>
    <w:rsid w:val="092D3A71"/>
    <w:rsid w:val="0941475A"/>
    <w:rsid w:val="098100CF"/>
    <w:rsid w:val="09B1293D"/>
    <w:rsid w:val="09B80ABE"/>
    <w:rsid w:val="09D81779"/>
    <w:rsid w:val="09E36400"/>
    <w:rsid w:val="09EC53E1"/>
    <w:rsid w:val="0A047628"/>
    <w:rsid w:val="0A5439B4"/>
    <w:rsid w:val="0A7D7AAF"/>
    <w:rsid w:val="0ABB7441"/>
    <w:rsid w:val="0AC440F5"/>
    <w:rsid w:val="0B086A0D"/>
    <w:rsid w:val="0B506641"/>
    <w:rsid w:val="0B585F14"/>
    <w:rsid w:val="0B6B1E13"/>
    <w:rsid w:val="0BBD3768"/>
    <w:rsid w:val="0BCB4FC7"/>
    <w:rsid w:val="0BE2094D"/>
    <w:rsid w:val="0BF73505"/>
    <w:rsid w:val="0C094AC2"/>
    <w:rsid w:val="0C3E7C58"/>
    <w:rsid w:val="0C973219"/>
    <w:rsid w:val="0CB34C19"/>
    <w:rsid w:val="0CCE5649"/>
    <w:rsid w:val="0D0107E5"/>
    <w:rsid w:val="0D452FCB"/>
    <w:rsid w:val="0D7C3072"/>
    <w:rsid w:val="0D7C5772"/>
    <w:rsid w:val="0DA95031"/>
    <w:rsid w:val="0E046FF3"/>
    <w:rsid w:val="0E11587D"/>
    <w:rsid w:val="0E21777C"/>
    <w:rsid w:val="0E5400C6"/>
    <w:rsid w:val="0E5A2C8B"/>
    <w:rsid w:val="0E5C2D96"/>
    <w:rsid w:val="0E8B3647"/>
    <w:rsid w:val="0E990B9C"/>
    <w:rsid w:val="0F1E2D93"/>
    <w:rsid w:val="0F54159D"/>
    <w:rsid w:val="0F602FE5"/>
    <w:rsid w:val="0F77362A"/>
    <w:rsid w:val="0FA96AF5"/>
    <w:rsid w:val="0FAE2371"/>
    <w:rsid w:val="0FBF094B"/>
    <w:rsid w:val="0FE67215"/>
    <w:rsid w:val="10602553"/>
    <w:rsid w:val="10BC7D53"/>
    <w:rsid w:val="118A4ED4"/>
    <w:rsid w:val="1194228D"/>
    <w:rsid w:val="11A8245D"/>
    <w:rsid w:val="11BA2451"/>
    <w:rsid w:val="11C272DB"/>
    <w:rsid w:val="11CA2FAB"/>
    <w:rsid w:val="11D549C7"/>
    <w:rsid w:val="11E05DF5"/>
    <w:rsid w:val="11FA084B"/>
    <w:rsid w:val="11FB2676"/>
    <w:rsid w:val="1221752C"/>
    <w:rsid w:val="127A52D3"/>
    <w:rsid w:val="12891705"/>
    <w:rsid w:val="12B84CC9"/>
    <w:rsid w:val="12BC2C23"/>
    <w:rsid w:val="12D87AD6"/>
    <w:rsid w:val="12DC5E42"/>
    <w:rsid w:val="132A6D46"/>
    <w:rsid w:val="13433175"/>
    <w:rsid w:val="13434055"/>
    <w:rsid w:val="134C6789"/>
    <w:rsid w:val="136D4A03"/>
    <w:rsid w:val="137428A2"/>
    <w:rsid w:val="13B21A28"/>
    <w:rsid w:val="13D8450B"/>
    <w:rsid w:val="13DF35E1"/>
    <w:rsid w:val="13E550BF"/>
    <w:rsid w:val="13E55B28"/>
    <w:rsid w:val="143657FD"/>
    <w:rsid w:val="146F1977"/>
    <w:rsid w:val="149630E7"/>
    <w:rsid w:val="14C265BD"/>
    <w:rsid w:val="14CE2B22"/>
    <w:rsid w:val="14ED4C5F"/>
    <w:rsid w:val="14F82489"/>
    <w:rsid w:val="150966B8"/>
    <w:rsid w:val="151B37BD"/>
    <w:rsid w:val="152A66D8"/>
    <w:rsid w:val="15707690"/>
    <w:rsid w:val="157E7004"/>
    <w:rsid w:val="15992403"/>
    <w:rsid w:val="15C94A4C"/>
    <w:rsid w:val="15E251FA"/>
    <w:rsid w:val="163B7E01"/>
    <w:rsid w:val="16585740"/>
    <w:rsid w:val="165E4793"/>
    <w:rsid w:val="165F550C"/>
    <w:rsid w:val="16773476"/>
    <w:rsid w:val="16AF602D"/>
    <w:rsid w:val="16E1745F"/>
    <w:rsid w:val="16FA6E08"/>
    <w:rsid w:val="16FC0D14"/>
    <w:rsid w:val="170D650C"/>
    <w:rsid w:val="173139EB"/>
    <w:rsid w:val="173B5417"/>
    <w:rsid w:val="1755671C"/>
    <w:rsid w:val="176B279A"/>
    <w:rsid w:val="178164BF"/>
    <w:rsid w:val="17997E0A"/>
    <w:rsid w:val="179A7046"/>
    <w:rsid w:val="17BE567C"/>
    <w:rsid w:val="17D854EF"/>
    <w:rsid w:val="18007595"/>
    <w:rsid w:val="18210C48"/>
    <w:rsid w:val="182F2E07"/>
    <w:rsid w:val="183E38DB"/>
    <w:rsid w:val="1859622A"/>
    <w:rsid w:val="18657F8E"/>
    <w:rsid w:val="18C60F2C"/>
    <w:rsid w:val="18DF2FDC"/>
    <w:rsid w:val="18E00A97"/>
    <w:rsid w:val="18FD0F5E"/>
    <w:rsid w:val="190E30DC"/>
    <w:rsid w:val="194208F8"/>
    <w:rsid w:val="19495BD5"/>
    <w:rsid w:val="196859D6"/>
    <w:rsid w:val="19A6179D"/>
    <w:rsid w:val="19AA2EDE"/>
    <w:rsid w:val="19C37471"/>
    <w:rsid w:val="19EC2DE4"/>
    <w:rsid w:val="1A103102"/>
    <w:rsid w:val="1A327B19"/>
    <w:rsid w:val="1A35775C"/>
    <w:rsid w:val="1A4A01AA"/>
    <w:rsid w:val="1A5B770A"/>
    <w:rsid w:val="1A721674"/>
    <w:rsid w:val="1A8813A6"/>
    <w:rsid w:val="1ABE43B0"/>
    <w:rsid w:val="1AE56FCE"/>
    <w:rsid w:val="1B4443DF"/>
    <w:rsid w:val="1B4E71B1"/>
    <w:rsid w:val="1BDB0D27"/>
    <w:rsid w:val="1BE45790"/>
    <w:rsid w:val="1BEF1BA3"/>
    <w:rsid w:val="1BFA4700"/>
    <w:rsid w:val="1C02029E"/>
    <w:rsid w:val="1C1B4171"/>
    <w:rsid w:val="1C300788"/>
    <w:rsid w:val="1C3152F3"/>
    <w:rsid w:val="1C5842CF"/>
    <w:rsid w:val="1CAE6A25"/>
    <w:rsid w:val="1CE15466"/>
    <w:rsid w:val="1CEB2CDB"/>
    <w:rsid w:val="1D18097C"/>
    <w:rsid w:val="1D425791"/>
    <w:rsid w:val="1D4D3E04"/>
    <w:rsid w:val="1D6E4754"/>
    <w:rsid w:val="1D952460"/>
    <w:rsid w:val="1DD6791B"/>
    <w:rsid w:val="1DDC2F8F"/>
    <w:rsid w:val="1DED6DC2"/>
    <w:rsid w:val="1E3F205F"/>
    <w:rsid w:val="1E7C381A"/>
    <w:rsid w:val="1EF86233"/>
    <w:rsid w:val="1F290237"/>
    <w:rsid w:val="1F2F195A"/>
    <w:rsid w:val="1F370E49"/>
    <w:rsid w:val="1F4055CA"/>
    <w:rsid w:val="1F4D1DCD"/>
    <w:rsid w:val="1F646A84"/>
    <w:rsid w:val="1F676791"/>
    <w:rsid w:val="1F6A4DB7"/>
    <w:rsid w:val="1F8C510D"/>
    <w:rsid w:val="1F991F8C"/>
    <w:rsid w:val="1FA841A4"/>
    <w:rsid w:val="1FCE77AB"/>
    <w:rsid w:val="1FD04060"/>
    <w:rsid w:val="200F1E1E"/>
    <w:rsid w:val="200F2993"/>
    <w:rsid w:val="208F2A6F"/>
    <w:rsid w:val="20A5376B"/>
    <w:rsid w:val="20A8071B"/>
    <w:rsid w:val="20BE3156"/>
    <w:rsid w:val="20C70EEA"/>
    <w:rsid w:val="20F86F95"/>
    <w:rsid w:val="210D06D3"/>
    <w:rsid w:val="210D1C9B"/>
    <w:rsid w:val="210F2913"/>
    <w:rsid w:val="21172EFC"/>
    <w:rsid w:val="213F7180"/>
    <w:rsid w:val="218D4F77"/>
    <w:rsid w:val="218F2025"/>
    <w:rsid w:val="21BF5813"/>
    <w:rsid w:val="21F51E69"/>
    <w:rsid w:val="221F360A"/>
    <w:rsid w:val="224F3811"/>
    <w:rsid w:val="226E0301"/>
    <w:rsid w:val="227A52ED"/>
    <w:rsid w:val="22B4774D"/>
    <w:rsid w:val="22BA6479"/>
    <w:rsid w:val="22DA198E"/>
    <w:rsid w:val="230629BD"/>
    <w:rsid w:val="2380540E"/>
    <w:rsid w:val="238B4B15"/>
    <w:rsid w:val="2396629F"/>
    <w:rsid w:val="23B27443"/>
    <w:rsid w:val="23E21159"/>
    <w:rsid w:val="242A0048"/>
    <w:rsid w:val="24902194"/>
    <w:rsid w:val="24A002DA"/>
    <w:rsid w:val="24C22B61"/>
    <w:rsid w:val="24C92827"/>
    <w:rsid w:val="24DA2A2F"/>
    <w:rsid w:val="24EF3982"/>
    <w:rsid w:val="251121E8"/>
    <w:rsid w:val="25245513"/>
    <w:rsid w:val="25752792"/>
    <w:rsid w:val="25A00874"/>
    <w:rsid w:val="25F9756D"/>
    <w:rsid w:val="261C0A28"/>
    <w:rsid w:val="261F3F61"/>
    <w:rsid w:val="26240575"/>
    <w:rsid w:val="262D302F"/>
    <w:rsid w:val="26482ABB"/>
    <w:rsid w:val="26514614"/>
    <w:rsid w:val="269D7881"/>
    <w:rsid w:val="26AA7949"/>
    <w:rsid w:val="27370DC1"/>
    <w:rsid w:val="273C6389"/>
    <w:rsid w:val="274827B0"/>
    <w:rsid w:val="274D361D"/>
    <w:rsid w:val="27650E21"/>
    <w:rsid w:val="278472C5"/>
    <w:rsid w:val="278F205C"/>
    <w:rsid w:val="279D798D"/>
    <w:rsid w:val="279F221C"/>
    <w:rsid w:val="27AA093B"/>
    <w:rsid w:val="280E68A2"/>
    <w:rsid w:val="280F6260"/>
    <w:rsid w:val="285F11AE"/>
    <w:rsid w:val="28683E5A"/>
    <w:rsid w:val="28763547"/>
    <w:rsid w:val="28C40CD5"/>
    <w:rsid w:val="28C609F3"/>
    <w:rsid w:val="28E66662"/>
    <w:rsid w:val="28FA7B73"/>
    <w:rsid w:val="29077345"/>
    <w:rsid w:val="29100F77"/>
    <w:rsid w:val="293B0AE8"/>
    <w:rsid w:val="2950027A"/>
    <w:rsid w:val="298D5BA4"/>
    <w:rsid w:val="2A175DB4"/>
    <w:rsid w:val="2A462142"/>
    <w:rsid w:val="2A5272F0"/>
    <w:rsid w:val="2A6274A0"/>
    <w:rsid w:val="2A6F4B3A"/>
    <w:rsid w:val="2AC23741"/>
    <w:rsid w:val="2AEC3B7E"/>
    <w:rsid w:val="2AFF0F82"/>
    <w:rsid w:val="2B0C36C7"/>
    <w:rsid w:val="2B247743"/>
    <w:rsid w:val="2B3B3EAD"/>
    <w:rsid w:val="2B3D5F21"/>
    <w:rsid w:val="2B4E367E"/>
    <w:rsid w:val="2B5F3E2A"/>
    <w:rsid w:val="2B976350"/>
    <w:rsid w:val="2BB906C2"/>
    <w:rsid w:val="2BDA5630"/>
    <w:rsid w:val="2C4A78FB"/>
    <w:rsid w:val="2C696CD4"/>
    <w:rsid w:val="2CF00ABF"/>
    <w:rsid w:val="2D0C74D7"/>
    <w:rsid w:val="2D1157F0"/>
    <w:rsid w:val="2D1337CC"/>
    <w:rsid w:val="2D1A53D5"/>
    <w:rsid w:val="2D2642C6"/>
    <w:rsid w:val="2D2B7A46"/>
    <w:rsid w:val="2D300B27"/>
    <w:rsid w:val="2D955F5A"/>
    <w:rsid w:val="2DD702D1"/>
    <w:rsid w:val="2DEB115D"/>
    <w:rsid w:val="2E2505CE"/>
    <w:rsid w:val="2E2F3C86"/>
    <w:rsid w:val="2EB313DC"/>
    <w:rsid w:val="2EC33D02"/>
    <w:rsid w:val="2EFA183A"/>
    <w:rsid w:val="2F045536"/>
    <w:rsid w:val="2F0962B5"/>
    <w:rsid w:val="2F2C0A2A"/>
    <w:rsid w:val="2F3D6CE5"/>
    <w:rsid w:val="2F61791B"/>
    <w:rsid w:val="2F9834B1"/>
    <w:rsid w:val="2FAD5759"/>
    <w:rsid w:val="2FB64DF5"/>
    <w:rsid w:val="2FC81E3A"/>
    <w:rsid w:val="2FE50D63"/>
    <w:rsid w:val="30112313"/>
    <w:rsid w:val="30223275"/>
    <w:rsid w:val="305E3711"/>
    <w:rsid w:val="306C4038"/>
    <w:rsid w:val="30F55184"/>
    <w:rsid w:val="30F570DB"/>
    <w:rsid w:val="31083080"/>
    <w:rsid w:val="312D7914"/>
    <w:rsid w:val="31407D7E"/>
    <w:rsid w:val="314E5D98"/>
    <w:rsid w:val="31526621"/>
    <w:rsid w:val="315849EA"/>
    <w:rsid w:val="316160D5"/>
    <w:rsid w:val="31B12668"/>
    <w:rsid w:val="31D53AC0"/>
    <w:rsid w:val="31E97E95"/>
    <w:rsid w:val="32263E09"/>
    <w:rsid w:val="3254240E"/>
    <w:rsid w:val="325D1D98"/>
    <w:rsid w:val="326370DC"/>
    <w:rsid w:val="32771087"/>
    <w:rsid w:val="329E58E4"/>
    <w:rsid w:val="32BB6CD3"/>
    <w:rsid w:val="32C347C1"/>
    <w:rsid w:val="32C53027"/>
    <w:rsid w:val="32DA1139"/>
    <w:rsid w:val="330E3B5A"/>
    <w:rsid w:val="333F3B79"/>
    <w:rsid w:val="33555E52"/>
    <w:rsid w:val="3356616B"/>
    <w:rsid w:val="336C7E62"/>
    <w:rsid w:val="34176F13"/>
    <w:rsid w:val="343E33DE"/>
    <w:rsid w:val="344F5C34"/>
    <w:rsid w:val="34500526"/>
    <w:rsid w:val="345B7145"/>
    <w:rsid w:val="346C10AA"/>
    <w:rsid w:val="350379BB"/>
    <w:rsid w:val="350543A1"/>
    <w:rsid w:val="35613423"/>
    <w:rsid w:val="35C176FF"/>
    <w:rsid w:val="35C37B02"/>
    <w:rsid w:val="35C45C26"/>
    <w:rsid w:val="35F56117"/>
    <w:rsid w:val="364B60F7"/>
    <w:rsid w:val="364F4554"/>
    <w:rsid w:val="36590595"/>
    <w:rsid w:val="365C07CB"/>
    <w:rsid w:val="366828B4"/>
    <w:rsid w:val="36B1492B"/>
    <w:rsid w:val="36B50F30"/>
    <w:rsid w:val="36D24CCF"/>
    <w:rsid w:val="36D81E3A"/>
    <w:rsid w:val="36F17626"/>
    <w:rsid w:val="371419A7"/>
    <w:rsid w:val="37251C5E"/>
    <w:rsid w:val="376E6DE3"/>
    <w:rsid w:val="37A578F5"/>
    <w:rsid w:val="37AC1880"/>
    <w:rsid w:val="37CB065C"/>
    <w:rsid w:val="37F836B6"/>
    <w:rsid w:val="38245332"/>
    <w:rsid w:val="384979E4"/>
    <w:rsid w:val="38725C05"/>
    <w:rsid w:val="388D6E02"/>
    <w:rsid w:val="38FE1452"/>
    <w:rsid w:val="39100010"/>
    <w:rsid w:val="395E5835"/>
    <w:rsid w:val="395F0B2F"/>
    <w:rsid w:val="396D7831"/>
    <w:rsid w:val="39BF12B2"/>
    <w:rsid w:val="39D947FF"/>
    <w:rsid w:val="3A1A4AEF"/>
    <w:rsid w:val="3A1A6B1A"/>
    <w:rsid w:val="3A1D33BF"/>
    <w:rsid w:val="3A2A0F0D"/>
    <w:rsid w:val="3A380837"/>
    <w:rsid w:val="3A4D59E7"/>
    <w:rsid w:val="3A6902C4"/>
    <w:rsid w:val="3A8F121C"/>
    <w:rsid w:val="3AA53A3A"/>
    <w:rsid w:val="3AA70700"/>
    <w:rsid w:val="3AD22FFE"/>
    <w:rsid w:val="3AF0658B"/>
    <w:rsid w:val="3B2528C1"/>
    <w:rsid w:val="3B6A6633"/>
    <w:rsid w:val="3B9E5E01"/>
    <w:rsid w:val="3C094AEA"/>
    <w:rsid w:val="3C1C1288"/>
    <w:rsid w:val="3C240558"/>
    <w:rsid w:val="3C455F09"/>
    <w:rsid w:val="3C5E59FD"/>
    <w:rsid w:val="3C634868"/>
    <w:rsid w:val="3C6D62D2"/>
    <w:rsid w:val="3C730422"/>
    <w:rsid w:val="3C7941BA"/>
    <w:rsid w:val="3CB47DBE"/>
    <w:rsid w:val="3CB946EB"/>
    <w:rsid w:val="3CE417AA"/>
    <w:rsid w:val="3D075A6C"/>
    <w:rsid w:val="3D1009CA"/>
    <w:rsid w:val="3D1F7B9E"/>
    <w:rsid w:val="3D305428"/>
    <w:rsid w:val="3D572850"/>
    <w:rsid w:val="3D6561C5"/>
    <w:rsid w:val="3D7217E3"/>
    <w:rsid w:val="3DA50FA3"/>
    <w:rsid w:val="3DC445BB"/>
    <w:rsid w:val="3DDE64ED"/>
    <w:rsid w:val="3DE620B5"/>
    <w:rsid w:val="3E363A8E"/>
    <w:rsid w:val="3E611A22"/>
    <w:rsid w:val="3E8077EE"/>
    <w:rsid w:val="3E915843"/>
    <w:rsid w:val="3ED80902"/>
    <w:rsid w:val="3EE213E0"/>
    <w:rsid w:val="3EE510E1"/>
    <w:rsid w:val="3F175065"/>
    <w:rsid w:val="3F4D0A0B"/>
    <w:rsid w:val="3F73673D"/>
    <w:rsid w:val="3FA42367"/>
    <w:rsid w:val="3FE33516"/>
    <w:rsid w:val="40254798"/>
    <w:rsid w:val="40563809"/>
    <w:rsid w:val="405D5566"/>
    <w:rsid w:val="40754497"/>
    <w:rsid w:val="40CC6475"/>
    <w:rsid w:val="40FF54C5"/>
    <w:rsid w:val="41232004"/>
    <w:rsid w:val="413E5639"/>
    <w:rsid w:val="4141116B"/>
    <w:rsid w:val="415970CD"/>
    <w:rsid w:val="415D066B"/>
    <w:rsid w:val="41886D2A"/>
    <w:rsid w:val="41B77B66"/>
    <w:rsid w:val="421508D0"/>
    <w:rsid w:val="421D0237"/>
    <w:rsid w:val="428A3FA2"/>
    <w:rsid w:val="42C26320"/>
    <w:rsid w:val="42DD1304"/>
    <w:rsid w:val="43287AB1"/>
    <w:rsid w:val="43826E8B"/>
    <w:rsid w:val="438C57AF"/>
    <w:rsid w:val="438E4CDA"/>
    <w:rsid w:val="43972BEC"/>
    <w:rsid w:val="43A029E9"/>
    <w:rsid w:val="43AE4782"/>
    <w:rsid w:val="43BC33D7"/>
    <w:rsid w:val="43D046D7"/>
    <w:rsid w:val="43D14DB4"/>
    <w:rsid w:val="43F05BE1"/>
    <w:rsid w:val="440B6784"/>
    <w:rsid w:val="440E22D5"/>
    <w:rsid w:val="44656DAC"/>
    <w:rsid w:val="4499585A"/>
    <w:rsid w:val="44B333AF"/>
    <w:rsid w:val="44B9743F"/>
    <w:rsid w:val="44C45BDB"/>
    <w:rsid w:val="44D711CC"/>
    <w:rsid w:val="44E54FB4"/>
    <w:rsid w:val="44E5523A"/>
    <w:rsid w:val="45170BC6"/>
    <w:rsid w:val="45270DF0"/>
    <w:rsid w:val="454E18F2"/>
    <w:rsid w:val="45607936"/>
    <w:rsid w:val="45BE7A00"/>
    <w:rsid w:val="464F4530"/>
    <w:rsid w:val="46853DCD"/>
    <w:rsid w:val="46BD1FDC"/>
    <w:rsid w:val="46F852EE"/>
    <w:rsid w:val="4705333F"/>
    <w:rsid w:val="475A2F74"/>
    <w:rsid w:val="47647A31"/>
    <w:rsid w:val="47CA0995"/>
    <w:rsid w:val="48092175"/>
    <w:rsid w:val="481A3686"/>
    <w:rsid w:val="48211124"/>
    <w:rsid w:val="48265844"/>
    <w:rsid w:val="484F5187"/>
    <w:rsid w:val="48575A87"/>
    <w:rsid w:val="48995E1E"/>
    <w:rsid w:val="48C51B6D"/>
    <w:rsid w:val="48DC7902"/>
    <w:rsid w:val="49357E99"/>
    <w:rsid w:val="496455BE"/>
    <w:rsid w:val="497D5DCF"/>
    <w:rsid w:val="49866003"/>
    <w:rsid w:val="498965E3"/>
    <w:rsid w:val="498B34EF"/>
    <w:rsid w:val="49BB06A9"/>
    <w:rsid w:val="49E8026C"/>
    <w:rsid w:val="49EE718A"/>
    <w:rsid w:val="4A0505A0"/>
    <w:rsid w:val="4A2E33F5"/>
    <w:rsid w:val="4A5E695D"/>
    <w:rsid w:val="4A693ACE"/>
    <w:rsid w:val="4A9C78CD"/>
    <w:rsid w:val="4AE5363A"/>
    <w:rsid w:val="4B17728F"/>
    <w:rsid w:val="4B233A8B"/>
    <w:rsid w:val="4B867BA6"/>
    <w:rsid w:val="4BA80446"/>
    <w:rsid w:val="4BAB31A7"/>
    <w:rsid w:val="4C0F26B6"/>
    <w:rsid w:val="4C2946A1"/>
    <w:rsid w:val="4C7F2D8A"/>
    <w:rsid w:val="4CE400FF"/>
    <w:rsid w:val="4CEA7CD1"/>
    <w:rsid w:val="4D0C09C3"/>
    <w:rsid w:val="4D3A4381"/>
    <w:rsid w:val="4D3B0E0D"/>
    <w:rsid w:val="4D764C90"/>
    <w:rsid w:val="4D7777D7"/>
    <w:rsid w:val="4D7C3EBC"/>
    <w:rsid w:val="4D8D1290"/>
    <w:rsid w:val="4DCB78B1"/>
    <w:rsid w:val="4E3211A4"/>
    <w:rsid w:val="4E407BF1"/>
    <w:rsid w:val="4E633F69"/>
    <w:rsid w:val="4EA664F1"/>
    <w:rsid w:val="4EB97D41"/>
    <w:rsid w:val="4EC66207"/>
    <w:rsid w:val="4EE1206C"/>
    <w:rsid w:val="4F0463AC"/>
    <w:rsid w:val="4F1D05CA"/>
    <w:rsid w:val="4F2326FE"/>
    <w:rsid w:val="4F6169E5"/>
    <w:rsid w:val="4F6D1394"/>
    <w:rsid w:val="4F76378B"/>
    <w:rsid w:val="50632AED"/>
    <w:rsid w:val="50AE6C31"/>
    <w:rsid w:val="50C77070"/>
    <w:rsid w:val="513B1B67"/>
    <w:rsid w:val="514025FD"/>
    <w:rsid w:val="51925B78"/>
    <w:rsid w:val="51F25565"/>
    <w:rsid w:val="521C3CED"/>
    <w:rsid w:val="52395E13"/>
    <w:rsid w:val="526D5721"/>
    <w:rsid w:val="529142AE"/>
    <w:rsid w:val="52CB69EC"/>
    <w:rsid w:val="52E22A90"/>
    <w:rsid w:val="52F95197"/>
    <w:rsid w:val="53057D57"/>
    <w:rsid w:val="531232EF"/>
    <w:rsid w:val="531C77AB"/>
    <w:rsid w:val="5341242D"/>
    <w:rsid w:val="53414D4D"/>
    <w:rsid w:val="537770BD"/>
    <w:rsid w:val="537E72C6"/>
    <w:rsid w:val="53BD2C29"/>
    <w:rsid w:val="53D94DA1"/>
    <w:rsid w:val="54317A6A"/>
    <w:rsid w:val="54AC5569"/>
    <w:rsid w:val="54B25D84"/>
    <w:rsid w:val="54C26BA5"/>
    <w:rsid w:val="551A3F2A"/>
    <w:rsid w:val="55286153"/>
    <w:rsid w:val="554442FC"/>
    <w:rsid w:val="55480EA4"/>
    <w:rsid w:val="558925B6"/>
    <w:rsid w:val="55947114"/>
    <w:rsid w:val="55F11948"/>
    <w:rsid w:val="55F217BD"/>
    <w:rsid w:val="55F87DBF"/>
    <w:rsid w:val="56237F23"/>
    <w:rsid w:val="56250762"/>
    <w:rsid w:val="56360D49"/>
    <w:rsid w:val="565D3224"/>
    <w:rsid w:val="56895AFF"/>
    <w:rsid w:val="56A22608"/>
    <w:rsid w:val="56AA06E0"/>
    <w:rsid w:val="56C22731"/>
    <w:rsid w:val="56E95CFA"/>
    <w:rsid w:val="570D7CCC"/>
    <w:rsid w:val="57710542"/>
    <w:rsid w:val="5775152A"/>
    <w:rsid w:val="579C537C"/>
    <w:rsid w:val="579F5B8B"/>
    <w:rsid w:val="57A33FD3"/>
    <w:rsid w:val="57CF1977"/>
    <w:rsid w:val="57E564C3"/>
    <w:rsid w:val="583E2A89"/>
    <w:rsid w:val="585234B5"/>
    <w:rsid w:val="587476E8"/>
    <w:rsid w:val="588F14F9"/>
    <w:rsid w:val="58E63A9D"/>
    <w:rsid w:val="59075A00"/>
    <w:rsid w:val="595A5A52"/>
    <w:rsid w:val="596F224E"/>
    <w:rsid w:val="59787954"/>
    <w:rsid w:val="59A45DD5"/>
    <w:rsid w:val="59EC6A0E"/>
    <w:rsid w:val="5A012704"/>
    <w:rsid w:val="5A197637"/>
    <w:rsid w:val="5A297943"/>
    <w:rsid w:val="5A30556B"/>
    <w:rsid w:val="5A4E62A8"/>
    <w:rsid w:val="5A5B6081"/>
    <w:rsid w:val="5A93191B"/>
    <w:rsid w:val="5AA20EDA"/>
    <w:rsid w:val="5AB85979"/>
    <w:rsid w:val="5AE33D2A"/>
    <w:rsid w:val="5B0B56F2"/>
    <w:rsid w:val="5B5429DE"/>
    <w:rsid w:val="5B7867FE"/>
    <w:rsid w:val="5B93596F"/>
    <w:rsid w:val="5B9B5BB1"/>
    <w:rsid w:val="5BA6426A"/>
    <w:rsid w:val="5BC05AB7"/>
    <w:rsid w:val="5BD300B0"/>
    <w:rsid w:val="5BE4591E"/>
    <w:rsid w:val="5BFD2B37"/>
    <w:rsid w:val="5C0F1378"/>
    <w:rsid w:val="5C89544A"/>
    <w:rsid w:val="5C9343CF"/>
    <w:rsid w:val="5CEB74F1"/>
    <w:rsid w:val="5D041EC1"/>
    <w:rsid w:val="5D0E60C6"/>
    <w:rsid w:val="5D3B0458"/>
    <w:rsid w:val="5D543C23"/>
    <w:rsid w:val="5D8A3936"/>
    <w:rsid w:val="5D9016EB"/>
    <w:rsid w:val="5D9D209E"/>
    <w:rsid w:val="5DAC3F6C"/>
    <w:rsid w:val="5DAF18EF"/>
    <w:rsid w:val="5DEF7DFE"/>
    <w:rsid w:val="5DFE2652"/>
    <w:rsid w:val="5E2B68AE"/>
    <w:rsid w:val="5E55524A"/>
    <w:rsid w:val="5EAE36A7"/>
    <w:rsid w:val="5EC103BA"/>
    <w:rsid w:val="5EC9618C"/>
    <w:rsid w:val="5ECC17B8"/>
    <w:rsid w:val="5EF90F38"/>
    <w:rsid w:val="5EFC3DF3"/>
    <w:rsid w:val="5F1A7C45"/>
    <w:rsid w:val="5F1B1311"/>
    <w:rsid w:val="5F271781"/>
    <w:rsid w:val="5F2D3BA7"/>
    <w:rsid w:val="5F351466"/>
    <w:rsid w:val="5F4A2300"/>
    <w:rsid w:val="5F5D7871"/>
    <w:rsid w:val="5FAE34C2"/>
    <w:rsid w:val="60176AA2"/>
    <w:rsid w:val="602F7308"/>
    <w:rsid w:val="60363E97"/>
    <w:rsid w:val="60390891"/>
    <w:rsid w:val="603B57E2"/>
    <w:rsid w:val="60622D18"/>
    <w:rsid w:val="60C12F3B"/>
    <w:rsid w:val="60C446F4"/>
    <w:rsid w:val="611B0D02"/>
    <w:rsid w:val="6153051A"/>
    <w:rsid w:val="617D5CB0"/>
    <w:rsid w:val="619D5852"/>
    <w:rsid w:val="61BD0587"/>
    <w:rsid w:val="61E118C0"/>
    <w:rsid w:val="61F32CE0"/>
    <w:rsid w:val="61F5523D"/>
    <w:rsid w:val="61FD7A76"/>
    <w:rsid w:val="6205712F"/>
    <w:rsid w:val="62211BE9"/>
    <w:rsid w:val="628C1DFF"/>
    <w:rsid w:val="62C63218"/>
    <w:rsid w:val="62CE4523"/>
    <w:rsid w:val="62D42335"/>
    <w:rsid w:val="6333639E"/>
    <w:rsid w:val="633F7843"/>
    <w:rsid w:val="637800E7"/>
    <w:rsid w:val="638C6885"/>
    <w:rsid w:val="638E1B1D"/>
    <w:rsid w:val="63A73745"/>
    <w:rsid w:val="63AB6485"/>
    <w:rsid w:val="63B11F64"/>
    <w:rsid w:val="63B96F1D"/>
    <w:rsid w:val="644F5438"/>
    <w:rsid w:val="647457D7"/>
    <w:rsid w:val="64750192"/>
    <w:rsid w:val="64D2459F"/>
    <w:rsid w:val="650F05CF"/>
    <w:rsid w:val="652D5DD2"/>
    <w:rsid w:val="655C0A23"/>
    <w:rsid w:val="657440BC"/>
    <w:rsid w:val="65A60BFC"/>
    <w:rsid w:val="66031BF7"/>
    <w:rsid w:val="660E5149"/>
    <w:rsid w:val="661805B7"/>
    <w:rsid w:val="665F456B"/>
    <w:rsid w:val="66977FB4"/>
    <w:rsid w:val="669C2227"/>
    <w:rsid w:val="66C55CDB"/>
    <w:rsid w:val="66EC4ECA"/>
    <w:rsid w:val="66FC0C0B"/>
    <w:rsid w:val="671E08B8"/>
    <w:rsid w:val="67326B6F"/>
    <w:rsid w:val="67331989"/>
    <w:rsid w:val="673D6C9C"/>
    <w:rsid w:val="677D41BB"/>
    <w:rsid w:val="678C27B2"/>
    <w:rsid w:val="67A65467"/>
    <w:rsid w:val="67D93C36"/>
    <w:rsid w:val="67E529B9"/>
    <w:rsid w:val="67F642A8"/>
    <w:rsid w:val="6837285A"/>
    <w:rsid w:val="68735C46"/>
    <w:rsid w:val="6887431D"/>
    <w:rsid w:val="689B36B4"/>
    <w:rsid w:val="68E34CC9"/>
    <w:rsid w:val="68FE2E31"/>
    <w:rsid w:val="6907144C"/>
    <w:rsid w:val="691B0299"/>
    <w:rsid w:val="698B44E9"/>
    <w:rsid w:val="69BE295F"/>
    <w:rsid w:val="69BF676C"/>
    <w:rsid w:val="69C93EE7"/>
    <w:rsid w:val="69E470BB"/>
    <w:rsid w:val="6A0741F9"/>
    <w:rsid w:val="6A1367AA"/>
    <w:rsid w:val="6A24568A"/>
    <w:rsid w:val="6A6418AC"/>
    <w:rsid w:val="6AA51CD7"/>
    <w:rsid w:val="6ABB2A86"/>
    <w:rsid w:val="6ABD24E1"/>
    <w:rsid w:val="6B013824"/>
    <w:rsid w:val="6B3C298D"/>
    <w:rsid w:val="6B7F6055"/>
    <w:rsid w:val="6B9C0A17"/>
    <w:rsid w:val="6BB04AC5"/>
    <w:rsid w:val="6BB668A2"/>
    <w:rsid w:val="6BE61148"/>
    <w:rsid w:val="6BF66243"/>
    <w:rsid w:val="6C1702B5"/>
    <w:rsid w:val="6C970312"/>
    <w:rsid w:val="6CB02608"/>
    <w:rsid w:val="6CBB577E"/>
    <w:rsid w:val="6D035FE0"/>
    <w:rsid w:val="6D322BEA"/>
    <w:rsid w:val="6D3A4E80"/>
    <w:rsid w:val="6D425D67"/>
    <w:rsid w:val="6DB64F2C"/>
    <w:rsid w:val="6DBB6589"/>
    <w:rsid w:val="6E0E5C0E"/>
    <w:rsid w:val="6E744C81"/>
    <w:rsid w:val="6E807EB5"/>
    <w:rsid w:val="6E852F1E"/>
    <w:rsid w:val="6E97067C"/>
    <w:rsid w:val="6ECE1018"/>
    <w:rsid w:val="6ED0594F"/>
    <w:rsid w:val="6EDC6BD5"/>
    <w:rsid w:val="6EF7570C"/>
    <w:rsid w:val="6F1827F6"/>
    <w:rsid w:val="6F2302FC"/>
    <w:rsid w:val="6F38057D"/>
    <w:rsid w:val="6FA5324C"/>
    <w:rsid w:val="6FF53AEB"/>
    <w:rsid w:val="7010062E"/>
    <w:rsid w:val="70136605"/>
    <w:rsid w:val="70691FFA"/>
    <w:rsid w:val="70B140BC"/>
    <w:rsid w:val="70C1692E"/>
    <w:rsid w:val="70D965B6"/>
    <w:rsid w:val="70DB4644"/>
    <w:rsid w:val="70F80823"/>
    <w:rsid w:val="715A3430"/>
    <w:rsid w:val="71693B7D"/>
    <w:rsid w:val="718D66A9"/>
    <w:rsid w:val="71B237A2"/>
    <w:rsid w:val="71BC5BE3"/>
    <w:rsid w:val="71D5081C"/>
    <w:rsid w:val="71DF7FAB"/>
    <w:rsid w:val="71E3683B"/>
    <w:rsid w:val="71EC03A8"/>
    <w:rsid w:val="71FB6DD9"/>
    <w:rsid w:val="72132DFD"/>
    <w:rsid w:val="72372767"/>
    <w:rsid w:val="723D1D16"/>
    <w:rsid w:val="72483C67"/>
    <w:rsid w:val="72A22524"/>
    <w:rsid w:val="72B110AA"/>
    <w:rsid w:val="72C937A7"/>
    <w:rsid w:val="72D16AD6"/>
    <w:rsid w:val="72F04E51"/>
    <w:rsid w:val="72FD2C27"/>
    <w:rsid w:val="73083368"/>
    <w:rsid w:val="730F7414"/>
    <w:rsid w:val="73255192"/>
    <w:rsid w:val="73351CB5"/>
    <w:rsid w:val="734E649F"/>
    <w:rsid w:val="73647ED3"/>
    <w:rsid w:val="736E0477"/>
    <w:rsid w:val="73872549"/>
    <w:rsid w:val="739B65CC"/>
    <w:rsid w:val="739C0639"/>
    <w:rsid w:val="73EC112F"/>
    <w:rsid w:val="741C52DC"/>
    <w:rsid w:val="743367DA"/>
    <w:rsid w:val="746E65E8"/>
    <w:rsid w:val="74A806A4"/>
    <w:rsid w:val="74A97FED"/>
    <w:rsid w:val="74D34EE4"/>
    <w:rsid w:val="750529EE"/>
    <w:rsid w:val="75060784"/>
    <w:rsid w:val="750C3A82"/>
    <w:rsid w:val="754353CB"/>
    <w:rsid w:val="754C59EE"/>
    <w:rsid w:val="75614DF1"/>
    <w:rsid w:val="75641978"/>
    <w:rsid w:val="75A55F2F"/>
    <w:rsid w:val="75AC68CF"/>
    <w:rsid w:val="75B25B4E"/>
    <w:rsid w:val="75F8724B"/>
    <w:rsid w:val="762B3034"/>
    <w:rsid w:val="76322344"/>
    <w:rsid w:val="76586F31"/>
    <w:rsid w:val="7685534A"/>
    <w:rsid w:val="769C693C"/>
    <w:rsid w:val="76C26C95"/>
    <w:rsid w:val="76CD6368"/>
    <w:rsid w:val="76EB23BB"/>
    <w:rsid w:val="76EC2BE5"/>
    <w:rsid w:val="7721795F"/>
    <w:rsid w:val="7752444E"/>
    <w:rsid w:val="77A00FC9"/>
    <w:rsid w:val="77A878D8"/>
    <w:rsid w:val="77AF4DEB"/>
    <w:rsid w:val="77B8414D"/>
    <w:rsid w:val="77DA5287"/>
    <w:rsid w:val="77DB40E7"/>
    <w:rsid w:val="780B1F1C"/>
    <w:rsid w:val="782D7C8B"/>
    <w:rsid w:val="783E0D88"/>
    <w:rsid w:val="78523340"/>
    <w:rsid w:val="785463C9"/>
    <w:rsid w:val="78563F05"/>
    <w:rsid w:val="786F7741"/>
    <w:rsid w:val="789A2C7F"/>
    <w:rsid w:val="7914093E"/>
    <w:rsid w:val="792D293F"/>
    <w:rsid w:val="792D7B17"/>
    <w:rsid w:val="794A6ED9"/>
    <w:rsid w:val="795F1479"/>
    <w:rsid w:val="79855B6C"/>
    <w:rsid w:val="79933DC1"/>
    <w:rsid w:val="799930AF"/>
    <w:rsid w:val="7A004DE7"/>
    <w:rsid w:val="7A0763B9"/>
    <w:rsid w:val="7A474C6A"/>
    <w:rsid w:val="7A4961C9"/>
    <w:rsid w:val="7A6A3213"/>
    <w:rsid w:val="7AB57062"/>
    <w:rsid w:val="7AD938F0"/>
    <w:rsid w:val="7B3208E0"/>
    <w:rsid w:val="7B675A8C"/>
    <w:rsid w:val="7B6C6ABF"/>
    <w:rsid w:val="7BC27391"/>
    <w:rsid w:val="7BD87353"/>
    <w:rsid w:val="7BFB3162"/>
    <w:rsid w:val="7C0E444D"/>
    <w:rsid w:val="7C4860C0"/>
    <w:rsid w:val="7C7C1DFD"/>
    <w:rsid w:val="7C9B0A23"/>
    <w:rsid w:val="7CE907EF"/>
    <w:rsid w:val="7D0C3904"/>
    <w:rsid w:val="7D3A314A"/>
    <w:rsid w:val="7D45505E"/>
    <w:rsid w:val="7D6D57D7"/>
    <w:rsid w:val="7D9B13EB"/>
    <w:rsid w:val="7D9C2102"/>
    <w:rsid w:val="7DB95C4B"/>
    <w:rsid w:val="7DCB3532"/>
    <w:rsid w:val="7DE86126"/>
    <w:rsid w:val="7DF31C30"/>
    <w:rsid w:val="7E03516E"/>
    <w:rsid w:val="7E1E0BC2"/>
    <w:rsid w:val="7E35421C"/>
    <w:rsid w:val="7E5474D7"/>
    <w:rsid w:val="7E5E6533"/>
    <w:rsid w:val="7E884C43"/>
    <w:rsid w:val="7EA63B2E"/>
    <w:rsid w:val="7F15199F"/>
    <w:rsid w:val="7F1D2427"/>
    <w:rsid w:val="7F3065FB"/>
    <w:rsid w:val="7F4D1D3C"/>
    <w:rsid w:val="7F6B26B8"/>
    <w:rsid w:val="7F7A51D0"/>
    <w:rsid w:val="7F967119"/>
    <w:rsid w:val="7FBB2356"/>
    <w:rsid w:val="7FE0713A"/>
    <w:rsid w:val="7FE75998"/>
    <w:rsid w:val="7FF31F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qFormat="1"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0" w:name="Hyperlink"/>
    <w:lsdException w:qFormat="1" w:uiPriority="0" w:name="FollowedHyperlink"/>
    <w:lsdException w:qFormat="1" w:unhideWhenUsed="0" w:uiPriority="0" w:semiHidden="0" w:name="Strong"/>
    <w:lsdException w:qFormat="1" w:unhideWhenUsed="0" w:uiPriority="0" w:semiHidden="0" w:name="Emphasis"/>
    <w:lsdException w:qFormat="1"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46"/>
    <w:qFormat/>
    <w:uiPriority w:val="0"/>
    <w:pPr>
      <w:outlineLvl w:val="0"/>
    </w:pPr>
    <w:rPr>
      <w:rFonts w:ascii="Times New Roman" w:hAnsi="Times New Roman" w:cs="Times New Roman"/>
      <w:b/>
      <w:bCs/>
      <w:sz w:val="32"/>
      <w:szCs w:val="40"/>
    </w:rPr>
  </w:style>
  <w:style w:type="paragraph" w:styleId="4">
    <w:name w:val="heading 2"/>
    <w:basedOn w:val="1"/>
    <w:next w:val="1"/>
    <w:link w:val="44"/>
    <w:unhideWhenUsed/>
    <w:qFormat/>
    <w:uiPriority w:val="0"/>
    <w:pPr>
      <w:spacing w:line="480" w:lineRule="exact"/>
      <w:outlineLvl w:val="1"/>
    </w:pPr>
    <w:rPr>
      <w:rFonts w:ascii="Times New Roman" w:hAnsi="Times New Roman" w:cs="Times New Roman"/>
      <w:b/>
      <w:sz w:val="28"/>
      <w:szCs w:val="28"/>
    </w:rPr>
  </w:style>
  <w:style w:type="paragraph" w:styleId="5">
    <w:name w:val="heading 3"/>
    <w:basedOn w:val="1"/>
    <w:next w:val="1"/>
    <w:link w:val="86"/>
    <w:unhideWhenUsed/>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9"/>
    <w:pPr>
      <w:keepNext/>
      <w:keepLines/>
      <w:spacing w:before="280" w:after="290" w:line="376" w:lineRule="auto"/>
      <w:outlineLvl w:val="3"/>
    </w:pPr>
    <w:rPr>
      <w:rFonts w:ascii="Cambria" w:hAnsi="Cambria"/>
      <w:b/>
      <w:bCs/>
      <w:sz w:val="28"/>
      <w:szCs w:val="28"/>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7"/>
    <w:qFormat/>
    <w:uiPriority w:val="0"/>
    <w:pPr>
      <w:spacing w:after="120"/>
    </w:pPr>
    <w:rPr>
      <w:rFonts w:ascii="Times New Roman" w:hAnsi="Times New Roman" w:eastAsia="宋体" w:cs="Times New Roman"/>
    </w:rPr>
  </w:style>
  <w:style w:type="paragraph" w:styleId="7">
    <w:name w:val="Normal Indent"/>
    <w:basedOn w:val="1"/>
    <w:qFormat/>
    <w:uiPriority w:val="0"/>
    <w:pPr>
      <w:spacing w:line="360" w:lineRule="auto"/>
      <w:ind w:firstLine="420"/>
    </w:pPr>
    <w:rPr>
      <w:rFonts w:ascii="仿宋_GB2312" w:eastAsia="仿宋_GB2312"/>
      <w:sz w:val="28"/>
      <w:szCs w:val="20"/>
    </w:rPr>
  </w:style>
  <w:style w:type="paragraph" w:styleId="8">
    <w:name w:val="Document Map"/>
    <w:basedOn w:val="1"/>
    <w:link w:val="102"/>
    <w:semiHidden/>
    <w:unhideWhenUsed/>
    <w:qFormat/>
    <w:uiPriority w:val="0"/>
    <w:rPr>
      <w:rFonts w:ascii="宋体" w:eastAsia="宋体"/>
      <w:sz w:val="18"/>
      <w:szCs w:val="18"/>
    </w:rPr>
  </w:style>
  <w:style w:type="paragraph" w:styleId="9">
    <w:name w:val="annotation text"/>
    <w:basedOn w:val="1"/>
    <w:link w:val="71"/>
    <w:qFormat/>
    <w:uiPriority w:val="0"/>
    <w:pPr>
      <w:jc w:val="left"/>
    </w:pPr>
  </w:style>
  <w:style w:type="paragraph" w:styleId="10">
    <w:name w:val="Salutation"/>
    <w:basedOn w:val="1"/>
    <w:next w:val="1"/>
    <w:qFormat/>
    <w:uiPriority w:val="0"/>
  </w:style>
  <w:style w:type="paragraph" w:styleId="11">
    <w:name w:val="Body Text 3"/>
    <w:basedOn w:val="1"/>
    <w:link w:val="81"/>
    <w:semiHidden/>
    <w:unhideWhenUsed/>
    <w:qFormat/>
    <w:uiPriority w:val="0"/>
    <w:pPr>
      <w:spacing w:after="120"/>
    </w:pPr>
    <w:rPr>
      <w:sz w:val="16"/>
      <w:szCs w:val="16"/>
    </w:rPr>
  </w:style>
  <w:style w:type="paragraph" w:styleId="12">
    <w:name w:val="Body Text Indent"/>
    <w:basedOn w:val="1"/>
    <w:next w:val="13"/>
    <w:link w:val="53"/>
    <w:qFormat/>
    <w:uiPriority w:val="0"/>
    <w:pPr>
      <w:spacing w:line="400" w:lineRule="exact"/>
      <w:ind w:firstLine="630"/>
    </w:pPr>
    <w:rPr>
      <w:rFonts w:ascii="Times New Roman" w:hAnsi="Times New Roman"/>
      <w:sz w:val="32"/>
    </w:rPr>
  </w:style>
  <w:style w:type="paragraph" w:styleId="13">
    <w:name w:val="toc 9"/>
    <w:next w:val="1"/>
    <w:qFormat/>
    <w:uiPriority w:val="0"/>
    <w:pPr>
      <w:wordWrap w:val="0"/>
      <w:ind w:left="2975"/>
      <w:jc w:val="both"/>
    </w:pPr>
    <w:rPr>
      <w:rFonts w:ascii="Times New Roman" w:hAnsi="Times New Roman" w:eastAsia="宋体" w:cs="Times New Roman"/>
      <w:snapToGrid w:val="0"/>
      <w:kern w:val="2"/>
      <w:sz w:val="21"/>
      <w:szCs w:val="22"/>
      <w:lang w:val="en-US" w:eastAsia="zh-CN" w:bidi="ar-SA"/>
    </w:rPr>
  </w:style>
  <w:style w:type="paragraph" w:styleId="14">
    <w:name w:val="Plain Text"/>
    <w:basedOn w:val="1"/>
    <w:next w:val="10"/>
    <w:link w:val="42"/>
    <w:qFormat/>
    <w:uiPriority w:val="0"/>
    <w:pPr>
      <w:spacing w:line="480" w:lineRule="exact"/>
      <w:ind w:firstLine="480" w:firstLineChars="200"/>
    </w:pPr>
    <w:rPr>
      <w:rFonts w:ascii="Times New Roman" w:hAnsi="Times New Roman" w:cs="Times New Roman"/>
      <w:sz w:val="24"/>
    </w:rPr>
  </w:style>
  <w:style w:type="paragraph" w:styleId="15">
    <w:name w:val="Body Text Indent 2"/>
    <w:basedOn w:val="1"/>
    <w:next w:val="16"/>
    <w:link w:val="59"/>
    <w:qFormat/>
    <w:uiPriority w:val="0"/>
    <w:pPr>
      <w:spacing w:after="120" w:line="480" w:lineRule="auto"/>
      <w:ind w:left="420" w:leftChars="200"/>
    </w:pPr>
  </w:style>
  <w:style w:type="paragraph" w:styleId="16">
    <w:name w:val="Body Text First Indent 2"/>
    <w:basedOn w:val="12"/>
    <w:next w:val="1"/>
    <w:unhideWhenUsed/>
    <w:qFormat/>
    <w:uiPriority w:val="99"/>
    <w:pPr>
      <w:spacing w:after="120" w:line="240" w:lineRule="auto"/>
      <w:ind w:left="420" w:leftChars="200" w:firstLine="420"/>
    </w:pPr>
    <w:rPr>
      <w:sz w:val="21"/>
    </w:rPr>
  </w:style>
  <w:style w:type="paragraph" w:styleId="17">
    <w:name w:val="Balloon Text"/>
    <w:basedOn w:val="1"/>
    <w:link w:val="61"/>
    <w:qFormat/>
    <w:uiPriority w:val="0"/>
    <w:rPr>
      <w:sz w:val="18"/>
      <w:szCs w:val="18"/>
    </w:rPr>
  </w:style>
  <w:style w:type="paragraph" w:styleId="18">
    <w:name w:val="footer"/>
    <w:basedOn w:val="1"/>
    <w:link w:val="50"/>
    <w:qFormat/>
    <w:uiPriority w:val="99"/>
    <w:pPr>
      <w:tabs>
        <w:tab w:val="center" w:pos="4153"/>
        <w:tab w:val="right" w:pos="8306"/>
      </w:tabs>
      <w:snapToGrid w:val="0"/>
      <w:jc w:val="left"/>
    </w:pPr>
    <w:rPr>
      <w:sz w:val="18"/>
      <w:szCs w:val="18"/>
    </w:rPr>
  </w:style>
  <w:style w:type="paragraph" w:styleId="19">
    <w:name w:val="header"/>
    <w:basedOn w:val="1"/>
    <w:link w:val="49"/>
    <w:qFormat/>
    <w:uiPriority w:val="0"/>
    <w:pPr>
      <w:pBdr>
        <w:bottom w:val="single" w:color="auto" w:sz="6" w:space="1"/>
      </w:pBdr>
      <w:tabs>
        <w:tab w:val="center" w:pos="4153"/>
        <w:tab w:val="right" w:pos="8306"/>
      </w:tabs>
      <w:snapToGrid w:val="0"/>
      <w:jc w:val="center"/>
    </w:pPr>
    <w:rPr>
      <w:sz w:val="18"/>
      <w:szCs w:val="18"/>
    </w:rPr>
  </w:style>
  <w:style w:type="paragraph" w:styleId="20">
    <w:name w:val="Subtitle"/>
    <w:basedOn w:val="1"/>
    <w:next w:val="1"/>
    <w:link w:val="47"/>
    <w:qFormat/>
    <w:uiPriority w:val="0"/>
    <w:pPr>
      <w:keepNext/>
      <w:keepLines/>
      <w:snapToGrid w:val="0"/>
      <w:spacing w:line="480" w:lineRule="exact"/>
      <w:ind w:firstLine="482" w:firstLineChars="200"/>
    </w:pPr>
    <w:rPr>
      <w:rFonts w:ascii="Times New Roman" w:hAnsi="Times New Roman" w:cs="Times New Roman"/>
      <w:b/>
      <w:sz w:val="24"/>
    </w:rPr>
  </w:style>
  <w:style w:type="paragraph" w:styleId="21">
    <w:name w:val="List"/>
    <w:basedOn w:val="1"/>
    <w:qFormat/>
    <w:uiPriority w:val="0"/>
    <w:pPr>
      <w:ind w:left="200" w:hanging="200" w:hangingChars="200"/>
    </w:pPr>
    <w:rPr>
      <w:rFonts w:ascii="Times New Roman" w:hAnsi="Times New Roman" w:eastAsia="宋体" w:cs="Times New Roman"/>
    </w:rPr>
  </w:style>
  <w:style w:type="paragraph" w:styleId="22">
    <w:name w:val="Body Text Indent 3"/>
    <w:basedOn w:val="1"/>
    <w:link w:val="56"/>
    <w:qFormat/>
    <w:uiPriority w:val="0"/>
    <w:pPr>
      <w:spacing w:after="120"/>
      <w:ind w:left="420" w:leftChars="200"/>
    </w:pPr>
    <w:rPr>
      <w:sz w:val="16"/>
      <w:szCs w:val="16"/>
    </w:rPr>
  </w:style>
  <w:style w:type="paragraph" w:styleId="23">
    <w:name w:val="Body Text 2"/>
    <w:basedOn w:val="1"/>
    <w:link w:val="58"/>
    <w:qFormat/>
    <w:uiPriority w:val="0"/>
    <w:pPr>
      <w:spacing w:after="120" w:line="480" w:lineRule="auto"/>
    </w:pPr>
  </w:style>
  <w:style w:type="paragraph" w:styleId="24">
    <w:name w:val="Normal (Web)"/>
    <w:basedOn w:val="1"/>
    <w:link w:val="62"/>
    <w:qFormat/>
    <w:uiPriority w:val="99"/>
    <w:pPr>
      <w:widowControl/>
      <w:spacing w:before="100" w:beforeAutospacing="1" w:after="100" w:afterAutospacing="1"/>
      <w:jc w:val="left"/>
    </w:pPr>
    <w:rPr>
      <w:rFonts w:ascii="宋体" w:hAnsi="宋体" w:eastAsia="宋体" w:cs="宋体"/>
      <w:kern w:val="0"/>
      <w:sz w:val="24"/>
    </w:rPr>
  </w:style>
  <w:style w:type="paragraph" w:styleId="25">
    <w:name w:val="annotation subject"/>
    <w:basedOn w:val="9"/>
    <w:next w:val="9"/>
    <w:link w:val="72"/>
    <w:qFormat/>
    <w:uiPriority w:val="0"/>
    <w:rPr>
      <w:b/>
      <w:bCs/>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8">
    <w:name w:val="Table Theme"/>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rPr>
  </w:style>
  <w:style w:type="character" w:styleId="31">
    <w:name w:val="page number"/>
    <w:basedOn w:val="29"/>
    <w:qFormat/>
    <w:uiPriority w:val="0"/>
  </w:style>
  <w:style w:type="character" w:styleId="32">
    <w:name w:val="FollowedHyperlink"/>
    <w:basedOn w:val="29"/>
    <w:semiHidden/>
    <w:unhideWhenUsed/>
    <w:qFormat/>
    <w:uiPriority w:val="0"/>
    <w:rPr>
      <w:color w:val="333333"/>
      <w:u w:val="none"/>
    </w:rPr>
  </w:style>
  <w:style w:type="character" w:styleId="33">
    <w:name w:val="Emphasis"/>
    <w:basedOn w:val="29"/>
    <w:qFormat/>
    <w:uiPriority w:val="0"/>
    <w:rPr>
      <w:i/>
      <w:color w:val="333333"/>
      <w:sz w:val="21"/>
      <w:szCs w:val="21"/>
      <w:bdr w:val="single" w:color="999999" w:sz="6" w:space="0"/>
      <w:shd w:val="clear" w:color="auto" w:fill="FFFFFF"/>
    </w:rPr>
  </w:style>
  <w:style w:type="character" w:styleId="34">
    <w:name w:val="HTML Acronym"/>
    <w:basedOn w:val="29"/>
    <w:semiHidden/>
    <w:unhideWhenUsed/>
    <w:qFormat/>
    <w:uiPriority w:val="0"/>
  </w:style>
  <w:style w:type="character" w:styleId="35">
    <w:name w:val="Hyperlink"/>
    <w:basedOn w:val="29"/>
    <w:semiHidden/>
    <w:unhideWhenUsed/>
    <w:qFormat/>
    <w:uiPriority w:val="0"/>
    <w:rPr>
      <w:color w:val="333333"/>
      <w:u w:val="none"/>
    </w:rPr>
  </w:style>
  <w:style w:type="character" w:styleId="36">
    <w:name w:val="annotation reference"/>
    <w:basedOn w:val="29"/>
    <w:qFormat/>
    <w:uiPriority w:val="0"/>
    <w:rPr>
      <w:sz w:val="21"/>
      <w:szCs w:val="21"/>
    </w:rPr>
  </w:style>
  <w:style w:type="character" w:customStyle="1" w:styleId="37">
    <w:name w:val="正文文本 Char"/>
    <w:basedOn w:val="29"/>
    <w:link w:val="2"/>
    <w:qFormat/>
    <w:uiPriority w:val="0"/>
    <w:rPr>
      <w:kern w:val="2"/>
      <w:sz w:val="21"/>
      <w:szCs w:val="24"/>
    </w:rPr>
  </w:style>
  <w:style w:type="paragraph" w:customStyle="1" w:styleId="38">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sz w:val="16"/>
      <w:szCs w:val="16"/>
      <w:lang w:eastAsia="zh-TW"/>
    </w:rPr>
  </w:style>
  <w:style w:type="paragraph" w:customStyle="1" w:styleId="39">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40">
    <w:name w:val="表头"/>
    <w:basedOn w:val="1"/>
    <w:link w:val="41"/>
    <w:qFormat/>
    <w:uiPriority w:val="0"/>
    <w:pPr>
      <w:spacing w:line="480" w:lineRule="exact"/>
      <w:jc w:val="center"/>
    </w:pPr>
    <w:rPr>
      <w:rFonts w:ascii="Times New Roman" w:hAnsi="Times New Roman" w:eastAsia="宋体"/>
      <w:b/>
    </w:rPr>
  </w:style>
  <w:style w:type="character" w:customStyle="1" w:styleId="41">
    <w:name w:val="表头 Char"/>
    <w:basedOn w:val="29"/>
    <w:link w:val="40"/>
    <w:qFormat/>
    <w:uiPriority w:val="0"/>
    <w:rPr>
      <w:rFonts w:cstheme="minorBidi"/>
      <w:b/>
      <w:kern w:val="2"/>
      <w:sz w:val="21"/>
      <w:szCs w:val="24"/>
    </w:rPr>
  </w:style>
  <w:style w:type="character" w:customStyle="1" w:styleId="42">
    <w:name w:val="纯文本 Char"/>
    <w:basedOn w:val="29"/>
    <w:link w:val="14"/>
    <w:qFormat/>
    <w:uiPriority w:val="0"/>
    <w:rPr>
      <w:rFonts w:eastAsiaTheme="minorEastAsia"/>
      <w:kern w:val="2"/>
      <w:sz w:val="24"/>
      <w:szCs w:val="24"/>
    </w:rPr>
  </w:style>
  <w:style w:type="paragraph" w:customStyle="1" w:styleId="43">
    <w:name w:val="表格"/>
    <w:basedOn w:val="14"/>
    <w:next w:val="1"/>
    <w:link w:val="45"/>
    <w:qFormat/>
    <w:uiPriority w:val="0"/>
    <w:pPr>
      <w:spacing w:line="240" w:lineRule="auto"/>
      <w:ind w:firstLine="0" w:firstLineChars="0"/>
      <w:jc w:val="center"/>
    </w:pPr>
    <w:rPr>
      <w:rFonts w:eastAsia="宋体"/>
      <w:bCs/>
      <w:sz w:val="21"/>
    </w:rPr>
  </w:style>
  <w:style w:type="character" w:customStyle="1" w:styleId="44">
    <w:name w:val="标题 2 Char"/>
    <w:basedOn w:val="29"/>
    <w:link w:val="4"/>
    <w:qFormat/>
    <w:uiPriority w:val="0"/>
    <w:rPr>
      <w:rFonts w:eastAsiaTheme="minorEastAsia"/>
      <w:b/>
      <w:kern w:val="2"/>
      <w:sz w:val="28"/>
      <w:szCs w:val="28"/>
    </w:rPr>
  </w:style>
  <w:style w:type="character" w:customStyle="1" w:styleId="45">
    <w:name w:val="表格 Char"/>
    <w:basedOn w:val="42"/>
    <w:link w:val="43"/>
    <w:qFormat/>
    <w:uiPriority w:val="0"/>
    <w:rPr>
      <w:rFonts w:eastAsiaTheme="minorEastAsia"/>
      <w:bCs/>
      <w:kern w:val="2"/>
      <w:sz w:val="21"/>
      <w:szCs w:val="24"/>
    </w:rPr>
  </w:style>
  <w:style w:type="character" w:customStyle="1" w:styleId="46">
    <w:name w:val="标题 1 Char"/>
    <w:basedOn w:val="29"/>
    <w:link w:val="3"/>
    <w:qFormat/>
    <w:uiPriority w:val="0"/>
    <w:rPr>
      <w:rFonts w:eastAsiaTheme="minorEastAsia"/>
      <w:b/>
      <w:bCs/>
      <w:kern w:val="2"/>
      <w:sz w:val="32"/>
      <w:szCs w:val="40"/>
    </w:rPr>
  </w:style>
  <w:style w:type="character" w:customStyle="1" w:styleId="47">
    <w:name w:val="副标题 Char"/>
    <w:basedOn w:val="29"/>
    <w:link w:val="20"/>
    <w:qFormat/>
    <w:uiPriority w:val="0"/>
    <w:rPr>
      <w:rFonts w:eastAsiaTheme="minorEastAsia"/>
      <w:b/>
      <w:kern w:val="2"/>
      <w:sz w:val="24"/>
      <w:szCs w:val="24"/>
    </w:rPr>
  </w:style>
  <w:style w:type="paragraph" w:customStyle="1" w:styleId="48">
    <w:name w:val="表内文字"/>
    <w:basedOn w:val="1"/>
    <w:qFormat/>
    <w:uiPriority w:val="0"/>
    <w:rPr>
      <w:rFonts w:ascii="Times New Roman" w:hAnsi="Times New Roman" w:eastAsia="宋体" w:cs="Times New Roman"/>
      <w:sz w:val="24"/>
    </w:rPr>
  </w:style>
  <w:style w:type="character" w:customStyle="1" w:styleId="49">
    <w:name w:val="页眉 Char"/>
    <w:basedOn w:val="29"/>
    <w:link w:val="19"/>
    <w:qFormat/>
    <w:uiPriority w:val="0"/>
    <w:rPr>
      <w:rFonts w:asciiTheme="minorHAnsi" w:hAnsiTheme="minorHAnsi" w:eastAsiaTheme="minorEastAsia" w:cstheme="minorBidi"/>
      <w:kern w:val="2"/>
      <w:sz w:val="18"/>
      <w:szCs w:val="18"/>
    </w:rPr>
  </w:style>
  <w:style w:type="character" w:customStyle="1" w:styleId="50">
    <w:name w:val="页脚 Char"/>
    <w:basedOn w:val="29"/>
    <w:link w:val="18"/>
    <w:qFormat/>
    <w:uiPriority w:val="99"/>
    <w:rPr>
      <w:rFonts w:asciiTheme="minorHAnsi" w:hAnsiTheme="minorHAnsi" w:eastAsiaTheme="minorEastAsia" w:cstheme="minorBidi"/>
      <w:kern w:val="2"/>
      <w:sz w:val="18"/>
      <w:szCs w:val="18"/>
    </w:rPr>
  </w:style>
  <w:style w:type="paragraph" w:customStyle="1" w:styleId="51">
    <w:name w:val="空格"/>
    <w:basedOn w:val="1"/>
    <w:link w:val="52"/>
    <w:qFormat/>
    <w:uiPriority w:val="0"/>
    <w:rPr>
      <w:rFonts w:eastAsia="宋体" w:cs="Times New Roman"/>
    </w:rPr>
  </w:style>
  <w:style w:type="character" w:customStyle="1" w:styleId="52">
    <w:name w:val="空格 Char"/>
    <w:basedOn w:val="29"/>
    <w:link w:val="51"/>
    <w:qFormat/>
    <w:uiPriority w:val="0"/>
    <w:rPr>
      <w:rFonts w:asciiTheme="minorHAnsi" w:hAnsiTheme="minorHAnsi"/>
      <w:kern w:val="2"/>
      <w:sz w:val="21"/>
      <w:szCs w:val="24"/>
    </w:rPr>
  </w:style>
  <w:style w:type="character" w:customStyle="1" w:styleId="53">
    <w:name w:val="正文文本缩进 Char"/>
    <w:basedOn w:val="29"/>
    <w:link w:val="12"/>
    <w:qFormat/>
    <w:uiPriority w:val="0"/>
    <w:rPr>
      <w:rFonts w:eastAsiaTheme="minorEastAsia" w:cstheme="minorBidi"/>
      <w:kern w:val="2"/>
      <w:sz w:val="32"/>
      <w:szCs w:val="24"/>
    </w:rPr>
  </w:style>
  <w:style w:type="paragraph" w:customStyle="1" w:styleId="54">
    <w:name w:val="11111111111"/>
    <w:basedOn w:val="1"/>
    <w:link w:val="55"/>
    <w:qFormat/>
    <w:uiPriority w:val="0"/>
    <w:pPr>
      <w:spacing w:line="480" w:lineRule="exact"/>
      <w:jc w:val="center"/>
    </w:pPr>
    <w:rPr>
      <w:b/>
    </w:rPr>
  </w:style>
  <w:style w:type="character" w:customStyle="1" w:styleId="55">
    <w:name w:val="11111111111 Char"/>
    <w:link w:val="54"/>
    <w:qFormat/>
    <w:uiPriority w:val="0"/>
    <w:rPr>
      <w:rFonts w:asciiTheme="minorHAnsi" w:hAnsiTheme="minorHAnsi" w:eastAsiaTheme="minorEastAsia" w:cstheme="minorBidi"/>
      <w:b/>
      <w:kern w:val="2"/>
      <w:sz w:val="21"/>
      <w:szCs w:val="24"/>
    </w:rPr>
  </w:style>
  <w:style w:type="character" w:customStyle="1" w:styleId="56">
    <w:name w:val="正文文本缩进 3 Char"/>
    <w:basedOn w:val="29"/>
    <w:link w:val="22"/>
    <w:qFormat/>
    <w:uiPriority w:val="0"/>
    <w:rPr>
      <w:rFonts w:asciiTheme="minorHAnsi" w:hAnsiTheme="minorHAnsi" w:eastAsiaTheme="minorEastAsia" w:cstheme="minorBidi"/>
      <w:kern w:val="2"/>
      <w:sz w:val="16"/>
      <w:szCs w:val="16"/>
    </w:rPr>
  </w:style>
  <w:style w:type="paragraph" w:customStyle="1" w:styleId="57">
    <w:name w:val="表样式1"/>
    <w:basedOn w:val="1"/>
    <w:qFormat/>
    <w:uiPriority w:val="0"/>
    <w:pPr>
      <w:snapToGrid w:val="0"/>
      <w:jc w:val="center"/>
    </w:pPr>
    <w:rPr>
      <w:rFonts w:ascii="Times New Roman" w:hAnsi="Times New Roman" w:eastAsia="宋体" w:cs="Times New Roman"/>
      <w:color w:val="000000"/>
      <w:szCs w:val="21"/>
    </w:rPr>
  </w:style>
  <w:style w:type="character" w:customStyle="1" w:styleId="58">
    <w:name w:val="正文文本 2 Char"/>
    <w:basedOn w:val="29"/>
    <w:link w:val="23"/>
    <w:qFormat/>
    <w:uiPriority w:val="0"/>
    <w:rPr>
      <w:rFonts w:asciiTheme="minorHAnsi" w:hAnsiTheme="minorHAnsi" w:eastAsiaTheme="minorEastAsia" w:cstheme="minorBidi"/>
      <w:kern w:val="2"/>
      <w:sz w:val="21"/>
      <w:szCs w:val="24"/>
    </w:rPr>
  </w:style>
  <w:style w:type="character" w:customStyle="1" w:styleId="59">
    <w:name w:val="正文文本缩进 2 Char"/>
    <w:basedOn w:val="29"/>
    <w:link w:val="15"/>
    <w:qFormat/>
    <w:uiPriority w:val="0"/>
    <w:rPr>
      <w:rFonts w:asciiTheme="minorHAnsi" w:hAnsiTheme="minorHAnsi" w:eastAsiaTheme="minorEastAsia" w:cstheme="minorBidi"/>
      <w:kern w:val="2"/>
      <w:sz w:val="21"/>
      <w:szCs w:val="24"/>
    </w:rPr>
  </w:style>
  <w:style w:type="character" w:customStyle="1" w:styleId="60">
    <w:name w:val="fontstyle01"/>
    <w:basedOn w:val="29"/>
    <w:qFormat/>
    <w:uiPriority w:val="0"/>
    <w:rPr>
      <w:rFonts w:hint="eastAsia" w:ascii="宋体" w:hAnsi="宋体" w:eastAsia="宋体"/>
      <w:color w:val="000000"/>
      <w:sz w:val="24"/>
      <w:szCs w:val="24"/>
    </w:rPr>
  </w:style>
  <w:style w:type="character" w:customStyle="1" w:styleId="61">
    <w:name w:val="批注框文本 Char"/>
    <w:basedOn w:val="29"/>
    <w:link w:val="17"/>
    <w:qFormat/>
    <w:uiPriority w:val="0"/>
    <w:rPr>
      <w:rFonts w:asciiTheme="minorHAnsi" w:hAnsiTheme="minorHAnsi" w:eastAsiaTheme="minorEastAsia" w:cstheme="minorBidi"/>
      <w:kern w:val="2"/>
      <w:sz w:val="18"/>
      <w:szCs w:val="18"/>
    </w:rPr>
  </w:style>
  <w:style w:type="character" w:customStyle="1" w:styleId="62">
    <w:name w:val="普通(网站) Char"/>
    <w:link w:val="24"/>
    <w:qFormat/>
    <w:uiPriority w:val="0"/>
    <w:rPr>
      <w:rFonts w:ascii="宋体" w:hAnsi="宋体" w:cs="宋体"/>
      <w:sz w:val="24"/>
      <w:szCs w:val="24"/>
    </w:rPr>
  </w:style>
  <w:style w:type="character" w:customStyle="1" w:styleId="63">
    <w:name w:val="正文文本 Char1"/>
    <w:basedOn w:val="29"/>
    <w:qFormat/>
    <w:uiPriority w:val="0"/>
    <w:rPr>
      <w:rFonts w:asciiTheme="minorHAnsi" w:hAnsiTheme="minorHAnsi" w:eastAsiaTheme="minorEastAsia" w:cstheme="minorBidi"/>
      <w:kern w:val="2"/>
      <w:sz w:val="21"/>
      <w:szCs w:val="24"/>
    </w:rPr>
  </w:style>
  <w:style w:type="character" w:customStyle="1" w:styleId="64">
    <w:name w:val="1正文 Char"/>
    <w:link w:val="65"/>
    <w:qFormat/>
    <w:uiPriority w:val="0"/>
    <w:rPr>
      <w:rFonts w:ascii="仿宋" w:hAnsi="仿宋" w:eastAsia="黑体" w:cs="仿宋"/>
      <w:kern w:val="2"/>
      <w:sz w:val="21"/>
      <w:szCs w:val="24"/>
      <w:lang w:val="zh-CN" w:bidi="zh-CN"/>
    </w:rPr>
  </w:style>
  <w:style w:type="paragraph" w:customStyle="1" w:styleId="65">
    <w:name w:val="1正文"/>
    <w:basedOn w:val="66"/>
    <w:link w:val="64"/>
    <w:qFormat/>
    <w:uiPriority w:val="0"/>
    <w:pPr>
      <w:spacing w:before="139" w:line="364" w:lineRule="auto"/>
      <w:ind w:left="112" w:right="91" w:firstLine="420"/>
    </w:pPr>
    <w:rPr>
      <w:rFonts w:eastAsia="黑体"/>
    </w:rPr>
  </w:style>
  <w:style w:type="paragraph" w:customStyle="1" w:styleId="66">
    <w:name w:val="Table Paragraph"/>
    <w:basedOn w:val="1"/>
    <w:qFormat/>
    <w:uiPriority w:val="1"/>
    <w:rPr>
      <w:rFonts w:ascii="仿宋" w:hAnsi="仿宋" w:eastAsia="仿宋" w:cs="仿宋"/>
      <w:lang w:val="zh-CN" w:bidi="zh-CN"/>
    </w:rPr>
  </w:style>
  <w:style w:type="character" w:customStyle="1" w:styleId="67">
    <w:name w:val="样式 首行缩进:  2 字符1 Char Char"/>
    <w:link w:val="68"/>
    <w:qFormat/>
    <w:uiPriority w:val="0"/>
    <w:rPr>
      <w:kern w:val="2"/>
      <w:sz w:val="24"/>
      <w:lang w:val="en-US" w:eastAsia="zh-CN"/>
    </w:rPr>
  </w:style>
  <w:style w:type="paragraph" w:customStyle="1" w:styleId="68">
    <w:name w:val="样式 首行缩进:  2 字符1"/>
    <w:basedOn w:val="1"/>
    <w:link w:val="67"/>
    <w:qFormat/>
    <w:uiPriority w:val="0"/>
    <w:pPr>
      <w:adjustRightInd w:val="0"/>
      <w:snapToGrid w:val="0"/>
      <w:spacing w:line="360" w:lineRule="auto"/>
      <w:ind w:firstLine="480" w:firstLineChars="200"/>
    </w:pPr>
    <w:rPr>
      <w:rFonts w:ascii="Times New Roman" w:hAnsi="Times New Roman" w:eastAsia="宋体" w:cs="Times New Roman"/>
      <w:sz w:val="24"/>
      <w:szCs w:val="20"/>
    </w:rPr>
  </w:style>
  <w:style w:type="character" w:customStyle="1" w:styleId="69">
    <w:name w:val="正文正文正文 Char"/>
    <w:link w:val="70"/>
    <w:qFormat/>
    <w:uiPriority w:val="0"/>
    <w:rPr>
      <w:sz w:val="24"/>
    </w:rPr>
  </w:style>
  <w:style w:type="paragraph" w:customStyle="1" w:styleId="70">
    <w:name w:val="正文正文正文"/>
    <w:basedOn w:val="1"/>
    <w:link w:val="69"/>
    <w:qFormat/>
    <w:uiPriority w:val="0"/>
    <w:pPr>
      <w:spacing w:line="480" w:lineRule="exact"/>
      <w:ind w:firstLine="640" w:firstLineChars="200"/>
    </w:pPr>
    <w:rPr>
      <w:rFonts w:ascii="Times New Roman" w:hAnsi="Times New Roman" w:eastAsia="宋体" w:cs="Times New Roman"/>
      <w:kern w:val="0"/>
      <w:sz w:val="24"/>
      <w:szCs w:val="20"/>
    </w:rPr>
  </w:style>
  <w:style w:type="character" w:customStyle="1" w:styleId="71">
    <w:name w:val="批注文字 Char"/>
    <w:basedOn w:val="29"/>
    <w:link w:val="9"/>
    <w:qFormat/>
    <w:uiPriority w:val="0"/>
    <w:rPr>
      <w:rFonts w:asciiTheme="minorHAnsi" w:hAnsiTheme="minorHAnsi" w:eastAsiaTheme="minorEastAsia" w:cstheme="minorBidi"/>
      <w:kern w:val="2"/>
      <w:sz w:val="21"/>
      <w:szCs w:val="24"/>
    </w:rPr>
  </w:style>
  <w:style w:type="character" w:customStyle="1" w:styleId="72">
    <w:name w:val="批注主题 Char"/>
    <w:basedOn w:val="71"/>
    <w:link w:val="25"/>
    <w:qFormat/>
    <w:uiPriority w:val="0"/>
    <w:rPr>
      <w:rFonts w:asciiTheme="minorHAnsi" w:hAnsiTheme="minorHAnsi" w:eastAsiaTheme="minorEastAsia" w:cstheme="minorBidi"/>
      <w:b/>
      <w:bCs/>
      <w:kern w:val="2"/>
      <w:sz w:val="21"/>
      <w:szCs w:val="24"/>
    </w:rPr>
  </w:style>
  <w:style w:type="paragraph" w:customStyle="1" w:styleId="73">
    <w:name w:val="表内文字、"/>
    <w:basedOn w:val="1"/>
    <w:qFormat/>
    <w:uiPriority w:val="0"/>
    <w:rPr>
      <w:rFonts w:ascii="Times New Roman" w:hAnsi="Times New Roman" w:eastAsia="宋体" w:cs="Times New Roman"/>
    </w:rPr>
  </w:style>
  <w:style w:type="paragraph" w:customStyle="1" w:styleId="74">
    <w:name w:val="hhcwt正文"/>
    <w:basedOn w:val="1"/>
    <w:qFormat/>
    <w:uiPriority w:val="0"/>
    <w:pPr>
      <w:adjustRightInd w:val="0"/>
      <w:snapToGrid w:val="0"/>
      <w:spacing w:line="360" w:lineRule="auto"/>
      <w:ind w:firstLine="480" w:firstLineChars="200"/>
    </w:pPr>
    <w:rPr>
      <w:rFonts w:ascii="Times New Roman" w:hAnsi="Times New Roman" w:eastAsia="宋体" w:cs="宋体"/>
      <w:sz w:val="24"/>
    </w:rPr>
  </w:style>
  <w:style w:type="paragraph" w:customStyle="1" w:styleId="75">
    <w:name w:val="正文内容"/>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76">
    <w:name w:val="List Paragraph"/>
    <w:basedOn w:val="1"/>
    <w:qFormat/>
    <w:uiPriority w:val="99"/>
    <w:pPr>
      <w:ind w:firstLine="420" w:firstLineChars="200"/>
    </w:pPr>
  </w:style>
  <w:style w:type="character" w:customStyle="1" w:styleId="77">
    <w:name w:val="表格文字 Char"/>
    <w:link w:val="78"/>
    <w:qFormat/>
    <w:uiPriority w:val="0"/>
    <w:rPr>
      <w:rFonts w:ascii="宋体"/>
      <w:kern w:val="2"/>
      <w:sz w:val="21"/>
      <w:szCs w:val="21"/>
    </w:rPr>
  </w:style>
  <w:style w:type="paragraph" w:customStyle="1" w:styleId="78">
    <w:name w:val="表格文字"/>
    <w:basedOn w:val="2"/>
    <w:link w:val="77"/>
    <w:qFormat/>
    <w:uiPriority w:val="0"/>
    <w:pPr>
      <w:adjustRightInd w:val="0"/>
      <w:snapToGrid w:val="0"/>
      <w:spacing w:after="0"/>
      <w:jc w:val="center"/>
    </w:pPr>
    <w:rPr>
      <w:rFonts w:ascii="宋体"/>
      <w:szCs w:val="21"/>
    </w:rPr>
  </w:style>
  <w:style w:type="paragraph" w:customStyle="1" w:styleId="79">
    <w:name w:val="二级无标题条"/>
    <w:basedOn w:val="1"/>
    <w:qFormat/>
    <w:uiPriority w:val="0"/>
    <w:rPr>
      <w:rFonts w:ascii="Times New Roman" w:hAnsi="Times New Roman" w:eastAsia="宋体" w:cs="Times New Roman"/>
    </w:rPr>
  </w:style>
  <w:style w:type="paragraph" w:customStyle="1" w:styleId="80">
    <w:name w:val="表格 32"/>
    <w:basedOn w:val="1"/>
    <w:qFormat/>
    <w:uiPriority w:val="0"/>
    <w:pPr>
      <w:jc w:val="center"/>
    </w:pPr>
    <w:rPr>
      <w:rFonts w:ascii="Times New Roman" w:hAnsi="Times New Roman" w:cs="Times New Roman"/>
      <w:szCs w:val="21"/>
    </w:rPr>
  </w:style>
  <w:style w:type="character" w:customStyle="1" w:styleId="81">
    <w:name w:val="正文文本 3 Char"/>
    <w:basedOn w:val="29"/>
    <w:link w:val="11"/>
    <w:semiHidden/>
    <w:qFormat/>
    <w:uiPriority w:val="0"/>
    <w:rPr>
      <w:rFonts w:asciiTheme="minorHAnsi" w:hAnsiTheme="minorHAnsi" w:eastAsiaTheme="minorEastAsia" w:cstheme="minorBidi"/>
      <w:kern w:val="2"/>
      <w:sz w:val="16"/>
      <w:szCs w:val="16"/>
    </w:rPr>
  </w:style>
  <w:style w:type="paragraph" w:customStyle="1" w:styleId="82">
    <w:name w:val="xl3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rPr>
  </w:style>
  <w:style w:type="paragraph" w:customStyle="1" w:styleId="83">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styleId="84">
    <w:name w:val="Placeholder Text"/>
    <w:basedOn w:val="29"/>
    <w:semiHidden/>
    <w:qFormat/>
    <w:uiPriority w:val="99"/>
    <w:rPr>
      <w:color w:val="808080"/>
    </w:rPr>
  </w:style>
  <w:style w:type="paragraph" w:customStyle="1" w:styleId="85">
    <w:name w:val="表中文字"/>
    <w:basedOn w:val="1"/>
    <w:qFormat/>
    <w:uiPriority w:val="0"/>
    <w:pPr>
      <w:spacing w:line="300" w:lineRule="exact"/>
      <w:jc w:val="center"/>
    </w:pPr>
    <w:rPr>
      <w:rFonts w:ascii="Times New Roman" w:hAnsi="Times New Roman" w:eastAsia="宋体" w:cs="Times New Roman"/>
      <w:color w:val="000000"/>
    </w:rPr>
  </w:style>
  <w:style w:type="character" w:customStyle="1" w:styleId="86">
    <w:name w:val="标题 3 Char"/>
    <w:link w:val="5"/>
    <w:qFormat/>
    <w:uiPriority w:val="0"/>
    <w:rPr>
      <w:rFonts w:asciiTheme="minorHAnsi" w:hAnsiTheme="minorHAnsi" w:eastAsiaTheme="minorEastAsia" w:cstheme="minorBidi"/>
      <w:b/>
      <w:bCs/>
      <w:kern w:val="2"/>
      <w:sz w:val="32"/>
      <w:szCs w:val="32"/>
    </w:rPr>
  </w:style>
  <w:style w:type="character" w:customStyle="1" w:styleId="87">
    <w:name w:val="文字 Char Char"/>
    <w:link w:val="88"/>
    <w:qFormat/>
    <w:uiPriority w:val="0"/>
    <w:rPr>
      <w:kern w:val="2"/>
      <w:sz w:val="24"/>
      <w:szCs w:val="24"/>
    </w:rPr>
  </w:style>
  <w:style w:type="paragraph" w:customStyle="1" w:styleId="88">
    <w:name w:val="文字"/>
    <w:basedOn w:val="1"/>
    <w:link w:val="87"/>
    <w:qFormat/>
    <w:uiPriority w:val="0"/>
    <w:pPr>
      <w:adjustRightInd w:val="0"/>
      <w:snapToGrid w:val="0"/>
      <w:spacing w:line="360" w:lineRule="auto"/>
      <w:ind w:firstLine="720" w:firstLineChars="200"/>
    </w:pPr>
    <w:rPr>
      <w:rFonts w:ascii="Times New Roman" w:hAnsi="Times New Roman" w:eastAsia="宋体" w:cs="Times New Roman"/>
      <w:sz w:val="24"/>
    </w:rPr>
  </w:style>
  <w:style w:type="paragraph" w:customStyle="1" w:styleId="89">
    <w:name w:val="正文1"/>
    <w:basedOn w:val="1"/>
    <w:qFormat/>
    <w:uiPriority w:val="0"/>
    <w:rPr>
      <w:rFonts w:ascii="Times New Roman" w:hAnsi="Times New Roman" w:eastAsia="宋体" w:cs="Times New Roman"/>
    </w:rPr>
  </w:style>
  <w:style w:type="paragraph" w:customStyle="1" w:styleId="90">
    <w:name w:val="p0"/>
    <w:basedOn w:val="1"/>
    <w:qFormat/>
    <w:uiPriority w:val="0"/>
    <w:pPr>
      <w:widowControl/>
    </w:pPr>
    <w:rPr>
      <w:kern w:val="0"/>
      <w:szCs w:val="21"/>
    </w:rPr>
  </w:style>
  <w:style w:type="paragraph" w:customStyle="1" w:styleId="91">
    <w:name w:val="A正文"/>
    <w:basedOn w:val="1"/>
    <w:qFormat/>
    <w:uiPriority w:val="0"/>
    <w:pPr>
      <w:spacing w:line="360" w:lineRule="auto"/>
      <w:ind w:firstLine="480" w:firstLineChars="200"/>
    </w:pPr>
    <w:rPr>
      <w:kern w:val="0"/>
      <w:sz w:val="24"/>
    </w:rPr>
  </w:style>
  <w:style w:type="character" w:customStyle="1" w:styleId="92">
    <w:name w:val="tmpztreemove_arrow"/>
    <w:basedOn w:val="29"/>
    <w:qFormat/>
    <w:uiPriority w:val="0"/>
  </w:style>
  <w:style w:type="character" w:customStyle="1" w:styleId="93">
    <w:name w:val="tit2"/>
    <w:basedOn w:val="29"/>
    <w:qFormat/>
    <w:uiPriority w:val="0"/>
  </w:style>
  <w:style w:type="character" w:customStyle="1" w:styleId="94">
    <w:name w:val="button"/>
    <w:basedOn w:val="29"/>
    <w:qFormat/>
    <w:uiPriority w:val="0"/>
    <w:rPr>
      <w:rFonts w:eastAsiaTheme="minorEastAsia"/>
      <w:b/>
      <w:sz w:val="36"/>
    </w:rPr>
  </w:style>
  <w:style w:type="character" w:customStyle="1" w:styleId="95">
    <w:name w:val="spl"/>
    <w:basedOn w:val="29"/>
    <w:qFormat/>
    <w:uiPriority w:val="0"/>
  </w:style>
  <w:style w:type="character" w:customStyle="1" w:styleId="96">
    <w:name w:val="spr"/>
    <w:basedOn w:val="29"/>
    <w:qFormat/>
    <w:uiPriority w:val="0"/>
  </w:style>
  <w:style w:type="character" w:customStyle="1" w:styleId="97">
    <w:name w:val="tit14"/>
    <w:basedOn w:val="29"/>
    <w:qFormat/>
    <w:uiPriority w:val="0"/>
  </w:style>
  <w:style w:type="character" w:customStyle="1" w:styleId="98">
    <w:name w:val="tit15"/>
    <w:basedOn w:val="29"/>
    <w:qFormat/>
    <w:uiPriority w:val="0"/>
  </w:style>
  <w:style w:type="paragraph" w:customStyle="1" w:styleId="99">
    <w:name w:val="冉表内文字"/>
    <w:qFormat/>
    <w:uiPriority w:val="0"/>
    <w:pPr>
      <w:widowControl w:val="0"/>
      <w:spacing w:line="280" w:lineRule="exact"/>
      <w:jc w:val="center"/>
    </w:pPr>
    <w:rPr>
      <w:rFonts w:eastAsia="宋体" w:asciiTheme="minorHAnsi" w:hAnsiTheme="minorHAnsi" w:cstheme="minorBidi"/>
      <w:sz w:val="18"/>
      <w:szCs w:val="24"/>
      <w:lang w:val="en-US" w:eastAsia="zh-CN" w:bidi="ar-SA"/>
    </w:rPr>
  </w:style>
  <w:style w:type="paragraph" w:customStyle="1" w:styleId="100">
    <w:name w:val="纯文本1"/>
    <w:qFormat/>
    <w:uiPriority w:val="0"/>
    <w:pPr>
      <w:widowControl w:val="0"/>
      <w:jc w:val="both"/>
    </w:pPr>
    <w:rPr>
      <w:rFonts w:ascii="宋体" w:hAnsi="Courier New" w:eastAsiaTheme="minorEastAsia" w:cstheme="minorBidi"/>
      <w:lang w:val="en-US" w:eastAsia="zh-CN" w:bidi="ar-SA"/>
    </w:rPr>
  </w:style>
  <w:style w:type="paragraph" w:customStyle="1" w:styleId="101">
    <w:name w:val="报告正文"/>
    <w:basedOn w:val="1"/>
    <w:qFormat/>
    <w:uiPriority w:val="0"/>
    <w:pPr>
      <w:adjustRightInd w:val="0"/>
      <w:snapToGrid w:val="0"/>
      <w:spacing w:line="480" w:lineRule="exact"/>
      <w:ind w:firstLine="200" w:firstLineChars="200"/>
    </w:pPr>
    <w:rPr>
      <w:kern w:val="0"/>
      <w:szCs w:val="20"/>
    </w:rPr>
  </w:style>
  <w:style w:type="character" w:customStyle="1" w:styleId="102">
    <w:name w:val="文档结构图 Char"/>
    <w:basedOn w:val="29"/>
    <w:link w:val="8"/>
    <w:semiHidden/>
    <w:qFormat/>
    <w:uiPriority w:val="0"/>
    <w:rPr>
      <w:rFonts w:ascii="宋体" w:hAnsiTheme="minorHAnsi" w:cstheme="minorBidi"/>
      <w:kern w:val="2"/>
      <w:sz w:val="18"/>
      <w:szCs w:val="18"/>
    </w:rPr>
  </w:style>
  <w:style w:type="paragraph" w:customStyle="1" w:styleId="103">
    <w:name w:val="【表头】"/>
    <w:basedOn w:val="1"/>
    <w:qFormat/>
    <w:uiPriority w:val="0"/>
    <w:pPr>
      <w:spacing w:line="460" w:lineRule="exact"/>
      <w:jc w:val="center"/>
    </w:pPr>
    <w:rPr>
      <w:b/>
    </w:rPr>
  </w:style>
  <w:style w:type="paragraph" w:customStyle="1" w:styleId="104">
    <w:name w:val="表格内容"/>
    <w:basedOn w:val="105"/>
    <w:next w:val="1"/>
    <w:unhideWhenUsed/>
    <w:qFormat/>
    <w:uiPriority w:val="0"/>
    <w:pPr>
      <w:snapToGrid w:val="0"/>
    </w:pPr>
    <w:rPr>
      <w:sz w:val="18"/>
    </w:rPr>
  </w:style>
  <w:style w:type="paragraph" w:customStyle="1" w:styleId="105">
    <w:name w:val="表格标题"/>
    <w:basedOn w:val="2"/>
    <w:next w:val="104"/>
    <w:unhideWhenUsed/>
    <w:qFormat/>
    <w:uiPriority w:val="0"/>
    <w:pPr>
      <w:spacing w:before="120" w:after="60"/>
      <w:jc w:val="center"/>
    </w:pPr>
    <w:rPr>
      <w:rFonts w:eastAsia="黑体"/>
    </w:rPr>
  </w:style>
  <w:style w:type="paragraph" w:customStyle="1" w:styleId="106">
    <w:name w:val="列出段落1"/>
    <w:basedOn w:val="1"/>
    <w:unhideWhenUsed/>
    <w:qFormat/>
    <w:uiPriority w:val="0"/>
    <w:pPr>
      <w:ind w:firstLine="420" w:firstLineChars="200"/>
    </w:pPr>
    <w:rPr>
      <w:rFonts w:hint="eastAsia" w:ascii="Calibri" w:hAnsi="Calibri" w:eastAsia="Calibri"/>
    </w:rPr>
  </w:style>
  <w:style w:type="paragraph" w:customStyle="1" w:styleId="107">
    <w:name w:val="【表中文字】"/>
    <w:basedOn w:val="1"/>
    <w:qFormat/>
    <w:uiPriority w:val="0"/>
    <w:pPr>
      <w:jc w:val="center"/>
    </w:pPr>
    <w:rPr>
      <w:rFonts w:eastAsia="新宋体"/>
      <w:szCs w:val="20"/>
    </w:rPr>
  </w:style>
  <w:style w:type="paragraph" w:customStyle="1" w:styleId="108">
    <w:name w:val="7正文"/>
    <w:basedOn w:val="1"/>
    <w:qFormat/>
    <w:uiPriority w:val="0"/>
    <w:pPr>
      <w:spacing w:line="480" w:lineRule="exact"/>
      <w:ind w:firstLine="200" w:firstLineChars="200"/>
      <w:jc w:val="left"/>
    </w:pPr>
    <w:rPr>
      <w:rFonts w:ascii="宋体" w:hAnsi="宋体"/>
      <w:sz w:val="24"/>
    </w:rPr>
  </w:style>
  <w:style w:type="paragraph" w:customStyle="1" w:styleId="109">
    <w:name w:val="6表内"/>
    <w:basedOn w:val="110"/>
    <w:qFormat/>
    <w:uiPriority w:val="0"/>
    <w:pPr>
      <w:spacing w:line="240" w:lineRule="auto"/>
    </w:pPr>
    <w:rPr>
      <w:rFonts w:ascii="仿宋" w:hAnsi="仿宋" w:eastAsia="仿宋"/>
      <w:b w:val="0"/>
    </w:rPr>
  </w:style>
  <w:style w:type="paragraph" w:customStyle="1" w:styleId="110">
    <w:name w:val="5表头"/>
    <w:basedOn w:val="111"/>
    <w:qFormat/>
    <w:uiPriority w:val="0"/>
    <w:pPr>
      <w:ind w:firstLine="0" w:firstLineChars="0"/>
      <w:jc w:val="center"/>
    </w:pPr>
  </w:style>
  <w:style w:type="paragraph" w:customStyle="1" w:styleId="111">
    <w:name w:val="4级标题"/>
    <w:basedOn w:val="1"/>
    <w:qFormat/>
    <w:uiPriority w:val="0"/>
    <w:pPr>
      <w:spacing w:line="480" w:lineRule="exact"/>
      <w:ind w:firstLine="200" w:firstLineChars="200"/>
    </w:pPr>
    <w:rPr>
      <w:rFonts w:ascii="宋体" w:hAnsi="宋体"/>
      <w:b/>
      <w:sz w:val="24"/>
      <w:szCs w:val="22"/>
    </w:rPr>
  </w:style>
  <w:style w:type="paragraph" w:customStyle="1" w:styleId="112">
    <w:name w:val="2级标题"/>
    <w:qFormat/>
    <w:uiPriority w:val="0"/>
    <w:pPr>
      <w:widowControl w:val="0"/>
      <w:spacing w:before="60" w:line="480" w:lineRule="exact"/>
      <w:jc w:val="both"/>
    </w:pPr>
    <w:rPr>
      <w:rFonts w:ascii="宋体" w:hAnsi="宋体" w:eastAsia="宋体" w:cs="Times New Roman"/>
      <w:b/>
      <w:kern w:val="2"/>
      <w:sz w:val="28"/>
      <w:szCs w:val="24"/>
      <w:lang w:val="en-US" w:eastAsia="zh-CN" w:bidi="ar-SA"/>
    </w:rPr>
  </w:style>
  <w:style w:type="paragraph" w:customStyle="1" w:styleId="113">
    <w:name w:val="3级标题"/>
    <w:basedOn w:val="1"/>
    <w:next w:val="1"/>
    <w:qFormat/>
    <w:uiPriority w:val="0"/>
    <w:pPr>
      <w:spacing w:line="480" w:lineRule="exact"/>
    </w:pPr>
    <w:rPr>
      <w:rFonts w:ascii="宋体" w:hAnsi="宋体"/>
      <w:b/>
      <w:sz w:val="24"/>
    </w:rPr>
  </w:style>
  <w:style w:type="paragraph" w:customStyle="1" w:styleId="114">
    <w:name w:val="样式 小四 行距: 1.5 倍行距"/>
    <w:basedOn w:val="1"/>
    <w:unhideWhenUsed/>
    <w:qFormat/>
    <w:uiPriority w:val="0"/>
    <w:pPr>
      <w:ind w:firstLine="480" w:firstLineChars="20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47E974-7CA3-4C6B-8EE9-71F79E8E800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38</Pages>
  <Words>3352</Words>
  <Characters>19108</Characters>
  <Lines>159</Lines>
  <Paragraphs>44</Paragraphs>
  <TotalTime>3</TotalTime>
  <ScaleCrop>false</ScaleCrop>
  <LinksUpToDate>false</LinksUpToDate>
  <CharactersWithSpaces>22416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2021-08-12T15:06:00Z</dcterms:created>
  <dc:creator>Administrator</dc:creator>
  <cp:lastModifiedBy>闪电</cp:lastModifiedBy>
  <cp:lastPrinted>2017-09-27T07:41:00Z</cp:lastPrinted>
  <dcterms:modified xsi:type="dcterms:W3CDTF">2021-11-05T08:25:40Z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0AC6DADC2342401CA513917488022177</vt:lpwstr>
  </property>
</Properties>
</file>