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highlight w:val="none"/>
          <w:lang w:val="en-US" w:eastAsia="zh-CN" w:bidi="ar-SA"/>
        </w:rPr>
        <w:t>《淮南市淮河干流及主要支流入河排污口排查整治专项行动实施方案（意见征集稿）》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highlight w:val="none"/>
          <w:lang w:val="en-US" w:eastAsia="zh-CN" w:bidi="ar-SA"/>
        </w:rPr>
        <w:t>起草说明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一、起草背景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开展入河排污口排查整治，是深入贯彻习近平生态文明思想，认真落实国务院、安徽省关于深入打好污染防治攻坚战的决策部署，是推动流域生态环境保护的关键基础性工作。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起草过程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textAlignment w:val="center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生态环境局结合《国务院办公厅关于加强入河入海排污口监督管理工作的实施意见》（国办函〔2022〕17号）、《安徽省入河排污口监督管理工作方案》（皖环发〔2023〕12号）文件精神和我市入河排污口监督管理现状，并通过实地考察，借鉴长江入河排污口试点排查工作经验做法，于2022年2月，起草形成《实施方案（征求意见稿）》。</w:t>
      </w:r>
    </w:p>
    <w:p>
      <w:pPr>
        <w:numPr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三、主要内容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（一）排查摸清底数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1、组织全面排查。按照“有口皆查、应查尽查”原则，结合历次排查成果，运用现代科技手段，深入推进排污口排查工作，全面摸清排污口分布及数量、污水排放特征及去向、排污单位基本情况等信息。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明确排污口分类。根据排污口责任主体所属行业及排放 特征，将排污口分为工业排污口、城镇污水处理厂排污口、农业 排口、其他排口等四种类型。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厘清责任主体。各县（区）政府根据排污口排查情况，按照“谁污染、谁治理”和政府兜底原则，逐一明确排污口责任主体，建立责任主体清单。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textAlignment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（二）实施分类整治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rightChars="0" w:firstLine="640" w:firstLineChars="200"/>
        <w:jc w:val="both"/>
        <w:textAlignment w:val="center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依法取缔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。对违反法律法规规定，在饮用水水源保 护区、自然保护地及其他需要特殊保护区域内设置的排污口，应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由县（区）政府或生态环境部门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依法予以取缔。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清理合并一批。对城镇、工业集中分布、连片聚集的中小型水产养殖散排口开展科学清理合并。规范整治一批。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各县（区）人民政府按照有利于明晰责任、维护管理、加强监督的要求，开展排污口规范化整治。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textAlignment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（三）严格监督管理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rightChars="0" w:firstLine="640" w:firstLineChars="200"/>
        <w:jc w:val="both"/>
        <w:textAlignment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加强规划引领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县两级生态环境保护规划、水资源保护规划、江河湖泊水功能区划、养殖水域滩涂规划等规划区划。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监督管理。各县（区）人民政府根据排污口类型、责任主体及部门职责等，按照“管发展必须管环保、管行业必须管环保、管生产必须管环保”的原则严格环境执法。各级生态环境部门要加大排污口环境执法力度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加强信息化建设。依托全省排污口信息平台，建立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完善本行政区域内入河排污口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动态管理台账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textAlignment w:val="center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2E7AE4-F9C8-485D-A283-B65C010CB0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B19177E-55F6-430E-AE87-A87BB385C8A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0A3E00F-16EF-4E54-A506-CEC139CA4D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B186545-A143-42F2-8D3A-DF5C6C7A932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E36164"/>
    <w:multiLevelType w:val="singleLevel"/>
    <w:tmpl w:val="F5E3616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MjQ1YWU5YTc3MTExZGY0ZDUxZWRkMTUyNTAzNDYifQ=="/>
  </w:docVars>
  <w:rsids>
    <w:rsidRoot w:val="31EA68EE"/>
    <w:rsid w:val="31EA68EE"/>
    <w:rsid w:val="35D00DF7"/>
    <w:rsid w:val="508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878</Words>
  <Characters>889</Characters>
  <Lines>0</Lines>
  <Paragraphs>0</Paragraphs>
  <TotalTime>2</TotalTime>
  <ScaleCrop>false</ScaleCrop>
  <LinksUpToDate>false</LinksUpToDate>
  <CharactersWithSpaces>892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2023-05-05T03:37:00Z</dcterms:created>
  <dc:creator>无事勿扰</dc:creator>
  <cp:lastModifiedBy>无事勿扰</cp:lastModifiedBy>
  <dcterms:modified xsi:type="dcterms:W3CDTF">2023-05-05T03:54:20Z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3A6C826E20034E2790AEBDF4D2F8EDC7_13</vt:lpwstr>
  </property>
</Properties>
</file>