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6"/>
          <w:szCs w:val="36"/>
        </w:rPr>
      </w:pPr>
    </w:p>
    <w:p>
      <w:pPr>
        <w:pStyle w:val="2"/>
      </w:pPr>
    </w:p>
    <w:p>
      <w:pPr>
        <w:rPr>
          <w:rFonts w:ascii="仿宋_GB2312" w:hAnsi="仿宋_GB2312" w:eastAsia="仿宋_GB2312" w:cs="仿宋_GB2312"/>
          <w:sz w:val="36"/>
          <w:szCs w:val="36"/>
        </w:rPr>
      </w:pPr>
    </w:p>
    <w:p>
      <w:pPr>
        <w:rPr>
          <w:rFonts w:hint="eastAsia" w:ascii="仿宋_GB2312" w:hAnsi="仿宋_GB2312" w:eastAsia="仿宋_GB2312" w:cs="仿宋_GB2312"/>
          <w:sz w:val="36"/>
          <w:szCs w:val="36"/>
        </w:rPr>
      </w:pPr>
    </w:p>
    <w:p>
      <w:pPr>
        <w:adjustRightInd w:val="0"/>
        <w:snapToGrid w:val="0"/>
        <w:jc w:val="center"/>
        <w:outlineLvl w:val="0"/>
        <w:rPr>
          <w:rFonts w:hint="eastAsia" w:ascii="方正小标宋_GBK" w:eastAsia="方正小标宋_GBK"/>
          <w:bCs/>
          <w:sz w:val="72"/>
          <w:szCs w:val="72"/>
        </w:rPr>
      </w:pPr>
      <w:r>
        <w:rPr>
          <w:rFonts w:hint="eastAsia" w:ascii="方正小标宋_GBK" w:eastAsia="方正小标宋_GBK"/>
          <w:bCs/>
          <w:sz w:val="72"/>
          <w:szCs w:val="72"/>
        </w:rPr>
        <w:t>建设项目环境影响报告表</w:t>
      </w:r>
    </w:p>
    <w:p/>
    <w:p>
      <w:pPr>
        <w:pStyle w:val="2"/>
        <w:jc w:val="center"/>
        <w:rPr>
          <w:rFonts w:hint="eastAsia"/>
          <w:sz w:val="48"/>
          <w:szCs w:val="48"/>
        </w:rPr>
      </w:pPr>
      <w:r>
        <w:rPr>
          <w:rFonts w:hint="eastAsia"/>
          <w:sz w:val="48"/>
          <w:szCs w:val="48"/>
        </w:rPr>
        <w:t>（污染影响</w:t>
      </w:r>
      <w:r>
        <w:rPr>
          <w:rFonts w:hint="eastAsia"/>
          <w:sz w:val="48"/>
          <w:szCs w:val="48"/>
          <w:lang w:eastAsia="zh-CN"/>
        </w:rPr>
        <w:t>类</w:t>
      </w:r>
      <w:r>
        <w:rPr>
          <w:rFonts w:hint="eastAsia"/>
          <w:sz w:val="48"/>
          <w:szCs w:val="48"/>
        </w:rPr>
        <w:t>）</w:t>
      </w:r>
    </w:p>
    <w:p/>
    <w:p>
      <w:pPr>
        <w:pStyle w:val="2"/>
      </w:pPr>
    </w:p>
    <w:p/>
    <w:p>
      <w:pPr>
        <w:jc w:val="center"/>
        <w:rPr>
          <w:rFonts w:eastAsia="仿宋"/>
          <w:sz w:val="52"/>
          <w:szCs w:val="52"/>
        </w:rPr>
      </w:pPr>
    </w:p>
    <w:p>
      <w:pPr>
        <w:ind w:firstLine="1040"/>
        <w:rPr>
          <w:rFonts w:eastAsia="仿宋"/>
          <w:sz w:val="44"/>
          <w:szCs w:val="44"/>
        </w:rPr>
      </w:pPr>
    </w:p>
    <w:p>
      <w:pPr>
        <w:pStyle w:val="2"/>
        <w:rPr>
          <w:rFonts w:eastAsia="仿宋"/>
          <w:sz w:val="44"/>
          <w:szCs w:val="44"/>
        </w:rPr>
      </w:pPr>
    </w:p>
    <w:p>
      <w:pPr>
        <w:rPr>
          <w:rFonts w:eastAsia="仿宋"/>
          <w:sz w:val="44"/>
          <w:szCs w:val="44"/>
        </w:rPr>
      </w:pPr>
    </w:p>
    <w:p>
      <w:pPr>
        <w:pStyle w:val="2"/>
        <w:rPr>
          <w:rFonts w:eastAsia="仿宋"/>
          <w:sz w:val="44"/>
          <w:szCs w:val="44"/>
        </w:rPr>
      </w:pPr>
    </w:p>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adjustRightInd w:val="0"/>
        <w:snapToGrid w:val="0"/>
        <w:spacing w:line="360" w:lineRule="auto"/>
        <w:ind w:firstLine="300" w:firstLineChars="100"/>
        <w:jc w:val="left"/>
        <w:rPr>
          <w:rFonts w:hint="default" w:ascii="Times New Roman" w:hAnsi="Times New Roman" w:cs="Times New Roman"/>
          <w:sz w:val="30"/>
          <w:szCs w:val="30"/>
          <w:u w:val="single"/>
          <w:lang w:val="en-US"/>
        </w:rPr>
      </w:pPr>
      <w:r>
        <w:rPr>
          <w:rFonts w:hint="default" w:ascii="Times New Roman" w:hAnsi="Times New Roman" w:cs="Times New Roman"/>
          <w:sz w:val="30"/>
          <w:szCs w:val="30"/>
          <w:u w:val="none"/>
        </w:rPr>
        <w:t>项目名称：</w:t>
      </w:r>
      <w:r>
        <w:rPr>
          <w:rFonts w:hint="eastAsia" w:ascii="Times New Roman" w:hAnsi="Times New Roman" w:cs="Times New Roman"/>
          <w:sz w:val="30"/>
          <w:szCs w:val="30"/>
          <w:u w:val="single"/>
          <w:lang w:val="en-US" w:eastAsia="zh-CN"/>
        </w:rPr>
        <w:t xml:space="preserve">   </w:t>
      </w:r>
      <w:r>
        <w:rPr>
          <w:rFonts w:hint="eastAsia" w:cs="Times New Roman"/>
          <w:sz w:val="30"/>
          <w:szCs w:val="30"/>
          <w:u w:val="single"/>
          <w:lang w:val="en-US" w:eastAsia="zh-CN"/>
        </w:rPr>
        <w:t xml:space="preserve">        </w:t>
      </w:r>
      <w:r>
        <w:rPr>
          <w:rFonts w:hint="eastAsia" w:ascii="Times New Roman" w:hAnsi="Times New Roman" w:cs="Times New Roman"/>
          <w:sz w:val="30"/>
          <w:szCs w:val="30"/>
          <w:u w:val="single"/>
          <w:lang w:eastAsia="zh-CN"/>
        </w:rPr>
        <w:t>液压支架维修</w:t>
      </w:r>
      <w:r>
        <w:rPr>
          <w:rFonts w:hint="eastAsia" w:ascii="Times New Roman" w:hAnsi="Times New Roman" w:cs="Times New Roman"/>
          <w:sz w:val="30"/>
          <w:szCs w:val="30"/>
          <w:u w:val="single"/>
          <w:lang w:val="en-US" w:eastAsia="zh-CN"/>
        </w:rPr>
        <w:t xml:space="preserve">    </w:t>
      </w:r>
      <w:r>
        <w:rPr>
          <w:rFonts w:hint="eastAsia" w:cs="Times New Roman"/>
          <w:sz w:val="30"/>
          <w:szCs w:val="30"/>
          <w:u w:val="single"/>
          <w:lang w:val="en-US" w:eastAsia="zh-CN"/>
        </w:rPr>
        <w:t xml:space="preserve">       </w:t>
      </w:r>
      <w:r>
        <w:rPr>
          <w:rFonts w:hint="eastAsia" w:ascii="Times New Roman" w:hAnsi="Times New Roman" w:cs="Times New Roman"/>
          <w:sz w:val="30"/>
          <w:szCs w:val="30"/>
          <w:u w:val="single"/>
          <w:lang w:val="en-US" w:eastAsia="zh-CN"/>
        </w:rPr>
        <w:t xml:space="preserve">        </w:t>
      </w:r>
    </w:p>
    <w:p>
      <w:pPr>
        <w:adjustRightInd w:val="0"/>
        <w:snapToGrid w:val="0"/>
        <w:spacing w:line="360" w:lineRule="auto"/>
        <w:ind w:firstLine="300" w:firstLineChars="100"/>
        <w:jc w:val="left"/>
        <w:rPr>
          <w:rFonts w:hint="default" w:ascii="Times New Roman" w:hAnsi="Times New Roman" w:cs="Times New Roman"/>
          <w:sz w:val="30"/>
          <w:szCs w:val="30"/>
          <w:u w:val="none"/>
          <w:lang w:val="en-US"/>
        </w:rPr>
      </w:pPr>
      <w:r>
        <w:rPr>
          <w:rFonts w:hint="default" w:ascii="Times New Roman" w:hAnsi="Times New Roman" w:cs="Times New Roman"/>
          <w:sz w:val="30"/>
          <w:szCs w:val="30"/>
          <w:u w:val="none"/>
        </w:rPr>
        <w:t>建设单位（盖章）：</w:t>
      </w:r>
      <w:r>
        <w:rPr>
          <w:rFonts w:hint="eastAsia" w:ascii="Times New Roman" w:hAnsi="Times New Roman" w:cs="Times New Roman"/>
          <w:sz w:val="30"/>
          <w:szCs w:val="30"/>
          <w:u w:val="single"/>
          <w:lang w:eastAsia="zh-CN"/>
        </w:rPr>
        <w:t>淮南市茂本商贸有限公司</w:t>
      </w:r>
      <w:r>
        <w:rPr>
          <w:rFonts w:hint="eastAsia" w:ascii="Times New Roman" w:hAnsi="Times New Roman" w:cs="Times New Roman"/>
          <w:sz w:val="30"/>
          <w:szCs w:val="30"/>
          <w:u w:val="single"/>
          <w:lang w:val="en-US" w:eastAsia="zh-CN"/>
        </w:rPr>
        <w:t xml:space="preserve">            </w:t>
      </w:r>
    </w:p>
    <w:p>
      <w:pPr>
        <w:adjustRightInd w:val="0"/>
        <w:snapToGrid w:val="0"/>
        <w:spacing w:line="360" w:lineRule="auto"/>
        <w:ind w:firstLine="300" w:firstLineChars="100"/>
        <w:jc w:val="left"/>
        <w:rPr>
          <w:rFonts w:hint="default" w:ascii="宋体" w:hAnsi="宋体" w:eastAsia="宋体"/>
          <w:sz w:val="30"/>
          <w:szCs w:val="30"/>
          <w:u w:val="single"/>
          <w:lang w:val="en-US" w:eastAsia="zh-CN"/>
        </w:rPr>
      </w:pPr>
      <w:r>
        <w:rPr>
          <w:rFonts w:hint="default" w:ascii="Times New Roman" w:hAnsi="Times New Roman" w:cs="Times New Roman"/>
          <w:sz w:val="30"/>
          <w:szCs w:val="30"/>
          <w:u w:val="none"/>
        </w:rPr>
        <w:t>编制日期：</w:t>
      </w:r>
      <w:r>
        <w:rPr>
          <w:rFonts w:hint="eastAsia" w:ascii="Times New Roman" w:hAnsi="Times New Roman" w:cs="Times New Roman"/>
          <w:sz w:val="30"/>
          <w:szCs w:val="30"/>
          <w:u w:val="single"/>
          <w:lang w:val="en-US" w:eastAsia="zh-CN"/>
        </w:rPr>
        <w:t xml:space="preserve">              </w:t>
      </w:r>
      <w:r>
        <w:rPr>
          <w:rFonts w:hint="default" w:ascii="Times New Roman" w:hAnsi="Times New Roman" w:cs="Times New Roman"/>
          <w:sz w:val="30"/>
          <w:szCs w:val="30"/>
          <w:u w:val="single"/>
        </w:rPr>
        <w:t>202</w:t>
      </w:r>
      <w:r>
        <w:rPr>
          <w:rFonts w:hint="eastAsia" w:ascii="Times New Roman" w:hAnsi="Times New Roman" w:cs="Times New Roman"/>
          <w:sz w:val="30"/>
          <w:szCs w:val="30"/>
          <w:u w:val="single"/>
          <w:lang w:val="en-US" w:eastAsia="zh-CN"/>
        </w:rPr>
        <w:t>2</w:t>
      </w:r>
      <w:r>
        <w:rPr>
          <w:rFonts w:hint="default" w:ascii="Times New Roman" w:hAnsi="Times New Roman" w:cs="Times New Roman"/>
          <w:sz w:val="30"/>
          <w:szCs w:val="30"/>
          <w:u w:val="single"/>
        </w:rPr>
        <w:t>年</w:t>
      </w:r>
      <w:r>
        <w:rPr>
          <w:rFonts w:hint="eastAsia" w:ascii="Times New Roman" w:hAnsi="Times New Roman" w:cs="Times New Roman"/>
          <w:sz w:val="30"/>
          <w:szCs w:val="30"/>
          <w:u w:val="single"/>
          <w:lang w:val="en-US" w:eastAsia="zh-CN"/>
        </w:rPr>
        <w:t>12</w:t>
      </w:r>
      <w:r>
        <w:rPr>
          <w:rFonts w:hint="default" w:ascii="Times New Roman" w:hAnsi="Times New Roman" w:cs="Times New Roman"/>
          <w:sz w:val="30"/>
          <w:szCs w:val="30"/>
          <w:u w:val="single"/>
        </w:rPr>
        <w:t>月</w:t>
      </w:r>
      <w:r>
        <w:rPr>
          <w:rFonts w:hint="eastAsia" w:ascii="Times New Roman" w:hAnsi="Times New Roman" w:cs="Times New Roman"/>
          <w:sz w:val="30"/>
          <w:szCs w:val="30"/>
          <w:u w:val="single"/>
          <w:lang w:val="en-US" w:eastAsia="zh-CN"/>
        </w:rPr>
        <w:t xml:space="preserve">                  </w:t>
      </w:r>
    </w:p>
    <w:p>
      <w:pPr>
        <w:adjustRightInd w:val="0"/>
        <w:snapToGrid w:val="0"/>
        <w:spacing w:line="288" w:lineRule="auto"/>
        <w:ind w:firstLine="1040"/>
        <w:rPr>
          <w:rFonts w:ascii="仿宋_GB2312" w:eastAsia="仿宋_GB2312"/>
          <w:sz w:val="36"/>
          <w:szCs w:val="36"/>
          <w:u w:val="single"/>
        </w:rPr>
      </w:pPr>
      <w:bookmarkStart w:id="0" w:name="_Hlk57884087"/>
    </w:p>
    <w:p>
      <w:pPr>
        <w:pStyle w:val="16"/>
        <w:rPr>
          <w:rFonts w:ascii="仿宋_GB2312" w:eastAsia="仿宋_GB2312"/>
          <w:sz w:val="36"/>
          <w:szCs w:val="36"/>
          <w:u w:val="single"/>
        </w:rPr>
      </w:pPr>
    </w:p>
    <w:p>
      <w:pPr>
        <w:pStyle w:val="21"/>
        <w:rPr>
          <w:rFonts w:ascii="仿宋_GB2312" w:eastAsia="仿宋_GB2312"/>
          <w:sz w:val="36"/>
          <w:szCs w:val="36"/>
          <w:u w:val="single"/>
        </w:rPr>
      </w:pPr>
    </w:p>
    <w:p/>
    <w:bookmarkEnd w:id="0"/>
    <w:p>
      <w:pPr>
        <w:adjustRightInd w:val="0"/>
        <w:snapToGrid w:val="0"/>
        <w:spacing w:line="288" w:lineRule="auto"/>
        <w:jc w:val="center"/>
        <w:sectPr>
          <w:footerReference r:id="rId3" w:type="default"/>
          <w:pgSz w:w="11906" w:h="16838"/>
          <w:pgMar w:top="1440" w:right="1803" w:bottom="1440" w:left="1803" w:header="851" w:footer="1077" w:gutter="0"/>
          <w:pgBorders>
            <w:top w:val="none" w:sz="0" w:space="0"/>
            <w:left w:val="none" w:sz="0" w:space="0"/>
            <w:bottom w:val="none" w:sz="0" w:space="0"/>
            <w:right w:val="none" w:sz="0" w:space="0"/>
          </w:pgBorders>
          <w:pgNumType w:start="3"/>
          <w:cols w:space="720" w:num="1"/>
          <w:docGrid w:linePitch="312" w:charSpace="0"/>
        </w:sectPr>
      </w:pPr>
      <w:r>
        <w:rPr>
          <w:rFonts w:hint="eastAsia" w:ascii="楷体_GB2312" w:eastAsia="楷体_GB2312"/>
          <w:sz w:val="36"/>
          <w:szCs w:val="36"/>
        </w:rPr>
        <w:t>中华人民共和国生态环境部</w:t>
      </w:r>
    </w:p>
    <w:p>
      <w:pPr>
        <w:pStyle w:val="87"/>
        <w:ind w:firstLine="0" w:firstLineChars="0"/>
        <w:sectPr>
          <w:pgSz w:w="11906" w:h="16838"/>
          <w:pgMar w:top="1440" w:right="1803" w:bottom="1440" w:left="1803"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5"/>
        <w:bidi w:val="0"/>
        <w:ind w:left="0" w:leftChars="0" w:firstLine="0" w:firstLineChars="0"/>
        <w:jc w:val="center"/>
        <w:rPr>
          <w:rFonts w:hint="eastAsia"/>
        </w:rPr>
      </w:pPr>
      <w:r>
        <w:rPr>
          <w:rFonts w:hint="eastAsia"/>
        </w:rPr>
        <w:t>一、建设项目基本情况</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83"/>
        <w:gridCol w:w="1804"/>
        <w:gridCol w:w="1949"/>
        <w:gridCol w:w="35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83" w:type="dxa"/>
            <w:noWrap w:val="0"/>
            <w:tcMar>
              <w:top w:w="16" w:type="dxa"/>
              <w:left w:w="16" w:type="dxa"/>
              <w:right w:w="16" w:type="dxa"/>
            </w:tcMar>
            <w:vAlign w:val="center"/>
          </w:tcPr>
          <w:p>
            <w:pPr>
              <w:adjustRightInd w:val="0"/>
              <w:snapToGrid w:val="0"/>
              <w:jc w:val="center"/>
              <w:rPr>
                <w:sz w:val="24"/>
              </w:rPr>
            </w:pPr>
            <w:r>
              <w:rPr>
                <w:rFonts w:hAnsi="宋体"/>
                <w:sz w:val="24"/>
              </w:rPr>
              <w:t>建设项目名称</w:t>
            </w:r>
          </w:p>
        </w:tc>
        <w:tc>
          <w:tcPr>
            <w:tcW w:w="7287" w:type="dxa"/>
            <w:gridSpan w:val="3"/>
            <w:noWrap w:val="0"/>
            <w:vAlign w:val="center"/>
          </w:tcPr>
          <w:p>
            <w:pPr>
              <w:adjustRightInd w:val="0"/>
              <w:snapToGrid w:val="0"/>
              <w:jc w:val="center"/>
              <w:rPr>
                <w:rFonts w:hint="eastAsia" w:eastAsia="宋体"/>
                <w:sz w:val="24"/>
                <w:lang w:eastAsia="zh-CN"/>
              </w:rPr>
            </w:pPr>
            <w:r>
              <w:rPr>
                <w:rFonts w:hint="eastAsia"/>
                <w:sz w:val="24"/>
                <w:lang w:eastAsia="zh-CN"/>
              </w:rPr>
              <w:t>液压支架维修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83" w:type="dxa"/>
            <w:noWrap w:val="0"/>
            <w:tcMar>
              <w:top w:w="16" w:type="dxa"/>
              <w:left w:w="16" w:type="dxa"/>
              <w:right w:w="16" w:type="dxa"/>
            </w:tcMar>
            <w:vAlign w:val="center"/>
          </w:tcPr>
          <w:p>
            <w:pPr>
              <w:adjustRightInd w:val="0"/>
              <w:snapToGrid w:val="0"/>
              <w:jc w:val="center"/>
              <w:rPr>
                <w:rFonts w:ascii="宋体" w:hAnsi="宋体" w:cs="宋体"/>
                <w:sz w:val="24"/>
              </w:rPr>
            </w:pPr>
            <w:r>
              <w:rPr>
                <w:rFonts w:hint="eastAsia" w:ascii="宋体" w:hAnsi="宋体" w:cs="宋体"/>
                <w:sz w:val="24"/>
              </w:rPr>
              <w:t>项目代码</w:t>
            </w:r>
          </w:p>
        </w:tc>
        <w:tc>
          <w:tcPr>
            <w:tcW w:w="7287" w:type="dxa"/>
            <w:gridSpan w:val="3"/>
            <w:noWrap w:val="0"/>
            <w:vAlign w:val="center"/>
          </w:tcPr>
          <w:p>
            <w:pPr>
              <w:adjustRightInd w:val="0"/>
              <w:snapToGrid w:val="0"/>
              <w:jc w:val="center"/>
              <w:rPr>
                <w:rFonts w:hint="eastAsia" w:eastAsia="宋体"/>
                <w:sz w:val="24"/>
                <w:lang w:eastAsia="zh-CN"/>
              </w:rPr>
            </w:pPr>
            <w:r>
              <w:rPr>
                <w:rFonts w:hint="eastAsia"/>
                <w:sz w:val="24"/>
                <w:lang w:eastAsia="zh-CN"/>
              </w:rPr>
              <w:t>2212-340461-04-03-873137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83" w:type="dxa"/>
            <w:noWrap w:val="0"/>
            <w:tcMar>
              <w:top w:w="16" w:type="dxa"/>
              <w:left w:w="16" w:type="dxa"/>
              <w:right w:w="16" w:type="dxa"/>
            </w:tcMar>
            <w:vAlign w:val="center"/>
          </w:tcPr>
          <w:p>
            <w:pPr>
              <w:adjustRightInd w:val="0"/>
              <w:snapToGrid w:val="0"/>
              <w:jc w:val="center"/>
              <w:rPr>
                <w:rFonts w:hint="eastAsia" w:ascii="宋体" w:hAnsi="宋体" w:cs="宋体"/>
                <w:sz w:val="24"/>
              </w:rPr>
            </w:pPr>
            <w:r>
              <w:rPr>
                <w:rFonts w:hint="eastAsia" w:ascii="宋体" w:hAnsi="宋体" w:cs="宋体"/>
                <w:sz w:val="24"/>
              </w:rPr>
              <w:t>建设单位联系人</w:t>
            </w:r>
          </w:p>
        </w:tc>
        <w:tc>
          <w:tcPr>
            <w:tcW w:w="1804" w:type="dxa"/>
            <w:noWrap w:val="0"/>
            <w:vAlign w:val="center"/>
          </w:tcPr>
          <w:p>
            <w:pPr>
              <w:adjustRightInd w:val="0"/>
              <w:snapToGrid w:val="0"/>
              <w:jc w:val="center"/>
              <w:rPr>
                <w:rFonts w:hint="eastAsia" w:ascii="宋体" w:hAnsi="宋体" w:eastAsia="宋体" w:cs="宋体"/>
                <w:sz w:val="24"/>
                <w:lang w:eastAsia="zh-CN"/>
              </w:rPr>
            </w:pPr>
            <w:r>
              <w:rPr>
                <w:rFonts w:hint="eastAsia" w:ascii="宋体" w:hAnsi="宋体" w:cs="宋体"/>
                <w:sz w:val="24"/>
                <w:lang w:eastAsia="zh-CN"/>
              </w:rPr>
              <w:t>王玲</w:t>
            </w:r>
          </w:p>
        </w:tc>
        <w:tc>
          <w:tcPr>
            <w:tcW w:w="1949" w:type="dxa"/>
            <w:noWrap w:val="0"/>
            <w:vAlign w:val="center"/>
          </w:tcPr>
          <w:p>
            <w:pPr>
              <w:adjustRightInd w:val="0"/>
              <w:snapToGrid w:val="0"/>
              <w:jc w:val="center"/>
              <w:rPr>
                <w:rFonts w:ascii="宋体" w:hAnsi="宋体" w:cs="宋体"/>
                <w:sz w:val="24"/>
              </w:rPr>
            </w:pPr>
            <w:r>
              <w:rPr>
                <w:rFonts w:ascii="宋体" w:hAnsi="宋体" w:cs="宋体"/>
                <w:sz w:val="24"/>
              </w:rPr>
              <w:t>联系方式</w:t>
            </w:r>
          </w:p>
        </w:tc>
        <w:tc>
          <w:tcPr>
            <w:tcW w:w="3534" w:type="dxa"/>
            <w:noWrap w:val="0"/>
            <w:vAlign w:val="center"/>
          </w:tcPr>
          <w:p>
            <w:pPr>
              <w:adjustRightInd w:val="0"/>
              <w:snapToGrid w:val="0"/>
              <w:jc w:val="center"/>
              <w:rPr>
                <w:rFonts w:hint="default"/>
                <w:lang w:val="en-US" w:eastAsia="zh-CN"/>
              </w:rPr>
            </w:pPr>
            <w:r>
              <w:rPr>
                <w:rFonts w:hint="eastAsia"/>
                <w:sz w:val="24"/>
                <w:szCs w:val="24"/>
                <w:lang w:val="en-US" w:eastAsia="zh-CN"/>
              </w:rPr>
              <w:t>13359031168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1583" w:type="dxa"/>
            <w:noWrap w:val="0"/>
            <w:tcMar>
              <w:top w:w="16" w:type="dxa"/>
              <w:left w:w="16" w:type="dxa"/>
              <w:right w:w="16" w:type="dxa"/>
            </w:tcMar>
            <w:vAlign w:val="center"/>
          </w:tcPr>
          <w:p>
            <w:pPr>
              <w:adjustRightInd w:val="0"/>
              <w:snapToGrid w:val="0"/>
              <w:jc w:val="center"/>
              <w:rPr>
                <w:rFonts w:ascii="宋体" w:hAnsi="宋体" w:eastAsia="宋体" w:cs="宋体"/>
                <w:sz w:val="24"/>
              </w:rPr>
            </w:pPr>
            <w:r>
              <w:rPr>
                <w:rFonts w:hint="eastAsia" w:ascii="宋体" w:hAnsi="宋体" w:eastAsia="宋体" w:cs="宋体"/>
                <w:sz w:val="24"/>
              </w:rPr>
              <w:t>建设地点</w:t>
            </w:r>
          </w:p>
        </w:tc>
        <w:tc>
          <w:tcPr>
            <w:tcW w:w="7287" w:type="dxa"/>
            <w:gridSpan w:val="3"/>
            <w:noWrap w:val="0"/>
            <w:vAlign w:val="center"/>
          </w:tcPr>
          <w:p>
            <w:pPr>
              <w:adjustRightInd w:val="0"/>
              <w:snapToGrid w:val="0"/>
              <w:jc w:val="center"/>
              <w:rPr>
                <w:rFonts w:ascii="宋体" w:hAnsi="宋体" w:eastAsia="宋体" w:cs="宋体"/>
                <w:sz w:val="24"/>
              </w:rPr>
            </w:pPr>
            <w:r>
              <w:rPr>
                <w:rFonts w:hint="eastAsia" w:ascii="宋体" w:hAnsi="宋体" w:cs="宋体"/>
                <w:sz w:val="24"/>
                <w:lang w:val="en-US" w:eastAsia="zh-CN"/>
              </w:rPr>
              <w:t>淮南经济技术开发区</w:t>
            </w:r>
            <w:r>
              <w:rPr>
                <w:rFonts w:hint="eastAsia" w:ascii="宋体" w:hAnsi="宋体" w:eastAsia="宋体" w:cs="宋体"/>
                <w:sz w:val="24"/>
                <w:lang w:val="en-US" w:eastAsia="zh-CN"/>
              </w:rPr>
              <w:t>农科路</w:t>
            </w:r>
            <w:r>
              <w:rPr>
                <w:rFonts w:hint="eastAsia" w:ascii="宋体" w:hAnsi="宋体" w:cs="宋体"/>
                <w:sz w:val="24"/>
                <w:lang w:val="en-US" w:eastAsia="zh-CN"/>
              </w:rPr>
              <w:t>，淮南群力冶金煤矿机械制造有限公司院内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83" w:type="dxa"/>
            <w:noWrap w:val="0"/>
            <w:tcMar>
              <w:top w:w="16" w:type="dxa"/>
              <w:left w:w="16" w:type="dxa"/>
              <w:right w:w="16" w:type="dxa"/>
            </w:tcMar>
            <w:vAlign w:val="center"/>
          </w:tcPr>
          <w:p>
            <w:pPr>
              <w:adjustRightInd w:val="0"/>
              <w:snapToGrid w:val="0"/>
              <w:jc w:val="center"/>
              <w:rPr>
                <w:rFonts w:ascii="宋体" w:hAnsi="宋体" w:cs="宋体"/>
                <w:sz w:val="24"/>
              </w:rPr>
            </w:pPr>
            <w:r>
              <w:rPr>
                <w:rFonts w:hint="eastAsia" w:ascii="宋体" w:hAnsi="宋体" w:cs="宋体"/>
                <w:sz w:val="24"/>
              </w:rPr>
              <w:t>地理坐标</w:t>
            </w:r>
          </w:p>
        </w:tc>
        <w:tc>
          <w:tcPr>
            <w:tcW w:w="7287" w:type="dxa"/>
            <w:gridSpan w:val="3"/>
            <w:noWrap w:val="0"/>
            <w:vAlign w:val="center"/>
          </w:tcPr>
          <w:p>
            <w:pPr>
              <w:jc w:val="center"/>
              <w:rPr>
                <w:sz w:val="24"/>
              </w:rPr>
            </w:pPr>
            <w:r>
              <w:rPr>
                <w:rFonts w:hint="eastAsia" w:ascii="Times New Roman" w:hAnsi="Times New Roman" w:eastAsia="宋体" w:cs="Times New Roman"/>
                <w:sz w:val="24"/>
                <w:lang w:val="en-US" w:eastAsia="zh-CN"/>
              </w:rPr>
              <w:t>（ 117度2分</w:t>
            </w:r>
            <w:r>
              <w:rPr>
                <w:rFonts w:hint="eastAsia" w:cs="Times New Roman"/>
                <w:sz w:val="24"/>
                <w:lang w:val="en-US" w:eastAsia="zh-CN"/>
              </w:rPr>
              <w:t>53.584</w:t>
            </w:r>
            <w:r>
              <w:rPr>
                <w:rFonts w:hint="eastAsia" w:ascii="Times New Roman" w:hAnsi="Times New Roman" w:eastAsia="宋体" w:cs="Times New Roman"/>
                <w:sz w:val="24"/>
                <w:lang w:val="en-US" w:eastAsia="zh-CN"/>
              </w:rPr>
              <w:t>秒，32 度39分10.</w:t>
            </w:r>
            <w:r>
              <w:rPr>
                <w:rFonts w:hint="eastAsia" w:cs="Times New Roman"/>
                <w:sz w:val="24"/>
                <w:lang w:val="en-US" w:eastAsia="zh-CN"/>
              </w:rPr>
              <w:t>705</w:t>
            </w:r>
            <w:r>
              <w:rPr>
                <w:rFonts w:hint="eastAsia" w:ascii="Times New Roman" w:hAnsi="Times New Roman" w:eastAsia="宋体" w:cs="Times New Roman"/>
                <w:sz w:val="24"/>
                <w:lang w:val="en-US" w:eastAsia="zh-CN"/>
              </w:rPr>
              <w:t xml:space="preserve"> 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77" w:hRule="atLeast"/>
          <w:jc w:val="center"/>
        </w:trPr>
        <w:tc>
          <w:tcPr>
            <w:tcW w:w="1583" w:type="dxa"/>
            <w:noWrap w:val="0"/>
            <w:tcMar>
              <w:top w:w="16" w:type="dxa"/>
              <w:left w:w="16" w:type="dxa"/>
              <w:right w:w="16" w:type="dxa"/>
            </w:tcMar>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国民经济</w:t>
            </w:r>
          </w:p>
          <w:p>
            <w:pPr>
              <w:adjustRightInd w:val="0"/>
              <w:snapToGrid w:val="0"/>
              <w:jc w:val="center"/>
              <w:rPr>
                <w:rFonts w:ascii="宋体" w:hAnsi="宋体" w:cs="宋体"/>
                <w:color w:val="auto"/>
                <w:sz w:val="24"/>
              </w:rPr>
            </w:pPr>
            <w:r>
              <w:rPr>
                <w:rFonts w:hint="eastAsia" w:ascii="宋体" w:hAnsi="宋体" w:cs="宋体"/>
                <w:color w:val="auto"/>
                <w:sz w:val="24"/>
              </w:rPr>
              <w:t>行业类别</w:t>
            </w:r>
          </w:p>
        </w:tc>
        <w:tc>
          <w:tcPr>
            <w:tcW w:w="1804" w:type="dxa"/>
            <w:noWrap w:val="0"/>
            <w:vAlign w:val="center"/>
          </w:tcPr>
          <w:p>
            <w:pPr>
              <w:adjustRightInd w:val="0"/>
              <w:snapToGrid w:val="0"/>
              <w:jc w:val="center"/>
              <w:rPr>
                <w:rFonts w:hint="default" w:eastAsia="宋体"/>
                <w:color w:val="auto"/>
                <w:sz w:val="24"/>
                <w:highlight w:val="none"/>
                <w:lang w:val="en-US" w:eastAsia="zh-CN"/>
              </w:rPr>
            </w:pPr>
            <w:r>
              <w:rPr>
                <w:rFonts w:hint="eastAsia"/>
                <w:color w:val="auto"/>
                <w:sz w:val="24"/>
                <w:highlight w:val="none"/>
                <w:lang w:eastAsia="zh-CN"/>
              </w:rPr>
              <w:t>C4390 其他机械和设备修理业</w:t>
            </w:r>
            <w:r>
              <w:rPr>
                <w:rFonts w:hint="eastAsia"/>
                <w:color w:val="auto"/>
                <w:sz w:val="24"/>
                <w:highlight w:val="none"/>
                <w:lang w:val="en-US" w:eastAsia="zh-CN"/>
              </w:rPr>
              <w:t>C3360 金属表面处理及热处理加工</w:t>
            </w:r>
          </w:p>
        </w:tc>
        <w:tc>
          <w:tcPr>
            <w:tcW w:w="1949" w:type="dxa"/>
            <w:noWrap w:val="0"/>
            <w:vAlign w:val="center"/>
          </w:tcPr>
          <w:p>
            <w:pPr>
              <w:adjustRightInd w:val="0"/>
              <w:snapToGrid w:val="0"/>
              <w:jc w:val="center"/>
              <w:rPr>
                <w:rFonts w:hint="eastAsia" w:ascii="Times New Roman" w:hAnsi="Times New Roman" w:eastAsia="宋体" w:cs="Times New Roman"/>
                <w:color w:val="auto"/>
                <w:sz w:val="24"/>
                <w:highlight w:val="none"/>
                <w:lang w:eastAsia="zh-CN"/>
              </w:rPr>
            </w:pPr>
            <w:bookmarkStart w:id="1" w:name="_Hlk49843745"/>
            <w:r>
              <w:rPr>
                <w:rFonts w:hint="eastAsia" w:ascii="Times New Roman" w:hAnsi="Times New Roman" w:eastAsia="宋体" w:cs="Times New Roman"/>
                <w:color w:val="auto"/>
                <w:sz w:val="24"/>
                <w:highlight w:val="none"/>
                <w:lang w:eastAsia="zh-CN"/>
              </w:rPr>
              <w:t>建设项目</w:t>
            </w:r>
          </w:p>
          <w:p>
            <w:pPr>
              <w:adjustRightInd w:val="0"/>
              <w:snapToGrid w:val="0"/>
              <w:jc w:val="center"/>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行业类别</w:t>
            </w:r>
            <w:bookmarkEnd w:id="1"/>
          </w:p>
        </w:tc>
        <w:tc>
          <w:tcPr>
            <w:tcW w:w="3534" w:type="dxa"/>
            <w:noWrap w:val="0"/>
            <w:vAlign w:val="center"/>
          </w:tcPr>
          <w:p>
            <w:pPr>
              <w:pStyle w:val="15"/>
              <w:keepNext w:val="0"/>
              <w:keepLines w:val="0"/>
              <w:pageBreakBefore w:val="0"/>
              <w:widowControl/>
              <w:kinsoku/>
              <w:wordWrap/>
              <w:overflowPunct/>
              <w:topLinePunct w:val="0"/>
              <w:autoSpaceDE/>
              <w:autoSpaceDN/>
              <w:bidi w:val="0"/>
              <w:adjustRightInd/>
              <w:snapToGrid w:val="0"/>
              <w:spacing w:line="240" w:lineRule="auto"/>
              <w:ind w:left="0"/>
              <w:textAlignment w:val="auto"/>
              <w:rPr>
                <w:rFonts w:hint="eastAsia"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四十</w:t>
            </w:r>
            <w:r>
              <w:rPr>
                <w:rFonts w:hint="eastAsia" w:ascii="Times New Roman" w:hAnsi="Times New Roman" w:eastAsia="宋体" w:cs="Times New Roman"/>
                <w:color w:val="auto"/>
                <w:kern w:val="2"/>
                <w:sz w:val="24"/>
                <w:szCs w:val="24"/>
                <w:highlight w:val="none"/>
                <w:lang w:val="en-US" w:eastAsia="zh-CN" w:bidi="ar-SA"/>
              </w:rPr>
              <w:t>、金属制品</w:t>
            </w:r>
            <w:r>
              <w:rPr>
                <w:rFonts w:hint="eastAsia" w:cs="Times New Roman"/>
                <w:color w:val="auto"/>
                <w:kern w:val="2"/>
                <w:sz w:val="24"/>
                <w:szCs w:val="24"/>
                <w:highlight w:val="none"/>
                <w:lang w:val="en-US" w:eastAsia="zh-CN" w:bidi="ar-SA"/>
              </w:rPr>
              <w:t>、机械和设备修理业</w:t>
            </w:r>
            <w:r>
              <w:rPr>
                <w:rFonts w:hint="eastAsia" w:ascii="Times New Roman" w:hAnsi="Times New Roman" w:eastAsia="宋体" w:cs="Times New Roman"/>
                <w:color w:val="auto"/>
                <w:kern w:val="2"/>
                <w:sz w:val="24"/>
                <w:szCs w:val="24"/>
                <w:highlight w:val="none"/>
                <w:lang w:val="en-US" w:eastAsia="zh-CN" w:bidi="ar-SA"/>
              </w:rPr>
              <w:t xml:space="preserve"> </w:t>
            </w:r>
            <w:r>
              <w:rPr>
                <w:rFonts w:hint="eastAsia" w:cs="Times New Roman"/>
                <w:color w:val="auto"/>
                <w:kern w:val="2"/>
                <w:sz w:val="24"/>
                <w:szCs w:val="24"/>
                <w:highlight w:val="none"/>
                <w:lang w:val="en-US" w:eastAsia="zh-CN" w:bidi="ar-SA"/>
              </w:rPr>
              <w:t>43</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86</w:t>
            </w:r>
            <w:r>
              <w:rPr>
                <w:rFonts w:hint="eastAsia"/>
                <w:color w:val="auto"/>
                <w:sz w:val="24"/>
                <w:highlight w:val="none"/>
                <w:lang w:eastAsia="zh-CN"/>
              </w:rPr>
              <w:t>其他机械和设备修理业</w:t>
            </w:r>
            <w:r>
              <w:rPr>
                <w:rFonts w:hint="eastAsia" w:cs="Times New Roman"/>
                <w:color w:val="auto"/>
                <w:kern w:val="2"/>
                <w:sz w:val="24"/>
                <w:szCs w:val="24"/>
                <w:highlight w:val="none"/>
                <w:lang w:val="en-US" w:eastAsia="zh-CN" w:bidi="ar-SA"/>
              </w:rPr>
              <w:t>439</w:t>
            </w:r>
          </w:p>
          <w:p>
            <w:pPr>
              <w:pStyle w:val="15"/>
              <w:keepNext w:val="0"/>
              <w:keepLines w:val="0"/>
              <w:pageBreakBefore w:val="0"/>
              <w:widowControl/>
              <w:kinsoku/>
              <w:wordWrap/>
              <w:overflowPunct/>
              <w:topLinePunct w:val="0"/>
              <w:autoSpaceDE/>
              <w:autoSpaceDN/>
              <w:bidi w:val="0"/>
              <w:adjustRightInd/>
              <w:snapToGrid w:val="0"/>
              <w:spacing w:line="240" w:lineRule="auto"/>
              <w:ind w:left="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kern w:val="2"/>
                <w:sz w:val="24"/>
                <w:szCs w:val="24"/>
                <w:highlight w:val="none"/>
                <w:lang w:val="en-US" w:eastAsia="zh-CN" w:bidi="ar-SA"/>
              </w:rPr>
              <w:t>三十、金属制品业 33-67</w:t>
            </w:r>
            <w:r>
              <w:rPr>
                <w:rFonts w:hint="eastAsia"/>
                <w:color w:val="auto"/>
                <w:sz w:val="24"/>
                <w:highlight w:val="none"/>
                <w:lang w:val="en-US" w:eastAsia="zh-CN"/>
              </w:rPr>
              <w:t>金属表面处理及热处理加工</w:t>
            </w:r>
            <w:bookmarkStart w:id="33" w:name="_GoBack"/>
            <w:bookmarkEnd w:id="33"/>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583" w:type="dxa"/>
            <w:noWrap w:val="0"/>
            <w:tcMar>
              <w:top w:w="16" w:type="dxa"/>
              <w:left w:w="16" w:type="dxa"/>
              <w:right w:w="16" w:type="dxa"/>
            </w:tcMar>
            <w:vAlign w:val="center"/>
          </w:tcPr>
          <w:p>
            <w:pPr>
              <w:adjustRightInd w:val="0"/>
              <w:snapToGrid w:val="0"/>
              <w:jc w:val="center"/>
              <w:rPr>
                <w:rFonts w:ascii="宋体" w:hAnsi="宋体" w:cs="宋体"/>
                <w:color w:val="auto"/>
                <w:sz w:val="24"/>
              </w:rPr>
            </w:pPr>
            <w:r>
              <w:rPr>
                <w:rFonts w:hint="eastAsia" w:ascii="宋体" w:hAnsi="宋体" w:cs="宋体"/>
                <w:color w:val="auto"/>
                <w:sz w:val="24"/>
              </w:rPr>
              <w:t>建设性质</w:t>
            </w:r>
          </w:p>
        </w:tc>
        <w:tc>
          <w:tcPr>
            <w:tcW w:w="1804" w:type="dxa"/>
            <w:noWrap w:val="0"/>
            <w:vAlign w:val="center"/>
          </w:tcPr>
          <w:p>
            <w:pPr>
              <w:jc w:val="left"/>
              <w:rPr>
                <w:rFonts w:ascii="宋体" w:hAnsi="宋体" w:cs="宋体"/>
                <w:color w:val="auto"/>
                <w:sz w:val="24"/>
              </w:rPr>
            </w:pPr>
            <w:r>
              <w:rPr>
                <w:rFonts w:hint="eastAsia" w:ascii="宋体" w:hAnsi="宋体" w:cs="宋体"/>
                <w:color w:val="auto"/>
                <w:sz w:val="24"/>
              </w:rPr>
              <w:t>☑新建（迁建）</w:t>
            </w:r>
          </w:p>
          <w:p>
            <w:pPr>
              <w:jc w:val="left"/>
              <w:rPr>
                <w:rFonts w:hint="eastAsia" w:ascii="宋体" w:hAnsi="宋体" w:cs="宋体"/>
                <w:color w:val="auto"/>
                <w:sz w:val="24"/>
              </w:rPr>
            </w:pPr>
            <w:r>
              <w:rPr>
                <w:rFonts w:hint="eastAsia" w:ascii="宋体" w:hAnsi="宋体" w:cs="宋体"/>
                <w:color w:val="auto"/>
                <w:sz w:val="24"/>
              </w:rPr>
              <w:t>□改建</w:t>
            </w:r>
          </w:p>
          <w:p>
            <w:pPr>
              <w:jc w:val="left"/>
              <w:rPr>
                <w:rFonts w:hint="eastAsia" w:ascii="宋体" w:hAnsi="宋体" w:cs="宋体"/>
                <w:color w:val="auto"/>
                <w:sz w:val="24"/>
              </w:rPr>
            </w:pPr>
            <w:r>
              <w:rPr>
                <w:rFonts w:hint="eastAsia" w:ascii="宋体" w:hAnsi="宋体" w:cs="宋体"/>
                <w:color w:val="auto"/>
                <w:sz w:val="24"/>
              </w:rPr>
              <w:t>□扩建</w:t>
            </w:r>
          </w:p>
          <w:p>
            <w:pPr>
              <w:jc w:val="left"/>
              <w:rPr>
                <w:rFonts w:ascii="宋体" w:hAnsi="宋体" w:cs="宋体"/>
                <w:color w:val="auto"/>
                <w:sz w:val="24"/>
              </w:rPr>
            </w:pPr>
            <w:r>
              <w:rPr>
                <w:rFonts w:hint="eastAsia" w:ascii="宋体" w:hAnsi="宋体" w:cs="宋体"/>
                <w:color w:val="auto"/>
                <w:sz w:val="24"/>
              </w:rPr>
              <w:t>□技术改造</w:t>
            </w:r>
          </w:p>
        </w:tc>
        <w:tc>
          <w:tcPr>
            <w:tcW w:w="1949"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建设项目</w:t>
            </w:r>
          </w:p>
          <w:p>
            <w:pPr>
              <w:adjustRightInd w:val="0"/>
              <w:snapToGrid w:val="0"/>
              <w:jc w:val="center"/>
              <w:rPr>
                <w:rFonts w:ascii="宋体" w:hAnsi="宋体" w:cs="宋体"/>
                <w:color w:val="auto"/>
                <w:sz w:val="24"/>
              </w:rPr>
            </w:pPr>
            <w:r>
              <w:rPr>
                <w:rFonts w:hint="eastAsia" w:ascii="宋体" w:hAnsi="宋体" w:cs="宋体"/>
                <w:color w:val="auto"/>
                <w:sz w:val="24"/>
              </w:rPr>
              <w:t>申报情形</w:t>
            </w:r>
          </w:p>
        </w:tc>
        <w:tc>
          <w:tcPr>
            <w:tcW w:w="3534" w:type="dxa"/>
            <w:noWrap w:val="0"/>
            <w:vAlign w:val="center"/>
          </w:tcPr>
          <w:p>
            <w:pPr>
              <w:jc w:val="left"/>
              <w:rPr>
                <w:rFonts w:ascii="宋体" w:hAnsi="宋体" w:cs="宋体"/>
                <w:color w:val="auto"/>
                <w:sz w:val="24"/>
              </w:rPr>
            </w:pPr>
            <w:r>
              <w:rPr>
                <w:rFonts w:hint="eastAsia" w:ascii="宋体" w:hAnsi="宋体" w:cs="宋体"/>
                <w:color w:val="auto"/>
                <w:sz w:val="24"/>
              </w:rPr>
              <w:t>☑首次申报项目</w:t>
            </w:r>
            <w:r>
              <w:rPr>
                <w:rFonts w:ascii="宋体" w:hAnsi="宋体" w:cs="宋体"/>
                <w:color w:val="auto"/>
                <w:sz w:val="24"/>
              </w:rPr>
              <w:t xml:space="preserve">             </w:t>
            </w:r>
          </w:p>
          <w:p>
            <w:pPr>
              <w:jc w:val="left"/>
              <w:rPr>
                <w:rFonts w:ascii="宋体" w:hAnsi="宋体" w:cs="宋体"/>
                <w:color w:val="auto"/>
                <w:sz w:val="24"/>
              </w:rPr>
            </w:pPr>
            <w:r>
              <w:rPr>
                <w:rFonts w:hint="eastAsia" w:ascii="宋体" w:hAnsi="宋体" w:cs="宋体"/>
                <w:color w:val="auto"/>
                <w:sz w:val="24"/>
              </w:rPr>
              <w:t>□不予批准后再次申报项目</w:t>
            </w:r>
          </w:p>
          <w:p>
            <w:pPr>
              <w:jc w:val="left"/>
              <w:rPr>
                <w:rFonts w:ascii="宋体" w:hAnsi="宋体" w:cs="宋体"/>
                <w:color w:val="auto"/>
                <w:sz w:val="24"/>
              </w:rPr>
            </w:pPr>
            <w:r>
              <w:rPr>
                <w:rFonts w:hint="eastAsia" w:ascii="宋体" w:hAnsi="宋体" w:cs="宋体"/>
                <w:color w:val="auto"/>
                <w:sz w:val="24"/>
              </w:rPr>
              <w:t>□超五年重新审核项目</w:t>
            </w:r>
            <w:r>
              <w:rPr>
                <w:rFonts w:ascii="宋体" w:hAnsi="宋体" w:cs="宋体"/>
                <w:color w:val="auto"/>
                <w:sz w:val="24"/>
              </w:rPr>
              <w:t xml:space="preserve">     </w:t>
            </w:r>
          </w:p>
          <w:p>
            <w:pPr>
              <w:jc w:val="left"/>
              <w:rPr>
                <w:rFonts w:ascii="宋体" w:hAnsi="宋体" w:cs="宋体"/>
                <w:color w:val="auto"/>
                <w:sz w:val="24"/>
              </w:rPr>
            </w:pPr>
            <w:r>
              <w:rPr>
                <w:rFonts w:hint="eastAsia" w:ascii="宋体" w:hAnsi="宋体" w:cs="宋体"/>
                <w:color w:val="auto"/>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583" w:type="dxa"/>
            <w:noWrap w:val="0"/>
            <w:tcMar>
              <w:top w:w="16" w:type="dxa"/>
              <w:left w:w="16" w:type="dxa"/>
              <w:right w:w="16" w:type="dxa"/>
            </w:tcMar>
            <w:vAlign w:val="center"/>
          </w:tcPr>
          <w:p>
            <w:pPr>
              <w:adjustRightInd w:val="0"/>
              <w:snapToGrid w:val="0"/>
              <w:jc w:val="center"/>
              <w:rPr>
                <w:rFonts w:hint="eastAsia" w:ascii="宋体" w:hAnsi="宋体" w:cs="宋体"/>
                <w:sz w:val="24"/>
              </w:rPr>
            </w:pPr>
            <w:r>
              <w:rPr>
                <w:rFonts w:hint="eastAsia" w:ascii="宋体" w:hAnsi="宋体" w:cs="宋体"/>
                <w:sz w:val="24"/>
              </w:rPr>
              <w:t>项目审批（核准/</w:t>
            </w:r>
          </w:p>
          <w:p>
            <w:pPr>
              <w:adjustRightInd w:val="0"/>
              <w:snapToGrid w:val="0"/>
              <w:jc w:val="center"/>
              <w:rPr>
                <w:rFonts w:hint="eastAsia" w:ascii="宋体" w:hAnsi="宋体" w:cs="宋体"/>
                <w:sz w:val="24"/>
              </w:rPr>
            </w:pPr>
            <w:r>
              <w:rPr>
                <w:rFonts w:hint="eastAsia" w:ascii="宋体" w:hAnsi="宋体" w:cs="宋体"/>
                <w:sz w:val="24"/>
              </w:rPr>
              <w:t>备案）部门（选填）</w:t>
            </w:r>
          </w:p>
        </w:tc>
        <w:tc>
          <w:tcPr>
            <w:tcW w:w="1804" w:type="dxa"/>
            <w:noWrap w:val="0"/>
            <w:vAlign w:val="center"/>
          </w:tcPr>
          <w:p>
            <w:pPr>
              <w:adjustRightInd w:val="0"/>
              <w:snapToGrid w:val="0"/>
              <w:jc w:val="center"/>
              <w:rPr>
                <w:rFonts w:hint="default" w:ascii="宋体" w:hAnsi="宋体" w:cs="宋体"/>
                <w:sz w:val="24"/>
                <w:lang w:val="en-US"/>
              </w:rPr>
            </w:pPr>
            <w:r>
              <w:rPr>
                <w:rFonts w:hint="eastAsia" w:ascii="宋体" w:hAnsi="宋体" w:eastAsia="宋体" w:cs="宋体"/>
                <w:sz w:val="24"/>
                <w:lang w:val="en-US" w:eastAsia="zh-CN"/>
              </w:rPr>
              <w:t>淮南经济技术开发区管理委员会</w:t>
            </w:r>
          </w:p>
        </w:tc>
        <w:tc>
          <w:tcPr>
            <w:tcW w:w="1949" w:type="dxa"/>
            <w:noWrap w:val="0"/>
            <w:vAlign w:val="center"/>
          </w:tcPr>
          <w:p>
            <w:pPr>
              <w:adjustRightInd w:val="0"/>
              <w:snapToGrid w:val="0"/>
              <w:jc w:val="center"/>
              <w:rPr>
                <w:rFonts w:hint="eastAsia" w:ascii="宋体" w:hAnsi="宋体" w:cs="宋体"/>
                <w:sz w:val="24"/>
              </w:rPr>
            </w:pPr>
            <w:r>
              <w:rPr>
                <w:rFonts w:hint="eastAsia" w:ascii="宋体" w:hAnsi="宋体" w:cs="宋体"/>
                <w:sz w:val="24"/>
              </w:rPr>
              <w:t>项目审批（核准</w:t>
            </w:r>
            <w:r>
              <w:rPr>
                <w:rFonts w:ascii="宋体" w:hAnsi="宋体" w:cs="宋体"/>
                <w:sz w:val="24"/>
              </w:rPr>
              <w:t>/</w:t>
            </w:r>
          </w:p>
          <w:p>
            <w:pPr>
              <w:adjustRightInd w:val="0"/>
              <w:snapToGrid w:val="0"/>
              <w:jc w:val="center"/>
              <w:rPr>
                <w:rFonts w:hint="eastAsia" w:ascii="宋体" w:hAnsi="宋体" w:cs="宋体"/>
                <w:sz w:val="24"/>
              </w:rPr>
            </w:pPr>
            <w:r>
              <w:rPr>
                <w:rFonts w:hint="eastAsia" w:ascii="宋体" w:hAnsi="宋体" w:cs="宋体"/>
                <w:sz w:val="24"/>
              </w:rPr>
              <w:t>备案）文号（选填）</w:t>
            </w:r>
          </w:p>
        </w:tc>
        <w:tc>
          <w:tcPr>
            <w:tcW w:w="3534" w:type="dxa"/>
            <w:noWrap w:val="0"/>
            <w:vAlign w:val="center"/>
          </w:tcPr>
          <w:p>
            <w:pPr>
              <w:adjustRightInd w:val="0"/>
              <w:snapToGrid w:val="0"/>
              <w:jc w:val="center"/>
              <w:rPr>
                <w:rFonts w:hint="eastAsia" w:ascii="宋体" w:hAnsi="宋体" w:cs="宋体"/>
                <w:sz w:val="24"/>
              </w:rPr>
            </w:pPr>
            <w:r>
              <w:rPr>
                <w:rFonts w:hint="eastAsia"/>
                <w:sz w:val="24"/>
                <w:lang w:eastAsia="zh-CN"/>
              </w:rPr>
              <w:t>2212-340461-04-03-873137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83" w:type="dxa"/>
            <w:noWrap w:val="0"/>
            <w:tcMar>
              <w:top w:w="16" w:type="dxa"/>
              <w:left w:w="16" w:type="dxa"/>
              <w:right w:w="16" w:type="dxa"/>
            </w:tcMar>
            <w:vAlign w:val="center"/>
          </w:tcPr>
          <w:p>
            <w:pPr>
              <w:adjustRightInd w:val="0"/>
              <w:snapToGrid w:val="0"/>
              <w:jc w:val="center"/>
              <w:rPr>
                <w:rFonts w:ascii="宋体" w:hAnsi="宋体" w:cs="宋体"/>
                <w:sz w:val="24"/>
              </w:rPr>
            </w:pPr>
            <w:r>
              <w:rPr>
                <w:rFonts w:hint="eastAsia" w:ascii="宋体" w:hAnsi="宋体" w:cs="宋体"/>
                <w:sz w:val="24"/>
              </w:rPr>
              <w:t>总投资（万元）</w:t>
            </w:r>
          </w:p>
        </w:tc>
        <w:tc>
          <w:tcPr>
            <w:tcW w:w="1804" w:type="dxa"/>
            <w:noWrap w:val="0"/>
            <w:vAlign w:val="center"/>
          </w:tcPr>
          <w:p>
            <w:pPr>
              <w:adjustRightInd w:val="0"/>
              <w:snapToGrid w:val="0"/>
              <w:jc w:val="center"/>
              <w:rPr>
                <w:rFonts w:hint="default"/>
                <w:sz w:val="24"/>
                <w:lang w:val="en-US"/>
              </w:rPr>
            </w:pPr>
            <w:r>
              <w:rPr>
                <w:rFonts w:hint="eastAsia"/>
                <w:sz w:val="24"/>
                <w:lang w:val="en-US" w:eastAsia="zh-CN"/>
              </w:rPr>
              <w:t>500</w:t>
            </w:r>
          </w:p>
        </w:tc>
        <w:tc>
          <w:tcPr>
            <w:tcW w:w="1949" w:type="dxa"/>
            <w:noWrap w:val="0"/>
            <w:tcMar>
              <w:top w:w="16" w:type="dxa"/>
              <w:left w:w="16" w:type="dxa"/>
              <w:right w:w="16" w:type="dxa"/>
            </w:tcMar>
            <w:vAlign w:val="center"/>
          </w:tcPr>
          <w:p>
            <w:pPr>
              <w:adjustRightInd w:val="0"/>
              <w:snapToGrid w:val="0"/>
              <w:jc w:val="center"/>
              <w:rPr>
                <w:sz w:val="24"/>
              </w:rPr>
            </w:pPr>
            <w:r>
              <w:rPr>
                <w:sz w:val="24"/>
              </w:rPr>
              <w:t>环保投资（万元）</w:t>
            </w:r>
          </w:p>
        </w:tc>
        <w:tc>
          <w:tcPr>
            <w:tcW w:w="3534" w:type="dxa"/>
            <w:noWrap w:val="0"/>
            <w:vAlign w:val="center"/>
          </w:tcPr>
          <w:p>
            <w:pPr>
              <w:adjustRightInd w:val="0"/>
              <w:snapToGrid w:val="0"/>
              <w:jc w:val="center"/>
              <w:rPr>
                <w:rFonts w:hint="default" w:eastAsia="宋体"/>
                <w:sz w:val="24"/>
                <w:lang w:val="en-US" w:eastAsia="zh-CN"/>
              </w:rPr>
            </w:pPr>
            <w:r>
              <w:rPr>
                <w:rFonts w:hint="eastAsia" w:ascii="Times New Roman" w:hAnsi="Times New Roman" w:eastAsia="宋体" w:cs="Times New Roman"/>
                <w:sz w:val="24"/>
                <w:lang w:val="en-US" w:eastAsia="zh-CN"/>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83" w:type="dxa"/>
            <w:noWrap w:val="0"/>
            <w:tcMar>
              <w:top w:w="16" w:type="dxa"/>
              <w:left w:w="16" w:type="dxa"/>
              <w:right w:w="16" w:type="dxa"/>
            </w:tcMar>
            <w:vAlign w:val="center"/>
          </w:tcPr>
          <w:p>
            <w:pPr>
              <w:adjustRightInd w:val="0"/>
              <w:snapToGrid w:val="0"/>
              <w:jc w:val="center"/>
              <w:rPr>
                <w:rFonts w:ascii="宋体" w:hAnsi="宋体" w:cs="宋体"/>
                <w:sz w:val="24"/>
              </w:rPr>
            </w:pPr>
            <w:r>
              <w:rPr>
                <w:rFonts w:hint="eastAsia" w:ascii="宋体" w:hAnsi="宋体" w:cs="宋体"/>
                <w:sz w:val="24"/>
              </w:rPr>
              <w:t>环保投资占比（</w:t>
            </w:r>
            <w:r>
              <w:rPr>
                <w:rFonts w:ascii="宋体" w:hAnsi="宋体" w:cs="宋体"/>
                <w:sz w:val="24"/>
              </w:rPr>
              <w:t>%</w:t>
            </w:r>
            <w:r>
              <w:rPr>
                <w:rFonts w:hint="eastAsia" w:ascii="宋体" w:hAnsi="宋体" w:cs="宋体"/>
                <w:sz w:val="24"/>
              </w:rPr>
              <w:t>）</w:t>
            </w:r>
          </w:p>
        </w:tc>
        <w:tc>
          <w:tcPr>
            <w:tcW w:w="1804" w:type="dxa"/>
            <w:noWrap w:val="0"/>
            <w:vAlign w:val="center"/>
          </w:tcPr>
          <w:p>
            <w:pPr>
              <w:adjustRightInd w:val="0"/>
              <w:snapToGrid w:val="0"/>
              <w:jc w:val="center"/>
              <w:rPr>
                <w:rFonts w:hint="default" w:eastAsia="宋体"/>
                <w:sz w:val="24"/>
                <w:lang w:val="en-US" w:eastAsia="zh-CN"/>
              </w:rPr>
            </w:pPr>
            <w:r>
              <w:rPr>
                <w:rFonts w:hint="eastAsia" w:ascii="Times New Roman" w:hAnsi="Times New Roman" w:eastAsia="宋体" w:cs="Times New Roman"/>
                <w:sz w:val="24"/>
                <w:lang w:val="en-US" w:eastAsia="zh-CN"/>
              </w:rPr>
              <w:t>10</w:t>
            </w:r>
          </w:p>
        </w:tc>
        <w:tc>
          <w:tcPr>
            <w:tcW w:w="1949" w:type="dxa"/>
            <w:noWrap w:val="0"/>
            <w:tcMar>
              <w:top w:w="16" w:type="dxa"/>
              <w:left w:w="16" w:type="dxa"/>
              <w:right w:w="16" w:type="dxa"/>
            </w:tcMar>
            <w:vAlign w:val="center"/>
          </w:tcPr>
          <w:p>
            <w:pPr>
              <w:adjustRightInd w:val="0"/>
              <w:snapToGrid w:val="0"/>
              <w:jc w:val="center"/>
              <w:rPr>
                <w:sz w:val="24"/>
              </w:rPr>
            </w:pPr>
            <w:r>
              <w:rPr>
                <w:sz w:val="24"/>
              </w:rPr>
              <w:t>施工工期</w:t>
            </w:r>
          </w:p>
        </w:tc>
        <w:tc>
          <w:tcPr>
            <w:tcW w:w="3534" w:type="dxa"/>
            <w:noWrap w:val="0"/>
            <w:vAlign w:val="center"/>
          </w:tcPr>
          <w:p>
            <w:pPr>
              <w:adjustRightInd w:val="0"/>
              <w:snapToGrid w:val="0"/>
              <w:jc w:val="center"/>
              <w:rPr>
                <w:sz w:val="24"/>
              </w:rPr>
            </w:pPr>
            <w:r>
              <w:rPr>
                <w:rFonts w:hint="eastAsia"/>
                <w:sz w:val="24"/>
                <w:lang w:val="en-US" w:eastAsia="zh-CN"/>
              </w:rPr>
              <w:t>2</w:t>
            </w:r>
            <w:r>
              <w:rPr>
                <w:sz w:val="24"/>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83" w:type="dxa"/>
            <w:noWrap w:val="0"/>
            <w:tcMar>
              <w:top w:w="16" w:type="dxa"/>
              <w:left w:w="16" w:type="dxa"/>
              <w:right w:w="16" w:type="dxa"/>
            </w:tcMar>
            <w:vAlign w:val="center"/>
          </w:tcPr>
          <w:p>
            <w:pPr>
              <w:adjustRightInd w:val="0"/>
              <w:snapToGrid w:val="0"/>
              <w:jc w:val="center"/>
              <w:rPr>
                <w:rFonts w:hint="eastAsia" w:ascii="宋体" w:hAnsi="宋体" w:cs="宋体"/>
                <w:sz w:val="24"/>
              </w:rPr>
            </w:pPr>
            <w:r>
              <w:rPr>
                <w:rFonts w:hint="eastAsia" w:ascii="宋体" w:hAnsi="宋体" w:cs="宋体"/>
                <w:sz w:val="24"/>
              </w:rPr>
              <w:t>是否开工建设</w:t>
            </w:r>
          </w:p>
        </w:tc>
        <w:tc>
          <w:tcPr>
            <w:tcW w:w="1804" w:type="dxa"/>
            <w:noWrap w:val="0"/>
            <w:vAlign w:val="center"/>
          </w:tcPr>
          <w:p>
            <w:pPr>
              <w:adjustRightInd w:val="0"/>
              <w:snapToGrid w:val="0"/>
              <w:rPr>
                <w:sz w:val="24"/>
              </w:rPr>
            </w:pPr>
            <w:r>
              <w:rPr>
                <w:rFonts w:hint="eastAsia" w:ascii="宋体" w:hAnsi="宋体" w:cs="宋体"/>
                <w:sz w:val="24"/>
              </w:rPr>
              <w:t>☑</w:t>
            </w:r>
            <w:r>
              <w:rPr>
                <w:sz w:val="24"/>
              </w:rPr>
              <w:t>否</w:t>
            </w:r>
          </w:p>
          <w:p>
            <w:pPr>
              <w:adjustRightInd w:val="0"/>
              <w:snapToGrid w:val="0"/>
              <w:rPr>
                <w:sz w:val="24"/>
              </w:rPr>
            </w:pPr>
            <w:r>
              <w:rPr>
                <w:rFonts w:hint="eastAsia" w:ascii="宋体" w:hAnsi="宋体" w:cs="宋体"/>
                <w:sz w:val="24"/>
              </w:rPr>
              <w:t>□</w:t>
            </w:r>
            <w:r>
              <w:rPr>
                <w:sz w:val="24"/>
              </w:rPr>
              <w:t>是：</w:t>
            </w:r>
            <w:r>
              <w:rPr>
                <w:sz w:val="24"/>
                <w:u w:val="single"/>
              </w:rPr>
              <w:t xml:space="preserve">             </w:t>
            </w:r>
          </w:p>
        </w:tc>
        <w:tc>
          <w:tcPr>
            <w:tcW w:w="1949" w:type="dxa"/>
            <w:noWrap w:val="0"/>
            <w:tcMar>
              <w:top w:w="16" w:type="dxa"/>
              <w:left w:w="16" w:type="dxa"/>
              <w:right w:w="16" w:type="dxa"/>
            </w:tcMar>
            <w:vAlign w:val="center"/>
          </w:tcPr>
          <w:p>
            <w:pPr>
              <w:adjustRightInd w:val="0"/>
              <w:snapToGrid w:val="0"/>
              <w:jc w:val="center"/>
              <w:rPr>
                <w:spacing w:val="-6"/>
                <w:sz w:val="24"/>
              </w:rPr>
            </w:pPr>
            <w:r>
              <w:rPr>
                <w:spacing w:val="-6"/>
                <w:sz w:val="24"/>
              </w:rPr>
              <w:t>用地（用海）</w:t>
            </w:r>
          </w:p>
          <w:p>
            <w:pPr>
              <w:adjustRightInd w:val="0"/>
              <w:snapToGrid w:val="0"/>
              <w:jc w:val="center"/>
              <w:rPr>
                <w:sz w:val="24"/>
              </w:rPr>
            </w:pPr>
            <w:r>
              <w:rPr>
                <w:spacing w:val="-6"/>
                <w:sz w:val="24"/>
              </w:rPr>
              <w:t>面积（m</w:t>
            </w:r>
            <w:r>
              <w:rPr>
                <w:spacing w:val="-6"/>
                <w:sz w:val="24"/>
                <w:vertAlign w:val="superscript"/>
              </w:rPr>
              <w:t>2</w:t>
            </w:r>
            <w:r>
              <w:rPr>
                <w:spacing w:val="-6"/>
                <w:sz w:val="24"/>
              </w:rPr>
              <w:t>）</w:t>
            </w:r>
          </w:p>
        </w:tc>
        <w:tc>
          <w:tcPr>
            <w:tcW w:w="3534" w:type="dxa"/>
            <w:noWrap w:val="0"/>
            <w:vAlign w:val="center"/>
          </w:tcPr>
          <w:p>
            <w:pPr>
              <w:adjustRightInd w:val="0"/>
              <w:snapToGrid w:val="0"/>
              <w:jc w:val="center"/>
              <w:rPr>
                <w:sz w:val="24"/>
              </w:rPr>
            </w:pPr>
            <w:r>
              <w:rPr>
                <w:rFonts w:hint="eastAsia" w:ascii="Times New Roman" w:hAnsi="Times New Roman" w:eastAsia="宋体" w:cs="Times New Roman"/>
                <w:sz w:val="24"/>
                <w:lang w:val="en-US" w:eastAsia="zh-CN"/>
              </w:rPr>
              <w:t>1000</w:t>
            </w:r>
            <w:r>
              <w:rPr>
                <w:rFonts w:ascii="Times New Roman" w:hAnsi="Times New Roman" w:eastAsia="宋体" w:cs="Times New Roman"/>
                <w:sz w:val="24"/>
              </w:rPr>
              <w:t>m</w:t>
            </w:r>
            <w:r>
              <w:rPr>
                <w:rFonts w:ascii="Times New Roman" w:hAnsi="Times New Roman" w:eastAsia="宋体" w:cs="Times New Roman"/>
                <w:sz w:val="24"/>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583" w:type="dxa"/>
            <w:noWrap w:val="0"/>
            <w:vAlign w:val="center"/>
          </w:tcPr>
          <w:p>
            <w:pPr>
              <w:autoSpaceDE w:val="0"/>
              <w:autoSpaceDN w:val="0"/>
              <w:adjustRightInd w:val="0"/>
              <w:snapToGrid w:val="0"/>
              <w:jc w:val="center"/>
              <w:rPr>
                <w:rFonts w:ascii="宋体" w:hAnsi="宋体" w:cs="宋体"/>
                <w:kern w:val="0"/>
                <w:sz w:val="24"/>
              </w:rPr>
            </w:pPr>
            <w:r>
              <w:rPr>
                <w:rFonts w:hint="eastAsia" w:ascii="宋体" w:hAnsi="宋体" w:cs="宋体"/>
                <w:kern w:val="0"/>
                <w:sz w:val="24"/>
              </w:rPr>
              <w:t>专项评价设置情况</w:t>
            </w:r>
          </w:p>
        </w:tc>
        <w:tc>
          <w:tcPr>
            <w:tcW w:w="7287" w:type="dxa"/>
            <w:gridSpan w:val="3"/>
            <w:noWrap w:val="0"/>
            <w:vAlign w:val="center"/>
          </w:tcPr>
          <w:tbl>
            <w:tblPr>
              <w:tblStyle w:val="29"/>
              <w:tblW w:w="6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1"/>
              <w:gridCol w:w="1691"/>
              <w:gridCol w:w="1693"/>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lang w:eastAsia="zh-CN"/>
                    </w:rPr>
                  </w:pPr>
                  <w:r>
                    <w:rPr>
                      <w:rFonts w:hint="default" w:ascii="Times New Roman" w:hAnsi="Times New Roman" w:eastAsia="宋体" w:cs="Times New Roman"/>
                      <w:b/>
                      <w:bCs/>
                      <w:color w:val="auto"/>
                      <w:kern w:val="0"/>
                      <w:sz w:val="21"/>
                      <w:szCs w:val="21"/>
                      <w:vertAlign w:val="baseline"/>
                      <w:lang w:eastAsia="zh-CN"/>
                    </w:rPr>
                    <w:t>专项评价类别</w:t>
                  </w:r>
                </w:p>
              </w:tc>
              <w:tc>
                <w:tcPr>
                  <w:tcW w:w="1691" w:type="dxa"/>
                  <w:noWrap w:val="0"/>
                  <w:vAlign w:val="center"/>
                </w:tcPr>
                <w:p>
                  <w:pPr>
                    <w:autoSpaceDE w:val="0"/>
                    <w:autoSpaceDN w:val="0"/>
                    <w:adjustRightInd w:val="0"/>
                    <w:snapToGrid w:val="0"/>
                    <w:jc w:val="center"/>
                    <w:rPr>
                      <w:rFonts w:hint="default" w:ascii="Times New Roman" w:hAnsi="Times New Roman" w:eastAsia="宋体" w:cs="Times New Roman"/>
                      <w:b/>
                      <w:bCs/>
                      <w:color w:val="auto"/>
                      <w:kern w:val="0"/>
                      <w:sz w:val="21"/>
                      <w:szCs w:val="21"/>
                      <w:vertAlign w:val="baseline"/>
                      <w:lang w:eastAsia="zh-CN"/>
                    </w:rPr>
                  </w:pPr>
                  <w:r>
                    <w:rPr>
                      <w:rFonts w:hint="default" w:ascii="Times New Roman" w:hAnsi="Times New Roman" w:eastAsia="宋体" w:cs="Times New Roman"/>
                      <w:b/>
                      <w:bCs/>
                      <w:color w:val="auto"/>
                      <w:kern w:val="0"/>
                      <w:sz w:val="21"/>
                      <w:szCs w:val="21"/>
                      <w:vertAlign w:val="baseline"/>
                      <w:lang w:eastAsia="zh-CN"/>
                    </w:rPr>
                    <w:t>设置原则</w:t>
                  </w:r>
                </w:p>
              </w:tc>
              <w:tc>
                <w:tcPr>
                  <w:tcW w:w="1693" w:type="dxa"/>
                  <w:noWrap w:val="0"/>
                  <w:vAlign w:val="center"/>
                </w:tcPr>
                <w:p>
                  <w:pPr>
                    <w:autoSpaceDE w:val="0"/>
                    <w:autoSpaceDN w:val="0"/>
                    <w:adjustRightInd w:val="0"/>
                    <w:snapToGrid w:val="0"/>
                    <w:jc w:val="center"/>
                    <w:rPr>
                      <w:rFonts w:hint="default" w:ascii="Times New Roman" w:hAnsi="Times New Roman" w:eastAsia="宋体" w:cs="Times New Roman"/>
                      <w:b/>
                      <w:bCs/>
                      <w:color w:val="auto"/>
                      <w:kern w:val="0"/>
                      <w:sz w:val="21"/>
                      <w:szCs w:val="21"/>
                      <w:vertAlign w:val="baseline"/>
                      <w:lang w:eastAsia="zh-CN"/>
                    </w:rPr>
                  </w:pPr>
                  <w:r>
                    <w:rPr>
                      <w:rFonts w:hint="default" w:ascii="Times New Roman" w:hAnsi="Times New Roman" w:eastAsia="宋体" w:cs="Times New Roman"/>
                      <w:b/>
                      <w:bCs/>
                      <w:color w:val="auto"/>
                      <w:kern w:val="0"/>
                      <w:sz w:val="21"/>
                      <w:szCs w:val="21"/>
                      <w:vertAlign w:val="baseline"/>
                      <w:lang w:eastAsia="zh-CN"/>
                    </w:rPr>
                    <w:t>项目情况</w:t>
                  </w:r>
                </w:p>
              </w:tc>
              <w:tc>
                <w:tcPr>
                  <w:tcW w:w="1693" w:type="dxa"/>
                  <w:noWrap w:val="0"/>
                  <w:vAlign w:val="center"/>
                </w:tcPr>
                <w:p>
                  <w:pPr>
                    <w:autoSpaceDE w:val="0"/>
                    <w:autoSpaceDN w:val="0"/>
                    <w:adjustRightInd w:val="0"/>
                    <w:snapToGrid w:val="0"/>
                    <w:jc w:val="center"/>
                    <w:rPr>
                      <w:rFonts w:hint="default" w:ascii="Times New Roman" w:hAnsi="Times New Roman" w:eastAsia="宋体" w:cs="Times New Roman"/>
                      <w:b/>
                      <w:bCs/>
                      <w:color w:val="auto"/>
                      <w:kern w:val="0"/>
                      <w:sz w:val="21"/>
                      <w:szCs w:val="21"/>
                      <w:vertAlign w:val="baseline"/>
                      <w:lang w:eastAsia="zh-CN"/>
                    </w:rPr>
                  </w:pPr>
                  <w:r>
                    <w:rPr>
                      <w:rFonts w:hint="default" w:ascii="Times New Roman" w:hAnsi="Times New Roman" w:eastAsia="宋体" w:cs="Times New Roman"/>
                      <w:b/>
                      <w:bCs/>
                      <w:color w:val="auto"/>
                      <w:kern w:val="0"/>
                      <w:sz w:val="21"/>
                      <w:szCs w:val="21"/>
                      <w:vertAlign w:val="baseline"/>
                      <w:lang w:eastAsia="zh-CN"/>
                    </w:rPr>
                    <w:t>设置与否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lang w:eastAsia="zh-CN"/>
                    </w:rPr>
                  </w:pPr>
                  <w:r>
                    <w:rPr>
                      <w:rFonts w:hint="default" w:ascii="Times New Roman" w:hAnsi="Times New Roman" w:eastAsia="宋体" w:cs="Times New Roman"/>
                      <w:color w:val="auto"/>
                      <w:kern w:val="0"/>
                      <w:sz w:val="21"/>
                      <w:szCs w:val="21"/>
                      <w:vertAlign w:val="baseline"/>
                      <w:lang w:eastAsia="zh-CN"/>
                    </w:rPr>
                    <w:t>大气</w:t>
                  </w:r>
                </w:p>
              </w:tc>
              <w:tc>
                <w:tcPr>
                  <w:tcW w:w="1691" w:type="dxa"/>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vertAlign w:val="baseline"/>
                      <w:lang w:eastAsia="zh-CN"/>
                    </w:rPr>
                  </w:pPr>
                  <w:r>
                    <w:rPr>
                      <w:rFonts w:hint="default" w:ascii="Times New Roman" w:hAnsi="Times New Roman" w:eastAsia="宋体" w:cs="Times New Roman"/>
                      <w:color w:val="auto"/>
                      <w:kern w:val="0"/>
                      <w:sz w:val="21"/>
                      <w:szCs w:val="21"/>
                      <w:vertAlign w:val="baseline"/>
                      <w:lang w:eastAsia="zh-CN"/>
                    </w:rPr>
                    <w:t>排放废气含有毒有害污染物、</w:t>
                  </w:r>
                  <w:r>
                    <w:rPr>
                      <w:rFonts w:hint="default" w:ascii="Times New Roman" w:hAnsi="Times New Roman" w:eastAsia="宋体" w:cs="Times New Roman"/>
                      <w:color w:val="auto"/>
                      <w:kern w:val="0"/>
                      <w:sz w:val="21"/>
                      <w:szCs w:val="21"/>
                      <w:vertAlign w:val="baseline"/>
                      <w:lang w:val="en-US" w:eastAsia="zh-CN"/>
                    </w:rPr>
                    <w:t>二噁英、苯并[a]芘、氰化物、氯气且厂界外500 米范围内有环境空气保护目标的建设项目</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lang w:eastAsia="zh-CN"/>
                    </w:rPr>
                  </w:pPr>
                </w:p>
              </w:tc>
              <w:tc>
                <w:tcPr>
                  <w:tcW w:w="1693" w:type="dxa"/>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不涉及有毒有害</w:t>
                  </w:r>
                </w:p>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污染物、二噁英、</w:t>
                  </w:r>
                </w:p>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苯并[a]芘、氰化</w:t>
                  </w:r>
                </w:p>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物、氯气等物质</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rPr>
                  </w:pPr>
                </w:p>
              </w:tc>
              <w:tc>
                <w:tcPr>
                  <w:tcW w:w="1693" w:type="dxa"/>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否</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1" w:type="dxa"/>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地表水</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rPr>
                  </w:pPr>
                </w:p>
              </w:tc>
              <w:tc>
                <w:tcPr>
                  <w:tcW w:w="1691" w:type="dxa"/>
                  <w:noWrap w:val="0"/>
                  <w:vAlign w:val="center"/>
                </w:tcPr>
                <w:p>
                  <w:pPr>
                    <w:keepNext w:val="0"/>
                    <w:keepLines w:val="0"/>
                    <w:widowControl/>
                    <w:suppressLineNumbers w:val="0"/>
                    <w:jc w:val="both"/>
                    <w:rPr>
                      <w:rFonts w:hint="default" w:ascii="Times New Roman" w:hAnsi="Times New Roman" w:eastAsia="宋体" w:cs="Times New Roman"/>
                      <w:color w:val="auto"/>
                      <w:kern w:val="0"/>
                      <w:sz w:val="21"/>
                      <w:szCs w:val="21"/>
                      <w:vertAlign w:val="baseline"/>
                    </w:rPr>
                  </w:pPr>
                  <w:r>
                    <w:rPr>
                      <w:rFonts w:hint="default" w:ascii="Times New Roman" w:hAnsi="Times New Roman" w:eastAsia="宋体" w:cs="Times New Roman"/>
                      <w:color w:val="auto"/>
                      <w:kern w:val="0"/>
                      <w:sz w:val="21"/>
                      <w:szCs w:val="21"/>
                      <w:lang w:val="en-US" w:eastAsia="zh-CN" w:bidi="ar"/>
                    </w:rPr>
                    <w:t>新增工业废水直排建设项目（槽罐车外送污水处理厂的除外）；新增废水直排的污水集中处理厂</w:t>
                  </w:r>
                </w:p>
              </w:tc>
              <w:tc>
                <w:tcPr>
                  <w:tcW w:w="1693" w:type="dxa"/>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本项目废水预处</w:t>
                  </w:r>
                </w:p>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理后进入市政管</w:t>
                  </w:r>
                </w:p>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网，</w:t>
                  </w:r>
                  <w:r>
                    <w:rPr>
                      <w:rFonts w:hint="eastAsia" w:ascii="Times New Roman" w:hAnsi="Times New Roman" w:eastAsia="宋体" w:cs="Times New Roman"/>
                      <w:color w:val="auto"/>
                      <w:kern w:val="0"/>
                      <w:sz w:val="21"/>
                      <w:szCs w:val="21"/>
                      <w:lang w:val="en-US" w:eastAsia="zh-CN" w:bidi="ar"/>
                    </w:rPr>
                    <w:t>经经开区</w:t>
                  </w:r>
                  <w:r>
                    <w:rPr>
                      <w:rFonts w:hint="eastAsia" w:cs="Times New Roman"/>
                      <w:color w:val="auto"/>
                      <w:kern w:val="0"/>
                      <w:sz w:val="21"/>
                      <w:szCs w:val="21"/>
                      <w:lang w:val="en-US" w:eastAsia="zh-CN" w:bidi="ar"/>
                    </w:rPr>
                    <w:t>工业</w:t>
                  </w:r>
                  <w:r>
                    <w:rPr>
                      <w:rFonts w:hint="eastAsia" w:ascii="Times New Roman" w:hAnsi="Times New Roman" w:eastAsia="宋体" w:cs="Times New Roman"/>
                      <w:color w:val="auto"/>
                      <w:kern w:val="0"/>
                      <w:sz w:val="21"/>
                      <w:szCs w:val="21"/>
                      <w:lang w:val="en-US" w:eastAsia="zh-CN" w:bidi="ar"/>
                    </w:rPr>
                    <w:t>污水处理厂深度处理，</w:t>
                  </w:r>
                  <w:r>
                    <w:rPr>
                      <w:rFonts w:hint="default" w:ascii="Times New Roman" w:hAnsi="Times New Roman" w:eastAsia="宋体" w:cs="Times New Roman"/>
                      <w:color w:val="auto"/>
                      <w:kern w:val="0"/>
                      <w:sz w:val="21"/>
                      <w:szCs w:val="21"/>
                      <w:lang w:val="en-US" w:eastAsia="zh-CN" w:bidi="ar"/>
                    </w:rPr>
                    <w:t>不属于直排</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rPr>
                  </w:pPr>
                </w:p>
              </w:tc>
              <w:tc>
                <w:tcPr>
                  <w:tcW w:w="1693" w:type="dxa"/>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否</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环境风险</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rPr>
                  </w:pPr>
                </w:p>
              </w:tc>
              <w:tc>
                <w:tcPr>
                  <w:tcW w:w="1691" w:type="dxa"/>
                  <w:noWrap w:val="0"/>
                  <w:vAlign w:val="center"/>
                </w:tcPr>
                <w:p>
                  <w:pPr>
                    <w:keepNext w:val="0"/>
                    <w:keepLines w:val="0"/>
                    <w:widowControl/>
                    <w:suppressLineNumbers w:val="0"/>
                    <w:jc w:val="both"/>
                    <w:rPr>
                      <w:rFonts w:hint="default" w:ascii="Times New Roman" w:hAnsi="Times New Roman" w:eastAsia="宋体" w:cs="Times New Roman"/>
                      <w:color w:val="auto"/>
                      <w:kern w:val="0"/>
                      <w:sz w:val="21"/>
                      <w:szCs w:val="21"/>
                      <w:vertAlign w:val="baseline"/>
                    </w:rPr>
                  </w:pPr>
                  <w:r>
                    <w:rPr>
                      <w:rFonts w:hint="default" w:ascii="Times New Roman" w:hAnsi="Times New Roman" w:eastAsia="宋体" w:cs="Times New Roman"/>
                      <w:color w:val="auto"/>
                      <w:kern w:val="0"/>
                      <w:sz w:val="21"/>
                      <w:szCs w:val="21"/>
                      <w:lang w:val="en-US" w:eastAsia="zh-CN" w:bidi="ar"/>
                    </w:rPr>
                    <w:t>有毒有害和易燃易爆危险物质存储量超过临界量</w:t>
                  </w:r>
                </w:p>
              </w:tc>
              <w:tc>
                <w:tcPr>
                  <w:tcW w:w="1693" w:type="dxa"/>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风险物质未超过</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rPr>
                  </w:pPr>
                  <w:r>
                    <w:rPr>
                      <w:rFonts w:hint="default" w:ascii="Times New Roman" w:hAnsi="Times New Roman" w:eastAsia="宋体" w:cs="Times New Roman"/>
                      <w:color w:val="auto"/>
                      <w:kern w:val="0"/>
                      <w:sz w:val="21"/>
                      <w:szCs w:val="21"/>
                      <w:lang w:val="en-US" w:eastAsia="zh-CN" w:bidi="ar"/>
                    </w:rPr>
                    <w:t>临界量</w:t>
                  </w:r>
                </w:p>
              </w:tc>
              <w:tc>
                <w:tcPr>
                  <w:tcW w:w="1693" w:type="dxa"/>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p>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否</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生态</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rPr>
                  </w:pPr>
                </w:p>
              </w:tc>
              <w:tc>
                <w:tcPr>
                  <w:tcW w:w="1691" w:type="dxa"/>
                  <w:noWrap w:val="0"/>
                  <w:vAlign w:val="center"/>
                </w:tcPr>
                <w:p>
                  <w:pPr>
                    <w:keepNext w:val="0"/>
                    <w:keepLines w:val="0"/>
                    <w:widowControl/>
                    <w:suppressLineNumbers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取水口下游500米范围内有重要水生生物的自然产卵场、索饵场、越冬场和洄游通道的新增河道取水的污染类建设项目</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rPr>
                  </w:pPr>
                </w:p>
              </w:tc>
              <w:tc>
                <w:tcPr>
                  <w:tcW w:w="1693" w:type="dxa"/>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不涉及</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rPr>
                  </w:pPr>
                </w:p>
              </w:tc>
              <w:tc>
                <w:tcPr>
                  <w:tcW w:w="1693" w:type="dxa"/>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否</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海洋</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rPr>
                  </w:pPr>
                </w:p>
              </w:tc>
              <w:tc>
                <w:tcPr>
                  <w:tcW w:w="1691" w:type="dxa"/>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直接向海排放污染物的海洋工程建设项目</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rPr>
                  </w:pPr>
                </w:p>
              </w:tc>
              <w:tc>
                <w:tcPr>
                  <w:tcW w:w="1693" w:type="dxa"/>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不涉及</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rPr>
                  </w:pPr>
                </w:p>
              </w:tc>
              <w:tc>
                <w:tcPr>
                  <w:tcW w:w="1693" w:type="dxa"/>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否</w:t>
                  </w:r>
                </w:p>
                <w:p>
                  <w:pPr>
                    <w:autoSpaceDE w:val="0"/>
                    <w:autoSpaceDN w:val="0"/>
                    <w:adjustRightInd w:val="0"/>
                    <w:snapToGrid w:val="0"/>
                    <w:jc w:val="center"/>
                    <w:rPr>
                      <w:rFonts w:hint="default" w:ascii="Times New Roman" w:hAnsi="Times New Roman" w:eastAsia="宋体" w:cs="Times New Roman"/>
                      <w:color w:val="auto"/>
                      <w:kern w:val="0"/>
                      <w:sz w:val="21"/>
                      <w:szCs w:val="21"/>
                      <w:vertAlign w:val="baseline"/>
                    </w:rPr>
                  </w:pPr>
                </w:p>
              </w:tc>
            </w:tr>
          </w:tbl>
          <w:p>
            <w:pPr>
              <w:widowControl/>
              <w:jc w:val="center"/>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83" w:type="dxa"/>
            <w:noWrap w:val="0"/>
            <w:vAlign w:val="center"/>
          </w:tcPr>
          <w:p>
            <w:pPr>
              <w:autoSpaceDE w:val="0"/>
              <w:autoSpaceDN w:val="0"/>
              <w:adjustRightInd w:val="0"/>
              <w:snapToGrid w:val="0"/>
              <w:jc w:val="center"/>
              <w:rPr>
                <w:rFonts w:hint="eastAsia" w:ascii="宋体" w:hAnsi="宋体" w:cs="宋体"/>
                <w:kern w:val="0"/>
                <w:sz w:val="24"/>
              </w:rPr>
            </w:pPr>
            <w:r>
              <w:rPr>
                <w:rFonts w:hint="eastAsia" w:ascii="宋体" w:hAnsi="宋体" w:cs="宋体"/>
                <w:sz w:val="24"/>
              </w:rPr>
              <w:t>规划情况</w:t>
            </w:r>
          </w:p>
        </w:tc>
        <w:tc>
          <w:tcPr>
            <w:tcW w:w="7287" w:type="dxa"/>
            <w:gridSpan w:val="3"/>
            <w:noWrap w:val="0"/>
            <w:vAlign w:val="center"/>
          </w:tcPr>
          <w:p>
            <w:pPr>
              <w:spacing w:line="360" w:lineRule="auto"/>
              <w:ind w:firstLine="480" w:firstLineChars="200"/>
              <w:rPr>
                <w:rFonts w:hint="eastAsia"/>
                <w:color w:val="auto"/>
                <w:sz w:val="24"/>
              </w:rPr>
            </w:pPr>
            <w:r>
              <w:rPr>
                <w:rFonts w:hint="eastAsia"/>
                <w:color w:val="auto"/>
                <w:sz w:val="24"/>
              </w:rPr>
              <w:t>规模名称：《淮南市东部工业区总体规划（2008-2020）》，</w:t>
            </w:r>
          </w:p>
          <w:p>
            <w:pPr>
              <w:spacing w:line="360" w:lineRule="auto"/>
              <w:ind w:firstLine="480" w:firstLineChars="200"/>
              <w:rPr>
                <w:rFonts w:hint="eastAsia"/>
                <w:color w:val="auto"/>
                <w:sz w:val="24"/>
              </w:rPr>
            </w:pPr>
            <w:r>
              <w:rPr>
                <w:rFonts w:hint="eastAsia"/>
                <w:color w:val="auto"/>
                <w:sz w:val="24"/>
              </w:rPr>
              <w:t>规划审批机关：淮南市人民政府</w:t>
            </w:r>
          </w:p>
          <w:p>
            <w:pPr>
              <w:spacing w:line="360" w:lineRule="auto"/>
              <w:ind w:firstLine="480" w:firstLineChars="200"/>
              <w:rPr>
                <w:rFonts w:hint="eastAsia"/>
                <w:color w:val="auto"/>
              </w:rPr>
            </w:pPr>
            <w:r>
              <w:rPr>
                <w:rFonts w:hint="eastAsia"/>
                <w:color w:val="auto"/>
                <w:sz w:val="24"/>
              </w:rPr>
              <w:t>规划文号：《关于淮南东部工业区总体规划的批复》（淮府秘[2009]118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83" w:type="dxa"/>
            <w:noWrap w:val="0"/>
            <w:vAlign w:val="center"/>
          </w:tcPr>
          <w:p>
            <w:pPr>
              <w:autoSpaceDE w:val="0"/>
              <w:autoSpaceDN w:val="0"/>
              <w:adjustRightInd w:val="0"/>
              <w:snapToGrid w:val="0"/>
              <w:jc w:val="center"/>
              <w:rPr>
                <w:rFonts w:hint="eastAsia" w:ascii="宋体" w:hAnsi="宋体" w:cs="宋体"/>
                <w:sz w:val="24"/>
              </w:rPr>
            </w:pPr>
            <w:r>
              <w:rPr>
                <w:rFonts w:hint="eastAsia" w:ascii="宋体" w:hAnsi="宋体" w:cs="宋体"/>
                <w:sz w:val="24"/>
              </w:rPr>
              <w:t>规划环境影响</w:t>
            </w:r>
          </w:p>
          <w:p>
            <w:pPr>
              <w:autoSpaceDE w:val="0"/>
              <w:autoSpaceDN w:val="0"/>
              <w:adjustRightInd w:val="0"/>
              <w:snapToGrid w:val="0"/>
              <w:jc w:val="center"/>
              <w:rPr>
                <w:rFonts w:hint="eastAsia" w:ascii="宋体" w:hAnsi="宋体" w:cs="宋体"/>
                <w:sz w:val="24"/>
              </w:rPr>
            </w:pPr>
            <w:r>
              <w:rPr>
                <w:rFonts w:hint="eastAsia" w:ascii="宋体" w:hAnsi="宋体" w:cs="宋体"/>
                <w:sz w:val="24"/>
              </w:rPr>
              <w:t>评价情况</w:t>
            </w:r>
          </w:p>
        </w:tc>
        <w:tc>
          <w:tcPr>
            <w:tcW w:w="7287" w:type="dxa"/>
            <w:gridSpan w:val="3"/>
            <w:noWrap w:val="0"/>
            <w:vAlign w:val="center"/>
          </w:tcPr>
          <w:p>
            <w:pPr>
              <w:spacing w:line="360" w:lineRule="auto"/>
              <w:ind w:firstLine="480" w:firstLineChars="200"/>
              <w:rPr>
                <w:rFonts w:hint="eastAsia"/>
                <w:color w:val="auto"/>
                <w:sz w:val="24"/>
              </w:rPr>
            </w:pPr>
            <w:r>
              <w:rPr>
                <w:color w:val="auto"/>
                <w:sz w:val="24"/>
              </w:rPr>
              <w:t>2010年2月</w:t>
            </w:r>
            <w:r>
              <w:rPr>
                <w:rFonts w:hint="eastAsia"/>
                <w:color w:val="auto"/>
                <w:sz w:val="24"/>
              </w:rPr>
              <w:t>，</w:t>
            </w:r>
            <w:r>
              <w:rPr>
                <w:color w:val="auto"/>
                <w:sz w:val="24"/>
              </w:rPr>
              <w:t>安徽省科学技术咨询中心编制《</w:t>
            </w:r>
            <w:r>
              <w:rPr>
                <w:rFonts w:hint="eastAsia"/>
                <w:color w:val="auto"/>
                <w:sz w:val="24"/>
              </w:rPr>
              <w:t>淮南市东部工业区总体规划环境影响报告书</w:t>
            </w:r>
            <w:r>
              <w:rPr>
                <w:color w:val="auto"/>
                <w:sz w:val="24"/>
              </w:rPr>
              <w:t>》</w:t>
            </w:r>
            <w:r>
              <w:rPr>
                <w:rFonts w:hint="eastAsia"/>
                <w:color w:val="auto"/>
                <w:sz w:val="24"/>
              </w:rPr>
              <w:t>；</w:t>
            </w:r>
          </w:p>
          <w:p>
            <w:pPr>
              <w:spacing w:line="360" w:lineRule="auto"/>
              <w:ind w:firstLine="480" w:firstLineChars="200"/>
              <w:rPr>
                <w:rFonts w:hint="eastAsia"/>
                <w:color w:val="auto"/>
                <w:sz w:val="24"/>
              </w:rPr>
            </w:pPr>
            <w:r>
              <w:rPr>
                <w:rFonts w:hint="eastAsia"/>
                <w:color w:val="auto"/>
                <w:sz w:val="24"/>
              </w:rPr>
              <w:t>2010年6月17日，《关于淮南市东部工业区总体规划环境影响报告书的审查意见函》（淮环函[2010]130号）要求；</w:t>
            </w:r>
          </w:p>
          <w:p>
            <w:pPr>
              <w:spacing w:line="360" w:lineRule="auto"/>
              <w:ind w:firstLine="480" w:firstLineChars="200"/>
              <w:rPr>
                <w:rFonts w:hint="eastAsia"/>
                <w:color w:val="auto"/>
                <w:sz w:val="24"/>
              </w:rPr>
            </w:pPr>
            <w:r>
              <w:rPr>
                <w:rFonts w:hint="eastAsia"/>
                <w:color w:val="auto"/>
                <w:sz w:val="24"/>
              </w:rPr>
              <w:t>2020年编制了《淮南经济技术开发区总体规划环境影响报告书》；</w:t>
            </w:r>
          </w:p>
          <w:p>
            <w:pPr>
              <w:spacing w:line="360" w:lineRule="auto"/>
              <w:ind w:firstLine="480" w:firstLineChars="200"/>
              <w:jc w:val="left"/>
              <w:rPr>
                <w:rFonts w:ascii="宋体" w:hAnsi="宋体" w:cs="宋体"/>
                <w:color w:val="auto"/>
                <w:sz w:val="24"/>
              </w:rPr>
            </w:pPr>
            <w:r>
              <w:rPr>
                <w:rFonts w:hint="eastAsia"/>
                <w:color w:val="auto"/>
                <w:sz w:val="24"/>
              </w:rPr>
              <w:t>安徽省生态环境厅2020年8月4日“关于印发《淮南经济技术开发区总体发展规划环境影响跟踪评价报告书审核意见》的函”皖环函[2020]411号。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583" w:type="dxa"/>
            <w:noWrap w:val="0"/>
            <w:vAlign w:val="center"/>
          </w:tcPr>
          <w:p>
            <w:pPr>
              <w:autoSpaceDE w:val="0"/>
              <w:autoSpaceDN w:val="0"/>
              <w:adjustRightInd w:val="0"/>
              <w:snapToGrid w:val="0"/>
              <w:jc w:val="center"/>
              <w:rPr>
                <w:rFonts w:ascii="宋体" w:hAnsi="宋体" w:cs="宋体"/>
                <w:kern w:val="0"/>
                <w:sz w:val="24"/>
              </w:rPr>
            </w:pPr>
            <w:r>
              <w:rPr>
                <w:rFonts w:hint="eastAsia" w:ascii="宋体" w:hAnsi="宋体" w:cs="宋体"/>
                <w:kern w:val="0"/>
                <w:sz w:val="24"/>
              </w:rPr>
              <w:t>规划及规划环境影响评价符合性分析</w:t>
            </w:r>
          </w:p>
        </w:tc>
        <w:tc>
          <w:tcPr>
            <w:tcW w:w="7287" w:type="dxa"/>
            <w:gridSpan w:val="3"/>
            <w:noWrap w:val="0"/>
            <w:vAlign w:val="center"/>
          </w:tcPr>
          <w:p>
            <w:pPr>
              <w:spacing w:line="360" w:lineRule="auto"/>
              <w:ind w:firstLine="480" w:firstLineChars="200"/>
              <w:jc w:val="left"/>
              <w:rPr>
                <w:rFonts w:hint="eastAsia"/>
                <w:color w:val="FF0000"/>
                <w:kern w:val="0"/>
                <w:sz w:val="24"/>
              </w:rPr>
            </w:pPr>
            <w:r>
              <w:rPr>
                <w:rFonts w:hint="eastAsia"/>
                <w:color w:val="auto"/>
                <w:kern w:val="0"/>
                <w:sz w:val="24"/>
              </w:rPr>
              <w:t>1、与</w:t>
            </w:r>
            <w:r>
              <w:rPr>
                <w:color w:val="auto"/>
                <w:kern w:val="0"/>
                <w:sz w:val="24"/>
              </w:rPr>
              <w:t>《</w:t>
            </w:r>
            <w:r>
              <w:rPr>
                <w:rFonts w:hint="eastAsia"/>
                <w:color w:val="auto"/>
                <w:kern w:val="0"/>
                <w:sz w:val="24"/>
              </w:rPr>
              <w:t>淮南市东部工业区总体规划环境影响报告书</w:t>
            </w:r>
            <w:r>
              <w:rPr>
                <w:color w:val="auto"/>
                <w:kern w:val="0"/>
                <w:sz w:val="24"/>
              </w:rPr>
              <w:t>》</w:t>
            </w:r>
            <w:r>
              <w:rPr>
                <w:rFonts w:hint="eastAsia"/>
                <w:color w:val="auto"/>
                <w:kern w:val="0"/>
                <w:sz w:val="24"/>
              </w:rPr>
              <w:t>及其审查意见符合性分析</w:t>
            </w:r>
          </w:p>
          <w:p>
            <w:pPr>
              <w:spacing w:line="360" w:lineRule="auto"/>
              <w:ind w:firstLine="480" w:firstLineChars="200"/>
              <w:rPr>
                <w:color w:val="auto"/>
                <w:kern w:val="0"/>
                <w:sz w:val="24"/>
              </w:rPr>
            </w:pPr>
            <w:r>
              <w:rPr>
                <w:rFonts w:hint="eastAsia"/>
                <w:color w:val="auto"/>
                <w:kern w:val="0"/>
                <w:sz w:val="24"/>
              </w:rPr>
              <w:t>本项目属于</w:t>
            </w:r>
            <w:r>
              <w:rPr>
                <w:rFonts w:hint="eastAsia"/>
                <w:color w:val="auto"/>
                <w:sz w:val="24"/>
                <w:highlight w:val="none"/>
                <w:lang w:eastAsia="zh-CN"/>
              </w:rPr>
              <w:t>C4390其他机械和设备修理业、</w:t>
            </w:r>
            <w:r>
              <w:rPr>
                <w:rFonts w:hint="eastAsia"/>
                <w:color w:val="auto"/>
                <w:sz w:val="24"/>
                <w:highlight w:val="none"/>
                <w:lang w:val="en-US" w:eastAsia="zh-CN"/>
              </w:rPr>
              <w:t>C3360金属表面处理及热处理加工</w:t>
            </w:r>
            <w:r>
              <w:rPr>
                <w:rFonts w:hint="eastAsia"/>
                <w:color w:val="auto"/>
                <w:kern w:val="0"/>
                <w:sz w:val="24"/>
              </w:rPr>
              <w:t>，位于</w:t>
            </w:r>
            <w:r>
              <w:rPr>
                <w:rFonts w:hint="eastAsia" w:ascii="宋体" w:hAnsi="宋体" w:eastAsia="宋体" w:cs="宋体"/>
                <w:sz w:val="24"/>
                <w:lang w:val="en-US" w:eastAsia="zh-CN"/>
              </w:rPr>
              <w:t>淮南经济技术开发区农科路南侧</w:t>
            </w:r>
            <w:r>
              <w:rPr>
                <w:rFonts w:hint="eastAsia"/>
                <w:color w:val="auto"/>
                <w:kern w:val="0"/>
                <w:sz w:val="24"/>
              </w:rPr>
              <w:t>，</w:t>
            </w:r>
            <w:r>
              <w:rPr>
                <w:color w:val="auto"/>
                <w:kern w:val="0"/>
                <w:sz w:val="24"/>
              </w:rPr>
              <w:t>目前所处的地理位置、区位条件、主导产业特征以及未来淮南市总体的城市发展条件等，依托现状的产业基础，考虑城市产业升级和结构转型的总体要求，按照“以发展资金、技术密集型产业为主、以兴办高新技术企业和现代制造业为主、以生产出口创汇产品为主”的指导思想，确定</w:t>
            </w:r>
            <w:r>
              <w:rPr>
                <w:rFonts w:hint="eastAsia"/>
                <w:color w:val="auto"/>
                <w:kern w:val="0"/>
                <w:sz w:val="24"/>
                <w:lang w:eastAsia="zh-CN"/>
              </w:rPr>
              <w:t>淮南经济技术开发区</w:t>
            </w:r>
            <w:r>
              <w:rPr>
                <w:color w:val="auto"/>
                <w:kern w:val="0"/>
                <w:sz w:val="24"/>
              </w:rPr>
              <w:t>的六大主导产业为：</w:t>
            </w:r>
          </w:p>
          <w:p>
            <w:pPr>
              <w:spacing w:line="360" w:lineRule="auto"/>
              <w:ind w:firstLine="480" w:firstLineChars="200"/>
              <w:jc w:val="left"/>
              <w:rPr>
                <w:color w:val="auto"/>
                <w:kern w:val="0"/>
                <w:sz w:val="24"/>
              </w:rPr>
            </w:pPr>
            <w:r>
              <w:rPr>
                <w:color w:val="auto"/>
                <w:kern w:val="0"/>
                <w:sz w:val="24"/>
              </w:rPr>
              <w:t>（1）生物医药、（2）纺织服装、（3）化学工业、（4）机械电子与新型材料</w:t>
            </w:r>
            <w:r>
              <w:rPr>
                <w:rFonts w:hint="eastAsia"/>
                <w:color w:val="auto"/>
                <w:kern w:val="0"/>
                <w:sz w:val="24"/>
              </w:rPr>
              <w:t>、</w:t>
            </w:r>
            <w:r>
              <w:rPr>
                <w:color w:val="auto"/>
                <w:kern w:val="0"/>
                <w:sz w:val="24"/>
              </w:rPr>
              <w:t>（5）食品加工、（6）商贸流通。</w:t>
            </w:r>
          </w:p>
          <w:p>
            <w:pPr>
              <w:spacing w:line="360" w:lineRule="auto"/>
              <w:ind w:firstLine="480" w:firstLineChars="200"/>
              <w:jc w:val="left"/>
              <w:rPr>
                <w:color w:val="auto"/>
                <w:kern w:val="0"/>
                <w:sz w:val="24"/>
              </w:rPr>
            </w:pPr>
            <w:r>
              <w:rPr>
                <w:color w:val="auto"/>
                <w:kern w:val="0"/>
                <w:sz w:val="24"/>
              </w:rPr>
              <w:t>本项目</w:t>
            </w:r>
            <w:r>
              <w:rPr>
                <w:rFonts w:hint="eastAsia"/>
                <w:color w:val="auto"/>
                <w:kern w:val="0"/>
                <w:sz w:val="24"/>
              </w:rPr>
              <w:t>与审查意见符合性分析见下表</w:t>
            </w:r>
            <w:r>
              <w:rPr>
                <w:color w:val="auto"/>
                <w:kern w:val="0"/>
                <w:sz w:val="24"/>
              </w:rPr>
              <w:t>：</w:t>
            </w:r>
          </w:p>
          <w:p>
            <w:pPr>
              <w:spacing w:line="360" w:lineRule="auto"/>
              <w:jc w:val="center"/>
              <w:rPr>
                <w:rFonts w:hint="eastAsia"/>
                <w:b/>
                <w:color w:val="auto"/>
                <w:kern w:val="0"/>
                <w:szCs w:val="21"/>
              </w:rPr>
            </w:pPr>
          </w:p>
          <w:p>
            <w:pPr>
              <w:spacing w:line="360" w:lineRule="auto"/>
              <w:jc w:val="center"/>
              <w:rPr>
                <w:rFonts w:hint="eastAsia"/>
                <w:b/>
                <w:color w:val="auto"/>
                <w:kern w:val="0"/>
                <w:szCs w:val="21"/>
              </w:rPr>
            </w:pPr>
            <w:r>
              <w:rPr>
                <w:rFonts w:hint="eastAsia"/>
                <w:b/>
                <w:color w:val="auto"/>
                <w:kern w:val="0"/>
                <w:szCs w:val="21"/>
              </w:rPr>
              <w:t>表1-1 与区域规划环评及审查意见符合性分析</w:t>
            </w:r>
          </w:p>
          <w:tbl>
            <w:tblPr>
              <w:tblStyle w:val="2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4"/>
              <w:gridCol w:w="3320"/>
              <w:gridCol w:w="2919"/>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jc w:val="center"/>
              </w:trPr>
              <w:tc>
                <w:tcPr>
                  <w:tcW w:w="20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序号</w:t>
                  </w:r>
                </w:p>
              </w:tc>
              <w:tc>
                <w:tcPr>
                  <w:tcW w:w="2352"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淮南经济技术开发区规划环评及审查意见</w:t>
                  </w:r>
                </w:p>
              </w:tc>
              <w:tc>
                <w:tcPr>
                  <w:tcW w:w="206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拟建项目基本情况</w:t>
                  </w:r>
                </w:p>
              </w:tc>
              <w:tc>
                <w:tcPr>
                  <w:tcW w:w="371"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0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1</w:t>
                  </w:r>
                </w:p>
              </w:tc>
              <w:tc>
                <w:tcPr>
                  <w:tcW w:w="2352"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淮南开发区规划建设范围是：东至中兴路高压廊道西侧，南至合阜铁路、西至建兴路西侧-建设路西侧、北至电厂路南侧范围内的符合淮南市土地利用总体规划（2006-2020年）允许建设用地范围。</w:t>
                  </w:r>
                </w:p>
              </w:tc>
              <w:tc>
                <w:tcPr>
                  <w:tcW w:w="206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本项目在淮南经济技术开发区规划范围内。</w:t>
                  </w:r>
                </w:p>
              </w:tc>
              <w:tc>
                <w:tcPr>
                  <w:tcW w:w="371"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0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2</w:t>
                  </w:r>
                </w:p>
              </w:tc>
              <w:tc>
                <w:tcPr>
                  <w:tcW w:w="2352"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明确开发区环境保护的总体要求。开发区建设须坚持环境效益、经济效益和社会效益相统一的原则，按循环经济理念和清洁生产原则指导开发区建设，促进开发区可持续发展。</w:t>
                  </w:r>
                </w:p>
              </w:tc>
              <w:tc>
                <w:tcPr>
                  <w:tcW w:w="206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本项目建设满足环境效益、经济效益和社会效益相统一，满足清洁生产要求。</w:t>
                  </w:r>
                </w:p>
              </w:tc>
              <w:tc>
                <w:tcPr>
                  <w:tcW w:w="371"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0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3</w:t>
                  </w:r>
                </w:p>
              </w:tc>
              <w:tc>
                <w:tcPr>
                  <w:tcW w:w="2352"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按照开发区产业功能定位，进一步优化开发区内产业结构，严格限制非开发区产业定位方向的项目入区建设，国家产业政策、技术政策和环保法律法规政策明令禁止的项目不得入区建设。</w:t>
                  </w:r>
                </w:p>
              </w:tc>
              <w:tc>
                <w:tcPr>
                  <w:tcW w:w="206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 w:val="21"/>
                      <w:szCs w:val="21"/>
                    </w:rPr>
                    <w:t>拟建项目对照《产业结构调整指导目录2019年本）》，</w:t>
                  </w:r>
                  <w:r>
                    <w:rPr>
                      <w:rFonts w:hint="eastAsia" w:ascii="Times New Roman" w:hAnsi="Times New Roman" w:eastAsia="宋体" w:cs="Times New Roman"/>
                      <w:bCs/>
                      <w:color w:val="auto"/>
                      <w:sz w:val="21"/>
                      <w:szCs w:val="21"/>
                    </w:rPr>
                    <w:t>本项目不属于鼓励类、限制类、淘汰类项目，</w:t>
                  </w:r>
                  <w:r>
                    <w:rPr>
                      <w:rFonts w:hint="eastAsia" w:ascii="Times New Roman" w:hAnsi="Times New Roman" w:eastAsia="宋体" w:cs="Times New Roman"/>
                      <w:bCs/>
                      <w:color w:val="auto"/>
                      <w:sz w:val="21"/>
                      <w:szCs w:val="21"/>
                      <w:lang w:eastAsia="zh-CN"/>
                    </w:rPr>
                    <w:t>视为</w:t>
                  </w:r>
                  <w:r>
                    <w:rPr>
                      <w:rFonts w:hint="eastAsia" w:ascii="Times New Roman" w:hAnsi="Times New Roman" w:eastAsia="宋体" w:cs="Times New Roman"/>
                      <w:bCs/>
                      <w:color w:val="auto"/>
                      <w:sz w:val="21"/>
                      <w:szCs w:val="21"/>
                    </w:rPr>
                    <w:t>允许类项目</w:t>
                  </w:r>
                  <w:r>
                    <w:rPr>
                      <w:rFonts w:hint="eastAsia"/>
                      <w:bCs/>
                      <w:color w:val="auto"/>
                      <w:sz w:val="21"/>
                      <w:szCs w:val="21"/>
                    </w:rPr>
                    <w:t>，</w:t>
                  </w:r>
                  <w:r>
                    <w:rPr>
                      <w:spacing w:val="-6"/>
                      <w:sz w:val="21"/>
                      <w:szCs w:val="21"/>
                    </w:rPr>
                    <w:t>本项目无淘汰落后生产工艺、设备和产品。</w:t>
                  </w:r>
                  <w:r>
                    <w:rPr>
                      <w:rFonts w:hint="eastAsia"/>
                      <w:bCs/>
                      <w:color w:val="auto"/>
                      <w:sz w:val="21"/>
                      <w:szCs w:val="21"/>
                    </w:rPr>
                    <w:t>符合国家产业政策。属于淮南经济</w:t>
                  </w:r>
                  <w:r>
                    <w:rPr>
                      <w:rFonts w:hint="eastAsia"/>
                      <w:bCs/>
                      <w:color w:val="auto"/>
                      <w:sz w:val="21"/>
                      <w:szCs w:val="21"/>
                      <w:lang w:eastAsia="zh-CN"/>
                    </w:rPr>
                    <w:t>技术</w:t>
                  </w:r>
                  <w:r>
                    <w:rPr>
                      <w:rFonts w:hint="eastAsia"/>
                      <w:bCs/>
                      <w:color w:val="auto"/>
                      <w:sz w:val="21"/>
                      <w:szCs w:val="21"/>
                    </w:rPr>
                    <w:t>开发区产业定位中允许类产业。</w:t>
                  </w:r>
                </w:p>
              </w:tc>
              <w:tc>
                <w:tcPr>
                  <w:tcW w:w="371"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jc w:val="center"/>
              </w:trPr>
              <w:tc>
                <w:tcPr>
                  <w:tcW w:w="20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4</w:t>
                  </w:r>
                </w:p>
              </w:tc>
              <w:tc>
                <w:tcPr>
                  <w:tcW w:w="2352"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加快环保基础设施建设，确保污染物达标排放。开发区实行雨污分流，加快污水管网等配套工程建设进度，完善环保基础设施，在污水处理厂投入运行前，所有入区的工业企业污水必须达标排放；污水处理厂投入运行后，工业企业污水须达到接管标准。进一步做好开发区的集中供热的论证工作，尽可能使用清洁燃料，逐步替代开发区内现有燃煤锅炉，减少大气污染物排放。开发区内危险废物的收集、贮存应符合《危险废物贮存污染控制标准》（GB18597-2001）的规定要求。声环境执行相应功能区标准，施工期噪声执行《建筑施工场界环境噪声排放标准》（GB12523-2011）中有关规定。</w:t>
                  </w:r>
                </w:p>
              </w:tc>
              <w:tc>
                <w:tcPr>
                  <w:tcW w:w="2068" w:type="pct"/>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bCs/>
                      <w:color w:val="auto"/>
                      <w:szCs w:val="21"/>
                    </w:rPr>
                  </w:pPr>
                  <w:r>
                    <w:rPr>
                      <w:rFonts w:hint="eastAsia"/>
                      <w:bCs/>
                      <w:color w:val="auto"/>
                      <w:szCs w:val="21"/>
                    </w:rPr>
                    <w:t>项目实施雨污分流，项目废水满足淮南经济技术开发区工业污水处理厂接管标准后排入市政污水管网。</w:t>
                  </w:r>
                </w:p>
                <w:p>
                  <w:pPr>
                    <w:jc w:val="center"/>
                    <w:rPr>
                      <w:rFonts w:hint="eastAsia"/>
                      <w:bCs/>
                      <w:color w:val="auto"/>
                      <w:szCs w:val="21"/>
                    </w:rPr>
                  </w:pPr>
                  <w:r>
                    <w:rPr>
                      <w:rFonts w:hint="eastAsia"/>
                      <w:bCs/>
                      <w:color w:val="auto"/>
                      <w:szCs w:val="21"/>
                    </w:rPr>
                    <w:t>项目危险废物的收集、贮存符合《危险废物贮存污染控制标准》（GB18597-2001）及2013年修改单中的规定要求。声环境执行《声环境质量标准》（GB3096-2008）中3类区标准。</w:t>
                  </w:r>
                </w:p>
              </w:tc>
              <w:tc>
                <w:tcPr>
                  <w:tcW w:w="371"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jc w:val="center"/>
              </w:trPr>
              <w:tc>
                <w:tcPr>
                  <w:tcW w:w="20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5</w:t>
                  </w:r>
                </w:p>
              </w:tc>
              <w:tc>
                <w:tcPr>
                  <w:tcW w:w="2352"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开发区在开发建设过程中，要采取措施防止扬尘与水土流失，加强开发区内生态环境建设</w:t>
                  </w:r>
                </w:p>
              </w:tc>
              <w:tc>
                <w:tcPr>
                  <w:tcW w:w="206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lang w:val="en-US" w:eastAsia="zh-CN"/>
                    </w:rPr>
                    <w:t>根据现场查勘</w:t>
                  </w:r>
                  <w:r>
                    <w:rPr>
                      <w:rFonts w:hint="eastAsia"/>
                      <w:bCs/>
                      <w:color w:val="auto"/>
                      <w:szCs w:val="21"/>
                    </w:rPr>
                    <w:t>本项目</w:t>
                  </w:r>
                  <w:r>
                    <w:rPr>
                      <w:rFonts w:hint="eastAsia"/>
                      <w:bCs/>
                      <w:color w:val="auto"/>
                      <w:szCs w:val="21"/>
                      <w:lang w:val="en-US" w:eastAsia="zh-CN"/>
                    </w:rPr>
                    <w:t>施工期已结束</w:t>
                  </w:r>
                </w:p>
              </w:tc>
              <w:tc>
                <w:tcPr>
                  <w:tcW w:w="371"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jc w:val="center"/>
              </w:trPr>
              <w:tc>
                <w:tcPr>
                  <w:tcW w:w="20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eastAsia="宋体"/>
                      <w:bCs/>
                      <w:color w:val="auto"/>
                      <w:szCs w:val="21"/>
                      <w:lang w:eastAsia="zh-CN"/>
                    </w:rPr>
                  </w:pPr>
                  <w:r>
                    <w:rPr>
                      <w:rFonts w:hint="eastAsia"/>
                      <w:bCs/>
                      <w:color w:val="auto"/>
                      <w:szCs w:val="21"/>
                      <w:lang w:val="en-US" w:eastAsia="zh-CN"/>
                    </w:rPr>
                    <w:t>6</w:t>
                  </w:r>
                </w:p>
              </w:tc>
              <w:tc>
                <w:tcPr>
                  <w:tcW w:w="2352"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加强开发区环境监督管理，开发区内所有建设项目，要认真履行有关环境保护法律法规，严格执行建设项目环境影响评价制度和环境保护“三同时”制度。</w:t>
                  </w:r>
                </w:p>
              </w:tc>
              <w:tc>
                <w:tcPr>
                  <w:tcW w:w="206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本项目按要求执行环境影响评价制度和环境保护“三同时”制度。</w:t>
                  </w:r>
                </w:p>
              </w:tc>
              <w:tc>
                <w:tcPr>
                  <w:tcW w:w="371"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Cs/>
                      <w:color w:val="auto"/>
                      <w:szCs w:val="21"/>
                    </w:rPr>
                  </w:pPr>
                  <w:r>
                    <w:rPr>
                      <w:rFonts w:hint="eastAsia"/>
                      <w:bCs/>
                      <w:color w:val="auto"/>
                      <w:szCs w:val="21"/>
                    </w:rPr>
                    <w:t>符合</w:t>
                  </w:r>
                </w:p>
              </w:tc>
            </w:tr>
          </w:tbl>
          <w:p>
            <w:pPr>
              <w:spacing w:line="360" w:lineRule="auto"/>
              <w:ind w:firstLine="480" w:firstLineChars="200"/>
              <w:rPr>
                <w:rFonts w:hint="eastAsia"/>
                <w:color w:val="auto"/>
                <w:sz w:val="24"/>
              </w:rPr>
            </w:pPr>
            <w:r>
              <w:rPr>
                <w:rFonts w:hint="eastAsia"/>
                <w:color w:val="auto"/>
                <w:sz w:val="24"/>
              </w:rPr>
              <w:t>2、与《淮南经济技术开发区规划环境影响跟踪评价报告书》及其审查意见相符性分析</w:t>
            </w:r>
          </w:p>
          <w:p>
            <w:pPr>
              <w:spacing w:line="360" w:lineRule="auto"/>
              <w:ind w:firstLine="480" w:firstLineChars="200"/>
              <w:rPr>
                <w:color w:val="auto"/>
                <w:sz w:val="24"/>
              </w:rPr>
            </w:pPr>
            <w:r>
              <w:rPr>
                <w:color w:val="auto"/>
                <w:sz w:val="24"/>
              </w:rPr>
              <w:t>实施五年以上的产业园区，规划编制部门应组织开展环境影响的跟踪评价，</w:t>
            </w:r>
            <w:r>
              <w:rPr>
                <w:rFonts w:hint="eastAsia"/>
                <w:color w:val="auto"/>
                <w:sz w:val="24"/>
              </w:rPr>
              <w:t>淮南经济</w:t>
            </w:r>
            <w:r>
              <w:rPr>
                <w:color w:val="auto"/>
                <w:sz w:val="24"/>
              </w:rPr>
              <w:t>技术开发区管委会于2020年3月23日委托安徽锦程安环科技发展有限公司开展规划的环境影响跟踪评价工作，2020年8月4日安徽省生态环境厅以皖环函[2020]411号文件对《</w:t>
            </w:r>
            <w:r>
              <w:rPr>
                <w:rFonts w:hint="eastAsia"/>
                <w:color w:val="auto"/>
                <w:sz w:val="24"/>
              </w:rPr>
              <w:t>淮南经济</w:t>
            </w:r>
            <w:r>
              <w:rPr>
                <w:color w:val="auto"/>
                <w:sz w:val="24"/>
              </w:rPr>
              <w:t>技术开发区规划环境影响跟踪评价报告书》出具了审核意见的函。</w:t>
            </w:r>
          </w:p>
          <w:p>
            <w:pPr>
              <w:spacing w:line="360" w:lineRule="auto"/>
              <w:ind w:firstLine="480" w:firstLineChars="200"/>
              <w:rPr>
                <w:rFonts w:hint="eastAsia"/>
                <w:color w:val="auto"/>
                <w:sz w:val="24"/>
              </w:rPr>
            </w:pPr>
            <w:r>
              <w:rPr>
                <w:color w:val="auto"/>
                <w:sz w:val="24"/>
              </w:rPr>
              <w:t>根据《</w:t>
            </w:r>
            <w:r>
              <w:rPr>
                <w:rFonts w:hint="eastAsia"/>
                <w:color w:val="auto"/>
                <w:sz w:val="24"/>
              </w:rPr>
              <w:t>淮南经济</w:t>
            </w:r>
            <w:r>
              <w:rPr>
                <w:color w:val="auto"/>
                <w:sz w:val="24"/>
              </w:rPr>
              <w:t>技术开发区规划环境影响跟踪评价报告书》，</w:t>
            </w:r>
            <w:r>
              <w:rPr>
                <w:rFonts w:hint="eastAsia"/>
                <w:color w:val="auto"/>
                <w:sz w:val="24"/>
                <w:lang w:eastAsia="zh-CN"/>
              </w:rPr>
              <w:t>淮南经济技术开发区</w:t>
            </w:r>
            <w:r>
              <w:rPr>
                <w:color w:val="auto"/>
                <w:sz w:val="24"/>
              </w:rPr>
              <w:t>规划主导产业现状以机械电子与新型材料为主导，生物医药、纺织服装、化学工业、食品加工、商贸物流为辅的产业格局，现状及规划主导产业基本符合《安徽省主体功能区规划》中主体功能定位要求。</w:t>
            </w:r>
            <w:r>
              <w:rPr>
                <w:rFonts w:hint="eastAsia"/>
                <w:color w:val="auto"/>
                <w:sz w:val="24"/>
              </w:rPr>
              <w:t>项目于其符合性分析见下表：</w:t>
            </w:r>
          </w:p>
          <w:p>
            <w:pPr>
              <w:spacing w:line="360" w:lineRule="auto"/>
              <w:jc w:val="center"/>
              <w:rPr>
                <w:b/>
                <w:color w:val="auto"/>
                <w:szCs w:val="21"/>
              </w:rPr>
            </w:pPr>
            <w:r>
              <w:rPr>
                <w:b/>
                <w:color w:val="auto"/>
                <w:szCs w:val="21"/>
              </w:rPr>
              <w:t>表</w:t>
            </w:r>
            <w:r>
              <w:rPr>
                <w:rFonts w:hint="eastAsia"/>
                <w:b/>
                <w:color w:val="auto"/>
                <w:szCs w:val="21"/>
              </w:rPr>
              <w:t>1-2</w:t>
            </w:r>
            <w:r>
              <w:rPr>
                <w:b/>
                <w:color w:val="auto"/>
                <w:szCs w:val="21"/>
              </w:rPr>
              <w:t>与区域规划环境影响跟踪评价及审查意见符合性分析</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19"/>
              <w:gridCol w:w="3870"/>
              <w:gridCol w:w="1817"/>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pct"/>
                  <w:noWrap w:val="0"/>
                  <w:vAlign w:val="center"/>
                </w:tcPr>
                <w:p>
                  <w:pPr>
                    <w:widowControl/>
                    <w:jc w:val="center"/>
                    <w:rPr>
                      <w:color w:val="auto"/>
                      <w:szCs w:val="21"/>
                    </w:rPr>
                  </w:pPr>
                  <w:r>
                    <w:rPr>
                      <w:color w:val="auto"/>
                      <w:szCs w:val="21"/>
                    </w:rPr>
                    <w:t>序号</w:t>
                  </w:r>
                </w:p>
              </w:tc>
              <w:tc>
                <w:tcPr>
                  <w:tcW w:w="2739" w:type="pct"/>
                  <w:noWrap w:val="0"/>
                  <w:vAlign w:val="center"/>
                </w:tcPr>
                <w:p>
                  <w:pPr>
                    <w:widowControl/>
                    <w:jc w:val="center"/>
                    <w:rPr>
                      <w:color w:val="auto"/>
                      <w:szCs w:val="21"/>
                    </w:rPr>
                  </w:pPr>
                  <w:r>
                    <w:rPr>
                      <w:rFonts w:hint="eastAsia"/>
                      <w:color w:val="auto"/>
                      <w:szCs w:val="21"/>
                      <w:lang w:eastAsia="zh-CN"/>
                    </w:rPr>
                    <w:t>淮南经济技术开发区</w:t>
                  </w:r>
                  <w:r>
                    <w:rPr>
                      <w:color w:val="auto"/>
                      <w:szCs w:val="21"/>
                    </w:rPr>
                    <w:t>规划规划环境影响跟踪评价及审查意见</w:t>
                  </w:r>
                </w:p>
              </w:tc>
              <w:tc>
                <w:tcPr>
                  <w:tcW w:w="1286" w:type="pct"/>
                  <w:noWrap w:val="0"/>
                  <w:vAlign w:val="center"/>
                </w:tcPr>
                <w:p>
                  <w:pPr>
                    <w:widowControl/>
                    <w:jc w:val="center"/>
                    <w:rPr>
                      <w:color w:val="auto"/>
                      <w:szCs w:val="21"/>
                    </w:rPr>
                  </w:pPr>
                  <w:r>
                    <w:rPr>
                      <w:color w:val="auto"/>
                      <w:szCs w:val="21"/>
                    </w:rPr>
                    <w:t>拟建项目基本情况</w:t>
                  </w:r>
                </w:p>
              </w:tc>
              <w:tc>
                <w:tcPr>
                  <w:tcW w:w="534" w:type="pct"/>
                  <w:noWrap w:val="0"/>
                  <w:vAlign w:val="center"/>
                </w:tcPr>
                <w:p>
                  <w:pPr>
                    <w:widowControl/>
                    <w:jc w:val="center"/>
                    <w:rPr>
                      <w:color w:val="auto"/>
                      <w:szCs w:val="21"/>
                    </w:rPr>
                  </w:pPr>
                  <w:r>
                    <w:rPr>
                      <w:color w:val="auto"/>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38" w:type="pct"/>
                  <w:noWrap w:val="0"/>
                  <w:vAlign w:val="center"/>
                </w:tcPr>
                <w:p>
                  <w:pPr>
                    <w:widowControl/>
                    <w:jc w:val="center"/>
                    <w:rPr>
                      <w:color w:val="auto"/>
                      <w:szCs w:val="21"/>
                    </w:rPr>
                  </w:pPr>
                  <w:r>
                    <w:rPr>
                      <w:color w:val="auto"/>
                      <w:szCs w:val="21"/>
                    </w:rPr>
                    <w:t>1</w:t>
                  </w:r>
                </w:p>
              </w:tc>
              <w:tc>
                <w:tcPr>
                  <w:tcW w:w="2739" w:type="pct"/>
                  <w:noWrap w:val="0"/>
                  <w:vAlign w:val="center"/>
                </w:tcPr>
                <w:p>
                  <w:pPr>
                    <w:widowControl/>
                    <w:jc w:val="center"/>
                    <w:rPr>
                      <w:color w:val="auto"/>
                      <w:szCs w:val="21"/>
                    </w:rPr>
                  </w:pPr>
                  <w:r>
                    <w:rPr>
                      <w:color w:val="auto"/>
                      <w:szCs w:val="21"/>
                    </w:rPr>
                    <w:t>组织开展规划环评编制，鉴于开发区现行规划未开展规划环评报生态环境部审查，建议开发区结合淮南市国土空间规划编制，重新组织开展区域总体发展规划编制，并同步开展规划环评报生态环境部审查。</w:t>
                  </w:r>
                </w:p>
              </w:tc>
              <w:tc>
                <w:tcPr>
                  <w:tcW w:w="1286" w:type="pct"/>
                  <w:tcBorders>
                    <w:bottom w:val="single" w:color="auto" w:sz="4" w:space="0"/>
                  </w:tcBorders>
                  <w:noWrap w:val="0"/>
                  <w:vAlign w:val="center"/>
                </w:tcPr>
                <w:p>
                  <w:pPr>
                    <w:widowControl/>
                    <w:jc w:val="center"/>
                    <w:rPr>
                      <w:color w:val="auto"/>
                      <w:szCs w:val="21"/>
                    </w:rPr>
                  </w:pPr>
                  <w:r>
                    <w:rPr>
                      <w:color w:val="auto"/>
                      <w:szCs w:val="21"/>
                    </w:rPr>
                    <w:t>本项目的环评</w:t>
                  </w:r>
                  <w:r>
                    <w:rPr>
                      <w:rFonts w:hint="eastAsia"/>
                      <w:color w:val="auto"/>
                      <w:szCs w:val="21"/>
                    </w:rPr>
                    <w:t>为新建环评</w:t>
                  </w:r>
                  <w:r>
                    <w:rPr>
                      <w:color w:val="auto"/>
                      <w:szCs w:val="21"/>
                    </w:rPr>
                    <w:t>，本项目参照开发区规划部门与结合淮南市国土空间规划，按照国家有关规定，履行环境影响评价手续；</w:t>
                  </w:r>
                </w:p>
              </w:tc>
              <w:tc>
                <w:tcPr>
                  <w:tcW w:w="534" w:type="pct"/>
                  <w:noWrap w:val="0"/>
                  <w:vAlign w:val="center"/>
                </w:tcPr>
                <w:p>
                  <w:pPr>
                    <w:widowControl/>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pct"/>
                  <w:noWrap w:val="0"/>
                  <w:vAlign w:val="center"/>
                </w:tcPr>
                <w:p>
                  <w:pPr>
                    <w:widowControl/>
                    <w:jc w:val="center"/>
                    <w:rPr>
                      <w:color w:val="auto"/>
                      <w:szCs w:val="21"/>
                    </w:rPr>
                  </w:pPr>
                  <w:r>
                    <w:rPr>
                      <w:color w:val="auto"/>
                      <w:szCs w:val="21"/>
                    </w:rPr>
                    <w:t>2</w:t>
                  </w:r>
                </w:p>
              </w:tc>
              <w:tc>
                <w:tcPr>
                  <w:tcW w:w="2739" w:type="pct"/>
                  <w:tcBorders>
                    <w:bottom w:val="single" w:color="auto" w:sz="4" w:space="0"/>
                  </w:tcBorders>
                  <w:noWrap w:val="0"/>
                  <w:vAlign w:val="center"/>
                </w:tcPr>
                <w:p>
                  <w:pPr>
                    <w:widowControl/>
                    <w:jc w:val="center"/>
                    <w:rPr>
                      <w:color w:val="auto"/>
                      <w:szCs w:val="21"/>
                    </w:rPr>
                  </w:pPr>
                  <w:r>
                    <w:rPr>
                      <w:color w:val="auto"/>
                      <w:szCs w:val="21"/>
                    </w:rPr>
                    <w:t>完善环境基础设施建设。加快中水回用规划实施，做好管网等配套措施建设，提高中水回用率，完善雨污管网分流改造；现有燃煤工业炉窑不得扩大规模，并实施安徽省大气特别排放限值达标改造。</w:t>
                  </w:r>
                </w:p>
              </w:tc>
              <w:tc>
                <w:tcPr>
                  <w:tcW w:w="1286" w:type="pct"/>
                  <w:tcBorders>
                    <w:top w:val="single" w:color="auto" w:sz="4" w:space="0"/>
                    <w:bottom w:val="single" w:color="auto" w:sz="4" w:space="0"/>
                  </w:tcBorders>
                  <w:noWrap w:val="0"/>
                  <w:vAlign w:val="center"/>
                </w:tcPr>
                <w:p>
                  <w:pPr>
                    <w:widowControl/>
                    <w:jc w:val="center"/>
                    <w:rPr>
                      <w:rFonts w:hint="eastAsia"/>
                      <w:color w:val="auto"/>
                      <w:szCs w:val="21"/>
                    </w:rPr>
                  </w:pPr>
                  <w:r>
                    <w:rPr>
                      <w:color w:val="auto"/>
                      <w:szCs w:val="21"/>
                    </w:rPr>
                    <w:t>本项目实施雨污分流；</w:t>
                  </w:r>
                  <w:r>
                    <w:rPr>
                      <w:rFonts w:hint="eastAsia"/>
                      <w:color w:val="auto"/>
                      <w:szCs w:val="21"/>
                    </w:rPr>
                    <w:t>项目不使用煤炭作为燃料</w:t>
                  </w:r>
                </w:p>
              </w:tc>
              <w:tc>
                <w:tcPr>
                  <w:tcW w:w="534" w:type="pct"/>
                  <w:noWrap w:val="0"/>
                  <w:vAlign w:val="center"/>
                </w:tcPr>
                <w:p>
                  <w:pPr>
                    <w:widowControl/>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pct"/>
                  <w:noWrap w:val="0"/>
                  <w:vAlign w:val="center"/>
                </w:tcPr>
                <w:p>
                  <w:pPr>
                    <w:widowControl/>
                    <w:jc w:val="center"/>
                    <w:rPr>
                      <w:color w:val="auto"/>
                      <w:szCs w:val="21"/>
                    </w:rPr>
                  </w:pPr>
                  <w:r>
                    <w:rPr>
                      <w:color w:val="auto"/>
                      <w:szCs w:val="21"/>
                    </w:rPr>
                    <w:t>3</w:t>
                  </w:r>
                </w:p>
              </w:tc>
              <w:tc>
                <w:tcPr>
                  <w:tcW w:w="2739" w:type="pct"/>
                  <w:tcBorders>
                    <w:top w:val="single" w:color="auto" w:sz="4" w:space="0"/>
                    <w:bottom w:val="single" w:color="auto" w:sz="4" w:space="0"/>
                  </w:tcBorders>
                  <w:noWrap w:val="0"/>
                  <w:vAlign w:val="center"/>
                </w:tcPr>
                <w:p>
                  <w:pPr>
                    <w:widowControl/>
                    <w:jc w:val="center"/>
                    <w:rPr>
                      <w:color w:val="auto"/>
                      <w:szCs w:val="21"/>
                    </w:rPr>
                  </w:pPr>
                  <w:r>
                    <w:rPr>
                      <w:color w:val="auto"/>
                      <w:szCs w:val="21"/>
                    </w:rPr>
                    <w:t>强化区域环境质量改善。以改善区域环境质量为核心，细化开发区“三线一单”并落实。进一步削减现有项目大气污染物排放，提高尾水回用率、降低生产废水排放量，加大地下水和土壤防护力度。</w:t>
                  </w:r>
                </w:p>
              </w:tc>
              <w:tc>
                <w:tcPr>
                  <w:tcW w:w="1286" w:type="pct"/>
                  <w:tcBorders>
                    <w:top w:val="single" w:color="auto" w:sz="4" w:space="0"/>
                    <w:bottom w:val="single" w:color="auto" w:sz="4" w:space="0"/>
                  </w:tcBorders>
                  <w:noWrap w:val="0"/>
                  <w:vAlign w:val="center"/>
                </w:tcPr>
                <w:p>
                  <w:pPr>
                    <w:widowControl/>
                    <w:jc w:val="center"/>
                    <w:rPr>
                      <w:color w:val="auto"/>
                      <w:szCs w:val="21"/>
                    </w:rPr>
                  </w:pPr>
                  <w:r>
                    <w:rPr>
                      <w:color w:val="auto"/>
                      <w:szCs w:val="21"/>
                    </w:rPr>
                    <w:t>项目全面</w:t>
                  </w:r>
                  <w:r>
                    <w:rPr>
                      <w:rFonts w:hint="eastAsia"/>
                      <w:color w:val="auto"/>
                      <w:szCs w:val="21"/>
                      <w:lang w:eastAsia="zh-CN"/>
                    </w:rPr>
                    <w:t>落实</w:t>
                  </w:r>
                  <w:r>
                    <w:rPr>
                      <w:color w:val="auto"/>
                      <w:szCs w:val="21"/>
                    </w:rPr>
                    <w:t>大气污染防治防范措施，实施清洁生产</w:t>
                  </w:r>
                  <w:r>
                    <w:rPr>
                      <w:rFonts w:hint="eastAsia"/>
                      <w:color w:val="auto"/>
                      <w:szCs w:val="21"/>
                    </w:rPr>
                    <w:t>无生产废水外排</w:t>
                  </w:r>
                  <w:r>
                    <w:rPr>
                      <w:color w:val="auto"/>
                      <w:szCs w:val="21"/>
                    </w:rPr>
                    <w:t>，采取分区防渗保护措施</w:t>
                  </w:r>
                </w:p>
              </w:tc>
              <w:tc>
                <w:tcPr>
                  <w:tcW w:w="534" w:type="pct"/>
                  <w:noWrap w:val="0"/>
                  <w:vAlign w:val="center"/>
                </w:tcPr>
                <w:p>
                  <w:pPr>
                    <w:widowControl/>
                    <w:jc w:val="center"/>
                    <w:rPr>
                      <w:color w:val="auto"/>
                      <w:szCs w:val="21"/>
                    </w:rPr>
                  </w:pPr>
                  <w:r>
                    <w:rPr>
                      <w:color w:val="auto"/>
                      <w:szCs w:val="21"/>
                    </w:rPr>
                    <w:t>符合</w:t>
                  </w:r>
                </w:p>
              </w:tc>
            </w:tr>
          </w:tbl>
          <w:p>
            <w:pPr>
              <w:pStyle w:val="15"/>
              <w:spacing w:line="360" w:lineRule="auto"/>
              <w:ind w:firstLine="480" w:firstLineChars="200"/>
              <w:rPr>
                <w:rFonts w:hint="eastAsia"/>
                <w:color w:val="auto"/>
                <w:kern w:val="2"/>
                <w:sz w:val="24"/>
                <w:szCs w:val="24"/>
                <w:lang w:val="en-US" w:eastAsia="zh-CN"/>
              </w:rPr>
            </w:pPr>
            <w:r>
              <w:rPr>
                <w:rFonts w:hint="eastAsia"/>
                <w:color w:val="auto"/>
                <w:kern w:val="2"/>
                <w:sz w:val="24"/>
                <w:szCs w:val="24"/>
                <w:lang w:val="en-US" w:eastAsia="zh-CN"/>
              </w:rPr>
              <w:t>根据按照淮南经济技术开发区划确定的主导产业发展方向，遵循循环经济理念和生态工业园区的要求，大力引进和发展低污染企业。在开发区今后发展中，要始终按照开发区规划确定的主导产业发展方向的要求，改造现有产业，同时限制浪费资源、污染环境的产业发展。本次跟踪评价结合区域态保护红线、环境质量底线、资源利用上线、环境影响等综合考虑，提出开发区产业准入负面清单，具体见下表。在后续发展过程中，可按照国家、安徽省和淮南市最新的产业政策和规划，对产业发展环境准入负面清单及准入清单进行动态更新。</w:t>
            </w:r>
          </w:p>
          <w:p>
            <w:pPr>
              <w:pStyle w:val="16"/>
              <w:jc w:val="center"/>
              <w:rPr>
                <w:rFonts w:ascii="Times New Roman" w:hAnsi="Times New Roman"/>
                <w:color w:val="auto"/>
              </w:rPr>
            </w:pPr>
            <w:r>
              <w:rPr>
                <w:rFonts w:ascii="Times New Roman" w:hAnsi="Times New Roman"/>
                <w:b/>
                <w:color w:val="auto"/>
                <w:szCs w:val="21"/>
              </w:rPr>
              <w:t>表1-</w:t>
            </w:r>
            <w:r>
              <w:rPr>
                <w:rFonts w:hint="eastAsia" w:ascii="Times New Roman" w:hAnsi="Times New Roman"/>
                <w:b/>
                <w:color w:val="auto"/>
                <w:szCs w:val="21"/>
              </w:rPr>
              <w:t>3</w:t>
            </w:r>
            <w:r>
              <w:rPr>
                <w:rFonts w:ascii="Times New Roman" w:hAnsi="Times New Roman"/>
                <w:b/>
                <w:color w:val="auto"/>
                <w:szCs w:val="21"/>
              </w:rPr>
              <w:t xml:space="preserve">   开发区产业准入负面清单</w:t>
            </w:r>
          </w:p>
          <w:tbl>
            <w:tblPr>
              <w:tblStyle w:val="2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822"/>
              <w:gridCol w:w="5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trPr>
              <w:tc>
                <w:tcPr>
                  <w:tcW w:w="478" w:type="pct"/>
                  <w:noWrap w:val="0"/>
                  <w:vAlign w:val="center"/>
                </w:tcPr>
                <w:p>
                  <w:pPr>
                    <w:widowControl/>
                    <w:jc w:val="center"/>
                    <w:rPr>
                      <w:color w:val="auto"/>
                      <w:kern w:val="0"/>
                      <w:sz w:val="21"/>
                      <w:szCs w:val="21"/>
                    </w:rPr>
                  </w:pPr>
                  <w:r>
                    <w:rPr>
                      <w:rFonts w:hAnsi="Calibri"/>
                      <w:color w:val="auto"/>
                      <w:kern w:val="0"/>
                      <w:sz w:val="21"/>
                      <w:szCs w:val="21"/>
                    </w:rPr>
                    <w:t>序号</w:t>
                  </w:r>
                </w:p>
              </w:tc>
              <w:tc>
                <w:tcPr>
                  <w:tcW w:w="582" w:type="pct"/>
                  <w:noWrap w:val="0"/>
                  <w:vAlign w:val="center"/>
                </w:tcPr>
                <w:p>
                  <w:pPr>
                    <w:widowControl/>
                    <w:jc w:val="center"/>
                    <w:rPr>
                      <w:color w:val="auto"/>
                      <w:kern w:val="0"/>
                      <w:sz w:val="21"/>
                      <w:szCs w:val="21"/>
                    </w:rPr>
                  </w:pPr>
                  <w:r>
                    <w:rPr>
                      <w:rFonts w:hAnsi="Calibri"/>
                      <w:color w:val="auto"/>
                      <w:kern w:val="0"/>
                      <w:sz w:val="21"/>
                      <w:szCs w:val="21"/>
                    </w:rPr>
                    <w:t>类型</w:t>
                  </w:r>
                </w:p>
              </w:tc>
              <w:tc>
                <w:tcPr>
                  <w:tcW w:w="3939" w:type="pct"/>
                  <w:noWrap w:val="0"/>
                  <w:vAlign w:val="center"/>
                </w:tcPr>
                <w:p>
                  <w:pPr>
                    <w:widowControl/>
                    <w:jc w:val="center"/>
                    <w:rPr>
                      <w:color w:val="auto"/>
                      <w:kern w:val="0"/>
                      <w:sz w:val="21"/>
                      <w:szCs w:val="21"/>
                    </w:rPr>
                  </w:pPr>
                  <w:r>
                    <w:rPr>
                      <w:rFonts w:hAnsi="Calibri"/>
                      <w:color w:val="auto"/>
                      <w:kern w:val="0"/>
                      <w:sz w:val="21"/>
                      <w:szCs w:val="21"/>
                    </w:rPr>
                    <w:t>负面清单要求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trPr>
              <w:tc>
                <w:tcPr>
                  <w:tcW w:w="478" w:type="pct"/>
                  <w:noWrap w:val="0"/>
                  <w:vAlign w:val="center"/>
                </w:tcPr>
                <w:p>
                  <w:pPr>
                    <w:widowControl/>
                    <w:jc w:val="center"/>
                    <w:rPr>
                      <w:color w:val="auto"/>
                      <w:kern w:val="0"/>
                      <w:sz w:val="21"/>
                      <w:szCs w:val="21"/>
                    </w:rPr>
                  </w:pPr>
                  <w:r>
                    <w:rPr>
                      <w:color w:val="auto"/>
                      <w:kern w:val="0"/>
                      <w:sz w:val="21"/>
                      <w:szCs w:val="21"/>
                    </w:rPr>
                    <w:t>1</w:t>
                  </w:r>
                </w:p>
              </w:tc>
              <w:tc>
                <w:tcPr>
                  <w:tcW w:w="582" w:type="pct"/>
                  <w:vMerge w:val="restart"/>
                  <w:noWrap w:val="0"/>
                  <w:vAlign w:val="center"/>
                </w:tcPr>
                <w:p>
                  <w:pPr>
                    <w:widowControl/>
                    <w:jc w:val="center"/>
                    <w:rPr>
                      <w:color w:val="auto"/>
                      <w:kern w:val="0"/>
                      <w:sz w:val="21"/>
                      <w:szCs w:val="21"/>
                    </w:rPr>
                  </w:pPr>
                  <w:r>
                    <w:rPr>
                      <w:rFonts w:hAnsi="Calibri"/>
                      <w:color w:val="auto"/>
                      <w:kern w:val="0"/>
                      <w:sz w:val="21"/>
                      <w:szCs w:val="21"/>
                    </w:rPr>
                    <w:t>产业导向</w:t>
                  </w:r>
                </w:p>
              </w:tc>
              <w:tc>
                <w:tcPr>
                  <w:tcW w:w="3939" w:type="pct"/>
                  <w:noWrap w:val="0"/>
                  <w:vAlign w:val="center"/>
                </w:tcPr>
                <w:p>
                  <w:pPr>
                    <w:widowControl/>
                    <w:jc w:val="center"/>
                    <w:rPr>
                      <w:color w:val="auto"/>
                      <w:kern w:val="0"/>
                      <w:sz w:val="21"/>
                      <w:szCs w:val="21"/>
                    </w:rPr>
                  </w:pPr>
                  <w:r>
                    <w:rPr>
                      <w:rFonts w:hAnsi="Calibri"/>
                      <w:color w:val="auto"/>
                      <w:kern w:val="0"/>
                      <w:sz w:val="21"/>
                      <w:szCs w:val="21"/>
                    </w:rPr>
                    <w:t>禁止引入国家明令禁止建设或投资的、列入《产业结构调整指导目录</w:t>
                  </w:r>
                  <w:r>
                    <w:rPr>
                      <w:color w:val="auto"/>
                      <w:kern w:val="0"/>
                      <w:sz w:val="21"/>
                      <w:szCs w:val="21"/>
                    </w:rPr>
                    <w:t>(2019</w:t>
                  </w:r>
                  <w:r>
                    <w:rPr>
                      <w:rFonts w:hAnsi="Calibri"/>
                      <w:color w:val="auto"/>
                      <w:kern w:val="0"/>
                      <w:sz w:val="21"/>
                      <w:szCs w:val="21"/>
                    </w:rPr>
                    <w:t>年本</w:t>
                  </w:r>
                  <w:r>
                    <w:rPr>
                      <w:color w:val="auto"/>
                      <w:kern w:val="0"/>
                      <w:sz w:val="21"/>
                      <w:szCs w:val="21"/>
                    </w:rPr>
                    <w:t>)</w:t>
                  </w:r>
                  <w:r>
                    <w:rPr>
                      <w:rFonts w:hAnsi="Calibri"/>
                      <w:color w:val="auto"/>
                      <w:kern w:val="0"/>
                      <w:sz w:val="21"/>
                      <w:szCs w:val="21"/>
                    </w:rPr>
                    <w:t>》、《外商投资产业指导目录</w:t>
                  </w:r>
                  <w:r>
                    <w:rPr>
                      <w:color w:val="auto"/>
                      <w:kern w:val="0"/>
                      <w:sz w:val="21"/>
                      <w:szCs w:val="21"/>
                    </w:rPr>
                    <w:t>(2017</w:t>
                  </w:r>
                  <w:r>
                    <w:rPr>
                      <w:rFonts w:hAnsi="Calibri"/>
                      <w:color w:val="auto"/>
                      <w:kern w:val="0"/>
                      <w:sz w:val="21"/>
                      <w:szCs w:val="21"/>
                    </w:rPr>
                    <w:t>年修订</w:t>
                  </w:r>
                  <w:r>
                    <w:rPr>
                      <w:color w:val="auto"/>
                      <w:kern w:val="0"/>
                      <w:sz w:val="21"/>
                      <w:szCs w:val="21"/>
                    </w:rPr>
                    <w:t>)</w:t>
                  </w:r>
                  <w:r>
                    <w:rPr>
                      <w:rFonts w:hAnsi="Calibri"/>
                      <w:color w:val="auto"/>
                      <w:kern w:val="0"/>
                      <w:sz w:val="21"/>
                      <w:szCs w:val="21"/>
                    </w:rPr>
                    <w:t>》、《市场准入负面清单《</w:t>
                  </w:r>
                  <w:r>
                    <w:rPr>
                      <w:color w:val="auto"/>
                      <w:kern w:val="0"/>
                      <w:sz w:val="21"/>
                      <w:szCs w:val="21"/>
                    </w:rPr>
                    <w:t xml:space="preserve">2019 </w:t>
                  </w:r>
                  <w:r>
                    <w:rPr>
                      <w:rFonts w:hAnsi="Calibri"/>
                      <w:color w:val="auto"/>
                      <w:kern w:val="0"/>
                      <w:sz w:val="21"/>
                      <w:szCs w:val="21"/>
                    </w:rPr>
                    <w:t>年版</w:t>
                  </w:r>
                  <w:r>
                    <w:rPr>
                      <w:color w:val="auto"/>
                      <w:kern w:val="0"/>
                      <w:sz w:val="21"/>
                      <w:szCs w:val="21"/>
                    </w:rPr>
                    <w:t>)</w:t>
                  </w:r>
                  <w:r>
                    <w:rPr>
                      <w:rFonts w:hAnsi="Calibri"/>
                      <w:color w:val="auto"/>
                      <w:kern w:val="0"/>
                      <w:sz w:val="21"/>
                      <w:szCs w:val="21"/>
                    </w:rPr>
                    <w:t>》等相关产业政策中禁止或淘汰类的项目。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trPr>
              <w:tc>
                <w:tcPr>
                  <w:tcW w:w="478" w:type="pct"/>
                  <w:noWrap w:val="0"/>
                  <w:vAlign w:val="center"/>
                </w:tcPr>
                <w:p>
                  <w:pPr>
                    <w:widowControl/>
                    <w:jc w:val="center"/>
                    <w:rPr>
                      <w:color w:val="auto"/>
                      <w:kern w:val="0"/>
                      <w:sz w:val="21"/>
                      <w:szCs w:val="21"/>
                    </w:rPr>
                  </w:pPr>
                  <w:r>
                    <w:rPr>
                      <w:color w:val="auto"/>
                      <w:kern w:val="0"/>
                      <w:sz w:val="21"/>
                      <w:szCs w:val="21"/>
                    </w:rPr>
                    <w:t>2</w:t>
                  </w:r>
                </w:p>
              </w:tc>
              <w:tc>
                <w:tcPr>
                  <w:tcW w:w="582" w:type="pct"/>
                  <w:vMerge w:val="continue"/>
                  <w:noWrap w:val="0"/>
                  <w:vAlign w:val="center"/>
                </w:tcPr>
                <w:p>
                  <w:pPr>
                    <w:widowControl/>
                    <w:jc w:val="left"/>
                    <w:rPr>
                      <w:color w:val="auto"/>
                      <w:kern w:val="0"/>
                      <w:sz w:val="21"/>
                      <w:szCs w:val="21"/>
                    </w:rPr>
                  </w:pPr>
                </w:p>
              </w:tc>
              <w:tc>
                <w:tcPr>
                  <w:tcW w:w="3939" w:type="pct"/>
                  <w:noWrap w:val="0"/>
                  <w:vAlign w:val="center"/>
                </w:tcPr>
                <w:p>
                  <w:pPr>
                    <w:widowControl/>
                    <w:jc w:val="center"/>
                    <w:rPr>
                      <w:color w:val="auto"/>
                      <w:kern w:val="0"/>
                      <w:sz w:val="21"/>
                      <w:szCs w:val="21"/>
                    </w:rPr>
                  </w:pPr>
                  <w:r>
                    <w:rPr>
                      <w:rFonts w:hAnsi="Calibri"/>
                      <w:color w:val="auto"/>
                      <w:kern w:val="0"/>
                      <w:sz w:val="21"/>
                      <w:szCs w:val="21"/>
                    </w:rPr>
                    <w:t>禁止引进国家、安徽省明确规定不得审批的建设项目。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trPr>
              <w:tc>
                <w:tcPr>
                  <w:tcW w:w="478" w:type="pct"/>
                  <w:noWrap w:val="0"/>
                  <w:vAlign w:val="center"/>
                </w:tcPr>
                <w:p>
                  <w:pPr>
                    <w:widowControl/>
                    <w:jc w:val="center"/>
                    <w:rPr>
                      <w:color w:val="auto"/>
                      <w:kern w:val="0"/>
                      <w:sz w:val="21"/>
                      <w:szCs w:val="21"/>
                    </w:rPr>
                  </w:pPr>
                  <w:r>
                    <w:rPr>
                      <w:color w:val="auto"/>
                      <w:kern w:val="0"/>
                      <w:sz w:val="21"/>
                      <w:szCs w:val="21"/>
                    </w:rPr>
                    <w:t>3</w:t>
                  </w:r>
                </w:p>
              </w:tc>
              <w:tc>
                <w:tcPr>
                  <w:tcW w:w="582" w:type="pct"/>
                  <w:vMerge w:val="continue"/>
                  <w:noWrap w:val="0"/>
                  <w:vAlign w:val="center"/>
                </w:tcPr>
                <w:p>
                  <w:pPr>
                    <w:widowControl/>
                    <w:jc w:val="left"/>
                    <w:rPr>
                      <w:color w:val="auto"/>
                      <w:kern w:val="0"/>
                      <w:sz w:val="21"/>
                      <w:szCs w:val="21"/>
                    </w:rPr>
                  </w:pPr>
                </w:p>
              </w:tc>
              <w:tc>
                <w:tcPr>
                  <w:tcW w:w="3939" w:type="pct"/>
                  <w:noWrap w:val="0"/>
                  <w:vAlign w:val="center"/>
                </w:tcPr>
                <w:p>
                  <w:pPr>
                    <w:widowControl/>
                    <w:jc w:val="center"/>
                    <w:rPr>
                      <w:color w:val="auto"/>
                      <w:kern w:val="0"/>
                      <w:sz w:val="21"/>
                      <w:szCs w:val="21"/>
                    </w:rPr>
                  </w:pPr>
                  <w:r>
                    <w:rPr>
                      <w:rFonts w:hAnsi="Calibri"/>
                      <w:color w:val="auto"/>
                      <w:kern w:val="0"/>
                      <w:sz w:val="21"/>
                      <w:szCs w:val="21"/>
                    </w:rPr>
                    <w:t>禁止引进钢铁、焦化、电解铝、铸造、水泥和平板玻璃等产能类项目。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trPr>
              <w:tc>
                <w:tcPr>
                  <w:tcW w:w="478" w:type="pct"/>
                  <w:noWrap w:val="0"/>
                  <w:vAlign w:val="center"/>
                </w:tcPr>
                <w:p>
                  <w:pPr>
                    <w:widowControl/>
                    <w:jc w:val="center"/>
                    <w:rPr>
                      <w:color w:val="auto"/>
                      <w:kern w:val="0"/>
                      <w:sz w:val="21"/>
                      <w:szCs w:val="21"/>
                    </w:rPr>
                  </w:pPr>
                  <w:r>
                    <w:rPr>
                      <w:color w:val="auto"/>
                      <w:kern w:val="0"/>
                      <w:sz w:val="21"/>
                      <w:szCs w:val="21"/>
                    </w:rPr>
                    <w:t>4</w:t>
                  </w:r>
                </w:p>
              </w:tc>
              <w:tc>
                <w:tcPr>
                  <w:tcW w:w="582" w:type="pct"/>
                  <w:vMerge w:val="continue"/>
                  <w:noWrap w:val="0"/>
                  <w:vAlign w:val="center"/>
                </w:tcPr>
                <w:p>
                  <w:pPr>
                    <w:widowControl/>
                    <w:jc w:val="left"/>
                    <w:rPr>
                      <w:color w:val="auto"/>
                      <w:kern w:val="0"/>
                      <w:sz w:val="21"/>
                      <w:szCs w:val="21"/>
                    </w:rPr>
                  </w:pPr>
                </w:p>
              </w:tc>
              <w:tc>
                <w:tcPr>
                  <w:tcW w:w="3939" w:type="pct"/>
                  <w:noWrap w:val="0"/>
                  <w:vAlign w:val="center"/>
                </w:tcPr>
                <w:p>
                  <w:pPr>
                    <w:widowControl/>
                    <w:jc w:val="center"/>
                    <w:rPr>
                      <w:color w:val="auto"/>
                      <w:kern w:val="0"/>
                      <w:sz w:val="21"/>
                      <w:szCs w:val="21"/>
                    </w:rPr>
                  </w:pPr>
                  <w:r>
                    <w:rPr>
                      <w:rFonts w:hAnsi="Calibri"/>
                      <w:color w:val="auto"/>
                      <w:kern w:val="0"/>
                      <w:sz w:val="21"/>
                      <w:szCs w:val="21"/>
                    </w:rPr>
                    <w:t>禁止新引入农药制造等污染较重的化工类项目。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5" w:hRule="atLeast"/>
              </w:trPr>
              <w:tc>
                <w:tcPr>
                  <w:tcW w:w="478" w:type="pct"/>
                  <w:noWrap w:val="0"/>
                  <w:vAlign w:val="center"/>
                </w:tcPr>
                <w:p>
                  <w:pPr>
                    <w:widowControl/>
                    <w:jc w:val="center"/>
                    <w:rPr>
                      <w:color w:val="auto"/>
                      <w:kern w:val="0"/>
                      <w:sz w:val="21"/>
                      <w:szCs w:val="21"/>
                    </w:rPr>
                  </w:pPr>
                  <w:r>
                    <w:rPr>
                      <w:color w:val="auto"/>
                      <w:kern w:val="0"/>
                      <w:sz w:val="21"/>
                      <w:szCs w:val="21"/>
                    </w:rPr>
                    <w:t>5</w:t>
                  </w:r>
                </w:p>
              </w:tc>
              <w:tc>
                <w:tcPr>
                  <w:tcW w:w="582" w:type="pct"/>
                  <w:vMerge w:val="continue"/>
                  <w:noWrap w:val="0"/>
                  <w:vAlign w:val="center"/>
                </w:tcPr>
                <w:p>
                  <w:pPr>
                    <w:widowControl/>
                    <w:jc w:val="left"/>
                    <w:rPr>
                      <w:color w:val="auto"/>
                      <w:kern w:val="0"/>
                      <w:sz w:val="21"/>
                      <w:szCs w:val="21"/>
                    </w:rPr>
                  </w:pPr>
                </w:p>
              </w:tc>
              <w:tc>
                <w:tcPr>
                  <w:tcW w:w="3939" w:type="pct"/>
                  <w:noWrap w:val="0"/>
                  <w:vAlign w:val="center"/>
                </w:tcPr>
                <w:p>
                  <w:pPr>
                    <w:widowControl/>
                    <w:jc w:val="center"/>
                    <w:rPr>
                      <w:color w:val="auto"/>
                      <w:kern w:val="0"/>
                      <w:sz w:val="21"/>
                      <w:szCs w:val="21"/>
                    </w:rPr>
                  </w:pPr>
                  <w:r>
                    <w:rPr>
                      <w:rFonts w:hAnsi="Calibri"/>
                      <w:color w:val="auto"/>
                      <w:kern w:val="0"/>
                      <w:sz w:val="21"/>
                      <w:szCs w:val="21"/>
                    </w:rPr>
                    <w:t>禁止引进化学制浆造纸企业和印染、制革、化工、电镀、酿造等污染严重的小型企业。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trPr>
              <w:tc>
                <w:tcPr>
                  <w:tcW w:w="478" w:type="pct"/>
                  <w:noWrap w:val="0"/>
                  <w:vAlign w:val="center"/>
                </w:tcPr>
                <w:p>
                  <w:pPr>
                    <w:widowControl/>
                    <w:jc w:val="center"/>
                    <w:rPr>
                      <w:color w:val="auto"/>
                      <w:kern w:val="0"/>
                      <w:sz w:val="21"/>
                      <w:szCs w:val="21"/>
                    </w:rPr>
                  </w:pPr>
                  <w:r>
                    <w:rPr>
                      <w:color w:val="auto"/>
                      <w:kern w:val="0"/>
                      <w:sz w:val="21"/>
                      <w:szCs w:val="21"/>
                    </w:rPr>
                    <w:t>6</w:t>
                  </w:r>
                </w:p>
              </w:tc>
              <w:tc>
                <w:tcPr>
                  <w:tcW w:w="582" w:type="pct"/>
                  <w:vMerge w:val="continue"/>
                  <w:noWrap w:val="0"/>
                  <w:vAlign w:val="center"/>
                </w:tcPr>
                <w:p>
                  <w:pPr>
                    <w:widowControl/>
                    <w:jc w:val="left"/>
                    <w:rPr>
                      <w:color w:val="auto"/>
                      <w:kern w:val="0"/>
                      <w:sz w:val="21"/>
                      <w:szCs w:val="21"/>
                    </w:rPr>
                  </w:pPr>
                </w:p>
              </w:tc>
              <w:tc>
                <w:tcPr>
                  <w:tcW w:w="3939" w:type="pct"/>
                  <w:noWrap w:val="0"/>
                  <w:vAlign w:val="center"/>
                </w:tcPr>
                <w:p>
                  <w:pPr>
                    <w:widowControl/>
                    <w:jc w:val="center"/>
                    <w:rPr>
                      <w:color w:val="auto"/>
                      <w:kern w:val="0"/>
                      <w:sz w:val="21"/>
                      <w:szCs w:val="21"/>
                    </w:rPr>
                  </w:pPr>
                  <w:r>
                    <w:rPr>
                      <w:rFonts w:hAnsi="Calibri"/>
                      <w:color w:val="auto"/>
                      <w:kern w:val="0"/>
                      <w:sz w:val="21"/>
                      <w:szCs w:val="21"/>
                    </w:rPr>
                    <w:t>严格控制化学药品原药制造等污染较重的项目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5" w:hRule="atLeast"/>
              </w:trPr>
              <w:tc>
                <w:tcPr>
                  <w:tcW w:w="478" w:type="pct"/>
                  <w:noWrap w:val="0"/>
                  <w:vAlign w:val="center"/>
                </w:tcPr>
                <w:p>
                  <w:pPr>
                    <w:widowControl/>
                    <w:jc w:val="center"/>
                    <w:rPr>
                      <w:color w:val="auto"/>
                      <w:kern w:val="0"/>
                      <w:sz w:val="21"/>
                      <w:szCs w:val="21"/>
                    </w:rPr>
                  </w:pPr>
                  <w:r>
                    <w:rPr>
                      <w:color w:val="auto"/>
                      <w:kern w:val="0"/>
                      <w:sz w:val="21"/>
                      <w:szCs w:val="21"/>
                    </w:rPr>
                    <w:t>7</w:t>
                  </w:r>
                </w:p>
              </w:tc>
              <w:tc>
                <w:tcPr>
                  <w:tcW w:w="582" w:type="pct"/>
                  <w:vMerge w:val="continue"/>
                  <w:noWrap w:val="0"/>
                  <w:vAlign w:val="center"/>
                </w:tcPr>
                <w:p>
                  <w:pPr>
                    <w:widowControl/>
                    <w:jc w:val="left"/>
                    <w:rPr>
                      <w:color w:val="auto"/>
                      <w:kern w:val="0"/>
                      <w:sz w:val="21"/>
                      <w:szCs w:val="21"/>
                    </w:rPr>
                  </w:pPr>
                </w:p>
              </w:tc>
              <w:tc>
                <w:tcPr>
                  <w:tcW w:w="3939" w:type="pct"/>
                  <w:noWrap w:val="0"/>
                  <w:vAlign w:val="center"/>
                </w:tcPr>
                <w:p>
                  <w:pPr>
                    <w:widowControl/>
                    <w:jc w:val="center"/>
                    <w:rPr>
                      <w:color w:val="auto"/>
                      <w:kern w:val="0"/>
                      <w:sz w:val="21"/>
                      <w:szCs w:val="21"/>
                    </w:rPr>
                  </w:pPr>
                  <w:r>
                    <w:rPr>
                      <w:rFonts w:hAnsi="Calibri"/>
                      <w:color w:val="auto"/>
                      <w:kern w:val="0"/>
                      <w:sz w:val="21"/>
                      <w:szCs w:val="21"/>
                    </w:rPr>
                    <w:t>严格控制非主导产业高污染、高能耗类项目。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trPr>
              <w:tc>
                <w:tcPr>
                  <w:tcW w:w="478" w:type="pct"/>
                  <w:noWrap w:val="0"/>
                  <w:vAlign w:val="center"/>
                </w:tcPr>
                <w:p>
                  <w:pPr>
                    <w:widowControl/>
                    <w:jc w:val="center"/>
                    <w:rPr>
                      <w:color w:val="auto"/>
                      <w:kern w:val="0"/>
                      <w:sz w:val="21"/>
                      <w:szCs w:val="21"/>
                    </w:rPr>
                  </w:pPr>
                  <w:r>
                    <w:rPr>
                      <w:color w:val="auto"/>
                      <w:kern w:val="0"/>
                      <w:sz w:val="21"/>
                      <w:szCs w:val="21"/>
                    </w:rPr>
                    <w:t>8</w:t>
                  </w:r>
                </w:p>
              </w:tc>
              <w:tc>
                <w:tcPr>
                  <w:tcW w:w="582" w:type="pct"/>
                  <w:vMerge w:val="restart"/>
                  <w:noWrap w:val="0"/>
                  <w:vAlign w:val="center"/>
                </w:tcPr>
                <w:p>
                  <w:pPr>
                    <w:widowControl/>
                    <w:jc w:val="center"/>
                    <w:rPr>
                      <w:color w:val="auto"/>
                      <w:kern w:val="0"/>
                      <w:sz w:val="21"/>
                      <w:szCs w:val="21"/>
                    </w:rPr>
                  </w:pPr>
                  <w:r>
                    <w:rPr>
                      <w:rFonts w:hAnsi="Calibri"/>
                      <w:color w:val="auto"/>
                      <w:kern w:val="0"/>
                      <w:sz w:val="21"/>
                      <w:szCs w:val="21"/>
                    </w:rPr>
                    <w:t>生产工艺</w:t>
                  </w:r>
                </w:p>
              </w:tc>
              <w:tc>
                <w:tcPr>
                  <w:tcW w:w="3939" w:type="pct"/>
                  <w:noWrap w:val="0"/>
                  <w:vAlign w:val="center"/>
                </w:tcPr>
                <w:p>
                  <w:pPr>
                    <w:widowControl/>
                    <w:jc w:val="center"/>
                    <w:rPr>
                      <w:color w:val="auto"/>
                      <w:kern w:val="0"/>
                      <w:sz w:val="21"/>
                      <w:szCs w:val="21"/>
                    </w:rPr>
                  </w:pPr>
                  <w:r>
                    <w:rPr>
                      <w:rFonts w:hAnsi="Calibri"/>
                      <w:color w:val="auto"/>
                      <w:kern w:val="0"/>
                      <w:sz w:val="21"/>
                      <w:szCs w:val="21"/>
                    </w:rPr>
                    <w:t>禁止引进炼油、产生致癌、致畸、致突变物质的项目。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5" w:hRule="atLeast"/>
              </w:trPr>
              <w:tc>
                <w:tcPr>
                  <w:tcW w:w="478" w:type="pct"/>
                  <w:noWrap w:val="0"/>
                  <w:vAlign w:val="center"/>
                </w:tcPr>
                <w:p>
                  <w:pPr>
                    <w:widowControl/>
                    <w:jc w:val="center"/>
                    <w:rPr>
                      <w:color w:val="auto"/>
                      <w:kern w:val="0"/>
                      <w:sz w:val="21"/>
                      <w:szCs w:val="21"/>
                    </w:rPr>
                  </w:pPr>
                  <w:r>
                    <w:rPr>
                      <w:color w:val="auto"/>
                      <w:kern w:val="0"/>
                      <w:sz w:val="21"/>
                      <w:szCs w:val="21"/>
                    </w:rPr>
                    <w:t>9</w:t>
                  </w:r>
                </w:p>
              </w:tc>
              <w:tc>
                <w:tcPr>
                  <w:tcW w:w="582" w:type="pct"/>
                  <w:vMerge w:val="continue"/>
                  <w:noWrap w:val="0"/>
                  <w:vAlign w:val="center"/>
                </w:tcPr>
                <w:p>
                  <w:pPr>
                    <w:widowControl/>
                    <w:jc w:val="left"/>
                    <w:rPr>
                      <w:color w:val="auto"/>
                      <w:kern w:val="0"/>
                      <w:sz w:val="21"/>
                      <w:szCs w:val="21"/>
                    </w:rPr>
                  </w:pPr>
                </w:p>
              </w:tc>
              <w:tc>
                <w:tcPr>
                  <w:tcW w:w="3939" w:type="pct"/>
                  <w:noWrap w:val="0"/>
                  <w:vAlign w:val="center"/>
                </w:tcPr>
                <w:p>
                  <w:pPr>
                    <w:widowControl/>
                    <w:jc w:val="center"/>
                    <w:rPr>
                      <w:color w:val="auto"/>
                      <w:kern w:val="0"/>
                      <w:sz w:val="21"/>
                      <w:szCs w:val="21"/>
                    </w:rPr>
                  </w:pPr>
                  <w:r>
                    <w:rPr>
                      <w:rFonts w:hAnsi="Calibri"/>
                      <w:color w:val="auto"/>
                      <w:kern w:val="0"/>
                      <w:sz w:val="21"/>
                      <w:szCs w:val="21"/>
                    </w:rPr>
                    <w:t>为主导产业及配套的上下游及延伸产业链项目的生产工艺、设备、污染治理技术等未达到清洁生产国内先进水平的、不符合环保相关要求的项目。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trPr>
              <w:tc>
                <w:tcPr>
                  <w:tcW w:w="478" w:type="pct"/>
                  <w:noWrap w:val="0"/>
                  <w:vAlign w:val="center"/>
                </w:tcPr>
                <w:p>
                  <w:pPr>
                    <w:widowControl/>
                    <w:jc w:val="center"/>
                    <w:rPr>
                      <w:color w:val="auto"/>
                      <w:kern w:val="0"/>
                      <w:sz w:val="21"/>
                      <w:szCs w:val="21"/>
                    </w:rPr>
                  </w:pPr>
                  <w:r>
                    <w:rPr>
                      <w:color w:val="auto"/>
                      <w:kern w:val="0"/>
                      <w:sz w:val="21"/>
                      <w:szCs w:val="21"/>
                    </w:rPr>
                    <w:t>10</w:t>
                  </w:r>
                </w:p>
              </w:tc>
              <w:tc>
                <w:tcPr>
                  <w:tcW w:w="582" w:type="pct"/>
                  <w:noWrap w:val="0"/>
                  <w:vAlign w:val="center"/>
                </w:tcPr>
                <w:p>
                  <w:pPr>
                    <w:widowControl/>
                    <w:jc w:val="center"/>
                    <w:rPr>
                      <w:color w:val="auto"/>
                      <w:kern w:val="0"/>
                      <w:sz w:val="21"/>
                      <w:szCs w:val="21"/>
                    </w:rPr>
                  </w:pPr>
                  <w:r>
                    <w:rPr>
                      <w:rFonts w:hAnsi="Calibri"/>
                      <w:color w:val="auto"/>
                      <w:kern w:val="0"/>
                      <w:sz w:val="21"/>
                      <w:szCs w:val="21"/>
                    </w:rPr>
                    <w:t>环保要求</w:t>
                  </w:r>
                </w:p>
              </w:tc>
              <w:tc>
                <w:tcPr>
                  <w:tcW w:w="3939" w:type="pct"/>
                  <w:noWrap w:val="0"/>
                  <w:vAlign w:val="center"/>
                </w:tcPr>
                <w:p>
                  <w:pPr>
                    <w:widowControl/>
                    <w:jc w:val="center"/>
                    <w:rPr>
                      <w:color w:val="auto"/>
                      <w:kern w:val="0"/>
                      <w:sz w:val="21"/>
                      <w:szCs w:val="21"/>
                    </w:rPr>
                  </w:pPr>
                  <w:r>
                    <w:rPr>
                      <w:rFonts w:hAnsi="Calibri"/>
                      <w:color w:val="auto"/>
                      <w:kern w:val="0"/>
                      <w:sz w:val="21"/>
                      <w:szCs w:val="21"/>
                    </w:rPr>
                    <w:t>禁止引入尚需自行建设燃煤锅炉的企业入区，引进项目必须使用清洁能源或实施集中供热。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5" w:hRule="atLeast"/>
              </w:trPr>
              <w:tc>
                <w:tcPr>
                  <w:tcW w:w="478" w:type="pct"/>
                  <w:noWrap w:val="0"/>
                  <w:vAlign w:val="center"/>
                </w:tcPr>
                <w:p>
                  <w:pPr>
                    <w:widowControl/>
                    <w:jc w:val="center"/>
                    <w:rPr>
                      <w:color w:val="auto"/>
                      <w:kern w:val="0"/>
                      <w:sz w:val="21"/>
                      <w:szCs w:val="21"/>
                    </w:rPr>
                  </w:pPr>
                  <w:r>
                    <w:rPr>
                      <w:color w:val="auto"/>
                      <w:kern w:val="0"/>
                      <w:sz w:val="21"/>
                      <w:szCs w:val="21"/>
                    </w:rPr>
                    <w:t>11</w:t>
                  </w:r>
                </w:p>
              </w:tc>
              <w:tc>
                <w:tcPr>
                  <w:tcW w:w="582" w:type="pct"/>
                  <w:noWrap w:val="0"/>
                  <w:vAlign w:val="center"/>
                </w:tcPr>
                <w:p>
                  <w:pPr>
                    <w:widowControl/>
                    <w:jc w:val="center"/>
                    <w:rPr>
                      <w:color w:val="auto"/>
                      <w:kern w:val="0"/>
                      <w:sz w:val="21"/>
                      <w:szCs w:val="21"/>
                    </w:rPr>
                  </w:pPr>
                  <w:r>
                    <w:rPr>
                      <w:rFonts w:hAnsi="Calibri"/>
                      <w:color w:val="auto"/>
                      <w:kern w:val="0"/>
                      <w:sz w:val="21"/>
                      <w:szCs w:val="21"/>
                    </w:rPr>
                    <w:t>清洁生产</w:t>
                  </w:r>
                </w:p>
              </w:tc>
              <w:tc>
                <w:tcPr>
                  <w:tcW w:w="3939" w:type="pct"/>
                  <w:noWrap w:val="0"/>
                  <w:vAlign w:val="center"/>
                </w:tcPr>
                <w:p>
                  <w:pPr>
                    <w:widowControl/>
                    <w:jc w:val="center"/>
                    <w:rPr>
                      <w:color w:val="auto"/>
                      <w:kern w:val="0"/>
                      <w:sz w:val="21"/>
                      <w:szCs w:val="21"/>
                    </w:rPr>
                  </w:pPr>
                  <w:r>
                    <w:rPr>
                      <w:rFonts w:hAnsi="Calibri"/>
                      <w:color w:val="auto"/>
                      <w:kern w:val="0"/>
                      <w:sz w:val="21"/>
                      <w:szCs w:val="21"/>
                    </w:rPr>
                    <w:t>禁止引入清洁生产低于国内先进水平的项目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trPr>
              <w:tc>
                <w:tcPr>
                  <w:tcW w:w="5000" w:type="pct"/>
                  <w:gridSpan w:val="3"/>
                  <w:noWrap w:val="0"/>
                  <w:vAlign w:val="center"/>
                </w:tcPr>
                <w:p>
                  <w:pPr>
                    <w:widowControl/>
                    <w:jc w:val="center"/>
                    <w:rPr>
                      <w:color w:val="auto"/>
                      <w:kern w:val="0"/>
                      <w:sz w:val="21"/>
                      <w:szCs w:val="21"/>
                    </w:rPr>
                  </w:pPr>
                  <w:r>
                    <w:rPr>
                      <w:rFonts w:hAnsi="Calibri"/>
                      <w:color w:val="auto"/>
                      <w:kern w:val="0"/>
                      <w:sz w:val="21"/>
                      <w:szCs w:val="21"/>
                    </w:rPr>
                    <w:t>注</w:t>
                  </w:r>
                  <w:r>
                    <w:rPr>
                      <w:color w:val="auto"/>
                      <w:kern w:val="0"/>
                      <w:sz w:val="21"/>
                      <w:szCs w:val="21"/>
                    </w:rPr>
                    <w:t>:</w:t>
                  </w:r>
                  <w:r>
                    <w:rPr>
                      <w:rFonts w:hAnsi="Calibri"/>
                      <w:color w:val="auto"/>
                      <w:kern w:val="0"/>
                      <w:sz w:val="21"/>
                      <w:szCs w:val="21"/>
                    </w:rPr>
                    <w:t>相关指南更新时以最新版要求为准。</w:t>
                  </w:r>
                </w:p>
              </w:tc>
            </w:tr>
          </w:tbl>
          <w:p>
            <w:pPr>
              <w:pStyle w:val="16"/>
              <w:spacing w:line="360" w:lineRule="auto"/>
              <w:ind w:firstLine="480" w:firstLineChars="200"/>
              <w:rPr>
                <w:rFonts w:hint="eastAsia"/>
                <w:color w:val="auto"/>
                <w:sz w:val="24"/>
                <w:szCs w:val="24"/>
              </w:rPr>
            </w:pPr>
            <w:r>
              <w:rPr>
                <w:rFonts w:ascii="Times New Roman" w:hAnsi="Times New Roman" w:eastAsia="宋体" w:cs="Times New Roman"/>
                <w:color w:val="auto"/>
                <w:sz w:val="24"/>
                <w:szCs w:val="24"/>
              </w:rPr>
              <w:t>本项目属于</w:t>
            </w:r>
            <w:r>
              <w:rPr>
                <w:rFonts w:hint="eastAsia"/>
                <w:color w:val="auto"/>
                <w:sz w:val="24"/>
                <w:highlight w:val="none"/>
                <w:lang w:eastAsia="zh-CN"/>
              </w:rPr>
              <w:t>C4390其他机械和设备修理业、</w:t>
            </w:r>
            <w:r>
              <w:rPr>
                <w:rFonts w:hint="eastAsia"/>
                <w:color w:val="auto"/>
                <w:sz w:val="24"/>
                <w:highlight w:val="none"/>
                <w:lang w:val="en-US" w:eastAsia="zh-CN"/>
              </w:rPr>
              <w:t>C3360金属表面处理及热处理加工</w:t>
            </w:r>
            <w:r>
              <w:rPr>
                <w:rFonts w:ascii="Times New Roman" w:hAnsi="Times New Roman" w:eastAsia="宋体" w:cs="Times New Roman"/>
                <w:color w:val="auto"/>
                <w:sz w:val="24"/>
                <w:szCs w:val="24"/>
              </w:rPr>
              <w:t>，不在淮南经济技术开发区负面准入清单内容里</w:t>
            </w:r>
            <w:r>
              <w:rPr>
                <w:rFonts w:hint="eastAsia"/>
                <w:color w:val="auto"/>
                <w:sz w:val="24"/>
                <w:szCs w:val="24"/>
              </w:rPr>
              <w:t>。</w:t>
            </w:r>
            <w:r>
              <w:rPr>
                <w:color w:val="auto"/>
                <w:sz w:val="24"/>
                <w:szCs w:val="24"/>
              </w:rPr>
              <w:t>同时</w:t>
            </w:r>
            <w:r>
              <w:rPr>
                <w:rFonts w:hint="eastAsia"/>
                <w:color w:val="auto"/>
                <w:sz w:val="24"/>
                <w:szCs w:val="24"/>
              </w:rPr>
              <w:t>，不</w:t>
            </w:r>
            <w:r>
              <w:rPr>
                <w:color w:val="auto"/>
                <w:sz w:val="24"/>
                <w:szCs w:val="24"/>
              </w:rPr>
              <w:t>属于淮南经济技术开发区</w:t>
            </w:r>
            <w:r>
              <w:rPr>
                <w:rFonts w:hint="eastAsia"/>
                <w:color w:val="auto"/>
                <w:sz w:val="24"/>
                <w:szCs w:val="24"/>
              </w:rPr>
              <w:t>禁止类、限制类产业</w:t>
            </w:r>
            <w:r>
              <w:rPr>
                <w:color w:val="auto"/>
                <w:sz w:val="24"/>
                <w:szCs w:val="24"/>
              </w:rPr>
              <w:t>，</w:t>
            </w:r>
            <w:r>
              <w:rPr>
                <w:rFonts w:hint="eastAsia"/>
                <w:color w:val="auto"/>
                <w:sz w:val="24"/>
                <w:szCs w:val="24"/>
              </w:rPr>
              <w:t>为允许类，符合淮南经开区产业政策要求，</w:t>
            </w:r>
            <w:r>
              <w:rPr>
                <w:color w:val="auto"/>
                <w:sz w:val="24"/>
                <w:szCs w:val="24"/>
              </w:rPr>
              <w:t>在做好项目废气污染防治措施及风险防控措施后，项目建设与周边环境较为相容。</w:t>
            </w:r>
          </w:p>
          <w:p>
            <w:pPr>
              <w:pStyle w:val="16"/>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83" w:type="dxa"/>
            <w:noWrap w:val="0"/>
            <w:vAlign w:val="center"/>
          </w:tcPr>
          <w:p>
            <w:pPr>
              <w:autoSpaceDE w:val="0"/>
              <w:autoSpaceDN w:val="0"/>
              <w:adjustRightInd w:val="0"/>
              <w:snapToGrid w:val="0"/>
              <w:jc w:val="center"/>
              <w:rPr>
                <w:rFonts w:hint="eastAsia" w:ascii="宋体" w:hAnsi="宋体" w:cs="宋体"/>
                <w:kern w:val="0"/>
                <w:sz w:val="24"/>
              </w:rPr>
            </w:pPr>
            <w:r>
              <w:rPr>
                <w:rFonts w:hint="eastAsia" w:ascii="宋体" w:hAnsi="宋体" w:cs="宋体"/>
                <w:kern w:val="0"/>
                <w:sz w:val="24"/>
              </w:rPr>
              <w:t>其他符合性分析</w:t>
            </w:r>
          </w:p>
        </w:tc>
        <w:tc>
          <w:tcPr>
            <w:tcW w:w="7287" w:type="dxa"/>
            <w:gridSpan w:val="3"/>
            <w:noWrap w:val="0"/>
            <w:vAlign w:val="center"/>
          </w:tcPr>
          <w:p>
            <w:pPr>
              <w:spacing w:line="360" w:lineRule="auto"/>
              <w:ind w:firstLine="480" w:firstLineChars="200"/>
              <w:rPr>
                <w:color w:val="auto"/>
                <w:kern w:val="0"/>
                <w:sz w:val="24"/>
              </w:rPr>
            </w:pPr>
            <w:r>
              <w:rPr>
                <w:rFonts w:hint="eastAsia"/>
                <w:color w:val="auto"/>
                <w:sz w:val="24"/>
              </w:rPr>
              <w:t>1、</w:t>
            </w:r>
            <w:r>
              <w:rPr>
                <w:color w:val="auto"/>
                <w:kern w:val="0"/>
                <w:sz w:val="24"/>
              </w:rPr>
              <w:t>产业政策符合性</w:t>
            </w:r>
          </w:p>
          <w:p>
            <w:pPr>
              <w:spacing w:line="360" w:lineRule="auto"/>
              <w:ind w:firstLine="480" w:firstLineChars="200"/>
              <w:rPr>
                <w:color w:val="auto"/>
                <w:sz w:val="24"/>
              </w:rPr>
            </w:pPr>
            <w:r>
              <w:rPr>
                <w:color w:val="auto"/>
                <w:sz w:val="24"/>
              </w:rPr>
              <w:t>项目</w:t>
            </w:r>
            <w:r>
              <w:rPr>
                <w:rFonts w:hint="eastAsia"/>
                <w:color w:val="auto"/>
                <w:sz w:val="24"/>
                <w:lang w:val="en-US" w:eastAsia="zh-CN"/>
              </w:rPr>
              <w:t>为</w:t>
            </w:r>
            <w:r>
              <w:rPr>
                <w:rFonts w:hint="eastAsia"/>
                <w:color w:val="auto"/>
                <w:sz w:val="24"/>
                <w:highlight w:val="none"/>
                <w:lang w:eastAsia="zh-CN"/>
              </w:rPr>
              <w:t>C4390其他机械和设备修理业、</w:t>
            </w:r>
            <w:r>
              <w:rPr>
                <w:rFonts w:hint="eastAsia"/>
                <w:color w:val="auto"/>
                <w:sz w:val="24"/>
                <w:highlight w:val="none"/>
                <w:lang w:val="en-US" w:eastAsia="zh-CN"/>
              </w:rPr>
              <w:t>C3360金属表面处理及热处理加工</w:t>
            </w:r>
            <w:r>
              <w:rPr>
                <w:rFonts w:hint="eastAsia"/>
                <w:color w:val="auto"/>
                <w:sz w:val="24"/>
                <w:highlight w:val="none"/>
                <w:lang w:eastAsia="zh-CN"/>
              </w:rPr>
              <w:t>，</w:t>
            </w:r>
            <w:r>
              <w:rPr>
                <w:color w:val="auto"/>
                <w:sz w:val="24"/>
              </w:rPr>
              <w:t>不属于中华人民共和国国家发展和改革委员会发布的《产业结构调整指导目录》（2019年本）中鼓励类、限制类和淘汰类，可视为允许类，符合国家产业政策。同时，项目不属于《安徽省工业产业结构调整指导目录（2007年本）》中的</w:t>
            </w:r>
            <w:r>
              <w:rPr>
                <w:rFonts w:hint="eastAsia"/>
                <w:color w:val="auto"/>
                <w:sz w:val="24"/>
                <w:lang w:eastAsia="zh-CN"/>
              </w:rPr>
              <w:t>第一类鼓励类、</w:t>
            </w:r>
            <w:r>
              <w:rPr>
                <w:color w:val="auto"/>
                <w:sz w:val="24"/>
              </w:rPr>
              <w:t>第二类限制类及第三类淘汰类，可视为允许类。因此，项目建设符合国家及地方的产业政策。</w:t>
            </w:r>
          </w:p>
          <w:p>
            <w:pPr>
              <w:pStyle w:val="7"/>
              <w:snapToGrid/>
              <w:spacing w:before="0" w:after="0" w:line="360" w:lineRule="auto"/>
              <w:ind w:firstLine="480"/>
              <w:rPr>
                <w:color w:val="auto"/>
                <w:kern w:val="2"/>
                <w:sz w:val="24"/>
                <w:szCs w:val="24"/>
                <w:lang w:val="en-US" w:eastAsia="zh-CN"/>
              </w:rPr>
            </w:pPr>
            <w:r>
              <w:rPr>
                <w:rFonts w:hint="eastAsia"/>
                <w:color w:val="auto"/>
                <w:kern w:val="2"/>
                <w:sz w:val="24"/>
                <w:szCs w:val="24"/>
                <w:lang w:val="en-US" w:eastAsia="zh-CN"/>
              </w:rPr>
              <w:t>2、</w:t>
            </w:r>
            <w:r>
              <w:rPr>
                <w:color w:val="auto"/>
                <w:kern w:val="2"/>
                <w:sz w:val="24"/>
                <w:szCs w:val="24"/>
                <w:lang w:val="en-US" w:eastAsia="zh-CN"/>
              </w:rPr>
              <w:t>“三线一单”符合性分析判定</w:t>
            </w:r>
          </w:p>
          <w:p>
            <w:pPr>
              <w:spacing w:line="360" w:lineRule="auto"/>
              <w:jc w:val="center"/>
              <w:rPr>
                <w:rFonts w:hint="eastAsia"/>
                <w:b/>
                <w:color w:val="auto"/>
                <w:szCs w:val="21"/>
              </w:rPr>
            </w:pPr>
            <w:r>
              <w:rPr>
                <w:b/>
                <w:color w:val="auto"/>
                <w:szCs w:val="21"/>
              </w:rPr>
              <w:t>表</w:t>
            </w:r>
            <w:r>
              <w:rPr>
                <w:rFonts w:hint="eastAsia"/>
                <w:b/>
                <w:color w:val="auto"/>
                <w:szCs w:val="21"/>
              </w:rPr>
              <w:t>1-4</w:t>
            </w:r>
            <w:r>
              <w:rPr>
                <w:b/>
                <w:color w:val="auto"/>
                <w:szCs w:val="21"/>
              </w:rPr>
              <w:t xml:space="preserve">  “三线一单”符合性分析</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9"/>
              <w:gridCol w:w="623"/>
              <w:gridCol w:w="2848"/>
              <w:gridCol w:w="2483"/>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75" w:type="pct"/>
                  <w:noWrap w:val="0"/>
                  <w:vAlign w:val="center"/>
                </w:tcPr>
                <w:p>
                  <w:pPr>
                    <w:pStyle w:val="73"/>
                    <w:spacing w:before="100" w:beforeAutospacing="1" w:after="100" w:afterAutospacing="1" w:line="240" w:lineRule="auto"/>
                    <w:rPr>
                      <w:b/>
                      <w:color w:val="auto"/>
                      <w:position w:val="0"/>
                      <w:sz w:val="21"/>
                      <w:szCs w:val="21"/>
                    </w:rPr>
                  </w:pPr>
                  <w:r>
                    <w:rPr>
                      <w:b/>
                      <w:color w:val="auto"/>
                      <w:position w:val="0"/>
                      <w:sz w:val="21"/>
                      <w:szCs w:val="21"/>
                    </w:rPr>
                    <w:t>序号</w:t>
                  </w:r>
                </w:p>
              </w:tc>
              <w:tc>
                <w:tcPr>
                  <w:tcW w:w="441" w:type="pct"/>
                  <w:noWrap w:val="0"/>
                  <w:vAlign w:val="center"/>
                </w:tcPr>
                <w:p>
                  <w:pPr>
                    <w:pStyle w:val="73"/>
                    <w:spacing w:before="100" w:beforeAutospacing="1" w:after="100" w:afterAutospacing="1" w:line="240" w:lineRule="auto"/>
                    <w:rPr>
                      <w:b/>
                      <w:color w:val="auto"/>
                      <w:position w:val="0"/>
                      <w:sz w:val="21"/>
                      <w:szCs w:val="21"/>
                    </w:rPr>
                  </w:pPr>
                  <w:r>
                    <w:rPr>
                      <w:b/>
                      <w:color w:val="auto"/>
                      <w:position w:val="0"/>
                      <w:sz w:val="21"/>
                      <w:szCs w:val="21"/>
                    </w:rPr>
                    <w:t>内容</w:t>
                  </w:r>
                </w:p>
              </w:tc>
              <w:tc>
                <w:tcPr>
                  <w:tcW w:w="2017" w:type="pct"/>
                  <w:noWrap w:val="0"/>
                  <w:vAlign w:val="center"/>
                </w:tcPr>
                <w:p>
                  <w:pPr>
                    <w:pStyle w:val="73"/>
                    <w:spacing w:before="100" w:beforeAutospacing="1" w:after="100" w:afterAutospacing="1" w:line="240" w:lineRule="auto"/>
                    <w:rPr>
                      <w:b/>
                      <w:color w:val="auto"/>
                      <w:position w:val="0"/>
                      <w:sz w:val="21"/>
                      <w:szCs w:val="21"/>
                    </w:rPr>
                  </w:pPr>
                  <w:r>
                    <w:rPr>
                      <w:b/>
                      <w:color w:val="auto"/>
                      <w:position w:val="0"/>
                      <w:sz w:val="21"/>
                      <w:szCs w:val="21"/>
                    </w:rPr>
                    <w:t>要求</w:t>
                  </w:r>
                </w:p>
              </w:tc>
              <w:tc>
                <w:tcPr>
                  <w:tcW w:w="1758" w:type="pct"/>
                  <w:noWrap w:val="0"/>
                  <w:vAlign w:val="center"/>
                </w:tcPr>
                <w:p>
                  <w:pPr>
                    <w:pStyle w:val="73"/>
                    <w:spacing w:before="100" w:beforeAutospacing="1" w:after="100" w:afterAutospacing="1" w:line="240" w:lineRule="auto"/>
                    <w:rPr>
                      <w:b/>
                      <w:color w:val="auto"/>
                      <w:position w:val="0"/>
                      <w:sz w:val="21"/>
                      <w:szCs w:val="21"/>
                    </w:rPr>
                  </w:pPr>
                  <w:r>
                    <w:rPr>
                      <w:b/>
                      <w:color w:val="auto"/>
                      <w:position w:val="0"/>
                      <w:sz w:val="21"/>
                      <w:szCs w:val="21"/>
                    </w:rPr>
                    <w:t>项目情况</w:t>
                  </w:r>
                </w:p>
              </w:tc>
              <w:tc>
                <w:tcPr>
                  <w:tcW w:w="409" w:type="pct"/>
                  <w:noWrap w:val="0"/>
                  <w:vAlign w:val="center"/>
                </w:tcPr>
                <w:p>
                  <w:pPr>
                    <w:pStyle w:val="73"/>
                    <w:spacing w:before="100" w:beforeAutospacing="1" w:after="100" w:afterAutospacing="1" w:line="240" w:lineRule="auto"/>
                    <w:rPr>
                      <w:b/>
                      <w:color w:val="auto"/>
                      <w:position w:val="0"/>
                      <w:sz w:val="21"/>
                      <w:szCs w:val="21"/>
                    </w:rPr>
                  </w:pPr>
                  <w:r>
                    <w:rPr>
                      <w:b/>
                      <w:color w:val="auto"/>
                      <w:position w:val="0"/>
                      <w:sz w:val="21"/>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75" w:type="pct"/>
                  <w:noWrap w:val="0"/>
                  <w:vAlign w:val="center"/>
                </w:tcPr>
                <w:p>
                  <w:pPr>
                    <w:pStyle w:val="69"/>
                    <w:tabs>
                      <w:tab w:val="left" w:pos="-2848"/>
                    </w:tabs>
                    <w:spacing w:before="100" w:beforeAutospacing="1" w:after="100" w:afterAutospacing="1"/>
                    <w:rPr>
                      <w:color w:val="auto"/>
                      <w:szCs w:val="21"/>
                    </w:rPr>
                  </w:pPr>
                  <w:r>
                    <w:rPr>
                      <w:color w:val="auto"/>
                      <w:szCs w:val="21"/>
                    </w:rPr>
                    <w:t>1</w:t>
                  </w:r>
                </w:p>
              </w:tc>
              <w:tc>
                <w:tcPr>
                  <w:tcW w:w="441" w:type="pct"/>
                  <w:noWrap w:val="0"/>
                  <w:vAlign w:val="center"/>
                </w:tcPr>
                <w:p>
                  <w:pPr>
                    <w:jc w:val="center"/>
                    <w:rPr>
                      <w:color w:val="auto"/>
                      <w:szCs w:val="21"/>
                    </w:rPr>
                  </w:pPr>
                  <w:r>
                    <w:rPr>
                      <w:color w:val="auto"/>
                      <w:szCs w:val="21"/>
                    </w:rPr>
                    <w:t>生态保护红线</w:t>
                  </w:r>
                </w:p>
              </w:tc>
              <w:tc>
                <w:tcPr>
                  <w:tcW w:w="2017" w:type="pct"/>
                  <w:noWrap w:val="0"/>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生态保护红线是生态空间范围内具有特殊重要生态功能必须实行强制性严格保护的区域。在生态保护红线范围内，严控各类开发建设活动，依法不予审批新建工业项目和矿产开发项目的环评文件</w:t>
                  </w:r>
                </w:p>
              </w:tc>
              <w:tc>
                <w:tcPr>
                  <w:tcW w:w="1758" w:type="pct"/>
                  <w:noWrap w:val="0"/>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highlight w:val="none"/>
                    </w:rPr>
                    <w:t>本项目位于</w:t>
                  </w:r>
                  <w:r>
                    <w:rPr>
                      <w:rFonts w:hint="eastAsia" w:cs="Times New Roman"/>
                      <w:color w:val="auto"/>
                      <w:szCs w:val="21"/>
                      <w:highlight w:val="none"/>
                      <w:lang w:val="en-US" w:eastAsia="zh-CN"/>
                    </w:rPr>
                    <w:t>淮南经济技术开发区</w:t>
                  </w:r>
                  <w:r>
                    <w:rPr>
                      <w:rFonts w:hint="eastAsia" w:ascii="Times New Roman" w:hAnsi="Times New Roman" w:eastAsia="宋体" w:cs="Times New Roman"/>
                      <w:color w:val="auto"/>
                      <w:szCs w:val="21"/>
                      <w:highlight w:val="none"/>
                      <w:lang w:val="en-US" w:eastAsia="zh-CN"/>
                    </w:rPr>
                    <w:t>农科路</w:t>
                  </w:r>
                  <w:r>
                    <w:rPr>
                      <w:rFonts w:hint="eastAsia"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lang w:val="en-US" w:eastAsia="zh-CN"/>
                    </w:rPr>
                    <w:t>项目用地属于工业用地</w:t>
                  </w:r>
                  <w:r>
                    <w:rPr>
                      <w:rFonts w:hint="eastAsia"/>
                      <w:sz w:val="24"/>
                      <w:lang w:eastAsia="zh-CN"/>
                    </w:rPr>
                    <w:t>，</w:t>
                  </w:r>
                  <w:r>
                    <w:rPr>
                      <w:rFonts w:hint="eastAsia" w:ascii="Times New Roman" w:hAnsi="Times New Roman" w:eastAsia="宋体" w:cs="Times New Roman"/>
                      <w:color w:val="auto"/>
                      <w:szCs w:val="21"/>
                      <w:highlight w:val="none"/>
                      <w:lang w:val="en-US" w:eastAsia="zh-CN"/>
                    </w:rPr>
                    <w:t>租赁厂房1000平方米</w:t>
                  </w:r>
                  <w:r>
                    <w:rPr>
                      <w:rFonts w:hint="eastAsia" w:ascii="Times New Roman" w:hAnsi="Times New Roman" w:eastAsia="宋体" w:cs="Times New Roman"/>
                      <w:color w:val="auto"/>
                      <w:szCs w:val="21"/>
                      <w:highlight w:val="none"/>
                    </w:rPr>
                    <w:t>，不在生</w:t>
                  </w:r>
                  <w:r>
                    <w:rPr>
                      <w:rFonts w:hint="eastAsia" w:ascii="Times New Roman" w:hAnsi="Times New Roman" w:eastAsia="宋体" w:cs="Times New Roman"/>
                      <w:color w:val="auto"/>
                      <w:szCs w:val="21"/>
                    </w:rPr>
                    <w:t>态保护红线内</w:t>
                  </w:r>
                </w:p>
              </w:tc>
              <w:tc>
                <w:tcPr>
                  <w:tcW w:w="409" w:type="pct"/>
                  <w:noWrap w:val="0"/>
                  <w:vAlign w:val="center"/>
                </w:tcPr>
                <w:p>
                  <w:pPr>
                    <w:jc w:val="center"/>
                    <w:rPr>
                      <w:color w:val="auto"/>
                      <w:szCs w:val="21"/>
                    </w:rPr>
                  </w:pPr>
                  <w:r>
                    <w:rPr>
                      <w:color w:val="auto"/>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75" w:type="pct"/>
                  <w:noWrap w:val="0"/>
                  <w:vAlign w:val="center"/>
                </w:tcPr>
                <w:p>
                  <w:pPr>
                    <w:pStyle w:val="69"/>
                    <w:tabs>
                      <w:tab w:val="left" w:pos="-2848"/>
                    </w:tabs>
                    <w:spacing w:before="100" w:beforeAutospacing="1" w:after="100" w:afterAutospacing="1"/>
                    <w:rPr>
                      <w:color w:val="auto"/>
                      <w:szCs w:val="21"/>
                    </w:rPr>
                  </w:pPr>
                  <w:r>
                    <w:rPr>
                      <w:color w:val="auto"/>
                      <w:szCs w:val="21"/>
                    </w:rPr>
                    <w:t>2</w:t>
                  </w:r>
                </w:p>
              </w:tc>
              <w:tc>
                <w:tcPr>
                  <w:tcW w:w="441" w:type="pct"/>
                  <w:noWrap w:val="0"/>
                  <w:vAlign w:val="center"/>
                </w:tcPr>
                <w:p>
                  <w:pPr>
                    <w:jc w:val="center"/>
                    <w:rPr>
                      <w:color w:val="auto"/>
                      <w:szCs w:val="21"/>
                    </w:rPr>
                  </w:pPr>
                  <w:r>
                    <w:rPr>
                      <w:color w:val="auto"/>
                      <w:szCs w:val="21"/>
                    </w:rPr>
                    <w:t>环境质量底线</w:t>
                  </w:r>
                </w:p>
              </w:tc>
              <w:tc>
                <w:tcPr>
                  <w:tcW w:w="2017" w:type="pct"/>
                  <w:noWrap w:val="0"/>
                  <w:vAlign w:val="center"/>
                </w:tcPr>
                <w:p>
                  <w:pPr>
                    <w:jc w:val="center"/>
                    <w:rPr>
                      <w:color w:val="auto"/>
                      <w:szCs w:val="21"/>
                    </w:rPr>
                  </w:pPr>
                  <w:r>
                    <w:rPr>
                      <w:color w:val="auto"/>
                      <w:szCs w:val="21"/>
                    </w:rPr>
                    <w:t>环境质量现状超标地区以及未达到环境质量目标考核要求的地区上新项目将受到限制；对环境质量现状超标的地区，项目拟采取的 施不能满足区域环境质量改善目标管理要求的，依法不予审批其环评文件</w:t>
                  </w:r>
                </w:p>
              </w:tc>
              <w:tc>
                <w:tcPr>
                  <w:tcW w:w="1758" w:type="pct"/>
                  <w:noWrap w:val="0"/>
                  <w:vAlign w:val="center"/>
                </w:tcPr>
                <w:p>
                  <w:pPr>
                    <w:jc w:val="center"/>
                    <w:rPr>
                      <w:color w:val="auto"/>
                      <w:szCs w:val="21"/>
                    </w:rPr>
                  </w:pPr>
                  <w:r>
                    <w:rPr>
                      <w:color w:val="auto"/>
                      <w:szCs w:val="21"/>
                    </w:rPr>
                    <w:t>根据</w:t>
                  </w:r>
                  <w:r>
                    <w:rPr>
                      <w:rFonts w:hint="eastAsia"/>
                      <w:color w:val="auto"/>
                      <w:szCs w:val="21"/>
                    </w:rPr>
                    <w:t>《</w:t>
                  </w:r>
                  <w:r>
                    <w:rPr>
                      <w:color w:val="auto"/>
                      <w:szCs w:val="21"/>
                    </w:rPr>
                    <w:t>2020年淮</w:t>
                  </w:r>
                  <w:r>
                    <w:rPr>
                      <w:rFonts w:hint="eastAsia"/>
                      <w:color w:val="auto"/>
                      <w:szCs w:val="21"/>
                    </w:rPr>
                    <w:t>南</w:t>
                  </w:r>
                  <w:r>
                    <w:rPr>
                      <w:color w:val="auto"/>
                      <w:szCs w:val="21"/>
                    </w:rPr>
                    <w:t>市环境状况公报</w:t>
                  </w:r>
                  <w:r>
                    <w:rPr>
                      <w:rFonts w:hint="eastAsia"/>
                      <w:color w:val="auto"/>
                      <w:szCs w:val="21"/>
                    </w:rPr>
                    <w:t>》</w:t>
                  </w:r>
                  <w:r>
                    <w:rPr>
                      <w:color w:val="auto"/>
                      <w:szCs w:val="21"/>
                    </w:rPr>
                    <w:t>，项目所在区域可吸入颗粒物（PM</w:t>
                  </w:r>
                  <w:r>
                    <w:rPr>
                      <w:color w:val="auto"/>
                      <w:szCs w:val="21"/>
                      <w:vertAlign w:val="subscript"/>
                    </w:rPr>
                    <w:t>10</w:t>
                  </w:r>
                  <w:r>
                    <w:rPr>
                      <w:color w:val="auto"/>
                      <w:szCs w:val="21"/>
                    </w:rPr>
                    <w:t>）</w:t>
                  </w:r>
                  <w:r>
                    <w:rPr>
                      <w:rFonts w:hint="eastAsia"/>
                      <w:color w:val="auto"/>
                      <w:szCs w:val="21"/>
                    </w:rPr>
                    <w:t>和细颗粒物（</w:t>
                  </w:r>
                  <w:r>
                    <w:rPr>
                      <w:color w:val="auto"/>
                      <w:szCs w:val="21"/>
                    </w:rPr>
                    <w:t>PM</w:t>
                  </w:r>
                  <w:r>
                    <w:rPr>
                      <w:color w:val="auto"/>
                      <w:szCs w:val="21"/>
                      <w:vertAlign w:val="subscript"/>
                    </w:rPr>
                    <w:t>2.5</w:t>
                  </w:r>
                  <w:r>
                    <w:rPr>
                      <w:rFonts w:hint="eastAsia"/>
                      <w:color w:val="auto"/>
                      <w:szCs w:val="21"/>
                    </w:rPr>
                    <w:t>）年均</w:t>
                  </w:r>
                  <w:r>
                    <w:rPr>
                      <w:color w:val="auto"/>
                      <w:szCs w:val="21"/>
                    </w:rPr>
                    <w:t>浓度超过《环境空气质量标准》（GB3095</w:t>
                  </w:r>
                  <w:r>
                    <w:rPr>
                      <w:rFonts w:hint="eastAsia"/>
                      <w:color w:val="auto"/>
                      <w:szCs w:val="21"/>
                    </w:rPr>
                    <w:t>-</w:t>
                  </w:r>
                  <w:r>
                    <w:rPr>
                      <w:color w:val="auto"/>
                      <w:szCs w:val="21"/>
                    </w:rPr>
                    <w:t>2012）二级标准要求，</w:t>
                  </w:r>
                  <w:r>
                    <w:rPr>
                      <w:rFonts w:hint="eastAsia"/>
                      <w:color w:val="auto"/>
                      <w:szCs w:val="21"/>
                    </w:rPr>
                    <w:t>因此</w:t>
                  </w:r>
                  <w:r>
                    <w:rPr>
                      <w:color w:val="auto"/>
                      <w:szCs w:val="21"/>
                    </w:rPr>
                    <w:t>项目所在区域为</w:t>
                  </w:r>
                  <w:r>
                    <w:rPr>
                      <w:rFonts w:hint="eastAsia"/>
                      <w:color w:val="auto"/>
                      <w:szCs w:val="21"/>
                    </w:rPr>
                    <w:t>不</w:t>
                  </w:r>
                  <w:r>
                    <w:rPr>
                      <w:color w:val="auto"/>
                      <w:szCs w:val="21"/>
                    </w:rPr>
                    <w:t>达标区。</w:t>
                  </w:r>
                  <w:r>
                    <w:rPr>
                      <w:color w:val="auto"/>
                      <w:szCs w:val="21"/>
                      <w:lang w:bidi="ar"/>
                    </w:rPr>
                    <w:t>本项目地表水环境保护目标</w:t>
                  </w:r>
                  <w:r>
                    <w:rPr>
                      <w:rFonts w:hint="eastAsia"/>
                      <w:color w:val="auto"/>
                      <w:szCs w:val="21"/>
                      <w:lang w:bidi="ar"/>
                    </w:rPr>
                    <w:t>淮河</w:t>
                  </w:r>
                  <w:r>
                    <w:rPr>
                      <w:color w:val="auto"/>
                      <w:szCs w:val="21"/>
                      <w:lang w:bidi="ar"/>
                    </w:rPr>
                    <w:t>的</w:t>
                  </w:r>
                  <w:r>
                    <w:rPr>
                      <w:color w:val="auto"/>
                      <w:szCs w:val="21"/>
                    </w:rPr>
                    <w:t>环境质量现状可以达到《地表水环境质量标准》（GB3838-2002）中Ⅲ类水体功能要求</w:t>
                  </w:r>
                  <w:r>
                    <w:rPr>
                      <w:rFonts w:hint="eastAsia"/>
                      <w:color w:val="auto"/>
                      <w:szCs w:val="21"/>
                    </w:rPr>
                    <w:t>，</w:t>
                  </w:r>
                  <w:r>
                    <w:rPr>
                      <w:color w:val="auto"/>
                      <w:szCs w:val="21"/>
                    </w:rPr>
                    <w:t>区域环境噪声达到相应功能区要求。本项目产生的废气量较少，且均配备的有效的污染防治措施，各污染物达标排放，本项目增加的大气污染物排放量不会造成区域环境质量的下降</w:t>
                  </w:r>
                </w:p>
              </w:tc>
              <w:tc>
                <w:tcPr>
                  <w:tcW w:w="409" w:type="pct"/>
                  <w:noWrap w:val="0"/>
                  <w:vAlign w:val="center"/>
                </w:tcPr>
                <w:p>
                  <w:pPr>
                    <w:jc w:val="center"/>
                    <w:rPr>
                      <w:bCs/>
                      <w:color w:val="auto"/>
                      <w:kern w:val="0"/>
                      <w:szCs w:val="21"/>
                    </w:rPr>
                  </w:pPr>
                  <w:r>
                    <w:rPr>
                      <w:bCs/>
                      <w:color w:val="auto"/>
                      <w:kern w:val="0"/>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75" w:type="pct"/>
                  <w:noWrap w:val="0"/>
                  <w:vAlign w:val="center"/>
                </w:tcPr>
                <w:p>
                  <w:pPr>
                    <w:pStyle w:val="69"/>
                    <w:tabs>
                      <w:tab w:val="left" w:pos="-2848"/>
                    </w:tabs>
                    <w:spacing w:before="100" w:beforeAutospacing="1" w:after="100" w:afterAutospacing="1"/>
                    <w:rPr>
                      <w:color w:val="auto"/>
                      <w:szCs w:val="21"/>
                    </w:rPr>
                  </w:pPr>
                  <w:r>
                    <w:rPr>
                      <w:color w:val="auto"/>
                      <w:szCs w:val="21"/>
                    </w:rPr>
                    <w:t>3</w:t>
                  </w:r>
                </w:p>
              </w:tc>
              <w:tc>
                <w:tcPr>
                  <w:tcW w:w="441" w:type="pct"/>
                  <w:noWrap w:val="0"/>
                  <w:vAlign w:val="center"/>
                </w:tcPr>
                <w:p>
                  <w:pPr>
                    <w:jc w:val="center"/>
                    <w:rPr>
                      <w:color w:val="auto"/>
                      <w:szCs w:val="21"/>
                    </w:rPr>
                  </w:pPr>
                  <w:r>
                    <w:rPr>
                      <w:color w:val="auto"/>
                      <w:szCs w:val="21"/>
                    </w:rPr>
                    <w:t>资源利用上线</w:t>
                  </w:r>
                </w:p>
              </w:tc>
              <w:tc>
                <w:tcPr>
                  <w:tcW w:w="2017" w:type="pct"/>
                  <w:noWrap w:val="0"/>
                  <w:vAlign w:val="center"/>
                </w:tcPr>
                <w:p>
                  <w:pPr>
                    <w:jc w:val="center"/>
                    <w:rPr>
                      <w:color w:val="auto"/>
                      <w:szCs w:val="21"/>
                    </w:rPr>
                  </w:pPr>
                  <w:r>
                    <w:rPr>
                      <w:color w:val="auto"/>
                      <w:szCs w:val="21"/>
                    </w:rPr>
                    <w:t>依据有关资源利用上线要求，即各地区能源、水、土地等资源消耗是不得突破的“天花板</w:t>
                  </w:r>
                </w:p>
              </w:tc>
              <w:tc>
                <w:tcPr>
                  <w:tcW w:w="1758" w:type="pct"/>
                  <w:noWrap w:val="0"/>
                  <w:vAlign w:val="center"/>
                </w:tcPr>
                <w:p>
                  <w:pPr>
                    <w:jc w:val="center"/>
                    <w:rPr>
                      <w:color w:val="auto"/>
                      <w:szCs w:val="21"/>
                    </w:rPr>
                  </w:pPr>
                  <w:r>
                    <w:rPr>
                      <w:color w:val="auto"/>
                      <w:szCs w:val="21"/>
                    </w:rPr>
                    <w:t>项目用水取自当地自来水，且用水量较小，不会达到资源利用上线；项目占地为工业用地，符合当地规划要求，亦不会达到资源利用上线</w:t>
                  </w:r>
                </w:p>
              </w:tc>
              <w:tc>
                <w:tcPr>
                  <w:tcW w:w="409" w:type="pct"/>
                  <w:noWrap w:val="0"/>
                  <w:vAlign w:val="center"/>
                </w:tcPr>
                <w:p>
                  <w:pPr>
                    <w:jc w:val="center"/>
                    <w:rPr>
                      <w:color w:val="auto"/>
                      <w:szCs w:val="21"/>
                    </w:rPr>
                  </w:pPr>
                  <w:r>
                    <w:rPr>
                      <w:color w:val="auto"/>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75" w:type="pct"/>
                  <w:noWrap w:val="0"/>
                  <w:vAlign w:val="center"/>
                </w:tcPr>
                <w:p>
                  <w:pPr>
                    <w:pStyle w:val="69"/>
                    <w:tabs>
                      <w:tab w:val="left" w:pos="-2848"/>
                    </w:tabs>
                    <w:spacing w:before="100" w:beforeAutospacing="1" w:after="100" w:afterAutospacing="1"/>
                    <w:rPr>
                      <w:color w:val="auto"/>
                      <w:szCs w:val="21"/>
                    </w:rPr>
                  </w:pPr>
                  <w:r>
                    <w:rPr>
                      <w:color w:val="auto"/>
                      <w:szCs w:val="21"/>
                    </w:rPr>
                    <w:t>4</w:t>
                  </w:r>
                </w:p>
              </w:tc>
              <w:tc>
                <w:tcPr>
                  <w:tcW w:w="441" w:type="pct"/>
                  <w:noWrap w:val="0"/>
                  <w:vAlign w:val="center"/>
                </w:tcPr>
                <w:p>
                  <w:pPr>
                    <w:jc w:val="center"/>
                    <w:rPr>
                      <w:color w:val="auto"/>
                      <w:szCs w:val="21"/>
                    </w:rPr>
                  </w:pPr>
                  <w:r>
                    <w:rPr>
                      <w:color w:val="auto"/>
                      <w:szCs w:val="21"/>
                    </w:rPr>
                    <w:t>环境准入负面清单</w:t>
                  </w:r>
                </w:p>
              </w:tc>
              <w:tc>
                <w:tcPr>
                  <w:tcW w:w="2017" w:type="pct"/>
                  <w:noWrap w:val="0"/>
                  <w:vAlign w:val="center"/>
                </w:tcPr>
                <w:p>
                  <w:pPr>
                    <w:jc w:val="center"/>
                    <w:rPr>
                      <w:bCs/>
                      <w:color w:val="auto"/>
                      <w:szCs w:val="21"/>
                    </w:rPr>
                  </w:pPr>
                  <w:r>
                    <w:rPr>
                      <w:bCs/>
                      <w:color w:val="auto"/>
                      <w:szCs w:val="21"/>
                    </w:rPr>
                    <w:t>环境准入负面清单是基于生态保护线、</w:t>
                  </w:r>
                  <w:r>
                    <w:rPr>
                      <w:rFonts w:hint="eastAsia"/>
                      <w:bCs/>
                      <w:color w:val="auto"/>
                      <w:szCs w:val="21"/>
                    </w:rPr>
                    <w:t>环境</w:t>
                  </w:r>
                  <w:r>
                    <w:rPr>
                      <w:bCs/>
                      <w:color w:val="auto"/>
                      <w:szCs w:val="21"/>
                    </w:rPr>
                    <w:t>质量底线和资源利用上线，以清单方式列出的禁止、限制等差别化环境准入条件和要求。要在规划环评清单式管理试点的基础上，布局选址、资源利用效率、资源配置方式等方面入手，制定环境准入负面清单，充分发挥负面清单对产业发展和项目准入的指导和约束作用</w:t>
                  </w:r>
                </w:p>
              </w:tc>
              <w:tc>
                <w:tcPr>
                  <w:tcW w:w="1758" w:type="pct"/>
                  <w:noWrap w:val="0"/>
                  <w:vAlign w:val="center"/>
                </w:tcPr>
                <w:p>
                  <w:pPr>
                    <w:jc w:val="center"/>
                    <w:rPr>
                      <w:bCs/>
                      <w:color w:val="auto"/>
                      <w:szCs w:val="21"/>
                    </w:rPr>
                  </w:pPr>
                  <w:r>
                    <w:rPr>
                      <w:bCs/>
                      <w:color w:val="auto"/>
                      <w:szCs w:val="21"/>
                    </w:rPr>
                    <w:t>项目行</w:t>
                  </w:r>
                  <w:r>
                    <w:rPr>
                      <w:rFonts w:ascii="Times New Roman" w:hAnsi="Times New Roman" w:eastAsia="宋体" w:cs="Times New Roman"/>
                      <w:bCs/>
                      <w:color w:val="auto"/>
                      <w:szCs w:val="21"/>
                    </w:rPr>
                    <w:t>业类型为</w:t>
                  </w:r>
                  <w:r>
                    <w:rPr>
                      <w:rFonts w:hint="eastAsia" w:ascii="Times New Roman" w:hAnsi="Times New Roman" w:eastAsia="宋体" w:cs="Times New Roman"/>
                      <w:bCs/>
                      <w:color w:val="auto"/>
                      <w:szCs w:val="21"/>
                      <w:lang w:eastAsia="zh-CN"/>
                    </w:rPr>
                    <w:t>其他机械和设备修理业</w:t>
                  </w:r>
                  <w:r>
                    <w:rPr>
                      <w:rFonts w:ascii="Times New Roman" w:hAnsi="Times New Roman" w:eastAsia="宋体" w:cs="Times New Roman"/>
                      <w:bCs/>
                      <w:color w:val="auto"/>
                      <w:szCs w:val="21"/>
                    </w:rPr>
                    <w:t>，</w:t>
                  </w:r>
                  <w:r>
                    <w:rPr>
                      <w:bCs/>
                      <w:color w:val="auto"/>
                      <w:szCs w:val="21"/>
                    </w:rPr>
                    <w:t>项目不</w:t>
                  </w:r>
                  <w:r>
                    <w:rPr>
                      <w:rFonts w:hint="eastAsia"/>
                      <w:bCs/>
                      <w:color w:val="auto"/>
                      <w:szCs w:val="21"/>
                    </w:rPr>
                    <w:t>在</w:t>
                  </w:r>
                  <w:r>
                    <w:rPr>
                      <w:bCs/>
                      <w:color w:val="auto"/>
                      <w:szCs w:val="21"/>
                    </w:rPr>
                    <w:t>《关于印发安徽省长江经济带发展负面清单实施细则（试行）的通知》（皖长江办[2019]18号）</w:t>
                  </w:r>
                  <w:r>
                    <w:rPr>
                      <w:rFonts w:hint="eastAsia"/>
                      <w:bCs/>
                      <w:color w:val="auto"/>
                      <w:szCs w:val="21"/>
                    </w:rPr>
                    <w:t>中负面清单，不在</w:t>
                  </w:r>
                  <w:r>
                    <w:rPr>
                      <w:rFonts w:hint="eastAsia"/>
                      <w:color w:val="auto"/>
                      <w:szCs w:val="21"/>
                    </w:rPr>
                    <w:t>淮</w:t>
                  </w:r>
                  <w:r>
                    <w:rPr>
                      <w:color w:val="auto"/>
                      <w:szCs w:val="21"/>
                    </w:rPr>
                    <w:t>南经济技术开发区</w:t>
                  </w:r>
                  <w:r>
                    <w:rPr>
                      <w:bCs/>
                      <w:color w:val="auto"/>
                      <w:szCs w:val="21"/>
                    </w:rPr>
                    <w:t>环境准入负面清单内，项目</w:t>
                  </w:r>
                  <w:r>
                    <w:rPr>
                      <w:rFonts w:hint="eastAsia"/>
                      <w:bCs/>
                      <w:color w:val="auto"/>
                      <w:szCs w:val="21"/>
                    </w:rPr>
                    <w:t>建设</w:t>
                  </w:r>
                  <w:r>
                    <w:rPr>
                      <w:bCs/>
                      <w:color w:val="auto"/>
                      <w:szCs w:val="21"/>
                    </w:rPr>
                    <w:t>符合相关负面清单要求。</w:t>
                  </w:r>
                </w:p>
              </w:tc>
              <w:tc>
                <w:tcPr>
                  <w:tcW w:w="409" w:type="pct"/>
                  <w:noWrap w:val="0"/>
                  <w:vAlign w:val="center"/>
                </w:tcPr>
                <w:p>
                  <w:pPr>
                    <w:jc w:val="center"/>
                    <w:rPr>
                      <w:color w:val="auto"/>
                      <w:szCs w:val="21"/>
                    </w:rPr>
                  </w:pPr>
                  <w:r>
                    <w:rPr>
                      <w:color w:val="auto"/>
                      <w:szCs w:val="21"/>
                    </w:rPr>
                    <w:t>相符</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表1-</w:t>
            </w:r>
            <w:r>
              <w:rPr>
                <w:rFonts w:hint="eastAsia" w:ascii="Times New Roman" w:hAnsi="Times New Roman" w:eastAsia="宋体" w:cs="Times New Roman"/>
                <w:b/>
                <w:bCs/>
                <w:color w:val="auto"/>
                <w:sz w:val="21"/>
                <w:szCs w:val="21"/>
                <w:lang w:val="en-US" w:eastAsia="zh-CN"/>
              </w:rPr>
              <w:t>4.1</w:t>
            </w:r>
            <w:r>
              <w:rPr>
                <w:rFonts w:hint="default" w:ascii="Times New Roman" w:hAnsi="Times New Roman" w:eastAsia="宋体" w:cs="Times New Roman"/>
                <w:b/>
                <w:bCs/>
                <w:color w:val="auto"/>
                <w:sz w:val="21"/>
                <w:szCs w:val="21"/>
                <w:lang w:val="en-US" w:eastAsia="zh-CN"/>
              </w:rPr>
              <w:t xml:space="preserve"> 开发区</w:t>
            </w:r>
            <w:r>
              <w:rPr>
                <w:rFonts w:hint="default" w:ascii="Times New Roman" w:hAnsi="Times New Roman" w:eastAsia="宋体" w:cs="Times New Roman"/>
                <w:b/>
                <w:bCs/>
                <w:color w:val="auto"/>
                <w:sz w:val="21"/>
                <w:szCs w:val="21"/>
                <w:lang w:val="en-US"/>
              </w:rPr>
              <w:t>产业准入负面清单</w:t>
            </w:r>
          </w:p>
          <w:tbl>
            <w:tblPr>
              <w:tblStyle w:val="2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0"/>
              <w:gridCol w:w="1091"/>
              <w:gridCol w:w="5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 w:hRule="atLeast"/>
                <w:tblHeader/>
                <w:jc w:val="center"/>
              </w:trPr>
              <w:tc>
                <w:tcPr>
                  <w:tcW w:w="453" w:type="pct"/>
                  <w:tcBorders>
                    <w:tl2br w:val="nil"/>
                    <w:tr2bl w:val="nil"/>
                  </w:tcBorders>
                  <w:noWrap w:val="0"/>
                  <w:vAlign w:val="center"/>
                </w:tcPr>
                <w:p>
                  <w:pPr>
                    <w:keepNext/>
                    <w:keepLines/>
                    <w:pageBreakBefore w:val="0"/>
                    <w:widowControl/>
                    <w:kinsoku/>
                    <w:wordWrap/>
                    <w:overflowPunct w:val="0"/>
                    <w:topLinePunct w:val="0"/>
                    <w:autoSpaceDE/>
                    <w:autoSpaceDN/>
                    <w:bidi w:val="0"/>
                    <w:adjustRightInd/>
                    <w:snapToGrid w:val="0"/>
                    <w:spacing w:line="240" w:lineRule="auto"/>
                    <w:ind w:firstLine="0" w:firstLineChars="0"/>
                    <w:jc w:val="center"/>
                    <w:outlineLvl w:val="0"/>
                    <w:rPr>
                      <w:rFonts w:hint="default" w:ascii="Times New Roman" w:hAnsi="Times New Roman" w:cs="Times New Roman"/>
                      <w:b/>
                      <w:bCs/>
                      <w:color w:val="auto"/>
                      <w:kern w:val="0"/>
                      <w:sz w:val="21"/>
                      <w:szCs w:val="21"/>
                      <w:highlight w:val="none"/>
                    </w:rPr>
                  </w:pPr>
                  <w:bookmarkStart w:id="2" w:name="_Toc497065712"/>
                  <w:bookmarkStart w:id="3" w:name="_Toc497293469"/>
                  <w:bookmarkStart w:id="4" w:name="_Toc503340663"/>
                  <w:bookmarkStart w:id="5" w:name="_Toc497160162"/>
                  <w:bookmarkStart w:id="6" w:name="_Toc43411729"/>
                  <w:bookmarkStart w:id="7" w:name="_Toc498369114"/>
                  <w:r>
                    <w:rPr>
                      <w:rFonts w:hint="default" w:ascii="Times New Roman" w:hAnsi="Times New Roman" w:cs="Times New Roman"/>
                      <w:b/>
                      <w:bCs/>
                      <w:color w:val="auto"/>
                      <w:kern w:val="0"/>
                      <w:sz w:val="21"/>
                      <w:szCs w:val="21"/>
                      <w:highlight w:val="none"/>
                    </w:rPr>
                    <w:t>序号</w:t>
                  </w:r>
                  <w:bookmarkEnd w:id="2"/>
                  <w:bookmarkEnd w:id="3"/>
                  <w:bookmarkEnd w:id="4"/>
                  <w:bookmarkEnd w:id="5"/>
                  <w:bookmarkEnd w:id="6"/>
                  <w:bookmarkEnd w:id="7"/>
                </w:p>
              </w:tc>
              <w:tc>
                <w:tcPr>
                  <w:tcW w:w="772" w:type="pct"/>
                  <w:tcBorders>
                    <w:tl2br w:val="nil"/>
                    <w:tr2bl w:val="nil"/>
                  </w:tcBorders>
                  <w:noWrap w:val="0"/>
                  <w:vAlign w:val="center"/>
                </w:tcPr>
                <w:p>
                  <w:pPr>
                    <w:keepNext/>
                    <w:keepLines/>
                    <w:pageBreakBefore w:val="0"/>
                    <w:widowControl/>
                    <w:kinsoku/>
                    <w:wordWrap/>
                    <w:overflowPunct w:val="0"/>
                    <w:topLinePunct w:val="0"/>
                    <w:autoSpaceDE/>
                    <w:autoSpaceDN/>
                    <w:bidi w:val="0"/>
                    <w:adjustRightInd/>
                    <w:snapToGrid w:val="0"/>
                    <w:spacing w:line="240" w:lineRule="auto"/>
                    <w:ind w:firstLine="0" w:firstLineChars="0"/>
                    <w:jc w:val="center"/>
                    <w:outlineLvl w:val="0"/>
                    <w:rPr>
                      <w:rFonts w:hint="default" w:ascii="Times New Roman" w:hAnsi="Times New Roman" w:cs="Times New Roman"/>
                      <w:b/>
                      <w:bCs/>
                      <w:color w:val="auto"/>
                      <w:kern w:val="0"/>
                      <w:sz w:val="21"/>
                      <w:szCs w:val="21"/>
                      <w:highlight w:val="none"/>
                    </w:rPr>
                  </w:pPr>
                  <w:bookmarkStart w:id="8" w:name="_Toc497160163"/>
                  <w:bookmarkStart w:id="9" w:name="_Toc497065713"/>
                  <w:bookmarkStart w:id="10" w:name="_Toc497293470"/>
                  <w:bookmarkStart w:id="11" w:name="_Toc498369115"/>
                  <w:bookmarkStart w:id="12" w:name="_Toc503340664"/>
                  <w:bookmarkStart w:id="13" w:name="_Toc43411730"/>
                  <w:r>
                    <w:rPr>
                      <w:rFonts w:hint="default" w:ascii="Times New Roman" w:hAnsi="Times New Roman" w:cs="Times New Roman"/>
                      <w:b/>
                      <w:bCs/>
                      <w:color w:val="auto"/>
                      <w:kern w:val="0"/>
                      <w:sz w:val="21"/>
                      <w:szCs w:val="21"/>
                      <w:highlight w:val="none"/>
                    </w:rPr>
                    <w:t>类型</w:t>
                  </w:r>
                  <w:bookmarkEnd w:id="8"/>
                  <w:bookmarkEnd w:id="9"/>
                  <w:bookmarkEnd w:id="10"/>
                  <w:bookmarkEnd w:id="11"/>
                  <w:bookmarkEnd w:id="12"/>
                  <w:bookmarkEnd w:id="13"/>
                </w:p>
              </w:tc>
              <w:tc>
                <w:tcPr>
                  <w:tcW w:w="3773" w:type="pct"/>
                  <w:tcBorders>
                    <w:tl2br w:val="nil"/>
                    <w:tr2bl w:val="nil"/>
                  </w:tcBorders>
                  <w:noWrap w:val="0"/>
                  <w:vAlign w:val="center"/>
                </w:tcPr>
                <w:p>
                  <w:pPr>
                    <w:keepNext/>
                    <w:keepLines/>
                    <w:pageBreakBefore w:val="0"/>
                    <w:widowControl/>
                    <w:kinsoku/>
                    <w:wordWrap/>
                    <w:overflowPunct w:val="0"/>
                    <w:topLinePunct w:val="0"/>
                    <w:autoSpaceDE/>
                    <w:autoSpaceDN/>
                    <w:bidi w:val="0"/>
                    <w:adjustRightInd/>
                    <w:snapToGrid w:val="0"/>
                    <w:spacing w:line="240" w:lineRule="auto"/>
                    <w:ind w:firstLine="0" w:firstLineChars="0"/>
                    <w:jc w:val="center"/>
                    <w:outlineLvl w:val="0"/>
                    <w:rPr>
                      <w:rFonts w:hint="default" w:ascii="Times New Roman" w:hAnsi="Times New Roman" w:cs="Times New Roman"/>
                      <w:b/>
                      <w:bCs/>
                      <w:color w:val="auto"/>
                      <w:kern w:val="0"/>
                      <w:sz w:val="21"/>
                      <w:szCs w:val="21"/>
                      <w:highlight w:val="none"/>
                    </w:rPr>
                  </w:pPr>
                  <w:bookmarkStart w:id="14" w:name="_Toc43411731"/>
                  <w:r>
                    <w:rPr>
                      <w:rFonts w:hint="default" w:ascii="Times New Roman" w:hAnsi="Times New Roman" w:cs="Times New Roman"/>
                      <w:b/>
                      <w:bCs/>
                      <w:color w:val="auto"/>
                      <w:kern w:val="0"/>
                      <w:sz w:val="21"/>
                      <w:szCs w:val="21"/>
                      <w:highlight w:val="none"/>
                    </w:rPr>
                    <w:t>负面清单要求</w:t>
                  </w:r>
                  <w:bookmarkEnd w:id="1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53"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w:t>
                  </w:r>
                </w:p>
              </w:tc>
              <w:tc>
                <w:tcPr>
                  <w:tcW w:w="772" w:type="pct"/>
                  <w:vMerge w:val="restart"/>
                  <w:tcBorders>
                    <w:tl2br w:val="nil"/>
                    <w:tr2bl w:val="nil"/>
                  </w:tcBorders>
                  <w:noWrap w:val="0"/>
                  <w:vAlign w:val="center"/>
                </w:tcPr>
                <w:p>
                  <w:pPr>
                    <w:keepNext/>
                    <w:keepLines/>
                    <w:pageBreakBefore w:val="0"/>
                    <w:widowControl/>
                    <w:kinsoku/>
                    <w:wordWrap/>
                    <w:overflowPunct w:val="0"/>
                    <w:topLinePunct w:val="0"/>
                    <w:autoSpaceDE/>
                    <w:autoSpaceDN/>
                    <w:bidi w:val="0"/>
                    <w:adjustRightInd/>
                    <w:snapToGrid w:val="0"/>
                    <w:spacing w:line="240" w:lineRule="auto"/>
                    <w:ind w:firstLine="0" w:firstLineChars="0"/>
                    <w:jc w:val="center"/>
                    <w:outlineLvl w:val="0"/>
                    <w:rPr>
                      <w:rFonts w:hint="default" w:ascii="Times New Roman" w:hAnsi="Times New Roman" w:cs="Times New Roman"/>
                      <w:color w:val="auto"/>
                      <w:kern w:val="0"/>
                      <w:sz w:val="21"/>
                      <w:szCs w:val="21"/>
                      <w:highlight w:val="none"/>
                    </w:rPr>
                  </w:pPr>
                  <w:bookmarkStart w:id="15" w:name="_Toc497293472"/>
                  <w:bookmarkStart w:id="16" w:name="_Toc503340666"/>
                  <w:bookmarkStart w:id="17" w:name="_Toc497065715"/>
                  <w:bookmarkStart w:id="18" w:name="_Toc497160165"/>
                  <w:bookmarkStart w:id="19" w:name="_Toc498369117"/>
                  <w:bookmarkStart w:id="20" w:name="_Toc43411732"/>
                  <w:r>
                    <w:rPr>
                      <w:rFonts w:hint="default" w:ascii="Times New Roman" w:hAnsi="Times New Roman" w:cs="Times New Roman"/>
                      <w:color w:val="auto"/>
                      <w:kern w:val="0"/>
                      <w:sz w:val="21"/>
                      <w:szCs w:val="21"/>
                      <w:highlight w:val="none"/>
                    </w:rPr>
                    <w:t>产业导向</w:t>
                  </w:r>
                  <w:bookmarkEnd w:id="15"/>
                  <w:bookmarkEnd w:id="16"/>
                  <w:bookmarkEnd w:id="17"/>
                  <w:bookmarkEnd w:id="18"/>
                  <w:bookmarkEnd w:id="19"/>
                  <w:bookmarkEnd w:id="20"/>
                </w:p>
              </w:tc>
              <w:tc>
                <w:tcPr>
                  <w:tcW w:w="3773" w:type="pct"/>
                  <w:tcBorders>
                    <w:tl2br w:val="nil"/>
                    <w:tr2bl w:val="nil"/>
                  </w:tcBorders>
                  <w:noWrap w:val="0"/>
                  <w:vAlign w:val="center"/>
                </w:tcPr>
                <w:p>
                  <w:pPr>
                    <w:pageBreakBefore w:val="0"/>
                    <w:kinsoku/>
                    <w:wordWrap/>
                    <w:overflowPunct w:val="0"/>
                    <w:topLinePunct w:val="0"/>
                    <w:autoSpaceDE/>
                    <w:autoSpaceDN/>
                    <w:bidi w:val="0"/>
                    <w:adjustRightInd/>
                    <w:snapToGrid w:val="0"/>
                    <w:spacing w:line="240" w:lineRule="auto"/>
                    <w:ind w:firstLine="0" w:firstLineChars="0"/>
                    <w:jc w:val="left"/>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禁止引入国家明令禁止建设或投资的、列入《产业结构调整指导目录（2019年本）》、《外商投资产业指导目录（2017年修订）》、《市场准入负面清单（2019年版）》等相关产业政策中禁止或淘汰类的项目。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 w:hRule="atLeast"/>
                <w:jc w:val="center"/>
              </w:trPr>
              <w:tc>
                <w:tcPr>
                  <w:tcW w:w="453"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2</w:t>
                  </w:r>
                </w:p>
              </w:tc>
              <w:tc>
                <w:tcPr>
                  <w:tcW w:w="772" w:type="pct"/>
                  <w:vMerge w:val="continue"/>
                  <w:tcBorders>
                    <w:tl2br w:val="nil"/>
                    <w:tr2bl w:val="nil"/>
                  </w:tcBorders>
                  <w:noWrap w:val="0"/>
                  <w:vAlign w:val="center"/>
                </w:tcPr>
                <w:p>
                  <w:pPr>
                    <w:keepNext/>
                    <w:keepLines/>
                    <w:pageBreakBefore w:val="0"/>
                    <w:widowControl/>
                    <w:kinsoku/>
                    <w:wordWrap/>
                    <w:overflowPunct w:val="0"/>
                    <w:topLinePunct w:val="0"/>
                    <w:autoSpaceDE/>
                    <w:autoSpaceDN/>
                    <w:bidi w:val="0"/>
                    <w:adjustRightInd/>
                    <w:snapToGrid w:val="0"/>
                    <w:spacing w:line="240" w:lineRule="auto"/>
                    <w:ind w:firstLine="0" w:firstLineChars="0"/>
                    <w:jc w:val="center"/>
                    <w:outlineLvl w:val="0"/>
                    <w:rPr>
                      <w:rFonts w:hint="default" w:ascii="Times New Roman" w:hAnsi="Times New Roman" w:cs="Times New Roman"/>
                      <w:color w:val="auto"/>
                      <w:kern w:val="0"/>
                      <w:sz w:val="21"/>
                      <w:szCs w:val="21"/>
                      <w:highlight w:val="none"/>
                    </w:rPr>
                  </w:pPr>
                </w:p>
              </w:tc>
              <w:tc>
                <w:tcPr>
                  <w:tcW w:w="3773" w:type="pct"/>
                  <w:tcBorders>
                    <w:tl2br w:val="nil"/>
                    <w:tr2bl w:val="nil"/>
                  </w:tcBorders>
                  <w:noWrap w:val="0"/>
                  <w:vAlign w:val="center"/>
                </w:tcPr>
                <w:p>
                  <w:pPr>
                    <w:pageBreakBefore w:val="0"/>
                    <w:kinsoku/>
                    <w:wordWrap/>
                    <w:overflowPunct w:val="0"/>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禁止引进国家、安徽省明确规定不得审批的建设项目。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453"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3</w:t>
                  </w:r>
                </w:p>
              </w:tc>
              <w:tc>
                <w:tcPr>
                  <w:tcW w:w="772" w:type="pct"/>
                  <w:vMerge w:val="continue"/>
                  <w:tcBorders>
                    <w:tl2br w:val="nil"/>
                    <w:tr2bl w:val="nil"/>
                  </w:tcBorders>
                  <w:noWrap w:val="0"/>
                  <w:vAlign w:val="center"/>
                </w:tcPr>
                <w:p>
                  <w:pPr>
                    <w:keepNext/>
                    <w:keepLines/>
                    <w:pageBreakBefore w:val="0"/>
                    <w:widowControl/>
                    <w:kinsoku/>
                    <w:wordWrap/>
                    <w:overflowPunct w:val="0"/>
                    <w:topLinePunct w:val="0"/>
                    <w:autoSpaceDE/>
                    <w:autoSpaceDN/>
                    <w:bidi w:val="0"/>
                    <w:adjustRightInd/>
                    <w:snapToGrid w:val="0"/>
                    <w:spacing w:line="240" w:lineRule="auto"/>
                    <w:ind w:firstLine="0" w:firstLineChars="0"/>
                    <w:jc w:val="center"/>
                    <w:outlineLvl w:val="0"/>
                    <w:rPr>
                      <w:rFonts w:hint="default" w:ascii="Times New Roman" w:hAnsi="Times New Roman" w:cs="Times New Roman"/>
                      <w:color w:val="auto"/>
                      <w:kern w:val="0"/>
                      <w:sz w:val="21"/>
                      <w:szCs w:val="21"/>
                      <w:highlight w:val="none"/>
                    </w:rPr>
                  </w:pPr>
                </w:p>
              </w:tc>
              <w:tc>
                <w:tcPr>
                  <w:tcW w:w="3773" w:type="pct"/>
                  <w:tcBorders>
                    <w:tl2br w:val="nil"/>
                    <w:tr2bl w:val="nil"/>
                  </w:tcBorders>
                  <w:noWrap w:val="0"/>
                  <w:vAlign w:val="center"/>
                </w:tcPr>
                <w:p>
                  <w:pPr>
                    <w:pageBreakBefore w:val="0"/>
                    <w:kinsoku/>
                    <w:wordWrap/>
                    <w:overflowPunct w:val="0"/>
                    <w:topLinePunct w:val="0"/>
                    <w:autoSpaceDE/>
                    <w:autoSpaceDN/>
                    <w:bidi w:val="0"/>
                    <w:adjustRightInd/>
                    <w:snapToGrid w:val="0"/>
                    <w:spacing w:line="240" w:lineRule="auto"/>
                    <w:ind w:firstLine="0" w:firstLineChars="0"/>
                    <w:jc w:val="left"/>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禁止引进钢铁、焦化、电解铝、铸造、水泥和平板玻璃等产能类项目。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 w:hRule="atLeast"/>
                <w:jc w:val="center"/>
              </w:trPr>
              <w:tc>
                <w:tcPr>
                  <w:tcW w:w="453"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4</w:t>
                  </w:r>
                </w:p>
              </w:tc>
              <w:tc>
                <w:tcPr>
                  <w:tcW w:w="772" w:type="pct"/>
                  <w:vMerge w:val="continue"/>
                  <w:tcBorders>
                    <w:tl2br w:val="nil"/>
                    <w:tr2bl w:val="nil"/>
                  </w:tcBorders>
                  <w:noWrap w:val="0"/>
                  <w:vAlign w:val="center"/>
                </w:tcPr>
                <w:p>
                  <w:pPr>
                    <w:keepNext/>
                    <w:keepLines/>
                    <w:pageBreakBefore w:val="0"/>
                    <w:widowControl/>
                    <w:kinsoku/>
                    <w:wordWrap/>
                    <w:overflowPunct w:val="0"/>
                    <w:topLinePunct w:val="0"/>
                    <w:autoSpaceDE/>
                    <w:autoSpaceDN/>
                    <w:bidi w:val="0"/>
                    <w:adjustRightInd/>
                    <w:snapToGrid w:val="0"/>
                    <w:spacing w:line="240" w:lineRule="auto"/>
                    <w:ind w:firstLine="0" w:firstLineChars="0"/>
                    <w:jc w:val="center"/>
                    <w:outlineLvl w:val="0"/>
                    <w:rPr>
                      <w:rFonts w:hint="default" w:ascii="Times New Roman" w:hAnsi="Times New Roman" w:cs="Times New Roman"/>
                      <w:color w:val="auto"/>
                      <w:kern w:val="0"/>
                      <w:sz w:val="21"/>
                      <w:szCs w:val="21"/>
                      <w:highlight w:val="none"/>
                    </w:rPr>
                  </w:pPr>
                </w:p>
              </w:tc>
              <w:tc>
                <w:tcPr>
                  <w:tcW w:w="3773" w:type="pct"/>
                  <w:tcBorders>
                    <w:tl2br w:val="nil"/>
                    <w:tr2bl w:val="nil"/>
                  </w:tcBorders>
                  <w:noWrap w:val="0"/>
                  <w:vAlign w:val="center"/>
                </w:tcPr>
                <w:p>
                  <w:pPr>
                    <w:pageBreakBefore w:val="0"/>
                    <w:kinsoku/>
                    <w:wordWrap/>
                    <w:overflowPunct w:val="0"/>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禁止新引入农药制造等污染较重的化工类项目。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53"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5</w:t>
                  </w:r>
                </w:p>
              </w:tc>
              <w:tc>
                <w:tcPr>
                  <w:tcW w:w="772" w:type="pct"/>
                  <w:vMerge w:val="continue"/>
                  <w:tcBorders>
                    <w:tl2br w:val="nil"/>
                    <w:tr2bl w:val="nil"/>
                  </w:tcBorders>
                  <w:noWrap w:val="0"/>
                  <w:vAlign w:val="center"/>
                </w:tcPr>
                <w:p>
                  <w:pPr>
                    <w:keepNext/>
                    <w:keepLines/>
                    <w:pageBreakBefore w:val="0"/>
                    <w:widowControl/>
                    <w:kinsoku/>
                    <w:wordWrap/>
                    <w:overflowPunct w:val="0"/>
                    <w:topLinePunct w:val="0"/>
                    <w:autoSpaceDE/>
                    <w:autoSpaceDN/>
                    <w:bidi w:val="0"/>
                    <w:adjustRightInd/>
                    <w:snapToGrid w:val="0"/>
                    <w:spacing w:line="240" w:lineRule="auto"/>
                    <w:ind w:firstLine="0" w:firstLineChars="0"/>
                    <w:jc w:val="center"/>
                    <w:outlineLvl w:val="0"/>
                    <w:rPr>
                      <w:rFonts w:hint="default" w:ascii="Times New Roman" w:hAnsi="Times New Roman" w:cs="Times New Roman"/>
                      <w:color w:val="auto"/>
                      <w:kern w:val="0"/>
                      <w:sz w:val="21"/>
                      <w:szCs w:val="21"/>
                      <w:highlight w:val="none"/>
                    </w:rPr>
                  </w:pPr>
                </w:p>
              </w:tc>
              <w:tc>
                <w:tcPr>
                  <w:tcW w:w="3773" w:type="pct"/>
                  <w:tcBorders>
                    <w:tl2br w:val="nil"/>
                    <w:tr2bl w:val="nil"/>
                  </w:tcBorders>
                  <w:noWrap w:val="0"/>
                  <w:vAlign w:val="center"/>
                </w:tcPr>
                <w:p>
                  <w:pPr>
                    <w:pageBreakBefore w:val="0"/>
                    <w:kinsoku/>
                    <w:wordWrap/>
                    <w:overflowPunct w:val="0"/>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禁止引进化学制浆造纸企业和印染、制革、化工、电镀、酿造等污染严重的小型企业。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 w:hRule="atLeast"/>
                <w:jc w:val="center"/>
              </w:trPr>
              <w:tc>
                <w:tcPr>
                  <w:tcW w:w="453"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6</w:t>
                  </w:r>
                </w:p>
              </w:tc>
              <w:tc>
                <w:tcPr>
                  <w:tcW w:w="772" w:type="pct"/>
                  <w:vMerge w:val="continue"/>
                  <w:tcBorders>
                    <w:tl2br w:val="nil"/>
                    <w:tr2bl w:val="nil"/>
                  </w:tcBorders>
                  <w:noWrap w:val="0"/>
                  <w:vAlign w:val="center"/>
                </w:tcPr>
                <w:p>
                  <w:pPr>
                    <w:keepNext/>
                    <w:keepLines/>
                    <w:pageBreakBefore w:val="0"/>
                    <w:widowControl/>
                    <w:kinsoku/>
                    <w:wordWrap/>
                    <w:overflowPunct w:val="0"/>
                    <w:topLinePunct w:val="0"/>
                    <w:autoSpaceDE/>
                    <w:autoSpaceDN/>
                    <w:bidi w:val="0"/>
                    <w:adjustRightInd/>
                    <w:snapToGrid w:val="0"/>
                    <w:spacing w:line="240" w:lineRule="auto"/>
                    <w:ind w:firstLine="0" w:firstLineChars="0"/>
                    <w:jc w:val="center"/>
                    <w:outlineLvl w:val="0"/>
                    <w:rPr>
                      <w:rFonts w:hint="default" w:ascii="Times New Roman" w:hAnsi="Times New Roman" w:cs="Times New Roman"/>
                      <w:color w:val="auto"/>
                      <w:kern w:val="0"/>
                      <w:sz w:val="21"/>
                      <w:szCs w:val="21"/>
                      <w:highlight w:val="none"/>
                    </w:rPr>
                  </w:pPr>
                </w:p>
              </w:tc>
              <w:tc>
                <w:tcPr>
                  <w:tcW w:w="3773" w:type="pct"/>
                  <w:tcBorders>
                    <w:tl2br w:val="nil"/>
                    <w:tr2bl w:val="nil"/>
                  </w:tcBorders>
                  <w:noWrap w:val="0"/>
                  <w:vAlign w:val="center"/>
                </w:tcPr>
                <w:p>
                  <w:pPr>
                    <w:pageBreakBefore w:val="0"/>
                    <w:kinsoku/>
                    <w:wordWrap/>
                    <w:overflowPunct w:val="0"/>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严格控制化学药品原药制造等污染较重的项目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53"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7</w:t>
                  </w:r>
                </w:p>
              </w:tc>
              <w:tc>
                <w:tcPr>
                  <w:tcW w:w="772" w:type="pct"/>
                  <w:vMerge w:val="continue"/>
                  <w:tcBorders>
                    <w:tl2br w:val="nil"/>
                    <w:tr2bl w:val="nil"/>
                  </w:tcBorders>
                  <w:noWrap w:val="0"/>
                  <w:vAlign w:val="center"/>
                </w:tcPr>
                <w:p>
                  <w:pPr>
                    <w:keepNext/>
                    <w:keepLines/>
                    <w:pageBreakBefore w:val="0"/>
                    <w:widowControl/>
                    <w:kinsoku/>
                    <w:wordWrap/>
                    <w:overflowPunct w:val="0"/>
                    <w:topLinePunct w:val="0"/>
                    <w:autoSpaceDE/>
                    <w:autoSpaceDN/>
                    <w:bidi w:val="0"/>
                    <w:adjustRightInd/>
                    <w:snapToGrid w:val="0"/>
                    <w:spacing w:line="240" w:lineRule="auto"/>
                    <w:ind w:firstLine="0" w:firstLineChars="0"/>
                    <w:jc w:val="center"/>
                    <w:outlineLvl w:val="0"/>
                    <w:rPr>
                      <w:rFonts w:hint="default" w:ascii="Times New Roman" w:hAnsi="Times New Roman" w:cs="Times New Roman"/>
                      <w:color w:val="auto"/>
                      <w:kern w:val="0"/>
                      <w:sz w:val="21"/>
                      <w:szCs w:val="21"/>
                      <w:highlight w:val="none"/>
                    </w:rPr>
                  </w:pPr>
                </w:p>
              </w:tc>
              <w:tc>
                <w:tcPr>
                  <w:tcW w:w="3773" w:type="pct"/>
                  <w:tcBorders>
                    <w:tl2br w:val="nil"/>
                    <w:tr2bl w:val="nil"/>
                  </w:tcBorders>
                  <w:noWrap w:val="0"/>
                  <w:vAlign w:val="center"/>
                </w:tcPr>
                <w:p>
                  <w:pPr>
                    <w:pageBreakBefore w:val="0"/>
                    <w:kinsoku/>
                    <w:wordWrap/>
                    <w:overflowPunct w:val="0"/>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严格控制非主导产业高污染、高能耗类项目。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 w:hRule="atLeast"/>
                <w:jc w:val="center"/>
              </w:trPr>
              <w:tc>
                <w:tcPr>
                  <w:tcW w:w="453"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8</w:t>
                  </w:r>
                </w:p>
              </w:tc>
              <w:tc>
                <w:tcPr>
                  <w:tcW w:w="772" w:type="pct"/>
                  <w:vMerge w:val="restart"/>
                  <w:tcBorders>
                    <w:tl2br w:val="nil"/>
                    <w:tr2bl w:val="nil"/>
                  </w:tcBorders>
                  <w:noWrap w:val="0"/>
                  <w:vAlign w:val="center"/>
                </w:tcPr>
                <w:p>
                  <w:pPr>
                    <w:pageBreakBefore w:val="0"/>
                    <w:kinsoku/>
                    <w:wordWrap/>
                    <w:overflowPunct w:val="0"/>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生产工艺</w:t>
                  </w:r>
                </w:p>
              </w:tc>
              <w:tc>
                <w:tcPr>
                  <w:tcW w:w="3773"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禁止引进炼油、产生致癌、致畸、致突变物质的项目。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453"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9</w:t>
                  </w:r>
                </w:p>
              </w:tc>
              <w:tc>
                <w:tcPr>
                  <w:tcW w:w="772" w:type="pct"/>
                  <w:vMerge w:val="continue"/>
                  <w:tcBorders>
                    <w:tl2br w:val="nil"/>
                    <w:tr2bl w:val="nil"/>
                  </w:tcBorders>
                  <w:noWrap w:val="0"/>
                  <w:vAlign w:val="center"/>
                </w:tcPr>
                <w:p>
                  <w:pPr>
                    <w:pageBreakBefore w:val="0"/>
                    <w:kinsoku/>
                    <w:wordWrap/>
                    <w:overflowPunct w:val="0"/>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color w:val="auto"/>
                      <w:kern w:val="0"/>
                      <w:sz w:val="21"/>
                      <w:szCs w:val="21"/>
                      <w:highlight w:val="none"/>
                    </w:rPr>
                  </w:pPr>
                </w:p>
              </w:tc>
              <w:tc>
                <w:tcPr>
                  <w:tcW w:w="3773"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为主导产业及配套的上下游及延伸产业链项目的生产工艺、设备、污染治理技术等未达到清洁生产国内先进水平的、不符合环保相关要求的项目。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453"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10</w:t>
                  </w:r>
                </w:p>
              </w:tc>
              <w:tc>
                <w:tcPr>
                  <w:tcW w:w="772"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环保要求</w:t>
                  </w:r>
                </w:p>
              </w:tc>
              <w:tc>
                <w:tcPr>
                  <w:tcW w:w="3773"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禁止引入尚需自行建设燃煤锅炉的企业入区，引进项目必须使用清洁能源或实施集中供热。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453"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11</w:t>
                  </w:r>
                </w:p>
              </w:tc>
              <w:tc>
                <w:tcPr>
                  <w:tcW w:w="772"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清洁生产</w:t>
                  </w:r>
                </w:p>
              </w:tc>
              <w:tc>
                <w:tcPr>
                  <w:tcW w:w="3773" w:type="pct"/>
                  <w:tcBorders>
                    <w:tl2br w:val="nil"/>
                    <w:tr2bl w:val="nil"/>
                  </w:tcBorders>
                  <w:noWrap w:val="0"/>
                  <w:vAlign w:val="center"/>
                </w:tcPr>
                <w:p>
                  <w:pPr>
                    <w:pageBreakBefore w:val="0"/>
                    <w:widowControl/>
                    <w:kinsoku/>
                    <w:wordWrap/>
                    <w:overflowPunct w:val="0"/>
                    <w:topLinePunct w:val="0"/>
                    <w:autoSpaceDE/>
                    <w:autoSpaceDN/>
                    <w:bidi w:val="0"/>
                    <w:adjustRightInd/>
                    <w:snapToGrid w:val="0"/>
                    <w:spacing w:line="240" w:lineRule="auto"/>
                    <w:ind w:firstLine="0" w:firstLineChars="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禁止引入清洁生产低于国内先进水平的项目</w:t>
                  </w:r>
                </w:p>
              </w:tc>
            </w:tr>
          </w:tbl>
          <w:p>
            <w:pPr>
              <w:pStyle w:val="7"/>
              <w:snapToGrid/>
              <w:spacing w:before="0" w:after="0" w:line="360" w:lineRule="auto"/>
              <w:ind w:firstLine="480"/>
              <w:rPr>
                <w:rFonts w:hint="default" w:ascii="Times New Roman" w:hAnsi="Times New Roman" w:eastAsia="宋体" w:cs="Times New Roman"/>
                <w:color w:val="auto"/>
                <w:kern w:val="2"/>
                <w:sz w:val="24"/>
                <w:szCs w:val="24"/>
                <w:lang w:val="en-US" w:eastAsia="zh-CN"/>
              </w:rPr>
            </w:pPr>
          </w:p>
          <w:p>
            <w:pPr>
              <w:pStyle w:val="7"/>
              <w:snapToGrid/>
              <w:spacing w:before="0" w:after="0" w:line="360" w:lineRule="auto"/>
              <w:ind w:firstLine="480"/>
              <w:rPr>
                <w:rFonts w:hint="eastAsia"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本项目主要</w:t>
            </w:r>
            <w:r>
              <w:rPr>
                <w:rFonts w:hint="eastAsia"/>
                <w:color w:val="auto"/>
                <w:sz w:val="24"/>
                <w:highlight w:val="none"/>
                <w:lang w:eastAsia="zh-CN"/>
              </w:rPr>
              <w:t>C4390其他机械和设备修理业、</w:t>
            </w:r>
            <w:r>
              <w:rPr>
                <w:rFonts w:hint="eastAsia"/>
                <w:color w:val="auto"/>
                <w:sz w:val="24"/>
                <w:highlight w:val="none"/>
                <w:lang w:val="en-US" w:eastAsia="zh-CN"/>
              </w:rPr>
              <w:t>C3360金属表面处理及热处理加工</w:t>
            </w:r>
            <w:r>
              <w:rPr>
                <w:rFonts w:hint="default" w:ascii="Times New Roman" w:hAnsi="Times New Roman" w:eastAsia="宋体" w:cs="Times New Roman"/>
                <w:color w:val="auto"/>
                <w:kern w:val="2"/>
                <w:sz w:val="24"/>
                <w:szCs w:val="24"/>
                <w:lang w:val="en-US" w:eastAsia="zh-CN"/>
              </w:rPr>
              <w:t>，不在禁止入区范畴之内，不在其环境准入负面清单范围内</w:t>
            </w:r>
            <w:r>
              <w:rPr>
                <w:rFonts w:hint="eastAsia" w:ascii="Times New Roman" w:hAnsi="Times New Roman" w:eastAsia="宋体" w:cs="Times New Roman"/>
                <w:color w:val="auto"/>
                <w:kern w:val="2"/>
                <w:sz w:val="24"/>
                <w:szCs w:val="24"/>
                <w:lang w:val="en-US" w:eastAsia="zh-CN"/>
              </w:rPr>
              <w:t>。</w:t>
            </w:r>
          </w:p>
          <w:p>
            <w:pPr>
              <w:pStyle w:val="7"/>
              <w:snapToGrid/>
              <w:spacing w:before="0" w:after="0" w:line="360" w:lineRule="auto"/>
              <w:ind w:firstLine="480"/>
              <w:rPr>
                <w:rFonts w:hint="eastAsia"/>
                <w:color w:val="auto"/>
                <w:sz w:val="24"/>
                <w:szCs w:val="24"/>
                <w:lang w:val="en-US" w:eastAsia="zh-CN"/>
              </w:rPr>
            </w:pPr>
            <w:r>
              <w:rPr>
                <w:rFonts w:hint="default" w:ascii="Times New Roman" w:hAnsi="Times New Roman" w:eastAsia="宋体" w:cs="Times New Roman"/>
                <w:color w:val="auto"/>
                <w:kern w:val="2"/>
                <w:sz w:val="24"/>
                <w:szCs w:val="24"/>
                <w:lang w:val="en-US" w:eastAsia="zh-CN"/>
              </w:rPr>
              <w:t>综上所述，本项目周边无自然保护区、饮用水源保护区、森林公园等生态保护区；原材料供应充足，对当地资源利用影响较小；项目评价范围内大气、地表水、噪声、土壤环境质量良好，运营期不会降低环境功能级别；因此建设项目满足生态保护红线、环境质量底线、资源利用上线，且不在环境准入负面清单中，符合“三线一单”要求。</w:t>
            </w:r>
          </w:p>
          <w:p>
            <w:pPr>
              <w:pStyle w:val="2"/>
              <w:spacing w:after="0" w:line="360" w:lineRule="auto"/>
              <w:ind w:left="0" w:leftChars="0" w:firstLine="480" w:firstLineChars="200"/>
              <w:rPr>
                <w:color w:val="auto"/>
                <w:sz w:val="24"/>
                <w:szCs w:val="24"/>
                <w:lang w:val="en-US" w:eastAsia="zh-CN"/>
              </w:rPr>
            </w:pPr>
            <w:r>
              <w:rPr>
                <w:rFonts w:hint="eastAsia"/>
                <w:color w:val="auto"/>
                <w:sz w:val="24"/>
                <w:szCs w:val="24"/>
                <w:lang w:val="en-US" w:eastAsia="zh-CN"/>
              </w:rPr>
              <w:t>3、</w:t>
            </w:r>
            <w:r>
              <w:rPr>
                <w:rFonts w:hint="eastAsia" w:ascii="宋体" w:hAnsi="宋体" w:eastAsia="宋体" w:cs="Times New Roman"/>
                <w:color w:val="auto"/>
                <w:kern w:val="0"/>
                <w:sz w:val="24"/>
                <w:szCs w:val="22"/>
                <w:lang w:val="en-US" w:eastAsia="zh-CN" w:bidi="ar-SA"/>
              </w:rPr>
              <w:t>与《安徽省淮河流域水污染防治条例》相符性</w:t>
            </w:r>
          </w:p>
          <w:p>
            <w:pPr>
              <w:adjustRightInd w:val="0"/>
              <w:snapToGrid w:val="0"/>
              <w:spacing w:before="24"/>
              <w:rPr>
                <w:rFonts w:hint="eastAsia"/>
                <w:color w:val="auto"/>
                <w:sz w:val="24"/>
                <w:szCs w:val="24"/>
                <w:lang w:val="en-US" w:eastAsia="zh-CN"/>
              </w:rPr>
            </w:pPr>
            <w:r>
              <w:rPr>
                <w:rFonts w:hint="eastAsia"/>
                <w:color w:val="auto"/>
                <w:sz w:val="24"/>
                <w:szCs w:val="24"/>
              </w:rPr>
              <w:t>项目与《安徽省淮河流域水污染防治条例》符合性分析见表1-</w:t>
            </w:r>
            <w:r>
              <w:rPr>
                <w:rFonts w:hint="eastAsia"/>
                <w:color w:val="auto"/>
                <w:sz w:val="24"/>
                <w:szCs w:val="24"/>
                <w:lang w:val="en-US" w:eastAsia="zh-CN"/>
              </w:rPr>
              <w:t>5</w:t>
            </w:r>
            <w:r>
              <w:rPr>
                <w:rFonts w:hint="eastAsia"/>
                <w:color w:val="auto"/>
                <w:sz w:val="24"/>
                <w:szCs w:val="24"/>
              </w:rPr>
              <w:t>。</w:t>
            </w:r>
          </w:p>
          <w:p>
            <w:pPr>
              <w:pStyle w:val="98"/>
              <w:spacing w:line="240" w:lineRule="auto"/>
              <w:ind w:firstLine="0" w:firstLineChars="0"/>
              <w:rPr>
                <w:rFonts w:hint="eastAsia"/>
                <w:color w:val="auto"/>
                <w:sz w:val="24"/>
                <w:szCs w:val="24"/>
              </w:rPr>
            </w:pPr>
            <w:r>
              <w:rPr>
                <w:rFonts w:hint="eastAsia" w:ascii="宋体" w:hAnsi="宋体" w:eastAsia="宋体" w:cs="宋体"/>
                <w:b/>
                <w:bCs/>
                <w:color w:val="auto"/>
                <w:sz w:val="24"/>
                <w:szCs w:val="24"/>
              </w:rPr>
              <w:t>表1-</w:t>
            </w: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本项目与《安徽省淮河流域水污染防治条例》符合性分析</w:t>
            </w:r>
          </w:p>
          <w:tbl>
            <w:tblPr>
              <w:tblStyle w:val="28"/>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4"/>
              <w:gridCol w:w="4145"/>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34" w:type="pct"/>
                  <w:noWrap w:val="0"/>
                  <w:vAlign w:val="center"/>
                </w:tcPr>
                <w:p>
                  <w:pPr>
                    <w:pStyle w:val="65"/>
                    <w:ind w:left="42" w:leftChars="20" w:right="42" w:rightChars="20"/>
                    <w:rPr>
                      <w:color w:val="auto"/>
                      <w:sz w:val="21"/>
                      <w:szCs w:val="21"/>
                    </w:rPr>
                  </w:pPr>
                  <w:r>
                    <w:rPr>
                      <w:color w:val="auto"/>
                      <w:sz w:val="21"/>
                      <w:szCs w:val="21"/>
                    </w:rPr>
                    <w:t>条款</w:t>
                  </w:r>
                </w:p>
              </w:tc>
              <w:tc>
                <w:tcPr>
                  <w:tcW w:w="2935" w:type="pct"/>
                  <w:noWrap w:val="0"/>
                  <w:vAlign w:val="center"/>
                </w:tcPr>
                <w:p>
                  <w:pPr>
                    <w:pStyle w:val="65"/>
                    <w:ind w:left="42" w:leftChars="20" w:right="42" w:rightChars="20"/>
                    <w:rPr>
                      <w:color w:val="auto"/>
                      <w:sz w:val="21"/>
                      <w:szCs w:val="21"/>
                    </w:rPr>
                  </w:pPr>
                  <w:r>
                    <w:rPr>
                      <w:color w:val="auto"/>
                      <w:sz w:val="21"/>
                      <w:szCs w:val="21"/>
                    </w:rPr>
                    <w:t>条例内容</w:t>
                  </w:r>
                </w:p>
              </w:tc>
              <w:tc>
                <w:tcPr>
                  <w:tcW w:w="1530" w:type="pct"/>
                  <w:noWrap w:val="0"/>
                  <w:vAlign w:val="center"/>
                </w:tcPr>
                <w:p>
                  <w:pPr>
                    <w:pStyle w:val="65"/>
                    <w:ind w:left="42" w:leftChars="20" w:right="42" w:rightChars="20"/>
                    <w:rPr>
                      <w:color w:val="auto"/>
                      <w:sz w:val="21"/>
                      <w:szCs w:val="21"/>
                    </w:rPr>
                  </w:pPr>
                  <w:r>
                    <w:rPr>
                      <w:color w:val="auto"/>
                      <w:sz w:val="21"/>
                      <w:szCs w:val="21"/>
                    </w:rPr>
                    <w:t>项目建设情况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1" w:hRule="atLeast"/>
                <w:jc w:val="center"/>
              </w:trPr>
              <w:tc>
                <w:tcPr>
                  <w:tcW w:w="534" w:type="pct"/>
                  <w:noWrap w:val="0"/>
                  <w:vAlign w:val="center"/>
                </w:tcPr>
                <w:p>
                  <w:pPr>
                    <w:pStyle w:val="65"/>
                    <w:ind w:left="42" w:leftChars="20" w:right="42" w:rightChars="20"/>
                    <w:rPr>
                      <w:color w:val="auto"/>
                      <w:sz w:val="21"/>
                      <w:szCs w:val="21"/>
                    </w:rPr>
                  </w:pPr>
                  <w:r>
                    <w:rPr>
                      <w:color w:val="auto"/>
                      <w:sz w:val="21"/>
                      <w:szCs w:val="21"/>
                    </w:rPr>
                    <w:t>第十三条</w:t>
                  </w:r>
                </w:p>
              </w:tc>
              <w:tc>
                <w:tcPr>
                  <w:tcW w:w="2935" w:type="pct"/>
                  <w:noWrap w:val="0"/>
                  <w:vAlign w:val="center"/>
                </w:tcPr>
                <w:p>
                  <w:pPr>
                    <w:pStyle w:val="60"/>
                    <w:ind w:left="42" w:leftChars="20" w:right="42" w:rightChars="20"/>
                    <w:rPr>
                      <w:rFonts w:hint="eastAsia"/>
                      <w:color w:val="auto"/>
                      <w:sz w:val="21"/>
                      <w:szCs w:val="21"/>
                    </w:rPr>
                  </w:pPr>
                  <w:r>
                    <w:rPr>
                      <w:rFonts w:hint="eastAsia"/>
                      <w:color w:val="auto"/>
                      <w:sz w:val="21"/>
                      <w:szCs w:val="21"/>
                    </w:rPr>
                    <w:t>严格限制在淮河流域新建印染、制革、化工、电镀、酿造等大中型项目或者其他污染严重的项目；建设该类项目的，应当事前征得省人民政府生态环境行政主管部门的同意，并按照规定办理有关手续</w:t>
                  </w:r>
                </w:p>
              </w:tc>
              <w:tc>
                <w:tcPr>
                  <w:tcW w:w="1530" w:type="pct"/>
                  <w:noWrap w:val="0"/>
                  <w:vAlign w:val="center"/>
                </w:tcPr>
                <w:p>
                  <w:pPr>
                    <w:pStyle w:val="65"/>
                    <w:ind w:left="42" w:leftChars="20" w:right="42" w:rightChars="20"/>
                    <w:rPr>
                      <w:color w:val="auto"/>
                      <w:sz w:val="21"/>
                      <w:szCs w:val="21"/>
                    </w:rPr>
                  </w:pPr>
                  <w:r>
                    <w:rPr>
                      <w:color w:val="auto"/>
                      <w:sz w:val="21"/>
                      <w:szCs w:val="21"/>
                    </w:rPr>
                    <w:t>本项目属于</w:t>
                  </w:r>
                  <w:r>
                    <w:rPr>
                      <w:rFonts w:hint="default" w:ascii="Times New Roman" w:hAnsi="Times New Roman" w:cs="Times New Roman"/>
                      <w:color w:val="auto"/>
                      <w:sz w:val="21"/>
                      <w:szCs w:val="21"/>
                      <w:highlight w:val="none"/>
                      <w:lang w:eastAsia="zh-CN"/>
                    </w:rPr>
                    <w:t>C4390</w:t>
                  </w:r>
                  <w:r>
                    <w:rPr>
                      <w:rFonts w:hint="eastAsia"/>
                      <w:color w:val="auto"/>
                      <w:sz w:val="21"/>
                      <w:szCs w:val="21"/>
                      <w:highlight w:val="none"/>
                      <w:lang w:eastAsia="zh-CN"/>
                    </w:rPr>
                    <w:t>其他机械和设备修理业、</w:t>
                  </w:r>
                  <w:r>
                    <w:rPr>
                      <w:rFonts w:hint="default" w:ascii="Times New Roman" w:hAnsi="Times New Roman" w:cs="Times New Roman"/>
                      <w:color w:val="auto"/>
                      <w:sz w:val="21"/>
                      <w:szCs w:val="21"/>
                      <w:highlight w:val="none"/>
                      <w:lang w:val="en-US" w:eastAsia="zh-CN"/>
                    </w:rPr>
                    <w:t>C3360</w:t>
                  </w:r>
                  <w:r>
                    <w:rPr>
                      <w:rFonts w:hint="eastAsia"/>
                      <w:color w:val="auto"/>
                      <w:sz w:val="21"/>
                      <w:szCs w:val="21"/>
                      <w:highlight w:val="none"/>
                      <w:lang w:val="en-US" w:eastAsia="zh-CN"/>
                    </w:rPr>
                    <w:t>金属表面处理及热处理加工</w:t>
                  </w:r>
                  <w:r>
                    <w:rPr>
                      <w:color w:val="auto"/>
                      <w:sz w:val="21"/>
                      <w:szCs w:val="21"/>
                    </w:rPr>
                    <w:t>，不属于印染、制革、化工、电镀、酿造等大中型项目或者其他污染严重的项目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6" w:hRule="atLeast"/>
                <w:jc w:val="center"/>
              </w:trPr>
              <w:tc>
                <w:tcPr>
                  <w:tcW w:w="534" w:type="pct"/>
                  <w:vMerge w:val="restart"/>
                  <w:noWrap w:val="0"/>
                  <w:vAlign w:val="center"/>
                </w:tcPr>
                <w:p>
                  <w:pPr>
                    <w:pStyle w:val="65"/>
                    <w:ind w:left="42" w:leftChars="20" w:right="42" w:rightChars="20"/>
                    <w:rPr>
                      <w:color w:val="auto"/>
                      <w:sz w:val="21"/>
                      <w:szCs w:val="21"/>
                    </w:rPr>
                  </w:pPr>
                  <w:r>
                    <w:rPr>
                      <w:color w:val="auto"/>
                      <w:sz w:val="21"/>
                      <w:szCs w:val="21"/>
                    </w:rPr>
                    <w:t>第十四</w:t>
                  </w:r>
                </w:p>
                <w:p>
                  <w:pPr>
                    <w:pStyle w:val="65"/>
                    <w:ind w:left="42" w:leftChars="20" w:right="42" w:rightChars="20"/>
                    <w:rPr>
                      <w:color w:val="auto"/>
                      <w:sz w:val="21"/>
                      <w:szCs w:val="21"/>
                    </w:rPr>
                  </w:pPr>
                  <w:r>
                    <w:rPr>
                      <w:color w:val="auto"/>
                      <w:sz w:val="21"/>
                      <w:szCs w:val="21"/>
                    </w:rPr>
                    <w:t>条</w:t>
                  </w:r>
                </w:p>
              </w:tc>
              <w:tc>
                <w:tcPr>
                  <w:tcW w:w="2935" w:type="pct"/>
                  <w:noWrap w:val="0"/>
                  <w:vAlign w:val="center"/>
                </w:tcPr>
                <w:p>
                  <w:pPr>
                    <w:pStyle w:val="65"/>
                    <w:ind w:left="42" w:leftChars="20" w:right="42" w:rightChars="20"/>
                    <w:rPr>
                      <w:color w:val="auto"/>
                      <w:sz w:val="21"/>
                      <w:szCs w:val="21"/>
                    </w:rPr>
                  </w:pPr>
                  <w:r>
                    <w:rPr>
                      <w:color w:val="auto"/>
                      <w:sz w:val="21"/>
                      <w:szCs w:val="21"/>
                    </w:rPr>
                    <w:t>新建、改建、扩建直接或者间接向水体排放污染物的建设项目和其他水上设施，应当依法进行环境影响评价。建设项目的水污染防治设施，应当符合经批准或者备案的环境影响评价文件的要求，并与主体工程同时设计、同时施工、同时投入使用</w:t>
                  </w:r>
                </w:p>
              </w:tc>
              <w:tc>
                <w:tcPr>
                  <w:tcW w:w="1530" w:type="pct"/>
                  <w:noWrap w:val="0"/>
                  <w:vAlign w:val="center"/>
                </w:tcPr>
                <w:p>
                  <w:pPr>
                    <w:pStyle w:val="65"/>
                    <w:ind w:left="42" w:leftChars="20" w:right="42" w:rightChars="20"/>
                    <w:rPr>
                      <w:rFonts w:hint="eastAsia" w:eastAsia="宋体"/>
                      <w:color w:val="auto"/>
                      <w:sz w:val="21"/>
                      <w:szCs w:val="21"/>
                      <w:lang w:eastAsia="zh-CN"/>
                    </w:rPr>
                  </w:pPr>
                  <w:r>
                    <w:rPr>
                      <w:color w:val="auto"/>
                      <w:sz w:val="21"/>
                      <w:szCs w:val="21"/>
                    </w:rPr>
                    <w:t>生活污水经化粪池预处理后经市政污水管网进入</w:t>
                  </w:r>
                  <w:r>
                    <w:rPr>
                      <w:rFonts w:hint="eastAsia"/>
                      <w:color w:val="auto"/>
                      <w:sz w:val="21"/>
                      <w:szCs w:val="21"/>
                      <w:lang w:eastAsia="zh-CN"/>
                    </w:rPr>
                    <w:t>经开区工业污水</w:t>
                  </w:r>
                  <w:r>
                    <w:rPr>
                      <w:color w:val="auto"/>
                      <w:sz w:val="21"/>
                      <w:szCs w:val="21"/>
                    </w:rPr>
                    <w:t>处理厂</w:t>
                  </w:r>
                  <w:r>
                    <w:rPr>
                      <w:rFonts w:hint="eastAsia"/>
                      <w:color w:val="auto"/>
                      <w:sz w:val="21"/>
                      <w:szCs w:val="21"/>
                      <w:lang w:eastAsia="zh-CN"/>
                    </w:rPr>
                    <w:t>深度</w:t>
                  </w:r>
                  <w:r>
                    <w:rPr>
                      <w:color w:val="auto"/>
                      <w:sz w:val="21"/>
                      <w:szCs w:val="21"/>
                    </w:rPr>
                    <w:t>处理</w:t>
                  </w:r>
                  <w:r>
                    <w:rPr>
                      <w:rFonts w:hint="eastAsia"/>
                      <w:color w:val="auto"/>
                      <w:sz w:val="21"/>
                      <w:szCs w:val="21"/>
                      <w:lang w:eastAsia="zh-CN"/>
                    </w:rPr>
                    <w:t>后</w:t>
                  </w:r>
                  <w:r>
                    <w:rPr>
                      <w:color w:val="auto"/>
                      <w:sz w:val="21"/>
                      <w:szCs w:val="21"/>
                    </w:rPr>
                    <w:t>，</w:t>
                  </w:r>
                  <w:r>
                    <w:rPr>
                      <w:rFonts w:hint="eastAsia"/>
                      <w:color w:val="auto"/>
                      <w:sz w:val="21"/>
                      <w:szCs w:val="21"/>
                      <w:lang w:eastAsia="zh-CN"/>
                    </w:rPr>
                    <w:t>排入淮河。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34" w:type="pct"/>
                  <w:vMerge w:val="continue"/>
                  <w:noWrap w:val="0"/>
                  <w:vAlign w:val="center"/>
                </w:tcPr>
                <w:p>
                  <w:pPr>
                    <w:pStyle w:val="65"/>
                    <w:ind w:left="42" w:leftChars="20" w:right="42" w:rightChars="20"/>
                    <w:rPr>
                      <w:color w:val="auto"/>
                      <w:sz w:val="21"/>
                      <w:szCs w:val="21"/>
                    </w:rPr>
                  </w:pPr>
                </w:p>
              </w:tc>
              <w:tc>
                <w:tcPr>
                  <w:tcW w:w="2935" w:type="pct"/>
                  <w:noWrap w:val="0"/>
                  <w:vAlign w:val="center"/>
                </w:tcPr>
                <w:p>
                  <w:pPr>
                    <w:pStyle w:val="65"/>
                    <w:ind w:left="42" w:leftChars="20" w:right="42" w:rightChars="20"/>
                    <w:rPr>
                      <w:color w:val="auto"/>
                      <w:sz w:val="21"/>
                      <w:szCs w:val="21"/>
                    </w:rPr>
                  </w:pPr>
                  <w:r>
                    <w:rPr>
                      <w:color w:val="auto"/>
                      <w:sz w:val="21"/>
                      <w:szCs w:val="21"/>
                    </w:rPr>
                    <w:t>新建、扩建、改建项目，除执行前款规定外，还应当遵守下列规定：（一）新建项目的选址应符合城市总体规划，避开饮用水水源地和对环境有特殊要求的功能区；（二）采用资源利用率高、污染物排放量少的先进设备和先进工艺；（三）改建、扩建项目和技改项目应当把水污染治理纳入项目内容。工程配套建设的水污染防治设施竣工后，建设单位应当按照国务院生态环境行政主管部门规定的标准和程序进行验收。验收合格后，方可投入使用；未经验收或者验收不合格的，不得投入生产或者使用</w:t>
                  </w:r>
                </w:p>
              </w:tc>
              <w:tc>
                <w:tcPr>
                  <w:tcW w:w="1530" w:type="pct"/>
                  <w:noWrap w:val="0"/>
                  <w:vAlign w:val="center"/>
                </w:tcPr>
                <w:p>
                  <w:pPr>
                    <w:pStyle w:val="65"/>
                    <w:ind w:left="42" w:leftChars="20" w:right="42" w:rightChars="20"/>
                    <w:rPr>
                      <w:rFonts w:hint="eastAsia" w:eastAsia="宋体"/>
                      <w:color w:val="auto"/>
                      <w:sz w:val="21"/>
                      <w:szCs w:val="21"/>
                      <w:lang w:eastAsia="zh-CN"/>
                    </w:rPr>
                  </w:pPr>
                  <w:r>
                    <w:rPr>
                      <w:color w:val="auto"/>
                      <w:sz w:val="21"/>
                      <w:szCs w:val="21"/>
                    </w:rPr>
                    <w:t>本项目选址位于淮南</w:t>
                  </w:r>
                  <w:r>
                    <w:rPr>
                      <w:rFonts w:hint="eastAsia"/>
                      <w:color w:val="auto"/>
                      <w:sz w:val="21"/>
                      <w:szCs w:val="21"/>
                      <w:lang w:eastAsia="zh-CN"/>
                    </w:rPr>
                    <w:t>经济技术开发区农科路，</w:t>
                  </w:r>
                  <w:r>
                    <w:rPr>
                      <w:color w:val="auto"/>
                      <w:sz w:val="21"/>
                      <w:szCs w:val="21"/>
                    </w:rPr>
                    <w:t>符合城市总体规划；</w:t>
                  </w:r>
                  <w:r>
                    <w:rPr>
                      <w:rFonts w:hint="eastAsia"/>
                      <w:color w:val="auto"/>
                      <w:sz w:val="21"/>
                      <w:szCs w:val="21"/>
                      <w:lang w:eastAsia="zh-CN"/>
                    </w:rPr>
                    <w:t>酸雾经碱液喷淋塔吸收后达标排放</w:t>
                  </w:r>
                  <w:r>
                    <w:rPr>
                      <w:color w:val="auto"/>
                      <w:sz w:val="21"/>
                      <w:szCs w:val="21"/>
                    </w:rPr>
                    <w:t>；</w:t>
                  </w:r>
                  <w:r>
                    <w:rPr>
                      <w:rFonts w:hint="eastAsia"/>
                      <w:color w:val="auto"/>
                      <w:sz w:val="21"/>
                      <w:szCs w:val="21"/>
                      <w:lang w:eastAsia="zh-CN"/>
                    </w:rPr>
                    <w:t>冲洗废水全部回用，并委托有资质公司定期除渣。</w:t>
                  </w:r>
                  <w:r>
                    <w:rPr>
                      <w:color w:val="auto"/>
                      <w:sz w:val="21"/>
                      <w:szCs w:val="21"/>
                    </w:rPr>
                    <w:t>生活污水经化粪池预处理后经市政污水管网进入</w:t>
                  </w:r>
                  <w:r>
                    <w:rPr>
                      <w:rFonts w:hint="eastAsia"/>
                      <w:color w:val="auto"/>
                      <w:sz w:val="21"/>
                      <w:szCs w:val="21"/>
                      <w:lang w:eastAsia="zh-CN"/>
                    </w:rPr>
                    <w:t>淮南</w:t>
                  </w:r>
                  <w:r>
                    <w:rPr>
                      <w:color w:val="auto"/>
                      <w:sz w:val="21"/>
                      <w:szCs w:val="21"/>
                    </w:rPr>
                    <w:t>经济开发区</w:t>
                  </w:r>
                  <w:r>
                    <w:rPr>
                      <w:rFonts w:hint="eastAsia"/>
                      <w:color w:val="auto"/>
                      <w:sz w:val="21"/>
                      <w:szCs w:val="21"/>
                      <w:lang w:eastAsia="zh-CN"/>
                    </w:rPr>
                    <w:t>工业</w:t>
                  </w:r>
                  <w:r>
                    <w:rPr>
                      <w:color w:val="auto"/>
                      <w:sz w:val="21"/>
                      <w:szCs w:val="21"/>
                    </w:rPr>
                    <w:t>污水处理厂处理</w:t>
                  </w:r>
                  <w:r>
                    <w:rPr>
                      <w:rFonts w:hint="eastAsia"/>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6" w:hRule="atLeast"/>
                <w:jc w:val="center"/>
              </w:trPr>
              <w:tc>
                <w:tcPr>
                  <w:tcW w:w="534" w:type="pct"/>
                  <w:noWrap w:val="0"/>
                  <w:vAlign w:val="center"/>
                </w:tcPr>
                <w:p>
                  <w:pPr>
                    <w:pStyle w:val="65"/>
                    <w:ind w:left="42" w:leftChars="20" w:right="42" w:rightChars="20"/>
                    <w:rPr>
                      <w:color w:val="auto"/>
                      <w:sz w:val="21"/>
                      <w:szCs w:val="21"/>
                      <w:lang w:val="zh-CN"/>
                    </w:rPr>
                  </w:pPr>
                  <w:r>
                    <w:rPr>
                      <w:color w:val="auto"/>
                      <w:sz w:val="21"/>
                      <w:szCs w:val="21"/>
                    </w:rPr>
                    <w:t>第十七条</w:t>
                  </w:r>
                </w:p>
              </w:tc>
              <w:tc>
                <w:tcPr>
                  <w:tcW w:w="2935" w:type="pct"/>
                  <w:noWrap w:val="0"/>
                  <w:vAlign w:val="center"/>
                </w:tcPr>
                <w:p>
                  <w:pPr>
                    <w:pStyle w:val="65"/>
                    <w:ind w:left="42" w:leftChars="20" w:right="42" w:rightChars="20"/>
                    <w:rPr>
                      <w:color w:val="auto"/>
                      <w:sz w:val="21"/>
                      <w:szCs w:val="21"/>
                    </w:rPr>
                  </w:pPr>
                  <w:r>
                    <w:rPr>
                      <w:color w:val="auto"/>
                      <w:sz w:val="21"/>
                      <w:szCs w:val="21"/>
                    </w:rPr>
                    <w:t>在饮用水水源保护区内，禁止设置排污口。在风景名胜区水体、重要渔业水体和其他具有特殊经济文化价值的水体的保护区内，不得新建排污口。在保护区附近新建排污口，应当保证保护区水体不受污染</w:t>
                  </w:r>
                </w:p>
              </w:tc>
              <w:tc>
                <w:tcPr>
                  <w:tcW w:w="1530" w:type="pct"/>
                  <w:noWrap w:val="0"/>
                  <w:vAlign w:val="center"/>
                </w:tcPr>
                <w:p>
                  <w:pPr>
                    <w:pStyle w:val="65"/>
                    <w:ind w:left="42" w:leftChars="20" w:right="42" w:rightChars="20"/>
                    <w:rPr>
                      <w:rFonts w:hint="default"/>
                      <w:color w:val="auto"/>
                      <w:sz w:val="21"/>
                      <w:szCs w:val="21"/>
                    </w:rPr>
                  </w:pPr>
                  <w:r>
                    <w:rPr>
                      <w:color w:val="auto"/>
                      <w:sz w:val="21"/>
                      <w:szCs w:val="21"/>
                    </w:rPr>
                    <w:t>本项目在淮南</w:t>
                  </w:r>
                  <w:r>
                    <w:rPr>
                      <w:rFonts w:hint="eastAsia"/>
                      <w:color w:val="auto"/>
                      <w:sz w:val="21"/>
                      <w:szCs w:val="21"/>
                      <w:lang w:eastAsia="zh-CN"/>
                    </w:rPr>
                    <w:t>经济技术开发区农科路</w:t>
                  </w:r>
                  <w:r>
                    <w:rPr>
                      <w:color w:val="auto"/>
                      <w:sz w:val="21"/>
                      <w:szCs w:val="21"/>
                    </w:rPr>
                    <w:t>，属于工业用地，附近</w:t>
                  </w:r>
                  <w:r>
                    <w:rPr>
                      <w:rFonts w:hint="eastAsia"/>
                      <w:color w:val="auto"/>
                      <w:sz w:val="21"/>
                      <w:szCs w:val="21"/>
                      <w:lang w:val="en-US" w:eastAsia="zh-CN"/>
                    </w:rPr>
                    <w:t>500m内</w:t>
                  </w:r>
                  <w:r>
                    <w:rPr>
                      <w:color w:val="auto"/>
                      <w:sz w:val="21"/>
                      <w:szCs w:val="21"/>
                    </w:rPr>
                    <w:t>没有饮用水水源保护区保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jc w:val="center"/>
              </w:trPr>
              <w:tc>
                <w:tcPr>
                  <w:tcW w:w="534" w:type="pct"/>
                  <w:noWrap w:val="0"/>
                  <w:vAlign w:val="center"/>
                </w:tcPr>
                <w:p>
                  <w:pPr>
                    <w:pStyle w:val="65"/>
                    <w:ind w:left="42" w:leftChars="20" w:right="42" w:rightChars="20"/>
                    <w:rPr>
                      <w:color w:val="auto"/>
                      <w:sz w:val="21"/>
                      <w:szCs w:val="21"/>
                      <w:lang w:val="zh-CN"/>
                    </w:rPr>
                  </w:pPr>
                  <w:r>
                    <w:rPr>
                      <w:color w:val="auto"/>
                      <w:sz w:val="21"/>
                      <w:szCs w:val="21"/>
                    </w:rPr>
                    <w:t>第十九条</w:t>
                  </w:r>
                </w:p>
              </w:tc>
              <w:tc>
                <w:tcPr>
                  <w:tcW w:w="2935" w:type="pct"/>
                  <w:noWrap w:val="0"/>
                  <w:vAlign w:val="center"/>
                </w:tcPr>
                <w:p>
                  <w:pPr>
                    <w:pStyle w:val="65"/>
                    <w:ind w:left="42" w:leftChars="20" w:right="42" w:rightChars="20"/>
                    <w:rPr>
                      <w:color w:val="auto"/>
                      <w:sz w:val="21"/>
                      <w:szCs w:val="21"/>
                    </w:rPr>
                  </w:pPr>
                  <w:r>
                    <w:rPr>
                      <w:color w:val="auto"/>
                      <w:sz w:val="21"/>
                      <w:szCs w:val="21"/>
                    </w:rPr>
                    <w:t>禁止下列行为：</w:t>
                  </w:r>
                </w:p>
                <w:p>
                  <w:pPr>
                    <w:pStyle w:val="65"/>
                    <w:ind w:left="42" w:leftChars="20" w:right="42" w:rightChars="20"/>
                    <w:rPr>
                      <w:color w:val="auto"/>
                      <w:sz w:val="21"/>
                      <w:szCs w:val="21"/>
                    </w:rPr>
                  </w:pPr>
                  <w:r>
                    <w:rPr>
                      <w:color w:val="auto"/>
                      <w:sz w:val="21"/>
                      <w:szCs w:val="21"/>
                    </w:rPr>
                    <w:t>（一）向水体排放或者倾倒油类、酸液、碱液和其他有毒有害液体；（二）在水体中清洗装贮过有毒有害污染物的车辆、船舶和容器；（三）向水体排放、倾倒含有汞、镉、砷、铬、铅、氰化物、黄磷等可溶性剧毒废液或者将上述物质直接埋入地下；（四）向水体排放、倾倒工业废渣、城镇垃圾和其他废弃物；（五）向水体排放、倾倒放射性固体废弃物或者放射性废水；（六）利用渗井、渗坑、裂隙、溶洞、塌陷区和废弃矿坑排放、倾倒，或者利用无防渗措施的沟渠、坑塘输送或者存贮含毒污染物或者病原体的废水和其他废弃物；（七）在河流、湖泊、运河、渠道、水库最高水位线以下的滩地和岸坡堆放、贮存固体废弃物和其他污染物；（八）围湖和其他破坏水环境生态平衡的活动；（九）引进不符合国家环境保护规定要求的技术和设备；（十）法律、法规禁止的其他行为</w:t>
                  </w:r>
                </w:p>
              </w:tc>
              <w:tc>
                <w:tcPr>
                  <w:tcW w:w="1530" w:type="pct"/>
                  <w:noWrap w:val="0"/>
                  <w:vAlign w:val="center"/>
                </w:tcPr>
                <w:p>
                  <w:pPr>
                    <w:pStyle w:val="65"/>
                    <w:ind w:left="42" w:leftChars="20" w:right="42" w:rightChars="20"/>
                    <w:rPr>
                      <w:color w:val="auto"/>
                      <w:sz w:val="21"/>
                      <w:szCs w:val="21"/>
                    </w:rPr>
                  </w:pPr>
                  <w:r>
                    <w:rPr>
                      <w:color w:val="auto"/>
                      <w:sz w:val="21"/>
                      <w:szCs w:val="21"/>
                    </w:rPr>
                    <w:t>评价要求企业严格遵守《安徽省淮河流域水污染防治条例》，不得有明令禁止的违法行为</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kern w:val="0"/>
                <w:sz w:val="24"/>
              </w:rPr>
            </w:pPr>
            <w:r>
              <w:rPr>
                <w:rFonts w:hint="eastAsia"/>
                <w:color w:val="auto"/>
                <w:sz w:val="24"/>
                <w:lang w:val="en-US" w:eastAsia="zh-CN"/>
              </w:rPr>
              <w:t>4</w:t>
            </w:r>
            <w:r>
              <w:rPr>
                <w:rFonts w:hint="eastAsia"/>
                <w:color w:val="auto"/>
                <w:sz w:val="24"/>
              </w:rPr>
              <w:t>、</w:t>
            </w:r>
            <w:r>
              <w:rPr>
                <w:rFonts w:hint="eastAsia"/>
                <w:color w:val="auto"/>
                <w:kern w:val="0"/>
                <w:sz w:val="24"/>
              </w:rPr>
              <w:t>项目选址及规划符合性分析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rPr>
            </w:pPr>
            <w:r>
              <w:rPr>
                <w:color w:val="auto"/>
                <w:sz w:val="24"/>
              </w:rPr>
              <w:t>本项</w:t>
            </w:r>
            <w:r>
              <w:rPr>
                <w:color w:val="auto"/>
                <w:sz w:val="24"/>
                <w:highlight w:val="none"/>
              </w:rPr>
              <w:t>目位于</w:t>
            </w:r>
            <w:r>
              <w:rPr>
                <w:rFonts w:hint="eastAsia" w:cs="Times New Roman"/>
                <w:bCs/>
                <w:sz w:val="24"/>
                <w:highlight w:val="none"/>
                <w:lang w:val="en-US" w:eastAsia="zh-CN"/>
              </w:rPr>
              <w:t>淮南经济技术开发区</w:t>
            </w:r>
            <w:r>
              <w:rPr>
                <w:rFonts w:hint="eastAsia" w:ascii="Times New Roman" w:hAnsi="Times New Roman" w:eastAsia="宋体" w:cs="Times New Roman"/>
                <w:bCs/>
                <w:sz w:val="24"/>
                <w:lang w:val="en-US" w:eastAsia="zh-CN"/>
              </w:rPr>
              <w:t>农科路南侧</w:t>
            </w:r>
            <w:r>
              <w:rPr>
                <w:rFonts w:hint="eastAsia"/>
                <w:color w:val="auto"/>
                <w:sz w:val="24"/>
                <w:highlight w:val="none"/>
              </w:rPr>
              <w:t>，该项目用地为工业用地。本项目产</w:t>
            </w:r>
            <w:r>
              <w:rPr>
                <w:rFonts w:hint="eastAsia"/>
                <w:color w:val="auto"/>
                <w:sz w:val="24"/>
              </w:rPr>
              <w:t>生的污染物经处理后可达标排放。根据《淮南市经济技术开发区总体规划环境影响报告书》、安徽省生态环境厅2020年8月4日“关于印发《淮南经济技术开发区总体发展规划环境影响跟踪评价报告书审核意见》的函”皖环函[2020]411号及淮南市环境保护局2010年6月17日“关于淮南市东部工业区总体规划环境影响报告书的审查意见函”淮环函[2010]130号可知，开发区按照“以发展资金、技术密集型产业为主、以兴办高新技术企业和现代制造业为主、以生产出口创汇产品为主”的指导思想，确定淮南市经济开发区的六大主导产业为：生物医药、纺织服装、化学工业、机械电子与新型材料、食品加工、商贸流通。开发区的整体功能定位为：以六大产业为主体，综合配套居住、服务、休闲设施，形成功能完善的工业新区。严格控制污染严重和有重大环境风险隐患的企业入区，不符合国家产业政策、环保政策</w:t>
            </w:r>
            <w:r>
              <w:rPr>
                <w:rFonts w:hint="eastAsia" w:ascii="Times New Roman" w:hAnsi="Times New Roman" w:eastAsia="宋体" w:cs="Times New Roman"/>
                <w:color w:val="auto"/>
                <w:sz w:val="24"/>
              </w:rPr>
              <w:t>及产业要求的项目不得入区。本项目为</w:t>
            </w:r>
            <w:r>
              <w:rPr>
                <w:rFonts w:hint="eastAsia"/>
                <w:sz w:val="24"/>
                <w:lang w:eastAsia="zh-CN"/>
              </w:rPr>
              <w:t>其他机械和设备修理业</w:t>
            </w:r>
            <w:r>
              <w:rPr>
                <w:rFonts w:hint="eastAsia" w:ascii="Times New Roman" w:hAnsi="Times New Roman" w:eastAsia="宋体" w:cs="Times New Roman"/>
                <w:color w:val="auto"/>
                <w:sz w:val="24"/>
              </w:rPr>
              <w:t>项目，符合</w:t>
            </w:r>
            <w:r>
              <w:rPr>
                <w:rFonts w:hint="eastAsia" w:cs="Times New Roman"/>
                <w:color w:val="auto"/>
                <w:sz w:val="24"/>
                <w:lang w:eastAsia="zh-CN"/>
              </w:rPr>
              <w:t>淮南经济技术开发区</w:t>
            </w:r>
            <w:r>
              <w:rPr>
                <w:rFonts w:hint="eastAsia"/>
                <w:color w:val="auto"/>
                <w:sz w:val="24"/>
              </w:rPr>
              <w:t>总体发展规划。企业范围内</w:t>
            </w:r>
            <w:r>
              <w:rPr>
                <w:color w:val="auto"/>
                <w:sz w:val="24"/>
              </w:rPr>
              <w:t>根据对项目周围环境状况的调查，建设项目</w:t>
            </w:r>
            <w:r>
              <w:rPr>
                <w:rFonts w:hint="eastAsia"/>
                <w:color w:val="auto"/>
                <w:sz w:val="24"/>
              </w:rPr>
              <w:t>评价范围内</w:t>
            </w:r>
            <w:r>
              <w:rPr>
                <w:color w:val="auto"/>
                <w:sz w:val="24"/>
              </w:rPr>
              <w:t>无自然保护区、风景名胜区和文物保护区等特殊环境敏感点</w:t>
            </w:r>
            <w:r>
              <w:rPr>
                <w:rFonts w:hint="eastAsia"/>
                <w:color w:val="auto"/>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rPr>
            </w:pPr>
            <w:r>
              <w:rPr>
                <w:rFonts w:hint="eastAsia"/>
                <w:color w:val="auto"/>
                <w:sz w:val="24"/>
              </w:rPr>
              <w:t>对照国土资源部、国家发改委关于发布实施《限制用地项目目录（2012年本）》和《禁止用地项目目录（2012年本）》的通知，本项目不在限制用地项目目录和禁止用地项目目录内。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pPr>
            <w:r>
              <w:rPr>
                <w:rFonts w:hint="eastAsia"/>
                <w:color w:val="auto"/>
                <w:sz w:val="24"/>
                <w:highlight w:val="none"/>
                <w:lang w:eastAsia="zh-CN"/>
              </w:rPr>
              <w:t>符合性分析：</w:t>
            </w:r>
            <w:r>
              <w:rPr>
                <w:rFonts w:hint="eastAsia"/>
                <w:color w:val="auto"/>
                <w:sz w:val="24"/>
              </w:rPr>
              <w:t>本项目建设用地性质属于工业用地，因此本项目用地符合土地利用规划。</w:t>
            </w:r>
          </w:p>
        </w:tc>
      </w:tr>
    </w:tbl>
    <w:p>
      <w:pPr>
        <w:spacing w:line="360" w:lineRule="auto"/>
        <w:outlineLvl w:val="0"/>
        <w:rPr>
          <w:rFonts w:eastAsia="黑体"/>
          <w:sz w:val="30"/>
        </w:rPr>
        <w:sectPr>
          <w:footerReference r:id="rId4"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2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eastAsia" w:ascii="黑体" w:hAnsi="黑体" w:eastAsia="黑体"/>
          <w:snapToGrid w:val="0"/>
          <w:sz w:val="30"/>
          <w:szCs w:val="30"/>
        </w:rPr>
      </w:pPr>
      <w:r>
        <w:rPr>
          <w:rFonts w:hint="eastAsia" w:ascii="黑体" w:hAnsi="黑体" w:eastAsia="黑体"/>
          <w:snapToGrid w:val="0"/>
          <w:sz w:val="30"/>
          <w:szCs w:val="30"/>
        </w:rPr>
        <w:t>建设项目工程分析</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4" w:hRule="atLeast"/>
        </w:trPr>
        <w:tc>
          <w:tcPr>
            <w:tcW w:w="699" w:type="dxa"/>
            <w:noWrap w:val="0"/>
            <w:vAlign w:val="center"/>
          </w:tcPr>
          <w:p>
            <w:pPr>
              <w:pStyle w:val="2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eastAsia" w:ascii="黑体" w:hAnsi="黑体" w:eastAsia="黑体"/>
                <w:snapToGrid w:val="0"/>
                <w:sz w:val="30"/>
                <w:szCs w:val="30"/>
                <w:vertAlign w:val="baseline"/>
              </w:rPr>
            </w:pPr>
            <w:r>
              <w:rPr>
                <w:rFonts w:hint="eastAsia" w:cs="宋体"/>
                <w:szCs w:val="24"/>
                <w:lang w:val="en-US" w:eastAsia="zh-CN"/>
              </w:rPr>
              <w:t>建设内容</w:t>
            </w:r>
          </w:p>
        </w:tc>
        <w:tc>
          <w:tcPr>
            <w:tcW w:w="8361" w:type="dxa"/>
            <w:noWrap w:val="0"/>
            <w:vAlign w:val="top"/>
          </w:tcPr>
          <w:p>
            <w:pPr>
              <w:snapToGrid w:val="0"/>
              <w:spacing w:line="360" w:lineRule="auto"/>
              <w:ind w:firstLine="480" w:firstLineChars="200"/>
              <w:rPr>
                <w:rFonts w:hint="eastAsia" w:ascii="Times New Roman" w:hAnsi="Times New Roman" w:eastAsia="宋体" w:cs="Times New Roman"/>
                <w:bCs/>
                <w:sz w:val="24"/>
                <w:lang w:eastAsia="zh-CN"/>
              </w:rPr>
            </w:pPr>
            <w:r>
              <w:rPr>
                <w:rFonts w:hint="eastAsia" w:ascii="Times New Roman" w:hAnsi="Times New Roman" w:eastAsia="宋体" w:cs="Times New Roman"/>
                <w:bCs/>
                <w:sz w:val="24"/>
                <w:lang w:eastAsia="zh-CN"/>
              </w:rPr>
              <w:t>1、项目概况</w:t>
            </w:r>
          </w:p>
          <w:p>
            <w:pPr>
              <w:snapToGrid w:val="0"/>
              <w:spacing w:line="360" w:lineRule="auto"/>
              <w:ind w:firstLine="480" w:firstLineChars="200"/>
              <w:rPr>
                <w:rFonts w:hint="eastAsia" w:ascii="Times New Roman" w:hAnsi="Times New Roman" w:eastAsia="宋体" w:cs="Times New Roman"/>
                <w:bCs/>
                <w:sz w:val="24"/>
                <w:lang w:eastAsia="zh-CN"/>
              </w:rPr>
            </w:pPr>
            <w:r>
              <w:rPr>
                <w:rFonts w:hint="eastAsia" w:ascii="Times New Roman" w:hAnsi="Times New Roman" w:eastAsia="宋体" w:cs="Times New Roman"/>
                <w:bCs/>
                <w:sz w:val="24"/>
                <w:lang w:eastAsia="zh-CN"/>
              </w:rPr>
              <w:t>淮南市茂本商贸有限公司成立于20</w:t>
            </w:r>
            <w:r>
              <w:rPr>
                <w:rFonts w:hint="eastAsia" w:ascii="Times New Roman" w:hAnsi="Times New Roman" w:eastAsia="宋体" w:cs="Times New Roman"/>
                <w:bCs/>
                <w:sz w:val="24"/>
                <w:lang w:val="en-US" w:eastAsia="zh-CN"/>
              </w:rPr>
              <w:t>13</w:t>
            </w:r>
            <w:r>
              <w:rPr>
                <w:rFonts w:hint="eastAsia" w:ascii="Times New Roman" w:hAnsi="Times New Roman" w:eastAsia="宋体" w:cs="Times New Roman"/>
                <w:bCs/>
                <w:sz w:val="24"/>
                <w:lang w:eastAsia="zh-CN"/>
              </w:rPr>
              <w:t>年</w:t>
            </w:r>
            <w:r>
              <w:rPr>
                <w:rFonts w:hint="eastAsia" w:ascii="Times New Roman" w:hAnsi="Times New Roman" w:eastAsia="宋体" w:cs="Times New Roman"/>
                <w:bCs/>
                <w:sz w:val="24"/>
                <w:lang w:val="en-US" w:eastAsia="zh-CN"/>
              </w:rPr>
              <w:t>7</w:t>
            </w:r>
            <w:r>
              <w:rPr>
                <w:rFonts w:hint="eastAsia" w:ascii="Times New Roman" w:hAnsi="Times New Roman" w:eastAsia="宋体" w:cs="Times New Roman"/>
                <w:bCs/>
                <w:sz w:val="24"/>
                <w:lang w:eastAsia="zh-CN"/>
              </w:rPr>
              <w:t>月</w:t>
            </w:r>
            <w:r>
              <w:rPr>
                <w:rFonts w:hint="eastAsia" w:ascii="Times New Roman" w:hAnsi="Times New Roman" w:eastAsia="宋体" w:cs="Times New Roman"/>
                <w:bCs/>
                <w:sz w:val="24"/>
                <w:lang w:val="en-US" w:eastAsia="zh-CN"/>
              </w:rPr>
              <w:t>4</w:t>
            </w:r>
            <w:r>
              <w:rPr>
                <w:rFonts w:hint="eastAsia" w:ascii="Times New Roman" w:hAnsi="Times New Roman" w:eastAsia="宋体" w:cs="Times New Roman"/>
                <w:bCs/>
                <w:sz w:val="24"/>
                <w:lang w:eastAsia="zh-CN"/>
              </w:rPr>
              <w:t>日，注册地址位于</w:t>
            </w:r>
            <w:r>
              <w:rPr>
                <w:rFonts w:hint="eastAsia" w:ascii="Times New Roman" w:hAnsi="Times New Roman" w:eastAsia="宋体" w:cs="Times New Roman"/>
                <w:bCs/>
                <w:sz w:val="24"/>
                <w:lang w:val="en-US" w:eastAsia="zh-CN"/>
              </w:rPr>
              <w:t>安徽省</w:t>
            </w:r>
            <w:r>
              <w:rPr>
                <w:rFonts w:hint="eastAsia" w:ascii="Times New Roman" w:hAnsi="Times New Roman" w:eastAsia="宋体" w:cs="Times New Roman"/>
                <w:bCs/>
                <w:sz w:val="24"/>
                <w:lang w:eastAsia="zh-CN"/>
              </w:rPr>
              <w:t>淮南市经济</w:t>
            </w:r>
            <w:r>
              <w:rPr>
                <w:rFonts w:hint="eastAsia" w:ascii="Times New Roman" w:hAnsi="Times New Roman" w:eastAsia="宋体" w:cs="Times New Roman"/>
                <w:bCs/>
                <w:sz w:val="24"/>
                <w:lang w:val="en-US" w:eastAsia="zh-CN"/>
              </w:rPr>
              <w:t>技术</w:t>
            </w:r>
            <w:r>
              <w:rPr>
                <w:rFonts w:hint="eastAsia" w:ascii="Times New Roman" w:hAnsi="Times New Roman" w:eastAsia="宋体" w:cs="Times New Roman"/>
                <w:bCs/>
                <w:sz w:val="24"/>
                <w:lang w:eastAsia="zh-CN"/>
              </w:rPr>
              <w:t>开发区</w:t>
            </w:r>
            <w:r>
              <w:rPr>
                <w:rFonts w:hint="eastAsia" w:ascii="Times New Roman" w:hAnsi="Times New Roman" w:eastAsia="宋体" w:cs="Times New Roman"/>
                <w:bCs/>
                <w:sz w:val="24"/>
                <w:lang w:val="en-US" w:eastAsia="zh-CN"/>
              </w:rPr>
              <w:t>农科路</w:t>
            </w:r>
            <w:r>
              <w:rPr>
                <w:rFonts w:hint="eastAsia" w:ascii="Times New Roman" w:hAnsi="Times New Roman" w:eastAsia="宋体" w:cs="Times New Roman"/>
                <w:bCs/>
                <w:sz w:val="24"/>
                <w:lang w:eastAsia="zh-CN"/>
              </w:rPr>
              <w:t>，</w:t>
            </w:r>
            <w:r>
              <w:rPr>
                <w:rFonts w:hint="eastAsia" w:ascii="Times New Roman" w:hAnsi="Times New Roman" w:eastAsia="宋体" w:cs="Times New Roman"/>
                <w:bCs/>
                <w:sz w:val="24"/>
                <w:lang w:val="en-US" w:eastAsia="zh-CN"/>
              </w:rPr>
              <w:t>厂区位于</w:t>
            </w:r>
            <w:r>
              <w:rPr>
                <w:rFonts w:hint="eastAsia" w:cs="Times New Roman"/>
                <w:bCs/>
                <w:sz w:val="24"/>
                <w:lang w:val="en-US" w:eastAsia="zh-CN"/>
              </w:rPr>
              <w:t>淮南经济技术开发区</w:t>
            </w:r>
            <w:r>
              <w:rPr>
                <w:rFonts w:hint="eastAsia" w:ascii="Times New Roman" w:hAnsi="Times New Roman" w:eastAsia="宋体" w:cs="Times New Roman"/>
                <w:bCs/>
                <w:sz w:val="24"/>
                <w:lang w:val="en-US" w:eastAsia="zh-CN"/>
              </w:rPr>
              <w:t>农科路南侧，项目租赁淮南群力冶金煤矿机械制造有限公司院内现有厂房，厂房1000平方米</w:t>
            </w:r>
            <w:r>
              <w:rPr>
                <w:rFonts w:hint="eastAsia" w:ascii="Times New Roman" w:hAnsi="Times New Roman" w:eastAsia="宋体" w:cs="Times New Roman"/>
                <w:bCs/>
                <w:sz w:val="24"/>
                <w:lang w:eastAsia="zh-CN"/>
              </w:rPr>
              <w:t>，企业拟投资</w:t>
            </w:r>
            <w:r>
              <w:rPr>
                <w:rFonts w:hint="eastAsia" w:ascii="Times New Roman" w:hAnsi="Times New Roman" w:eastAsia="宋体" w:cs="Times New Roman"/>
                <w:bCs/>
                <w:sz w:val="24"/>
                <w:lang w:val="en-US" w:eastAsia="zh-CN"/>
              </w:rPr>
              <w:t>5</w:t>
            </w:r>
            <w:r>
              <w:rPr>
                <w:rFonts w:hint="eastAsia" w:ascii="Times New Roman" w:hAnsi="Times New Roman" w:eastAsia="宋体" w:cs="Times New Roman"/>
                <w:bCs/>
                <w:sz w:val="24"/>
                <w:lang w:eastAsia="zh-CN"/>
              </w:rPr>
              <w:t>00万，建设液压支架维修项目。本项目属新建项目。</w:t>
            </w:r>
          </w:p>
          <w:p>
            <w:pPr>
              <w:pStyle w:val="15"/>
              <w:keepNext w:val="0"/>
              <w:keepLines w:val="0"/>
              <w:pageBreakBefore w:val="0"/>
              <w:widowControl/>
              <w:kinsoku/>
              <w:wordWrap/>
              <w:overflowPunct/>
              <w:topLinePunct w:val="0"/>
              <w:autoSpaceDE/>
              <w:autoSpaceDN/>
              <w:bidi w:val="0"/>
              <w:adjustRightInd/>
              <w:snapToGrid w:val="0"/>
              <w:spacing w:line="360" w:lineRule="auto"/>
              <w:ind w:left="0" w:firstLine="480" w:firstLineChars="200"/>
              <w:textAlignment w:val="auto"/>
              <w:rPr>
                <w:rFonts w:hint="eastAsia" w:ascii="Times New Roman" w:hAnsi="Times New Roman" w:eastAsia="宋体" w:cs="Times New Roman"/>
                <w:bCs/>
                <w:sz w:val="24"/>
                <w:lang w:eastAsia="zh-CN"/>
              </w:rPr>
            </w:pPr>
            <w:r>
              <w:rPr>
                <w:rFonts w:hint="eastAsia" w:ascii="Times New Roman" w:hAnsi="Times New Roman" w:eastAsia="宋体" w:cs="Times New Roman"/>
                <w:bCs/>
                <w:kern w:val="2"/>
                <w:sz w:val="24"/>
                <w:szCs w:val="24"/>
                <w:lang w:val="en-US" w:eastAsia="zh-CN" w:bidi="ar-SA"/>
              </w:rPr>
              <w:t>根据《中华人民共和国环境保护法》（修订）及《建设项目环境保护管理条例》等法规文件，按照《中华人民共和国环境保护法》、《中华人民共和国环境影响评价法》、《建设项目环境保护管理条例》（国令第682号）、《建设项目环境影响评价分类管理名录》（2021年版）等法规文件。本项目属于</w:t>
            </w:r>
            <w:r>
              <w:rPr>
                <w:rFonts w:hint="eastAsia" w:ascii="Times New Roman" w:hAnsi="Times New Roman" w:eastAsia="宋体" w:cs="Times New Roman"/>
                <w:bCs/>
                <w:kern w:val="2"/>
                <w:sz w:val="24"/>
                <w:szCs w:val="24"/>
                <w:highlight w:val="none"/>
                <w:lang w:val="en-US" w:eastAsia="zh-CN" w:bidi="ar-SA"/>
              </w:rPr>
              <w:t>“四十、金属制品、机械和设备修理业 43—86其他机械和设备修理业439，为登记表；三十、金属制品业 33-67金属表面处理及热处理加工 ，其他（年用非溶剂型低VOCs含量涂料10吨以下的除外）为报告表”，按照从严管理制度，</w:t>
            </w:r>
            <w:r>
              <w:rPr>
                <w:rFonts w:hint="eastAsia" w:ascii="Times New Roman" w:hAnsi="Times New Roman" w:eastAsia="宋体" w:cs="Times New Roman"/>
                <w:bCs/>
                <w:sz w:val="24"/>
                <w:highlight w:val="none"/>
                <w:lang w:eastAsia="zh-CN"/>
              </w:rPr>
              <w:t>故确定项目环评形式为环境影响评价报告表。受</w:t>
            </w:r>
            <w:r>
              <w:rPr>
                <w:rFonts w:hint="eastAsia" w:ascii="Times New Roman" w:hAnsi="Times New Roman" w:eastAsia="宋体" w:cs="Times New Roman"/>
                <w:bCs/>
                <w:sz w:val="24"/>
                <w:highlight w:val="none"/>
                <w:lang w:val="en-US" w:eastAsia="zh-CN"/>
              </w:rPr>
              <w:t>淮南市茂本商贸有限公司</w:t>
            </w:r>
            <w:r>
              <w:rPr>
                <w:rFonts w:hint="eastAsia" w:ascii="Times New Roman" w:hAnsi="Times New Roman" w:eastAsia="宋体" w:cs="Times New Roman"/>
                <w:bCs/>
                <w:sz w:val="24"/>
                <w:highlight w:val="none"/>
                <w:lang w:eastAsia="zh-CN"/>
              </w:rPr>
              <w:t>的</w:t>
            </w:r>
            <w:r>
              <w:rPr>
                <w:rFonts w:hint="eastAsia" w:ascii="Times New Roman" w:hAnsi="Times New Roman" w:eastAsia="宋体" w:cs="Times New Roman"/>
                <w:bCs/>
                <w:sz w:val="24"/>
                <w:lang w:eastAsia="zh-CN"/>
              </w:rPr>
              <w:t>委托，我公司承担该项目的环境影响评价工作。我公司在接受任务后，收集相关资料并组织现场踏勘调查，在了解项目所在地及周围环境概况后，本环评单位本着客观、公正、科学、规范的原则，编制了本环境影响评价报告表。</w:t>
            </w:r>
          </w:p>
          <w:p>
            <w:pPr>
              <w:snapToGrid w:val="0"/>
              <w:spacing w:line="360" w:lineRule="auto"/>
              <w:ind w:firstLine="480" w:firstLineChars="200"/>
              <w:rPr>
                <w:rFonts w:hint="eastAsia" w:ascii="Times New Roman" w:hAnsi="Times New Roman" w:eastAsia="宋体" w:cs="Times New Roman"/>
                <w:bCs/>
                <w:sz w:val="24"/>
                <w:lang w:val="en-US" w:eastAsia="zh-CN"/>
              </w:rPr>
            </w:pPr>
            <w:r>
              <w:rPr>
                <w:rFonts w:hint="eastAsia"/>
                <w:bCs/>
                <w:sz w:val="24"/>
              </w:rPr>
              <w:t>2</w:t>
            </w:r>
            <w:r>
              <w:rPr>
                <w:bCs/>
                <w:sz w:val="24"/>
              </w:rPr>
              <w:t>、工程内容及规模</w:t>
            </w:r>
          </w:p>
          <w:p>
            <w:pPr>
              <w:snapToGrid w:val="0"/>
              <w:spacing w:line="360" w:lineRule="auto"/>
              <w:ind w:firstLine="480" w:firstLineChars="200"/>
              <w:rPr>
                <w:rFonts w:hint="eastAsia" w:ascii="Times New Roman" w:hAnsi="Times New Roman" w:eastAsia="宋体" w:cs="Times New Roman"/>
                <w:bCs/>
                <w:sz w:val="24"/>
                <w:lang w:eastAsia="zh-CN"/>
              </w:rPr>
            </w:pPr>
            <w:r>
              <w:rPr>
                <w:rFonts w:hint="eastAsia" w:ascii="Times New Roman" w:hAnsi="Times New Roman" w:eastAsia="宋体" w:cs="Times New Roman"/>
                <w:bCs/>
                <w:sz w:val="24"/>
                <w:lang w:val="en-US" w:eastAsia="zh-CN"/>
              </w:rPr>
              <w:t>本项目位于</w:t>
            </w:r>
            <w:r>
              <w:rPr>
                <w:rFonts w:hint="eastAsia" w:cs="Times New Roman"/>
                <w:bCs/>
                <w:sz w:val="24"/>
                <w:lang w:val="en-US" w:eastAsia="zh-CN"/>
              </w:rPr>
              <w:t>淮南经济技术开发区</w:t>
            </w:r>
            <w:r>
              <w:rPr>
                <w:rFonts w:hint="eastAsia" w:ascii="Times New Roman" w:hAnsi="Times New Roman" w:eastAsia="宋体" w:cs="Times New Roman"/>
                <w:bCs/>
                <w:sz w:val="24"/>
                <w:lang w:val="en-US" w:eastAsia="zh-CN"/>
              </w:rPr>
              <w:t>农科路南侧，淮南群力冶金煤矿机械制造有限公司院内。项目租赁现有厂房，利用已建厂房装修改造形成生产、办公功能区，</w:t>
            </w:r>
            <w:r>
              <w:rPr>
                <w:rFonts w:hint="eastAsia" w:ascii="Times New Roman" w:hAnsi="Times New Roman" w:eastAsia="宋体" w:cs="Times New Roman"/>
                <w:bCs/>
                <w:sz w:val="24"/>
                <w:lang w:eastAsia="zh-CN"/>
              </w:rPr>
              <w:t>购买车床5台、磨床5台，其他设备若干。</w:t>
            </w:r>
            <w:r>
              <w:rPr>
                <w:rFonts w:hint="eastAsia" w:ascii="Times New Roman" w:hAnsi="Times New Roman" w:eastAsia="宋体" w:cs="Times New Roman"/>
                <w:bCs/>
                <w:sz w:val="24"/>
                <w:highlight w:val="none"/>
                <w:lang w:val="en-US" w:eastAsia="zh-CN"/>
              </w:rPr>
              <w:t>建成后年</w:t>
            </w:r>
            <w:r>
              <w:rPr>
                <w:rFonts w:hint="eastAsia" w:cs="Times New Roman"/>
                <w:bCs/>
                <w:sz w:val="24"/>
                <w:highlight w:val="none"/>
                <w:lang w:val="en-US" w:eastAsia="zh-CN"/>
              </w:rPr>
              <w:t>维修液压支架40万平方分米（约20</w:t>
            </w:r>
            <w:r>
              <w:rPr>
                <w:rFonts w:hint="eastAsia" w:ascii="Times New Roman" w:hAnsi="Times New Roman" w:eastAsia="宋体" w:cs="Times New Roman"/>
                <w:bCs/>
                <w:sz w:val="24"/>
                <w:highlight w:val="none"/>
                <w:lang w:val="en-US" w:eastAsia="zh-CN"/>
              </w:rPr>
              <w:t>000件</w:t>
            </w:r>
            <w:r>
              <w:rPr>
                <w:rFonts w:hint="eastAsia" w:cs="Times New Roman"/>
                <w:bCs/>
                <w:sz w:val="24"/>
                <w:highlight w:val="none"/>
                <w:lang w:val="en-US" w:eastAsia="zh-CN"/>
              </w:rPr>
              <w:t>）</w:t>
            </w:r>
            <w:r>
              <w:rPr>
                <w:rFonts w:hint="eastAsia" w:ascii="Times New Roman" w:hAnsi="Times New Roman" w:eastAsia="宋体" w:cs="Times New Roman"/>
                <w:bCs/>
                <w:sz w:val="24"/>
                <w:highlight w:val="none"/>
                <w:lang w:val="en-US" w:eastAsia="zh-CN"/>
              </w:rPr>
              <w:t>。主</w:t>
            </w:r>
            <w:r>
              <w:rPr>
                <w:rFonts w:hint="eastAsia" w:ascii="Times New Roman" w:hAnsi="Times New Roman" w:eastAsia="宋体" w:cs="Times New Roman"/>
                <w:bCs/>
                <w:sz w:val="24"/>
                <w:lang w:val="en-US" w:eastAsia="zh-CN"/>
              </w:rPr>
              <w:t>要工程内容及规模</w:t>
            </w:r>
            <w:r>
              <w:rPr>
                <w:rFonts w:hint="eastAsia" w:ascii="Times New Roman" w:hAnsi="Times New Roman" w:eastAsia="宋体" w:cs="Times New Roman"/>
                <w:bCs/>
                <w:sz w:val="24"/>
                <w:lang w:eastAsia="zh-CN"/>
              </w:rPr>
              <w:t>见下表。</w:t>
            </w:r>
          </w:p>
          <w:p>
            <w:pPr>
              <w:pStyle w:val="2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0"/>
              <w:rPr>
                <w:rFonts w:hint="eastAsia" w:ascii="黑体" w:hAnsi="黑体" w:eastAsia="黑体"/>
                <w:snapToGrid w:val="0"/>
                <w:sz w:val="30"/>
                <w:szCs w:val="30"/>
                <w:vertAlign w:val="baseline"/>
              </w:rPr>
            </w:pPr>
          </w:p>
        </w:tc>
      </w:tr>
    </w:tbl>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0"/>
        <w:gridCol w:w="86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16" w:hRule="atLeast"/>
          <w:jc w:val="center"/>
        </w:trPr>
        <w:tc>
          <w:tcPr>
            <w:tcW w:w="697" w:type="dxa"/>
            <w:noWrap w:val="0"/>
            <w:vAlign w:val="center"/>
          </w:tcPr>
          <w:p>
            <w:pPr>
              <w:pStyle w:val="24"/>
              <w:adjustRightInd w:val="0"/>
              <w:snapToGrid w:val="0"/>
              <w:spacing w:before="0" w:beforeAutospacing="0" w:after="0" w:afterAutospacing="0"/>
              <w:jc w:val="center"/>
              <w:rPr>
                <w:rFonts w:cs="宋体"/>
                <w:szCs w:val="24"/>
                <w:lang w:val="en-US" w:eastAsia="zh-CN"/>
              </w:rPr>
            </w:pPr>
            <w:r>
              <w:rPr>
                <w:rFonts w:hint="eastAsia" w:cs="宋体"/>
                <w:szCs w:val="24"/>
                <w:lang w:val="en-US" w:eastAsia="zh-CN"/>
              </w:rPr>
              <w:t>建设内容</w:t>
            </w:r>
          </w:p>
        </w:tc>
        <w:tc>
          <w:tcPr>
            <w:tcW w:w="8363" w:type="dxa"/>
            <w:noWrap w:val="0"/>
            <w:vAlign w:val="top"/>
          </w:tcPr>
          <w:p>
            <w:pPr>
              <w:pStyle w:val="98"/>
              <w:snapToGrid/>
              <w:spacing w:before="0" w:after="0" w:line="360" w:lineRule="auto"/>
              <w:rPr>
                <w:rFonts w:eastAsia="宋体"/>
                <w:b/>
                <w:color w:val="auto"/>
                <w:szCs w:val="21"/>
                <w:lang w:val="en-US" w:eastAsia="zh-CN"/>
              </w:rPr>
            </w:pPr>
            <w:r>
              <w:rPr>
                <w:rFonts w:hAnsi="宋体" w:eastAsia="宋体"/>
                <w:b/>
                <w:color w:val="auto"/>
                <w:szCs w:val="21"/>
                <w:lang w:val="en-US" w:eastAsia="zh-CN"/>
              </w:rPr>
              <w:t>表</w:t>
            </w:r>
            <w:r>
              <w:rPr>
                <w:rFonts w:eastAsia="宋体"/>
                <w:b/>
                <w:color w:val="auto"/>
                <w:szCs w:val="21"/>
                <w:lang w:val="en-US" w:eastAsia="zh-CN"/>
              </w:rPr>
              <w:t xml:space="preserve">2-1 </w:t>
            </w:r>
            <w:r>
              <w:rPr>
                <w:rFonts w:hAnsi="宋体" w:eastAsia="宋体"/>
                <w:b/>
                <w:color w:val="auto"/>
                <w:szCs w:val="21"/>
                <w:lang w:val="en-US" w:eastAsia="zh-CN"/>
              </w:rPr>
              <w:t>建设内容一览表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998"/>
              <w:gridCol w:w="1334"/>
              <w:gridCol w:w="5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noWrap w:val="0"/>
                  <w:vAlign w:val="center"/>
                </w:tcPr>
                <w:p>
                  <w:pPr>
                    <w:adjustRightInd w:val="0"/>
                    <w:snapToGrid w:val="0"/>
                    <w:jc w:val="center"/>
                    <w:rPr>
                      <w:color w:val="auto"/>
                      <w:szCs w:val="21"/>
                    </w:rPr>
                  </w:pPr>
                  <w:r>
                    <w:rPr>
                      <w:rFonts w:hAnsi="宋体"/>
                      <w:color w:val="auto"/>
                      <w:szCs w:val="21"/>
                    </w:rPr>
                    <w:t>序号</w:t>
                  </w:r>
                </w:p>
              </w:tc>
              <w:tc>
                <w:tcPr>
                  <w:tcW w:w="998" w:type="dxa"/>
                  <w:noWrap w:val="0"/>
                  <w:vAlign w:val="center"/>
                </w:tcPr>
                <w:p>
                  <w:pPr>
                    <w:adjustRightInd w:val="0"/>
                    <w:snapToGrid w:val="0"/>
                    <w:jc w:val="center"/>
                    <w:rPr>
                      <w:color w:val="auto"/>
                      <w:szCs w:val="21"/>
                    </w:rPr>
                  </w:pPr>
                  <w:r>
                    <w:rPr>
                      <w:rFonts w:hint="eastAsia" w:hAnsi="宋体"/>
                      <w:color w:val="auto"/>
                      <w:szCs w:val="21"/>
                    </w:rPr>
                    <w:t>工程</w:t>
                  </w:r>
                  <w:r>
                    <w:rPr>
                      <w:rFonts w:hAnsi="宋体"/>
                      <w:color w:val="auto"/>
                      <w:szCs w:val="21"/>
                    </w:rPr>
                    <w:t>类别</w:t>
                  </w:r>
                </w:p>
              </w:tc>
              <w:tc>
                <w:tcPr>
                  <w:tcW w:w="1334" w:type="dxa"/>
                  <w:noWrap w:val="0"/>
                  <w:vAlign w:val="center"/>
                </w:tcPr>
                <w:p>
                  <w:pPr>
                    <w:adjustRightInd w:val="0"/>
                    <w:snapToGrid w:val="0"/>
                    <w:jc w:val="center"/>
                    <w:rPr>
                      <w:color w:val="auto"/>
                      <w:szCs w:val="21"/>
                    </w:rPr>
                  </w:pPr>
                  <w:r>
                    <w:rPr>
                      <w:rFonts w:hint="eastAsia" w:hAnsi="宋体"/>
                      <w:color w:val="auto"/>
                      <w:szCs w:val="21"/>
                    </w:rPr>
                    <w:t>单项工程</w:t>
                  </w:r>
                  <w:r>
                    <w:rPr>
                      <w:rFonts w:hAnsi="宋体"/>
                      <w:color w:val="auto"/>
                      <w:szCs w:val="21"/>
                    </w:rPr>
                    <w:t>名称</w:t>
                  </w:r>
                </w:p>
              </w:tc>
              <w:tc>
                <w:tcPr>
                  <w:tcW w:w="5172" w:type="dxa"/>
                  <w:noWrap w:val="0"/>
                  <w:vAlign w:val="center"/>
                </w:tcPr>
                <w:p>
                  <w:pPr>
                    <w:adjustRightInd w:val="0"/>
                    <w:snapToGrid w:val="0"/>
                    <w:jc w:val="center"/>
                    <w:rPr>
                      <w:rFonts w:hint="eastAsia"/>
                      <w:color w:val="auto"/>
                      <w:szCs w:val="21"/>
                    </w:rPr>
                  </w:pPr>
                  <w:r>
                    <w:rPr>
                      <w:rFonts w:hint="eastAsia" w:hAnsi="宋体"/>
                      <w:color w:val="auto"/>
                      <w:szCs w:val="21"/>
                    </w:rPr>
                    <w:t>工程内容工程规模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643" w:type="dxa"/>
                  <w:noWrap w:val="0"/>
                  <w:vAlign w:val="center"/>
                </w:tcPr>
                <w:p>
                  <w:pPr>
                    <w:adjustRightInd w:val="0"/>
                    <w:snapToGrid w:val="0"/>
                    <w:jc w:val="center"/>
                    <w:rPr>
                      <w:color w:val="auto"/>
                      <w:szCs w:val="21"/>
                    </w:rPr>
                  </w:pPr>
                  <w:r>
                    <w:rPr>
                      <w:color w:val="auto"/>
                      <w:szCs w:val="21"/>
                    </w:rPr>
                    <w:t>1</w:t>
                  </w:r>
                </w:p>
              </w:tc>
              <w:tc>
                <w:tcPr>
                  <w:tcW w:w="998" w:type="dxa"/>
                  <w:noWrap w:val="0"/>
                  <w:vAlign w:val="center"/>
                </w:tcPr>
                <w:p>
                  <w:pPr>
                    <w:adjustRightInd w:val="0"/>
                    <w:snapToGrid w:val="0"/>
                    <w:jc w:val="center"/>
                    <w:rPr>
                      <w:color w:val="auto"/>
                      <w:szCs w:val="21"/>
                    </w:rPr>
                  </w:pPr>
                  <w:r>
                    <w:rPr>
                      <w:rFonts w:hAnsi="宋体"/>
                      <w:color w:val="auto"/>
                      <w:szCs w:val="21"/>
                    </w:rPr>
                    <w:t>主体工程</w:t>
                  </w:r>
                </w:p>
              </w:tc>
              <w:tc>
                <w:tcPr>
                  <w:tcW w:w="1334" w:type="dxa"/>
                  <w:noWrap w:val="0"/>
                  <w:vAlign w:val="center"/>
                </w:tcPr>
                <w:p>
                  <w:pPr>
                    <w:widowControl/>
                    <w:jc w:val="center"/>
                    <w:rPr>
                      <w:color w:val="auto"/>
                      <w:szCs w:val="21"/>
                    </w:rPr>
                  </w:pPr>
                  <w:r>
                    <w:rPr>
                      <w:rFonts w:hint="eastAsia" w:hAnsi="宋体"/>
                      <w:color w:val="auto"/>
                      <w:szCs w:val="21"/>
                      <w:lang w:val="en-US" w:eastAsia="zh-CN"/>
                    </w:rPr>
                    <w:t>生产区</w:t>
                  </w:r>
                </w:p>
              </w:tc>
              <w:tc>
                <w:tcPr>
                  <w:tcW w:w="5172" w:type="dxa"/>
                  <w:noWrap w:val="0"/>
                  <w:vAlign w:val="center"/>
                </w:tcPr>
                <w:p>
                  <w:pPr>
                    <w:jc w:val="center"/>
                    <w:rPr>
                      <w:rFonts w:hint="default" w:eastAsia="宋体"/>
                      <w:color w:val="auto"/>
                      <w:szCs w:val="21"/>
                      <w:lang w:val="en-US" w:eastAsia="zh-CN"/>
                    </w:rPr>
                  </w:pPr>
                  <w:r>
                    <w:rPr>
                      <w:rFonts w:hint="eastAsia"/>
                      <w:color w:val="auto"/>
                      <w:szCs w:val="21"/>
                      <w:lang w:val="en-US" w:eastAsia="zh-CN"/>
                    </w:rPr>
                    <w:t>酸洗区位于厂房北侧，占地约150m</w:t>
                  </w:r>
                  <w:r>
                    <w:rPr>
                      <w:rFonts w:hint="eastAsia"/>
                      <w:color w:val="auto"/>
                      <w:szCs w:val="21"/>
                      <w:vertAlign w:val="superscript"/>
                      <w:lang w:val="en-US" w:eastAsia="zh-CN"/>
                    </w:rPr>
                    <w:t>2</w:t>
                  </w:r>
                  <w:r>
                    <w:rPr>
                      <w:rFonts w:hint="eastAsia"/>
                      <w:color w:val="auto"/>
                      <w:szCs w:val="21"/>
                      <w:lang w:val="en-US" w:eastAsia="zh-CN"/>
                    </w:rPr>
                    <w:t>，酸洗池规格3m×2m×2m，机加工区位于厂房南侧，占地约200m</w:t>
                  </w:r>
                  <w:r>
                    <w:rPr>
                      <w:rFonts w:hint="eastAsia"/>
                      <w:color w:val="auto"/>
                      <w:szCs w:val="21"/>
                      <w:vertAlign w:val="superscript"/>
                      <w:lang w:val="en-US" w:eastAsia="zh-CN"/>
                    </w:rPr>
                    <w:t>2</w:t>
                  </w:r>
                  <w:r>
                    <w:rPr>
                      <w:rFonts w:hint="eastAsia"/>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3" w:type="dxa"/>
                  <w:noWrap w:val="0"/>
                  <w:vAlign w:val="center"/>
                </w:tcPr>
                <w:p>
                  <w:pPr>
                    <w:adjustRightInd w:val="0"/>
                    <w:snapToGrid w:val="0"/>
                    <w:jc w:val="center"/>
                    <w:rPr>
                      <w:color w:val="auto"/>
                      <w:szCs w:val="21"/>
                    </w:rPr>
                  </w:pPr>
                  <w:r>
                    <w:rPr>
                      <w:color w:val="auto"/>
                      <w:szCs w:val="21"/>
                    </w:rPr>
                    <w:t>2</w:t>
                  </w:r>
                </w:p>
              </w:tc>
              <w:tc>
                <w:tcPr>
                  <w:tcW w:w="998" w:type="dxa"/>
                  <w:noWrap w:val="0"/>
                  <w:vAlign w:val="center"/>
                </w:tcPr>
                <w:p>
                  <w:pPr>
                    <w:adjustRightInd w:val="0"/>
                    <w:snapToGrid w:val="0"/>
                    <w:jc w:val="center"/>
                    <w:rPr>
                      <w:color w:val="auto"/>
                      <w:szCs w:val="21"/>
                    </w:rPr>
                  </w:pPr>
                  <w:r>
                    <w:rPr>
                      <w:rFonts w:hAnsi="宋体"/>
                      <w:color w:val="auto"/>
                      <w:szCs w:val="21"/>
                    </w:rPr>
                    <w:t>辅助工程</w:t>
                  </w:r>
                </w:p>
              </w:tc>
              <w:tc>
                <w:tcPr>
                  <w:tcW w:w="1334" w:type="dxa"/>
                  <w:noWrap w:val="0"/>
                  <w:vAlign w:val="center"/>
                </w:tcPr>
                <w:p>
                  <w:pPr>
                    <w:adjustRightInd w:val="0"/>
                    <w:snapToGrid w:val="0"/>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rPr>
                    <w:t>办公</w:t>
                  </w:r>
                  <w:r>
                    <w:rPr>
                      <w:rFonts w:hint="eastAsia" w:ascii="Times New Roman" w:hAnsi="Times New Roman" w:eastAsia="宋体" w:cs="Times New Roman"/>
                      <w:color w:val="auto"/>
                      <w:lang w:val="en-US" w:eastAsia="zh-CN"/>
                    </w:rPr>
                    <w:t>区域</w:t>
                  </w:r>
                </w:p>
              </w:tc>
              <w:tc>
                <w:tcPr>
                  <w:tcW w:w="5172" w:type="dxa"/>
                  <w:noWrap w:val="0"/>
                  <w:vAlign w:val="center"/>
                </w:tcPr>
                <w:p>
                  <w:pPr>
                    <w:adjustRightInd w:val="0"/>
                    <w:snapToGrid w:val="0"/>
                    <w:jc w:val="center"/>
                    <w:rPr>
                      <w:rFonts w:hint="default" w:eastAsia="宋体"/>
                      <w:color w:val="auto"/>
                      <w:szCs w:val="21"/>
                      <w:lang w:val="en-US" w:eastAsia="zh-CN"/>
                    </w:rPr>
                  </w:pPr>
                  <w:r>
                    <w:rPr>
                      <w:rFonts w:hint="eastAsia"/>
                      <w:color w:val="auto"/>
                      <w:lang w:val="en-US" w:eastAsia="zh-CN"/>
                    </w:rPr>
                    <w:t>占地约80</w:t>
                  </w:r>
                  <w:r>
                    <w:rPr>
                      <w:rFonts w:hint="eastAsia" w:ascii="Times New Roman" w:hAnsi="Times New Roman" w:eastAsia="宋体" w:cs="Times New Roman"/>
                      <w:color w:val="auto"/>
                      <w:szCs w:val="21"/>
                      <w:lang w:val="en-US" w:eastAsia="zh-CN"/>
                    </w:rPr>
                    <w:t>m</w:t>
                  </w:r>
                  <w:r>
                    <w:rPr>
                      <w:rFonts w:hint="eastAsia" w:ascii="Times New Roman" w:hAnsi="Times New Roman" w:eastAsia="宋体" w:cs="Times New Roman"/>
                      <w:color w:val="auto"/>
                      <w:szCs w:val="21"/>
                      <w:vertAlign w:val="superscript"/>
                      <w:lang w:val="en-US" w:eastAsia="zh-CN"/>
                    </w:rPr>
                    <w:t>2</w:t>
                  </w:r>
                  <w:r>
                    <w:rPr>
                      <w:rFonts w:hint="eastAsia"/>
                      <w:color w:val="auto"/>
                      <w:lang w:val="en-US" w:eastAsia="zh-CN"/>
                    </w:rPr>
                    <w:t>，用于项目日常办公。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Merge w:val="restart"/>
                  <w:noWrap w:val="0"/>
                  <w:vAlign w:val="center"/>
                </w:tcPr>
                <w:p>
                  <w:pPr>
                    <w:adjustRightInd w:val="0"/>
                    <w:snapToGrid w:val="0"/>
                    <w:jc w:val="center"/>
                    <w:rPr>
                      <w:color w:val="auto"/>
                      <w:szCs w:val="21"/>
                    </w:rPr>
                  </w:pPr>
                  <w:r>
                    <w:rPr>
                      <w:color w:val="auto"/>
                      <w:szCs w:val="21"/>
                    </w:rPr>
                    <w:t>3</w:t>
                  </w:r>
                </w:p>
              </w:tc>
              <w:tc>
                <w:tcPr>
                  <w:tcW w:w="998" w:type="dxa"/>
                  <w:vMerge w:val="restart"/>
                  <w:noWrap w:val="0"/>
                  <w:vAlign w:val="center"/>
                </w:tcPr>
                <w:p>
                  <w:pPr>
                    <w:adjustRightInd w:val="0"/>
                    <w:snapToGrid w:val="0"/>
                    <w:jc w:val="center"/>
                    <w:rPr>
                      <w:rFonts w:hint="eastAsia" w:hAnsi="宋体"/>
                      <w:color w:val="auto"/>
                      <w:szCs w:val="21"/>
                    </w:rPr>
                  </w:pPr>
                  <w:r>
                    <w:rPr>
                      <w:rFonts w:hint="eastAsia" w:hAnsi="宋体"/>
                      <w:color w:val="auto"/>
                      <w:szCs w:val="21"/>
                    </w:rPr>
                    <w:t>储运工程</w:t>
                  </w:r>
                </w:p>
              </w:tc>
              <w:tc>
                <w:tcPr>
                  <w:tcW w:w="1334" w:type="dxa"/>
                  <w:noWrap w:val="0"/>
                  <w:vAlign w:val="center"/>
                </w:tcPr>
                <w:p>
                  <w:pPr>
                    <w:adjustRightInd w:val="0"/>
                    <w:snapToGrid w:val="0"/>
                    <w:jc w:val="center"/>
                    <w:rPr>
                      <w:rFonts w:hint="eastAsia" w:eastAsia="宋体"/>
                      <w:color w:val="auto"/>
                      <w:szCs w:val="21"/>
                      <w:lang w:eastAsia="zh-CN"/>
                    </w:rPr>
                  </w:pPr>
                  <w:r>
                    <w:rPr>
                      <w:rFonts w:hint="eastAsia"/>
                      <w:color w:val="auto"/>
                      <w:szCs w:val="21"/>
                      <w:lang w:val="en-US" w:eastAsia="zh-CN"/>
                    </w:rPr>
                    <w:t>仓库</w:t>
                  </w:r>
                </w:p>
              </w:tc>
              <w:tc>
                <w:tcPr>
                  <w:tcW w:w="5172" w:type="dxa"/>
                  <w:noWrap w:val="0"/>
                  <w:vAlign w:val="center"/>
                </w:tcPr>
                <w:p>
                  <w:pPr>
                    <w:adjustRightInd w:val="0"/>
                    <w:snapToGrid w:val="0"/>
                    <w:jc w:val="left"/>
                    <w:rPr>
                      <w:rFonts w:hint="eastAsia"/>
                      <w:lang w:val="en-US" w:eastAsia="zh-CN"/>
                    </w:rPr>
                  </w:pPr>
                  <w:r>
                    <w:rPr>
                      <w:rFonts w:hint="eastAsia"/>
                      <w:lang w:val="en-US" w:eastAsia="zh-CN"/>
                    </w:rPr>
                    <w:t>原材料库：位于厂房东侧，用于放置外购钢件，占地面积约150m</w:t>
                  </w:r>
                  <w:r>
                    <w:rPr>
                      <w:rFonts w:hint="eastAsia"/>
                      <w:vertAlign w:val="superscript"/>
                      <w:lang w:val="en-US" w:eastAsia="zh-CN"/>
                    </w:rPr>
                    <w:t>2</w:t>
                  </w:r>
                  <w:r>
                    <w:rPr>
                      <w:rFonts w:hint="eastAsia"/>
                      <w:lang w:val="en-US" w:eastAsia="zh-CN"/>
                    </w:rPr>
                    <w:t>。</w:t>
                  </w:r>
                </w:p>
                <w:p>
                  <w:pPr>
                    <w:pStyle w:val="8"/>
                    <w:keepNext/>
                    <w:keepLines w:val="0"/>
                    <w:pageBreakBefore w:val="0"/>
                    <w:widowControl w:val="0"/>
                    <w:kinsoku/>
                    <w:wordWrap/>
                    <w:overflowPunct/>
                    <w:topLinePunct w:val="0"/>
                    <w:autoSpaceDE/>
                    <w:autoSpaceDN/>
                    <w:bidi w:val="0"/>
                    <w:adjustRightInd/>
                    <w:snapToGrid/>
                    <w:spacing w:line="240" w:lineRule="auto"/>
                    <w:ind w:left="0" w:leftChars="0" w:right="-113" w:firstLine="0" w:firstLineChars="0"/>
                    <w:jc w:val="both"/>
                    <w:textAlignment w:val="auto"/>
                    <w:rPr>
                      <w:rFonts w:hint="default"/>
                      <w:lang w:val="en-US" w:eastAsia="zh-CN"/>
                    </w:rPr>
                  </w:pPr>
                  <w:r>
                    <w:rPr>
                      <w:rFonts w:hint="eastAsia"/>
                      <w:b w:val="0"/>
                      <w:bCs/>
                      <w:lang w:val="en-US" w:eastAsia="zh-CN"/>
                    </w:rPr>
                    <w:t>成品库：位于厂房南侧，用于放置酸洗后钢件，占地面积约</w:t>
                  </w:r>
                  <w:r>
                    <w:rPr>
                      <w:rFonts w:hint="eastAsia" w:ascii="Times New Roman" w:hAnsi="Times New Roman" w:cs="Times New Roman"/>
                      <w:b w:val="0"/>
                      <w:bCs/>
                      <w:lang w:val="en-US" w:eastAsia="zh-CN"/>
                    </w:rPr>
                    <w:t>15</w:t>
                  </w:r>
                  <w:r>
                    <w:rPr>
                      <w:rFonts w:hint="default" w:ascii="Times New Roman" w:hAnsi="Times New Roman" w:cs="Times New Roman"/>
                      <w:b w:val="0"/>
                      <w:bCs/>
                      <w:lang w:val="en-US" w:eastAsia="zh-CN"/>
                    </w:rPr>
                    <w:t>0m</w:t>
                  </w:r>
                  <w:r>
                    <w:rPr>
                      <w:rFonts w:hint="default" w:ascii="Times New Roman" w:hAnsi="Times New Roman" w:cs="Times New Roman"/>
                      <w:b w:val="0"/>
                      <w:bCs/>
                      <w:vertAlign w:val="superscript"/>
                      <w:lang w:val="en-US" w:eastAsia="zh-CN"/>
                    </w:rPr>
                    <w:t>2</w:t>
                  </w:r>
                  <w:r>
                    <w:rPr>
                      <w:rFonts w:hint="eastAsia"/>
                      <w:b w:val="0"/>
                      <w:b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43" w:type="dxa"/>
                  <w:vMerge w:val="continue"/>
                  <w:noWrap w:val="0"/>
                  <w:vAlign w:val="center"/>
                </w:tcPr>
                <w:p>
                  <w:pPr>
                    <w:adjustRightInd w:val="0"/>
                    <w:snapToGrid w:val="0"/>
                    <w:jc w:val="center"/>
                    <w:rPr>
                      <w:color w:val="0070C0"/>
                      <w:szCs w:val="21"/>
                    </w:rPr>
                  </w:pPr>
                </w:p>
              </w:tc>
              <w:tc>
                <w:tcPr>
                  <w:tcW w:w="998" w:type="dxa"/>
                  <w:vMerge w:val="continue"/>
                  <w:noWrap w:val="0"/>
                  <w:vAlign w:val="center"/>
                </w:tcPr>
                <w:p>
                  <w:pPr>
                    <w:adjustRightInd w:val="0"/>
                    <w:snapToGrid w:val="0"/>
                    <w:jc w:val="center"/>
                    <w:rPr>
                      <w:rFonts w:hint="eastAsia" w:hAnsi="宋体"/>
                      <w:color w:val="0070C0"/>
                      <w:szCs w:val="21"/>
                    </w:rPr>
                  </w:pPr>
                </w:p>
              </w:tc>
              <w:tc>
                <w:tcPr>
                  <w:tcW w:w="1334" w:type="dxa"/>
                  <w:noWrap w:val="0"/>
                  <w:vAlign w:val="center"/>
                </w:tcPr>
                <w:p>
                  <w:pPr>
                    <w:jc w:val="center"/>
                    <w:rPr>
                      <w:color w:val="auto"/>
                      <w:szCs w:val="21"/>
                    </w:rPr>
                  </w:pPr>
                  <w:r>
                    <w:rPr>
                      <w:rFonts w:hint="eastAsia"/>
                      <w:color w:val="auto"/>
                      <w:szCs w:val="21"/>
                    </w:rPr>
                    <w:t>运输工程</w:t>
                  </w:r>
                </w:p>
              </w:tc>
              <w:tc>
                <w:tcPr>
                  <w:tcW w:w="5172" w:type="dxa"/>
                  <w:noWrap w:val="0"/>
                  <w:vAlign w:val="center"/>
                </w:tcPr>
                <w:p>
                  <w:pPr>
                    <w:adjustRightInd w:val="0"/>
                    <w:snapToGrid w:val="0"/>
                    <w:jc w:val="center"/>
                    <w:rPr>
                      <w:rFonts w:hint="eastAsia" w:eastAsia="宋体"/>
                      <w:color w:val="auto"/>
                      <w:kern w:val="0"/>
                      <w:szCs w:val="21"/>
                      <w:lang w:eastAsia="zh-CN"/>
                    </w:rPr>
                  </w:pPr>
                  <w:r>
                    <w:rPr>
                      <w:rFonts w:hint="eastAsia"/>
                      <w:color w:val="auto"/>
                      <w:szCs w:val="21"/>
                      <w:lang w:eastAsia="zh-CN"/>
                    </w:rPr>
                    <w:t>场外汽车运输，场内无车运输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43" w:type="dxa"/>
                  <w:vMerge w:val="restart"/>
                  <w:noWrap w:val="0"/>
                  <w:vAlign w:val="center"/>
                </w:tcPr>
                <w:p>
                  <w:pPr>
                    <w:adjustRightInd w:val="0"/>
                    <w:snapToGrid w:val="0"/>
                    <w:jc w:val="center"/>
                    <w:rPr>
                      <w:color w:val="auto"/>
                      <w:szCs w:val="21"/>
                    </w:rPr>
                  </w:pPr>
                  <w:r>
                    <w:rPr>
                      <w:rFonts w:hint="eastAsia"/>
                      <w:color w:val="auto"/>
                      <w:szCs w:val="21"/>
                    </w:rPr>
                    <w:t>4</w:t>
                  </w:r>
                </w:p>
              </w:tc>
              <w:tc>
                <w:tcPr>
                  <w:tcW w:w="998" w:type="dxa"/>
                  <w:vMerge w:val="restart"/>
                  <w:noWrap w:val="0"/>
                  <w:vAlign w:val="center"/>
                </w:tcPr>
                <w:p>
                  <w:pPr>
                    <w:adjustRightInd w:val="0"/>
                    <w:snapToGrid w:val="0"/>
                    <w:jc w:val="center"/>
                    <w:rPr>
                      <w:color w:val="auto"/>
                      <w:szCs w:val="21"/>
                    </w:rPr>
                  </w:pPr>
                  <w:r>
                    <w:rPr>
                      <w:rFonts w:hAnsi="宋体"/>
                      <w:color w:val="auto"/>
                      <w:szCs w:val="21"/>
                    </w:rPr>
                    <w:t>公用工程</w:t>
                  </w:r>
                </w:p>
              </w:tc>
              <w:tc>
                <w:tcPr>
                  <w:tcW w:w="1334" w:type="dxa"/>
                  <w:noWrap w:val="0"/>
                  <w:vAlign w:val="center"/>
                </w:tcPr>
                <w:p>
                  <w:pPr>
                    <w:adjustRightInd w:val="0"/>
                    <w:snapToGrid w:val="0"/>
                    <w:jc w:val="center"/>
                    <w:rPr>
                      <w:rFonts w:hint="eastAsia"/>
                      <w:color w:val="auto"/>
                      <w:szCs w:val="21"/>
                    </w:rPr>
                  </w:pPr>
                  <w:r>
                    <w:rPr>
                      <w:rFonts w:hint="eastAsia"/>
                      <w:color w:val="auto"/>
                      <w:szCs w:val="21"/>
                    </w:rPr>
                    <w:t>给水</w:t>
                  </w:r>
                </w:p>
              </w:tc>
              <w:tc>
                <w:tcPr>
                  <w:tcW w:w="5172" w:type="dxa"/>
                  <w:noWrap w:val="0"/>
                  <w:vAlign w:val="center"/>
                </w:tcPr>
                <w:p>
                  <w:pPr>
                    <w:jc w:val="center"/>
                    <w:rPr>
                      <w:rFonts w:hint="eastAsia"/>
                      <w:color w:val="auto"/>
                      <w:szCs w:val="21"/>
                    </w:rPr>
                  </w:pPr>
                  <w:r>
                    <w:rPr>
                      <w:rFonts w:hint="eastAsia" w:ascii="Times New Roman" w:hAnsi="Times New Roman" w:eastAsia="宋体" w:cs="Times New Roman"/>
                      <w:color w:val="auto"/>
                      <w:szCs w:val="21"/>
                    </w:rPr>
                    <w:t>采用城市供水管网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643" w:type="dxa"/>
                  <w:vMerge w:val="continue"/>
                  <w:noWrap w:val="0"/>
                  <w:vAlign w:val="center"/>
                </w:tcPr>
                <w:p>
                  <w:pPr>
                    <w:adjustRightInd w:val="0"/>
                    <w:snapToGrid w:val="0"/>
                    <w:jc w:val="center"/>
                    <w:rPr>
                      <w:rFonts w:hint="eastAsia"/>
                      <w:color w:val="0070C0"/>
                      <w:szCs w:val="21"/>
                    </w:rPr>
                  </w:pPr>
                </w:p>
              </w:tc>
              <w:tc>
                <w:tcPr>
                  <w:tcW w:w="998" w:type="dxa"/>
                  <w:vMerge w:val="continue"/>
                  <w:noWrap w:val="0"/>
                  <w:vAlign w:val="center"/>
                </w:tcPr>
                <w:p>
                  <w:pPr>
                    <w:adjustRightInd w:val="0"/>
                    <w:snapToGrid w:val="0"/>
                    <w:jc w:val="center"/>
                    <w:rPr>
                      <w:color w:val="0070C0"/>
                      <w:szCs w:val="21"/>
                    </w:rPr>
                  </w:pPr>
                </w:p>
              </w:tc>
              <w:tc>
                <w:tcPr>
                  <w:tcW w:w="1334" w:type="dxa"/>
                  <w:noWrap w:val="0"/>
                  <w:vAlign w:val="center"/>
                </w:tcPr>
                <w:p>
                  <w:pPr>
                    <w:adjustRightInd w:val="0"/>
                    <w:snapToGrid w:val="0"/>
                    <w:jc w:val="center"/>
                    <w:rPr>
                      <w:color w:val="auto"/>
                      <w:szCs w:val="21"/>
                    </w:rPr>
                  </w:pPr>
                  <w:r>
                    <w:rPr>
                      <w:rFonts w:hAnsi="宋体"/>
                      <w:color w:val="auto"/>
                      <w:szCs w:val="21"/>
                    </w:rPr>
                    <w:t>排水</w:t>
                  </w:r>
                </w:p>
              </w:tc>
              <w:tc>
                <w:tcPr>
                  <w:tcW w:w="5172" w:type="dxa"/>
                  <w:noWrap w:val="0"/>
                  <w:vAlign w:val="center"/>
                </w:tcPr>
                <w:p>
                  <w:pPr>
                    <w:adjustRightInd w:val="0"/>
                    <w:snapToGrid w:val="0"/>
                    <w:jc w:val="center"/>
                    <w:rPr>
                      <w:rFonts w:hint="eastAsia"/>
                      <w:color w:val="auto"/>
                      <w:szCs w:val="21"/>
                    </w:rPr>
                  </w:pPr>
                  <w:r>
                    <w:rPr>
                      <w:rFonts w:hint="eastAsia" w:ascii="Times New Roman" w:hAnsi="Times New Roman" w:eastAsia="宋体" w:cs="Times New Roman"/>
                      <w:color w:val="auto"/>
                      <w:szCs w:val="21"/>
                    </w:rPr>
                    <w:t>厂区排水采用雨、污水分流制排水系统。厂区</w:t>
                  </w:r>
                  <w:r>
                    <w:rPr>
                      <w:rFonts w:hint="eastAsia" w:cs="Times New Roman"/>
                      <w:color w:val="auto"/>
                      <w:szCs w:val="21"/>
                      <w:lang w:val="en-US" w:eastAsia="zh-CN"/>
                    </w:rPr>
                    <w:t>酸洗废</w:t>
                  </w:r>
                  <w:r>
                    <w:rPr>
                      <w:rFonts w:hint="eastAsia" w:ascii="Times New Roman" w:hAnsi="Times New Roman" w:eastAsia="宋体" w:cs="Times New Roman"/>
                      <w:color w:val="auto"/>
                      <w:szCs w:val="21"/>
                      <w:lang w:val="en-US" w:eastAsia="zh-CN"/>
                    </w:rPr>
                    <w:t>水循环使用不外排，排放的生活污水经</w:t>
                  </w:r>
                  <w:r>
                    <w:rPr>
                      <w:rFonts w:hint="eastAsia" w:ascii="Times New Roman" w:hAnsi="Times New Roman" w:eastAsia="宋体" w:cs="Times New Roman"/>
                      <w:color w:val="auto"/>
                      <w:szCs w:val="21"/>
                    </w:rPr>
                    <w:t>化粪池预处理</w:t>
                  </w:r>
                  <w:r>
                    <w:rPr>
                      <w:rFonts w:hint="eastAsia" w:ascii="Times New Roman" w:hAnsi="Times New Roman" w:eastAsia="宋体" w:cs="Times New Roman"/>
                      <w:color w:val="auto"/>
                      <w:szCs w:val="21"/>
                      <w:lang w:val="en-US" w:eastAsia="zh-CN"/>
                    </w:rPr>
                    <w:t>后</w:t>
                  </w:r>
                  <w:r>
                    <w:rPr>
                      <w:rFonts w:hint="eastAsia" w:ascii="Times New Roman" w:hAnsi="Times New Roman" w:eastAsia="宋体" w:cs="Times New Roman"/>
                      <w:color w:val="auto"/>
                      <w:szCs w:val="21"/>
                    </w:rPr>
                    <w:t>经污水管网进入淮南经济技术开发区工业污水处理厂处理，尾水排入淮河。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43" w:type="dxa"/>
                  <w:vMerge w:val="continue"/>
                  <w:noWrap w:val="0"/>
                  <w:vAlign w:val="center"/>
                </w:tcPr>
                <w:p>
                  <w:pPr>
                    <w:adjustRightInd w:val="0"/>
                    <w:snapToGrid w:val="0"/>
                    <w:jc w:val="center"/>
                    <w:rPr>
                      <w:color w:val="0070C0"/>
                      <w:szCs w:val="21"/>
                    </w:rPr>
                  </w:pPr>
                </w:p>
              </w:tc>
              <w:tc>
                <w:tcPr>
                  <w:tcW w:w="998" w:type="dxa"/>
                  <w:vMerge w:val="continue"/>
                  <w:noWrap w:val="0"/>
                  <w:vAlign w:val="center"/>
                </w:tcPr>
                <w:p>
                  <w:pPr>
                    <w:adjustRightInd w:val="0"/>
                    <w:snapToGrid w:val="0"/>
                    <w:jc w:val="center"/>
                    <w:rPr>
                      <w:rFonts w:hAnsi="宋体"/>
                      <w:color w:val="0070C0"/>
                      <w:szCs w:val="21"/>
                    </w:rPr>
                  </w:pPr>
                </w:p>
              </w:tc>
              <w:tc>
                <w:tcPr>
                  <w:tcW w:w="1334" w:type="dxa"/>
                  <w:noWrap w:val="0"/>
                  <w:vAlign w:val="center"/>
                </w:tcPr>
                <w:p>
                  <w:pPr>
                    <w:adjustRightInd w:val="0"/>
                    <w:snapToGrid w:val="0"/>
                    <w:jc w:val="center"/>
                    <w:rPr>
                      <w:rFonts w:hint="eastAsia"/>
                      <w:color w:val="auto"/>
                      <w:szCs w:val="21"/>
                    </w:rPr>
                  </w:pPr>
                  <w:r>
                    <w:rPr>
                      <w:rFonts w:hint="eastAsia"/>
                      <w:color w:val="auto"/>
                      <w:szCs w:val="21"/>
                    </w:rPr>
                    <w:t>供电</w:t>
                  </w:r>
                </w:p>
              </w:tc>
              <w:tc>
                <w:tcPr>
                  <w:tcW w:w="5172" w:type="dxa"/>
                  <w:noWrap w:val="0"/>
                  <w:vAlign w:val="center"/>
                </w:tcPr>
                <w:p>
                  <w:pPr>
                    <w:adjustRightInd w:val="0"/>
                    <w:snapToGrid w:val="0"/>
                    <w:jc w:val="center"/>
                    <w:rPr>
                      <w:rFonts w:hint="eastAsia"/>
                      <w:color w:val="auto"/>
                      <w:szCs w:val="21"/>
                    </w:rPr>
                  </w:pPr>
                  <w:r>
                    <w:rPr>
                      <w:rFonts w:hint="eastAsia" w:ascii="Times New Roman" w:hAnsi="Times New Roman" w:eastAsia="宋体" w:cs="Times New Roman"/>
                      <w:color w:val="auto"/>
                      <w:szCs w:val="21"/>
                    </w:rPr>
                    <w:t>市政电网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643" w:type="dxa"/>
                  <w:vMerge w:val="continue"/>
                  <w:noWrap w:val="0"/>
                  <w:vAlign w:val="center"/>
                </w:tcPr>
                <w:p>
                  <w:pPr>
                    <w:adjustRightInd w:val="0"/>
                    <w:snapToGrid w:val="0"/>
                    <w:jc w:val="center"/>
                    <w:rPr>
                      <w:color w:val="0070C0"/>
                      <w:szCs w:val="21"/>
                    </w:rPr>
                  </w:pPr>
                </w:p>
              </w:tc>
              <w:tc>
                <w:tcPr>
                  <w:tcW w:w="998" w:type="dxa"/>
                  <w:vMerge w:val="continue"/>
                  <w:noWrap w:val="0"/>
                  <w:vAlign w:val="center"/>
                </w:tcPr>
                <w:p>
                  <w:pPr>
                    <w:adjustRightInd w:val="0"/>
                    <w:snapToGrid w:val="0"/>
                    <w:jc w:val="center"/>
                    <w:rPr>
                      <w:color w:val="0070C0"/>
                      <w:szCs w:val="21"/>
                    </w:rPr>
                  </w:pPr>
                </w:p>
              </w:tc>
              <w:tc>
                <w:tcPr>
                  <w:tcW w:w="1334" w:type="dxa"/>
                  <w:noWrap w:val="0"/>
                  <w:vAlign w:val="center"/>
                </w:tcPr>
                <w:p>
                  <w:pPr>
                    <w:snapToGrid w:val="0"/>
                    <w:jc w:val="center"/>
                    <w:rPr>
                      <w:rFonts w:hint="eastAsia"/>
                      <w:color w:val="auto"/>
                      <w:szCs w:val="21"/>
                    </w:rPr>
                  </w:pPr>
                  <w:r>
                    <w:rPr>
                      <w:rFonts w:hint="eastAsia"/>
                      <w:color w:val="auto"/>
                      <w:szCs w:val="21"/>
                    </w:rPr>
                    <w:t>消防系统</w:t>
                  </w:r>
                </w:p>
              </w:tc>
              <w:tc>
                <w:tcPr>
                  <w:tcW w:w="5172" w:type="dxa"/>
                  <w:noWrap w:val="0"/>
                  <w:vAlign w:val="center"/>
                </w:tcPr>
                <w:p>
                  <w:pPr>
                    <w:snapToGrid w:val="0"/>
                    <w:jc w:val="center"/>
                    <w:rPr>
                      <w:rFonts w:hint="eastAsia"/>
                      <w:color w:val="auto"/>
                      <w:szCs w:val="21"/>
                    </w:rPr>
                  </w:pPr>
                  <w:r>
                    <w:rPr>
                      <w:rFonts w:hint="eastAsia"/>
                      <w:color w:val="auto"/>
                      <w:szCs w:val="21"/>
                    </w:rPr>
                    <w:t>符合《建筑物防火规范</w:t>
                  </w:r>
                  <w:r>
                    <w:rPr>
                      <w:rFonts w:hint="eastAsia" w:ascii="宋体" w:hAnsi="宋体"/>
                      <w:color w:val="auto"/>
                      <w:szCs w:val="21"/>
                    </w:rPr>
                    <w:t>》</w:t>
                  </w:r>
                  <w:r>
                    <w:rPr>
                      <w:rFonts w:hint="eastAsia"/>
                      <w:color w:val="auto"/>
                      <w:szCs w:val="21"/>
                    </w:rPr>
                    <w:t>（GB50016-2014）要求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 w:type="dxa"/>
                  <w:vMerge w:val="restart"/>
                  <w:noWrap w:val="0"/>
                  <w:vAlign w:val="center"/>
                </w:tcPr>
                <w:p>
                  <w:pPr>
                    <w:adjustRightInd w:val="0"/>
                    <w:snapToGrid w:val="0"/>
                    <w:jc w:val="center"/>
                    <w:rPr>
                      <w:rFonts w:hint="eastAsia"/>
                      <w:color w:val="0070C0"/>
                      <w:szCs w:val="21"/>
                    </w:rPr>
                  </w:pPr>
                  <w:r>
                    <w:rPr>
                      <w:rFonts w:hint="eastAsia" w:ascii="Times New Roman" w:hAnsi="Times New Roman" w:eastAsia="宋体" w:cs="Times New Roman"/>
                      <w:color w:val="auto"/>
                      <w:szCs w:val="21"/>
                    </w:rPr>
                    <w:t>5</w:t>
                  </w:r>
                </w:p>
              </w:tc>
              <w:tc>
                <w:tcPr>
                  <w:tcW w:w="998" w:type="dxa"/>
                  <w:vMerge w:val="restart"/>
                  <w:noWrap w:val="0"/>
                  <w:vAlign w:val="center"/>
                </w:tcPr>
                <w:p>
                  <w:pPr>
                    <w:snapToGrid w:val="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环保工程</w:t>
                  </w:r>
                </w:p>
              </w:tc>
              <w:tc>
                <w:tcPr>
                  <w:tcW w:w="1334" w:type="dxa"/>
                  <w:noWrap w:val="0"/>
                  <w:vAlign w:val="center"/>
                </w:tcPr>
                <w:p>
                  <w:pPr>
                    <w:snapToGrid w:val="0"/>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废水治理</w:t>
                  </w:r>
                </w:p>
              </w:tc>
              <w:tc>
                <w:tcPr>
                  <w:tcW w:w="5172" w:type="dxa"/>
                  <w:noWrap w:val="0"/>
                  <w:vAlign w:val="center"/>
                </w:tcPr>
                <w:p>
                  <w:pPr>
                    <w:pStyle w:val="24"/>
                    <w:keepNext w:val="0"/>
                    <w:keepLines w:val="0"/>
                    <w:widowControl/>
                    <w:suppressLineNumbers w:val="0"/>
                    <w:spacing w:before="0" w:beforeAutospacing="0" w:after="0" w:afterAutospacing="0"/>
                    <w:ind w:left="0" w:right="0" w:firstLine="0"/>
                    <w:rPr>
                      <w:rFonts w:hint="eastAsia" w:ascii="Times New Roman" w:hAnsi="Times New Roman" w:eastAsia="宋体" w:cs="Times New Roman"/>
                      <w:color w:val="auto"/>
                      <w:szCs w:val="21"/>
                      <w:highlight w:val="none"/>
                    </w:rPr>
                  </w:pPr>
                  <w:r>
                    <w:rPr>
                      <w:rFonts w:hint="eastAsia" w:cs="宋体"/>
                      <w:color w:val="auto"/>
                      <w:kern w:val="2"/>
                      <w:sz w:val="21"/>
                      <w:szCs w:val="21"/>
                      <w:highlight w:val="none"/>
                      <w:lang w:val="en-US" w:eastAsia="zh-CN" w:bidi="ar-SA"/>
                    </w:rPr>
                    <w:t>冲</w:t>
                  </w:r>
                  <w:r>
                    <w:rPr>
                      <w:rFonts w:hint="eastAsia" w:ascii="宋体" w:hAnsi="宋体" w:eastAsia="宋体" w:cs="宋体"/>
                      <w:color w:val="auto"/>
                      <w:kern w:val="2"/>
                      <w:sz w:val="21"/>
                      <w:szCs w:val="21"/>
                      <w:highlight w:val="none"/>
                      <w:lang w:val="en-US" w:eastAsia="zh-CN" w:bidi="ar-SA"/>
                    </w:rPr>
                    <w:t>洗废水：回用于酸洗池；中和废水：定期委托</w:t>
                  </w:r>
                  <w:r>
                    <w:rPr>
                      <w:rFonts w:hint="eastAsia" w:cs="宋体"/>
                      <w:color w:val="auto"/>
                      <w:kern w:val="2"/>
                      <w:sz w:val="21"/>
                      <w:szCs w:val="21"/>
                      <w:highlight w:val="none"/>
                      <w:lang w:val="en-US" w:eastAsia="zh-CN" w:bidi="ar-SA"/>
                    </w:rPr>
                    <w:t>有资质公司</w:t>
                  </w:r>
                  <w:r>
                    <w:rPr>
                      <w:rFonts w:hint="eastAsia" w:ascii="宋体" w:hAnsi="宋体" w:eastAsia="宋体" w:cs="宋体"/>
                      <w:color w:val="auto"/>
                      <w:kern w:val="2"/>
                      <w:sz w:val="21"/>
                      <w:szCs w:val="21"/>
                      <w:highlight w:val="none"/>
                      <w:lang w:val="en-US" w:eastAsia="zh-CN" w:bidi="ar-SA"/>
                    </w:rPr>
                    <w:t>进行</w:t>
                  </w:r>
                  <w:r>
                    <w:rPr>
                      <w:rFonts w:hint="eastAsia" w:cs="宋体"/>
                      <w:color w:val="auto"/>
                      <w:kern w:val="2"/>
                      <w:sz w:val="21"/>
                      <w:szCs w:val="21"/>
                      <w:highlight w:val="none"/>
                      <w:lang w:val="en-US" w:eastAsia="zh-CN" w:bidi="ar-SA"/>
                    </w:rPr>
                    <w:t>沉渣</w:t>
                  </w:r>
                  <w:r>
                    <w:rPr>
                      <w:rFonts w:hint="eastAsia" w:ascii="宋体" w:hAnsi="宋体" w:eastAsia="宋体" w:cs="宋体"/>
                      <w:color w:val="auto"/>
                      <w:kern w:val="2"/>
                      <w:sz w:val="21"/>
                      <w:szCs w:val="21"/>
                      <w:highlight w:val="none"/>
                      <w:lang w:val="en-US" w:eastAsia="zh-CN" w:bidi="ar-SA"/>
                    </w:rPr>
                    <w:t>处置；碱液喷淋塔废水排入中和池</w:t>
                  </w:r>
                  <w:r>
                    <w:rPr>
                      <w:rFonts w:hint="eastAsia" w:cs="宋体"/>
                      <w:color w:val="auto"/>
                      <w:kern w:val="2"/>
                      <w:sz w:val="21"/>
                      <w:szCs w:val="21"/>
                      <w:highlight w:val="none"/>
                      <w:lang w:val="en-US" w:eastAsia="zh-CN" w:bidi="ar-SA"/>
                    </w:rPr>
                    <w:t>用于冲洗。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43" w:type="dxa"/>
                  <w:vMerge w:val="continue"/>
                  <w:noWrap w:val="0"/>
                  <w:vAlign w:val="center"/>
                </w:tcPr>
                <w:p>
                  <w:pPr>
                    <w:adjustRightInd w:val="0"/>
                    <w:snapToGrid w:val="0"/>
                    <w:jc w:val="center"/>
                    <w:rPr>
                      <w:rFonts w:hint="eastAsia"/>
                      <w:color w:val="0070C0"/>
                      <w:szCs w:val="21"/>
                    </w:rPr>
                  </w:pPr>
                </w:p>
              </w:tc>
              <w:tc>
                <w:tcPr>
                  <w:tcW w:w="998" w:type="dxa"/>
                  <w:vMerge w:val="continue"/>
                  <w:noWrap w:val="0"/>
                  <w:vAlign w:val="center"/>
                </w:tcPr>
                <w:p>
                  <w:pPr>
                    <w:snapToGrid w:val="0"/>
                    <w:jc w:val="center"/>
                    <w:rPr>
                      <w:rFonts w:hint="eastAsia" w:ascii="Times New Roman" w:hAnsi="Times New Roman" w:eastAsia="宋体" w:cs="Times New Roman"/>
                      <w:color w:val="auto"/>
                      <w:szCs w:val="21"/>
                    </w:rPr>
                  </w:pPr>
                </w:p>
              </w:tc>
              <w:tc>
                <w:tcPr>
                  <w:tcW w:w="1334" w:type="dxa"/>
                  <w:noWrap w:val="0"/>
                  <w:vAlign w:val="center"/>
                </w:tcPr>
                <w:p>
                  <w:pPr>
                    <w:snapToGrid w:val="0"/>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废气治理</w:t>
                  </w:r>
                </w:p>
              </w:tc>
              <w:tc>
                <w:tcPr>
                  <w:tcW w:w="5172" w:type="dxa"/>
                  <w:noWrap w:val="0"/>
                  <w:vAlign w:val="center"/>
                </w:tcPr>
                <w:p>
                  <w:pPr>
                    <w:pStyle w:val="24"/>
                    <w:keepNext w:val="0"/>
                    <w:keepLines w:val="0"/>
                    <w:widowControl/>
                    <w:suppressLineNumbers w:val="0"/>
                    <w:spacing w:before="0" w:beforeAutospacing="0" w:after="0" w:afterAutospacing="0"/>
                    <w:ind w:left="0" w:right="0" w:firstLine="0"/>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集气罩+碱液喷淋塔+15m排气筒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Merge w:val="continue"/>
                  <w:noWrap w:val="0"/>
                  <w:vAlign w:val="center"/>
                </w:tcPr>
                <w:p>
                  <w:pPr>
                    <w:adjustRightInd w:val="0"/>
                    <w:snapToGrid w:val="0"/>
                    <w:jc w:val="center"/>
                    <w:rPr>
                      <w:rFonts w:hint="eastAsia"/>
                      <w:color w:val="0070C0"/>
                      <w:szCs w:val="21"/>
                    </w:rPr>
                  </w:pPr>
                </w:p>
              </w:tc>
              <w:tc>
                <w:tcPr>
                  <w:tcW w:w="998" w:type="dxa"/>
                  <w:vMerge w:val="continue"/>
                  <w:noWrap w:val="0"/>
                  <w:vAlign w:val="center"/>
                </w:tcPr>
                <w:p>
                  <w:pPr>
                    <w:adjustRightInd w:val="0"/>
                    <w:snapToGrid w:val="0"/>
                    <w:jc w:val="center"/>
                    <w:rPr>
                      <w:rFonts w:hint="eastAsia"/>
                      <w:color w:val="0070C0"/>
                      <w:szCs w:val="21"/>
                    </w:rPr>
                  </w:pPr>
                </w:p>
              </w:tc>
              <w:tc>
                <w:tcPr>
                  <w:tcW w:w="1334" w:type="dxa"/>
                  <w:noWrap w:val="0"/>
                  <w:vAlign w:val="center"/>
                </w:tcPr>
                <w:p>
                  <w:pPr>
                    <w:snapToGrid w:val="0"/>
                    <w:jc w:val="center"/>
                    <w:rPr>
                      <w:rFonts w:hint="eastAsia"/>
                      <w:color w:val="auto"/>
                      <w:szCs w:val="21"/>
                      <w:highlight w:val="none"/>
                    </w:rPr>
                  </w:pPr>
                  <w:r>
                    <w:rPr>
                      <w:rFonts w:hint="eastAsia"/>
                      <w:color w:val="auto"/>
                      <w:szCs w:val="21"/>
                      <w:highlight w:val="none"/>
                    </w:rPr>
                    <w:t>噪声治理</w:t>
                  </w:r>
                </w:p>
              </w:tc>
              <w:tc>
                <w:tcPr>
                  <w:tcW w:w="5172" w:type="dxa"/>
                  <w:noWrap w:val="0"/>
                  <w:vAlign w:val="center"/>
                </w:tcPr>
                <w:p>
                  <w:pPr>
                    <w:snapToGrid w:val="0"/>
                    <w:jc w:val="center"/>
                    <w:rPr>
                      <w:color w:val="auto"/>
                      <w:szCs w:val="21"/>
                      <w:highlight w:val="none"/>
                    </w:rPr>
                  </w:pPr>
                  <w:r>
                    <w:rPr>
                      <w:rFonts w:hint="eastAsia" w:ascii="宋体" w:hAnsi="宋体" w:cs="宋体"/>
                      <w:color w:val="auto"/>
                      <w:szCs w:val="21"/>
                      <w:highlight w:val="none"/>
                    </w:rPr>
                    <w:t>设备合理选型（低噪设备）、合理空间布局、基础减振、加强日常维护、厂房隔声等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Merge w:val="continue"/>
                  <w:noWrap w:val="0"/>
                  <w:vAlign w:val="center"/>
                </w:tcPr>
                <w:p>
                  <w:pPr>
                    <w:adjustRightInd w:val="0"/>
                    <w:snapToGrid w:val="0"/>
                    <w:jc w:val="center"/>
                    <w:rPr>
                      <w:rFonts w:hint="eastAsia"/>
                      <w:color w:val="0070C0"/>
                      <w:szCs w:val="21"/>
                    </w:rPr>
                  </w:pPr>
                </w:p>
              </w:tc>
              <w:tc>
                <w:tcPr>
                  <w:tcW w:w="998" w:type="dxa"/>
                  <w:vMerge w:val="continue"/>
                  <w:noWrap w:val="0"/>
                  <w:vAlign w:val="center"/>
                </w:tcPr>
                <w:p>
                  <w:pPr>
                    <w:adjustRightInd w:val="0"/>
                    <w:snapToGrid w:val="0"/>
                    <w:jc w:val="center"/>
                    <w:rPr>
                      <w:rFonts w:hint="eastAsia"/>
                      <w:color w:val="0070C0"/>
                      <w:szCs w:val="21"/>
                    </w:rPr>
                  </w:pPr>
                </w:p>
              </w:tc>
              <w:tc>
                <w:tcPr>
                  <w:tcW w:w="1334" w:type="dxa"/>
                  <w:noWrap w:val="0"/>
                  <w:vAlign w:val="center"/>
                </w:tcPr>
                <w:p>
                  <w:pPr>
                    <w:snapToGrid w:val="0"/>
                    <w:jc w:val="center"/>
                    <w:rPr>
                      <w:rFonts w:hint="eastAsia"/>
                      <w:color w:val="auto"/>
                      <w:szCs w:val="21"/>
                      <w:highlight w:val="none"/>
                    </w:rPr>
                  </w:pPr>
                  <w:r>
                    <w:rPr>
                      <w:rFonts w:hint="eastAsia"/>
                      <w:color w:val="auto"/>
                      <w:szCs w:val="21"/>
                      <w:highlight w:val="none"/>
                    </w:rPr>
                    <w:t>固废治理</w:t>
                  </w:r>
                </w:p>
              </w:tc>
              <w:tc>
                <w:tcPr>
                  <w:tcW w:w="5172" w:type="dxa"/>
                  <w:noWrap w:val="0"/>
                  <w:vAlign w:val="center"/>
                </w:tcPr>
                <w:p>
                  <w:pPr>
                    <w:snapToGrid w:val="0"/>
                    <w:jc w:val="center"/>
                    <w:rPr>
                      <w:rFonts w:hint="eastAsia"/>
                      <w:color w:val="auto"/>
                      <w:szCs w:val="21"/>
                      <w:highlight w:val="none"/>
                    </w:rPr>
                  </w:pPr>
                  <w:r>
                    <w:rPr>
                      <w:rFonts w:hint="eastAsia"/>
                      <w:color w:val="auto"/>
                      <w:szCs w:val="21"/>
                      <w:highlight w:val="none"/>
                      <w:lang w:eastAsia="zh-CN"/>
                    </w:rPr>
                    <w:t>在厂房西侧分别设置一般固废暂存间、危险废物暂存间。</w:t>
                  </w:r>
                </w:p>
              </w:tc>
            </w:tr>
          </w:tbl>
          <w:p>
            <w:pPr>
              <w:adjustRightInd w:val="0"/>
              <w:snapToGrid w:val="0"/>
              <w:spacing w:line="360" w:lineRule="auto"/>
              <w:ind w:firstLine="480"/>
              <w:rPr>
                <w:rFonts w:hint="eastAsia"/>
                <w:b/>
                <w:bCs/>
                <w:color w:val="auto"/>
                <w:sz w:val="24"/>
                <w:highlight w:val="none"/>
              </w:rPr>
            </w:pPr>
          </w:p>
          <w:p>
            <w:pPr>
              <w:adjustRightInd w:val="0"/>
              <w:snapToGrid w:val="0"/>
              <w:spacing w:line="360" w:lineRule="auto"/>
              <w:ind w:firstLine="482" w:firstLineChars="200"/>
              <w:rPr>
                <w:color w:val="auto"/>
                <w:sz w:val="24"/>
                <w:highlight w:val="none"/>
              </w:rPr>
            </w:pPr>
            <w:r>
              <w:rPr>
                <w:rFonts w:hint="eastAsia"/>
                <w:b/>
                <w:bCs/>
                <w:color w:val="auto"/>
                <w:sz w:val="24"/>
                <w:highlight w:val="none"/>
              </w:rPr>
              <w:t>排污许可管理类别：</w:t>
            </w:r>
            <w:r>
              <w:rPr>
                <w:rFonts w:hint="eastAsia"/>
                <w:color w:val="auto"/>
                <w:sz w:val="24"/>
                <w:highlight w:val="none"/>
                <w:lang w:val="en-US" w:eastAsia="zh-CN"/>
              </w:rPr>
              <w:t>根据</w:t>
            </w:r>
            <w:r>
              <w:rPr>
                <w:color w:val="auto"/>
                <w:sz w:val="24"/>
                <w:highlight w:val="none"/>
              </w:rPr>
              <w:t>《固定污染源排污许可证许可分类管理名录》(2019年版）</w:t>
            </w:r>
            <w:r>
              <w:rPr>
                <w:rFonts w:hint="eastAsia"/>
                <w:color w:val="auto"/>
                <w:sz w:val="24"/>
                <w:highlight w:val="none"/>
                <w:lang w:val="en-US" w:eastAsia="zh-CN"/>
              </w:rPr>
              <w:t>规定</w:t>
            </w:r>
            <w:r>
              <w:rPr>
                <w:color w:val="auto"/>
                <w:sz w:val="24"/>
                <w:highlight w:val="none"/>
              </w:rPr>
              <w:t>，</w:t>
            </w:r>
            <w:r>
              <w:rPr>
                <w:rFonts w:hint="eastAsia"/>
                <w:color w:val="auto"/>
                <w:sz w:val="24"/>
                <w:highlight w:val="none"/>
                <w:lang w:val="en-US" w:eastAsia="zh-CN"/>
              </w:rPr>
              <w:t>企业排污许可管理类别判断如下</w:t>
            </w:r>
            <w:r>
              <w:rPr>
                <w:color w:val="auto"/>
                <w:sz w:val="24"/>
                <w:highlight w:val="none"/>
              </w:rPr>
              <w:t>。</w:t>
            </w:r>
          </w:p>
          <w:p>
            <w:pPr>
              <w:pStyle w:val="98"/>
              <w:snapToGrid/>
              <w:spacing w:before="0" w:after="0" w:line="360" w:lineRule="auto"/>
              <w:rPr>
                <w:rFonts w:eastAsia="宋体"/>
                <w:b/>
                <w:color w:val="auto"/>
                <w:szCs w:val="21"/>
                <w:highlight w:val="none"/>
                <w:lang w:val="en-US" w:eastAsia="zh-CN"/>
              </w:rPr>
            </w:pPr>
          </w:p>
          <w:p>
            <w:pPr>
              <w:pStyle w:val="98"/>
              <w:snapToGrid/>
              <w:spacing w:before="0" w:after="0" w:line="360" w:lineRule="auto"/>
              <w:rPr>
                <w:rFonts w:hint="eastAsia" w:eastAsia="宋体"/>
                <w:b/>
                <w:color w:val="auto"/>
                <w:szCs w:val="21"/>
                <w:highlight w:val="none"/>
                <w:lang w:val="en-US" w:eastAsia="zh-CN"/>
              </w:rPr>
            </w:pPr>
            <w:r>
              <w:rPr>
                <w:rFonts w:eastAsia="宋体"/>
                <w:b/>
                <w:color w:val="auto"/>
                <w:szCs w:val="21"/>
                <w:highlight w:val="none"/>
                <w:lang w:val="en-US" w:eastAsia="zh-CN"/>
              </w:rPr>
              <w:t>表2-</w:t>
            </w:r>
            <w:r>
              <w:rPr>
                <w:rFonts w:hint="eastAsia" w:eastAsia="宋体"/>
                <w:b/>
                <w:color w:val="auto"/>
                <w:szCs w:val="21"/>
                <w:highlight w:val="none"/>
                <w:lang w:val="en-US" w:eastAsia="zh-CN"/>
              </w:rPr>
              <w:t>2排污许可类别判断</w:t>
            </w:r>
          </w:p>
          <w:tbl>
            <w:tblPr>
              <w:tblStyle w:val="116"/>
              <w:tblW w:w="4987"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973"/>
              <w:gridCol w:w="2617"/>
              <w:gridCol w:w="2478"/>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1179" w:type="pct"/>
                  <w:noWrap w:val="0"/>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行业类别</w:t>
                  </w:r>
                </w:p>
              </w:tc>
              <w:tc>
                <w:tcPr>
                  <w:tcW w:w="1564" w:type="pct"/>
                  <w:noWrap w:val="0"/>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重点管理</w:t>
                  </w:r>
                </w:p>
              </w:tc>
              <w:tc>
                <w:tcPr>
                  <w:tcW w:w="1481" w:type="pct"/>
                  <w:noWrap w:val="0"/>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简化管理</w:t>
                  </w:r>
                </w:p>
              </w:tc>
              <w:tc>
                <w:tcPr>
                  <w:tcW w:w="774" w:type="pct"/>
                  <w:noWrap w:val="0"/>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登记管理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5000" w:type="pct"/>
                  <w:gridSpan w:val="4"/>
                  <w:noWrap w:val="0"/>
                  <w:vAlign w:val="center"/>
                </w:tcPr>
                <w:p>
                  <w:pPr>
                    <w:keepNext w:val="0"/>
                    <w:keepLines w:val="0"/>
                    <w:widowControl/>
                    <w:suppressLineNumbers w:val="0"/>
                    <w:jc w:val="center"/>
                    <w:rPr>
                      <w:rFonts w:hint="eastAsia" w:ascii="Times New Roman" w:hAnsi="Times New Roman" w:eastAsia="宋体" w:cs="Times New Roman"/>
                      <w:sz w:val="21"/>
                      <w:szCs w:val="21"/>
                      <w:lang w:val="en-US" w:eastAsia="zh-CN"/>
                    </w:rPr>
                  </w:pPr>
                  <w:r>
                    <w:rPr>
                      <w:rFonts w:hint="eastAsia" w:ascii="宋体" w:hAnsi="宋体" w:eastAsia="宋体" w:cs="宋体"/>
                      <w:b/>
                      <w:bCs/>
                      <w:color w:val="000000"/>
                      <w:kern w:val="0"/>
                      <w:sz w:val="21"/>
                      <w:szCs w:val="21"/>
                      <w:lang w:val="en-US" w:eastAsia="zh-CN" w:bidi="ar"/>
                    </w:rPr>
                    <w:t>三十八、金属制品、机械和设备修理业 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1179" w:type="pct"/>
                  <w:noWrap w:val="0"/>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 xml:space="preserve">94 </w:t>
                  </w:r>
                  <w:r>
                    <w:rPr>
                      <w:rFonts w:hint="eastAsia" w:ascii="宋体" w:hAnsi="宋体" w:eastAsia="宋体" w:cs="宋体"/>
                      <w:color w:val="000000"/>
                      <w:kern w:val="0"/>
                      <w:sz w:val="21"/>
                      <w:szCs w:val="21"/>
                      <w:lang w:val="en-US" w:eastAsia="zh-CN" w:bidi="ar"/>
                    </w:rPr>
                    <w:t xml:space="preserve">其他机械和设备修理业 </w:t>
                  </w:r>
                  <w:r>
                    <w:rPr>
                      <w:rFonts w:hint="eastAsia" w:cs="Times New Roman"/>
                      <w:sz w:val="21"/>
                      <w:szCs w:val="21"/>
                      <w:lang w:val="en-US" w:eastAsia="zh-CN"/>
                    </w:rPr>
                    <w:t>439</w:t>
                  </w:r>
                </w:p>
              </w:tc>
              <w:tc>
                <w:tcPr>
                  <w:tcW w:w="1564" w:type="pct"/>
                  <w:noWrap w:val="0"/>
                  <w:vAlign w:val="center"/>
                </w:tcPr>
                <w:p>
                  <w:pPr>
                    <w:keepNext w:val="0"/>
                    <w:keepLines w:val="0"/>
                    <w:widowControl/>
                    <w:suppressLineNumbers w:val="0"/>
                    <w:jc w:val="center"/>
                    <w:rPr>
                      <w:rFonts w:hint="eastAsia" w:ascii="Times New Roman" w:hAnsi="Times New Roman" w:eastAsia="宋体" w:cs="Times New Roman"/>
                      <w:sz w:val="21"/>
                      <w:szCs w:val="21"/>
                      <w:lang w:val="en-US" w:eastAsia="zh-CN"/>
                    </w:rPr>
                  </w:pPr>
                  <w:r>
                    <w:rPr>
                      <w:rFonts w:hint="eastAsia" w:ascii="宋体" w:hAnsi="宋体" w:eastAsia="宋体" w:cs="宋体"/>
                      <w:color w:val="000000"/>
                      <w:kern w:val="0"/>
                      <w:sz w:val="21"/>
                      <w:szCs w:val="21"/>
                      <w:lang w:val="en-US" w:eastAsia="zh-CN" w:bidi="ar"/>
                    </w:rPr>
                    <w:t>涉及通用工序重点管理的</w:t>
                  </w:r>
                </w:p>
              </w:tc>
              <w:tc>
                <w:tcPr>
                  <w:tcW w:w="1481" w:type="pct"/>
                  <w:noWrap w:val="0"/>
                  <w:vAlign w:val="center"/>
                </w:tcPr>
                <w:p>
                  <w:pPr>
                    <w:keepNext w:val="0"/>
                    <w:keepLines w:val="0"/>
                    <w:widowControl/>
                    <w:suppressLineNumbers w:val="0"/>
                    <w:jc w:val="center"/>
                    <w:rPr>
                      <w:rFonts w:hint="eastAsia" w:ascii="Times New Roman" w:hAnsi="Times New Roman" w:eastAsia="宋体" w:cs="Times New Roman"/>
                      <w:sz w:val="21"/>
                      <w:szCs w:val="21"/>
                      <w:lang w:val="en-US" w:eastAsia="zh-CN"/>
                    </w:rPr>
                  </w:pPr>
                  <w:r>
                    <w:rPr>
                      <w:rFonts w:hint="eastAsia" w:ascii="宋体" w:hAnsi="宋体" w:eastAsia="宋体" w:cs="宋体"/>
                      <w:color w:val="000000"/>
                      <w:kern w:val="0"/>
                      <w:sz w:val="21"/>
                      <w:szCs w:val="21"/>
                      <w:lang w:val="en-US" w:eastAsia="zh-CN" w:bidi="ar"/>
                    </w:rPr>
                    <w:t>涉及通用工序简化管理的</w:t>
                  </w:r>
                </w:p>
              </w:tc>
              <w:tc>
                <w:tcPr>
                  <w:tcW w:w="774" w:type="pct"/>
                  <w:noWrap w:val="0"/>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5000" w:type="pct"/>
                  <w:gridSpan w:val="4"/>
                  <w:noWrap w:val="0"/>
                  <w:vAlign w:val="center"/>
                </w:tcPr>
                <w:p>
                  <w:pPr>
                    <w:keepNext w:val="0"/>
                    <w:keepLines w:val="0"/>
                    <w:widowControl/>
                    <w:suppressLineNumbers w:val="0"/>
                    <w:jc w:val="center"/>
                    <w:rPr>
                      <w:b/>
                      <w:bCs/>
                      <w:sz w:val="21"/>
                      <w:szCs w:val="21"/>
                    </w:rPr>
                  </w:pPr>
                  <w:r>
                    <w:rPr>
                      <w:rFonts w:hint="eastAsia" w:cs="Times New Roman"/>
                      <w:b/>
                      <w:bCs/>
                      <w:sz w:val="21"/>
                      <w:szCs w:val="21"/>
                      <w:lang w:val="en-US" w:eastAsia="zh-CN"/>
                    </w:rPr>
                    <w:t>五十一、</w:t>
                  </w:r>
                  <w:r>
                    <w:rPr>
                      <w:rFonts w:hint="eastAsia" w:ascii="宋体" w:hAnsi="宋体" w:eastAsia="宋体" w:cs="宋体"/>
                      <w:b/>
                      <w:bCs/>
                      <w:color w:val="000000"/>
                      <w:kern w:val="0"/>
                      <w:sz w:val="21"/>
                      <w:szCs w:val="21"/>
                      <w:lang w:val="en-US" w:eastAsia="zh-CN" w:bidi="ar"/>
                    </w:rPr>
                    <w:t>通用工序</w:t>
                  </w:r>
                </w:p>
                <w:p>
                  <w:pPr>
                    <w:jc w:val="both"/>
                    <w:rPr>
                      <w:rFonts w:hint="eastAsia" w:cs="Times New Roman"/>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1179" w:type="pct"/>
                  <w:noWrap w:val="0"/>
                  <w:vAlign w:val="center"/>
                </w:tcPr>
                <w:p>
                  <w:pPr>
                    <w:keepNext w:val="0"/>
                    <w:keepLines w:val="0"/>
                    <w:widowControl/>
                    <w:suppressLineNumbers w:val="0"/>
                    <w:jc w:val="center"/>
                    <w:rPr>
                      <w:sz w:val="21"/>
                      <w:szCs w:val="21"/>
                    </w:rPr>
                  </w:pPr>
                  <w:r>
                    <w:rPr>
                      <w:rFonts w:hint="eastAsia" w:cs="Times New Roman"/>
                      <w:sz w:val="21"/>
                      <w:szCs w:val="21"/>
                      <w:lang w:val="en-US" w:eastAsia="zh-CN"/>
                    </w:rPr>
                    <w:t>111</w:t>
                  </w:r>
                  <w:r>
                    <w:rPr>
                      <w:rFonts w:hint="eastAsia" w:ascii="宋体" w:hAnsi="宋体" w:eastAsia="宋体" w:cs="宋体"/>
                      <w:color w:val="000000"/>
                      <w:kern w:val="0"/>
                      <w:sz w:val="21"/>
                      <w:szCs w:val="21"/>
                      <w:lang w:val="en-US" w:eastAsia="zh-CN" w:bidi="ar"/>
                    </w:rPr>
                    <w:t>表面处理</w:t>
                  </w:r>
                </w:p>
                <w:p>
                  <w:pPr>
                    <w:jc w:val="center"/>
                    <w:rPr>
                      <w:rFonts w:hint="default" w:ascii="Times New Roman" w:hAnsi="Times New Roman" w:eastAsia="宋体" w:cs="Times New Roman"/>
                      <w:sz w:val="21"/>
                      <w:szCs w:val="21"/>
                      <w:lang w:val="en-US" w:eastAsia="zh-CN"/>
                    </w:rPr>
                  </w:pPr>
                </w:p>
              </w:tc>
              <w:tc>
                <w:tcPr>
                  <w:tcW w:w="1564" w:type="pct"/>
                  <w:noWrap w:val="0"/>
                  <w:vAlign w:val="center"/>
                </w:tcPr>
                <w:p>
                  <w:pPr>
                    <w:keepNext w:val="0"/>
                    <w:keepLines w:val="0"/>
                    <w:widowControl/>
                    <w:suppressLineNumbers w:val="0"/>
                    <w:jc w:val="center"/>
                    <w:rPr>
                      <w:sz w:val="21"/>
                      <w:szCs w:val="21"/>
                    </w:rPr>
                  </w:pPr>
                  <w:r>
                    <w:rPr>
                      <w:rFonts w:hint="eastAsia" w:ascii="宋体" w:hAnsi="宋体" w:eastAsia="宋体" w:cs="宋体"/>
                      <w:color w:val="000000"/>
                      <w:kern w:val="0"/>
                      <w:sz w:val="21"/>
                      <w:szCs w:val="21"/>
                      <w:lang w:val="en-US" w:eastAsia="zh-CN" w:bidi="ar"/>
                    </w:rPr>
                    <w:t>纳入重点排污单位名录的</w:t>
                  </w:r>
                </w:p>
                <w:p>
                  <w:pPr>
                    <w:jc w:val="center"/>
                    <w:rPr>
                      <w:rFonts w:hint="eastAsia" w:ascii="Times New Roman" w:hAnsi="Times New Roman" w:eastAsia="宋体" w:cs="Times New Roman"/>
                      <w:sz w:val="21"/>
                      <w:szCs w:val="21"/>
                      <w:lang w:val="en-US" w:eastAsia="zh-CN"/>
                    </w:rPr>
                  </w:pPr>
                </w:p>
              </w:tc>
              <w:tc>
                <w:tcPr>
                  <w:tcW w:w="1481" w:type="pct"/>
                  <w:noWrap w:val="0"/>
                  <w:vAlign w:val="center"/>
                </w:tcPr>
                <w:p>
                  <w:pPr>
                    <w:keepNext w:val="0"/>
                    <w:keepLines w:val="0"/>
                    <w:widowControl/>
                    <w:suppressLineNumbers w:val="0"/>
                    <w:jc w:val="center"/>
                    <w:rPr>
                      <w:sz w:val="21"/>
                      <w:szCs w:val="21"/>
                    </w:rPr>
                  </w:pPr>
                  <w:r>
                    <w:rPr>
                      <w:rFonts w:hint="eastAsia" w:ascii="宋体" w:hAnsi="宋体" w:eastAsia="宋体" w:cs="宋体"/>
                      <w:color w:val="000000"/>
                      <w:kern w:val="0"/>
                      <w:sz w:val="21"/>
                      <w:szCs w:val="21"/>
                      <w:lang w:val="en-US" w:eastAsia="zh-CN" w:bidi="ar"/>
                    </w:rPr>
                    <w:t>除纳入重点排污单位名录的，有电镀工序、酸洗、抛光（电解抛光和化学</w:t>
                  </w:r>
                </w:p>
                <w:p>
                  <w:pPr>
                    <w:keepNext w:val="0"/>
                    <w:keepLines w:val="0"/>
                    <w:widowControl/>
                    <w:suppressLineNumbers w:val="0"/>
                    <w:jc w:val="center"/>
                    <w:rPr>
                      <w:rFonts w:hint="eastAsia" w:ascii="Times New Roman" w:hAnsi="Times New Roman" w:eastAsia="宋体" w:cs="Times New Roman"/>
                      <w:sz w:val="21"/>
                      <w:szCs w:val="21"/>
                      <w:lang w:val="en-US" w:eastAsia="zh-CN"/>
                    </w:rPr>
                  </w:pPr>
                  <w:r>
                    <w:rPr>
                      <w:rFonts w:hint="eastAsia" w:ascii="宋体" w:hAnsi="宋体" w:eastAsia="宋体" w:cs="宋体"/>
                      <w:color w:val="000000"/>
                      <w:kern w:val="0"/>
                      <w:sz w:val="21"/>
                      <w:szCs w:val="21"/>
                      <w:lang w:val="en-US" w:eastAsia="zh-CN" w:bidi="ar"/>
                    </w:rPr>
                    <w:t>抛光）、热浸镀（溶剂法）、淬火或者钝化等工序的、年使用 10 吨及以上有机溶剂的</w:t>
                  </w:r>
                </w:p>
              </w:tc>
              <w:tc>
                <w:tcPr>
                  <w:tcW w:w="774" w:type="pct"/>
                  <w:noWrap w:val="0"/>
                  <w:vAlign w:val="center"/>
                </w:tcPr>
                <w:p>
                  <w:pPr>
                    <w:keepNext w:val="0"/>
                    <w:keepLines w:val="0"/>
                    <w:widowControl/>
                    <w:suppressLineNumbers w:val="0"/>
                    <w:jc w:val="center"/>
                    <w:rPr>
                      <w:sz w:val="21"/>
                      <w:szCs w:val="21"/>
                    </w:rPr>
                  </w:pPr>
                  <w:r>
                    <w:rPr>
                      <w:rFonts w:hint="eastAsia" w:ascii="宋体" w:hAnsi="宋体" w:eastAsia="宋体" w:cs="宋体"/>
                      <w:color w:val="000000"/>
                      <w:kern w:val="0"/>
                      <w:sz w:val="21"/>
                      <w:szCs w:val="21"/>
                      <w:lang w:val="en-US" w:eastAsia="zh-CN" w:bidi="ar"/>
                    </w:rPr>
                    <w:t>其他</w:t>
                  </w:r>
                </w:p>
                <w:p>
                  <w:pPr>
                    <w:jc w:val="center"/>
                    <w:rPr>
                      <w:rFonts w:hint="eastAsia" w:cs="Times New Roman"/>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5000" w:type="pct"/>
                  <w:gridSpan w:val="4"/>
                  <w:noWrap w:val="0"/>
                  <w:vAlign w:val="center"/>
                </w:tcPr>
                <w:p>
                  <w:pPr>
                    <w:keepNext w:val="0"/>
                    <w:keepLines w:val="0"/>
                    <w:widowControl/>
                    <w:suppressLineNumbers w:val="0"/>
                    <w:jc w:val="center"/>
                    <w:rPr>
                      <w:rFonts w:hint="eastAsia" w:ascii="Times New Roman" w:hAnsi="Times New Roman" w:eastAsia="宋体" w:cs="Times New Roman"/>
                      <w:sz w:val="21"/>
                      <w:szCs w:val="21"/>
                      <w:lang w:val="en-US" w:eastAsia="zh-CN"/>
                    </w:rPr>
                  </w:pPr>
                  <w:r>
                    <w:rPr>
                      <w:rFonts w:hint="eastAsia" w:ascii="宋体" w:hAnsi="宋体" w:eastAsia="宋体" w:cs="宋体"/>
                      <w:b/>
                      <w:bCs/>
                      <w:color w:val="000000"/>
                      <w:kern w:val="0"/>
                      <w:sz w:val="21"/>
                      <w:szCs w:val="21"/>
                      <w:lang w:val="en-US" w:eastAsia="zh-CN" w:bidi="ar"/>
                    </w:rPr>
                    <w:t>二十八、金属制品业 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1179" w:type="pct"/>
                  <w:noWrap w:val="0"/>
                  <w:vAlign w:val="center"/>
                </w:tcPr>
                <w:p>
                  <w:pPr>
                    <w:keepNext w:val="0"/>
                    <w:keepLines w:val="0"/>
                    <w:widowControl/>
                    <w:suppressLineNumbers w:val="0"/>
                    <w:jc w:val="center"/>
                    <w:rPr>
                      <w:rFonts w:hint="eastAsia" w:cs="Times New Roman"/>
                      <w:sz w:val="21"/>
                      <w:szCs w:val="21"/>
                      <w:lang w:val="en-US" w:eastAsia="zh-CN"/>
                    </w:rPr>
                  </w:pPr>
                  <w:r>
                    <w:rPr>
                      <w:rFonts w:hint="eastAsia" w:cs="Times New Roman"/>
                      <w:sz w:val="21"/>
                      <w:szCs w:val="21"/>
                      <w:lang w:val="en-US" w:eastAsia="zh-CN"/>
                    </w:rPr>
                    <w:t>81</w:t>
                  </w:r>
                  <w:r>
                    <w:rPr>
                      <w:rFonts w:hint="eastAsia" w:ascii="宋体" w:hAnsi="宋体" w:eastAsia="宋体" w:cs="宋体"/>
                      <w:color w:val="000000"/>
                      <w:kern w:val="0"/>
                      <w:sz w:val="21"/>
                      <w:szCs w:val="21"/>
                      <w:highlight w:val="none"/>
                      <w:lang w:val="en-US" w:eastAsia="zh-CN" w:bidi="ar"/>
                    </w:rPr>
                    <w:t xml:space="preserve"> </w:t>
                  </w:r>
                  <w:r>
                    <w:rPr>
                      <w:rFonts w:hint="eastAsia" w:ascii="宋体" w:hAnsi="宋体" w:cs="宋体"/>
                      <w:color w:val="000000"/>
                      <w:kern w:val="0"/>
                      <w:sz w:val="21"/>
                      <w:szCs w:val="21"/>
                      <w:highlight w:val="none"/>
                      <w:lang w:val="en-US" w:eastAsia="zh-CN" w:bidi="ar"/>
                    </w:rPr>
                    <w:t>金属表面处理及热处理加工</w:t>
                  </w:r>
                  <w:r>
                    <w:rPr>
                      <w:rFonts w:hint="eastAsia" w:ascii="宋体" w:hAnsi="宋体" w:eastAsia="宋体" w:cs="宋体"/>
                      <w:color w:val="000000"/>
                      <w:kern w:val="0"/>
                      <w:sz w:val="21"/>
                      <w:szCs w:val="21"/>
                      <w:highlight w:val="none"/>
                      <w:lang w:val="en-US" w:eastAsia="zh-CN" w:bidi="ar"/>
                    </w:rPr>
                    <w:t xml:space="preserve"> </w:t>
                  </w:r>
                  <w:r>
                    <w:rPr>
                      <w:rFonts w:hint="eastAsia" w:cs="Times New Roman"/>
                      <w:sz w:val="21"/>
                      <w:szCs w:val="21"/>
                      <w:lang w:val="en-US" w:eastAsia="zh-CN"/>
                    </w:rPr>
                    <w:t>336</w:t>
                  </w:r>
                </w:p>
                <w:p>
                  <w:pPr>
                    <w:jc w:val="center"/>
                    <w:rPr>
                      <w:rFonts w:hint="eastAsia" w:ascii="Times New Roman" w:hAnsi="Times New Roman" w:eastAsia="宋体" w:cs="Times New Roman"/>
                      <w:sz w:val="21"/>
                      <w:szCs w:val="21"/>
                      <w:highlight w:val="none"/>
                      <w:lang w:val="en-US" w:eastAsia="zh-CN"/>
                    </w:rPr>
                  </w:pPr>
                </w:p>
              </w:tc>
              <w:tc>
                <w:tcPr>
                  <w:tcW w:w="1564" w:type="pct"/>
                  <w:noWrap w:val="0"/>
                  <w:vAlign w:val="center"/>
                </w:tcPr>
                <w:p>
                  <w:pPr>
                    <w:keepNext w:val="0"/>
                    <w:keepLines w:val="0"/>
                    <w:widowControl/>
                    <w:suppressLineNumbers w:val="0"/>
                    <w:jc w:val="center"/>
                    <w:rPr>
                      <w:sz w:val="21"/>
                      <w:szCs w:val="21"/>
                      <w:highlight w:val="none"/>
                    </w:rPr>
                  </w:pPr>
                  <w:r>
                    <w:rPr>
                      <w:rFonts w:hint="eastAsia" w:ascii="宋体" w:hAnsi="宋体" w:eastAsia="宋体" w:cs="宋体"/>
                      <w:color w:val="000000"/>
                      <w:kern w:val="0"/>
                      <w:sz w:val="21"/>
                      <w:szCs w:val="21"/>
                      <w:highlight w:val="none"/>
                      <w:lang w:val="en-US" w:eastAsia="zh-CN" w:bidi="ar"/>
                    </w:rPr>
                    <w:t>纳入重点排污单位名录的，专业电镀企业（含电镀园区中电镀企业），专门处理电镀废水的集中处理设施，有</w:t>
                  </w:r>
                </w:p>
                <w:p>
                  <w:pPr>
                    <w:keepNext w:val="0"/>
                    <w:keepLines w:val="0"/>
                    <w:widowControl/>
                    <w:suppressLineNumbers w:val="0"/>
                    <w:jc w:val="center"/>
                    <w:rPr>
                      <w:rFonts w:hint="eastAsia" w:ascii="Times New Roman" w:hAnsi="Times New Roman" w:eastAsia="宋体" w:cs="Times New Roman"/>
                      <w:sz w:val="21"/>
                      <w:szCs w:val="21"/>
                      <w:highlight w:val="none"/>
                      <w:lang w:val="en-US" w:eastAsia="zh-CN"/>
                    </w:rPr>
                  </w:pPr>
                  <w:r>
                    <w:rPr>
                      <w:rFonts w:hint="eastAsia" w:ascii="宋体" w:hAnsi="宋体" w:eastAsia="宋体" w:cs="宋体"/>
                      <w:color w:val="000000"/>
                      <w:kern w:val="0"/>
                      <w:sz w:val="21"/>
                      <w:szCs w:val="21"/>
                      <w:highlight w:val="none"/>
                      <w:lang w:val="en-US" w:eastAsia="zh-CN" w:bidi="ar"/>
                    </w:rPr>
                    <w:t>电镀工序的，有含铬钝化工序的</w:t>
                  </w:r>
                </w:p>
              </w:tc>
              <w:tc>
                <w:tcPr>
                  <w:tcW w:w="1481" w:type="pct"/>
                  <w:noWrap w:val="0"/>
                  <w:vAlign w:val="center"/>
                </w:tcPr>
                <w:p>
                  <w:pPr>
                    <w:keepNext w:val="0"/>
                    <w:keepLines w:val="0"/>
                    <w:widowControl/>
                    <w:suppressLineNumbers w:val="0"/>
                    <w:jc w:val="center"/>
                    <w:rPr>
                      <w:rFonts w:hint="eastAsia" w:ascii="Times New Roman" w:hAnsi="Times New Roman" w:eastAsia="宋体" w:cs="Times New Roman"/>
                      <w:sz w:val="21"/>
                      <w:szCs w:val="21"/>
                      <w:lang w:val="en-US" w:eastAsia="zh-CN"/>
                    </w:rPr>
                  </w:pPr>
                  <w:r>
                    <w:rPr>
                      <w:rFonts w:hint="eastAsia" w:ascii="宋体" w:hAnsi="宋体" w:eastAsia="宋体" w:cs="宋体"/>
                      <w:color w:val="000000"/>
                      <w:kern w:val="0"/>
                      <w:sz w:val="21"/>
                      <w:szCs w:val="21"/>
                      <w:lang w:val="en-US" w:eastAsia="zh-CN" w:bidi="ar"/>
                    </w:rPr>
                    <w:t xml:space="preserve">除重点管理以外的有酸洗、抛光（电解抛光和化学抛光）、热浸镀（溶剂法）、淬火或者无铬钝化等工序的、年使用 </w:t>
                  </w:r>
                  <w:r>
                    <w:rPr>
                      <w:rFonts w:hint="eastAsia" w:cs="Times New Roman"/>
                      <w:sz w:val="21"/>
                      <w:szCs w:val="21"/>
                      <w:lang w:val="en-US" w:eastAsia="zh-CN"/>
                    </w:rPr>
                    <w:t>10</w:t>
                  </w:r>
                  <w:r>
                    <w:rPr>
                      <w:rFonts w:hint="eastAsia" w:ascii="宋体" w:hAnsi="宋体" w:eastAsia="宋体" w:cs="宋体"/>
                      <w:color w:val="000000"/>
                      <w:kern w:val="0"/>
                      <w:sz w:val="21"/>
                      <w:szCs w:val="21"/>
                      <w:lang w:val="en-US" w:eastAsia="zh-CN" w:bidi="ar"/>
                    </w:rPr>
                    <w:t xml:space="preserve"> 吨及以上有机溶剂的</w:t>
                  </w:r>
                </w:p>
              </w:tc>
              <w:tc>
                <w:tcPr>
                  <w:tcW w:w="774" w:type="pct"/>
                  <w:noWrap w:val="0"/>
                  <w:vAlign w:val="center"/>
                </w:tcPr>
                <w:p>
                  <w:pPr>
                    <w:keepNext w:val="0"/>
                    <w:keepLines w:val="0"/>
                    <w:widowControl/>
                    <w:suppressLineNumbers w:val="0"/>
                    <w:jc w:val="center"/>
                    <w:rPr>
                      <w:sz w:val="21"/>
                      <w:szCs w:val="21"/>
                    </w:rPr>
                  </w:pPr>
                  <w:r>
                    <w:rPr>
                      <w:rFonts w:hint="eastAsia" w:ascii="宋体" w:hAnsi="宋体" w:eastAsia="宋体" w:cs="宋体"/>
                      <w:color w:val="000000"/>
                      <w:kern w:val="0"/>
                      <w:sz w:val="21"/>
                      <w:szCs w:val="21"/>
                      <w:lang w:val="en-US" w:eastAsia="zh-CN" w:bidi="ar"/>
                    </w:rPr>
                    <w:t>其他</w:t>
                  </w:r>
                </w:p>
                <w:p>
                  <w:pPr>
                    <w:jc w:val="center"/>
                    <w:rPr>
                      <w:rFonts w:hint="eastAsia" w:ascii="Times New Roman" w:hAnsi="Times New Roman" w:eastAsia="宋体" w:cs="Times New Roman"/>
                      <w:sz w:val="21"/>
                      <w:szCs w:val="21"/>
                      <w:lang w:val="en-US" w:eastAsia="zh-CN"/>
                    </w:rPr>
                  </w:pPr>
                </w:p>
              </w:tc>
            </w:tr>
          </w:tbl>
          <w:p>
            <w:pPr>
              <w:adjustRightInd w:val="0"/>
              <w:snapToGrid w:val="0"/>
              <w:spacing w:line="360" w:lineRule="auto"/>
              <w:ind w:firstLine="48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根据上表可知，本项目排污许属于</w:t>
            </w:r>
            <w:r>
              <w:rPr>
                <w:rFonts w:hint="eastAsia" w:cs="Times New Roman"/>
                <w:color w:val="auto"/>
                <w:sz w:val="24"/>
                <w:highlight w:val="none"/>
                <w:lang w:val="en-US" w:eastAsia="zh-CN"/>
              </w:rPr>
              <w:t>简化</w:t>
            </w:r>
            <w:r>
              <w:rPr>
                <w:rFonts w:hint="eastAsia" w:ascii="Times New Roman" w:hAnsi="Times New Roman" w:eastAsia="宋体" w:cs="Times New Roman"/>
                <w:color w:val="auto"/>
                <w:sz w:val="24"/>
                <w:highlight w:val="none"/>
                <w:lang w:val="en-US" w:eastAsia="zh-CN"/>
              </w:rPr>
              <w:t>管理类别。</w:t>
            </w:r>
          </w:p>
          <w:p>
            <w:pPr>
              <w:spacing w:line="454" w:lineRule="exact"/>
              <w:ind w:firstLine="480" w:firstLineChars="200"/>
              <w:rPr>
                <w:rFonts w:hint="eastAsia"/>
                <w:sz w:val="24"/>
              </w:rPr>
            </w:pPr>
            <w:r>
              <w:rPr>
                <w:rFonts w:hint="eastAsia"/>
                <w:sz w:val="24"/>
              </w:rPr>
              <w:t>2、产品方案</w:t>
            </w:r>
          </w:p>
          <w:p>
            <w:pPr>
              <w:spacing w:line="454" w:lineRule="exact"/>
              <w:ind w:firstLine="480" w:firstLineChars="200"/>
              <w:rPr>
                <w:sz w:val="24"/>
              </w:rPr>
            </w:pPr>
            <w:r>
              <w:rPr>
                <w:sz w:val="24"/>
              </w:rPr>
              <w:t>项目产品方案见下表。</w:t>
            </w:r>
          </w:p>
          <w:p>
            <w:pPr>
              <w:pStyle w:val="98"/>
              <w:rPr>
                <w:rFonts w:hint="eastAsia" w:eastAsia="宋体"/>
                <w:b/>
                <w:szCs w:val="21"/>
                <w:lang w:val="en-US" w:eastAsia="zh-CN"/>
              </w:rPr>
            </w:pPr>
            <w:r>
              <w:rPr>
                <w:rFonts w:eastAsia="宋体"/>
                <w:b/>
                <w:szCs w:val="21"/>
                <w:lang w:val="en-US" w:eastAsia="zh-CN"/>
              </w:rPr>
              <w:t>表</w:t>
            </w:r>
            <w:r>
              <w:rPr>
                <w:rFonts w:hint="eastAsia" w:eastAsia="宋体"/>
                <w:b/>
                <w:szCs w:val="21"/>
                <w:lang w:val="en-US" w:eastAsia="zh-CN"/>
              </w:rPr>
              <w:t>2-3</w:t>
            </w:r>
            <w:r>
              <w:rPr>
                <w:rFonts w:eastAsia="宋体"/>
                <w:b/>
                <w:szCs w:val="21"/>
                <w:lang w:val="en-US" w:eastAsia="zh-CN"/>
              </w:rPr>
              <w:t xml:space="preserve"> 产品方案一览表</w:t>
            </w:r>
          </w:p>
          <w:tbl>
            <w:tblPr>
              <w:tblStyle w:val="2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27"/>
              <w:gridCol w:w="1490"/>
              <w:gridCol w:w="2253"/>
              <w:gridCol w:w="1800"/>
              <w:gridCol w:w="1314"/>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95" w:type="pct"/>
                  <w:noWrap w:val="0"/>
                  <w:tcMar>
                    <w:top w:w="10" w:type="dxa"/>
                    <w:left w:w="10" w:type="dxa"/>
                    <w:right w:w="10" w:type="dxa"/>
                  </w:tcMar>
                  <w:vAlign w:val="center"/>
                </w:tcPr>
                <w:p>
                  <w:pPr>
                    <w:jc w:val="center"/>
                    <w:rPr>
                      <w:szCs w:val="21"/>
                    </w:rPr>
                  </w:pPr>
                  <w:r>
                    <w:rPr>
                      <w:szCs w:val="21"/>
                    </w:rPr>
                    <w:t>序号</w:t>
                  </w:r>
                </w:p>
              </w:tc>
              <w:tc>
                <w:tcPr>
                  <w:tcW w:w="888" w:type="pct"/>
                  <w:noWrap w:val="0"/>
                  <w:tcMar>
                    <w:top w:w="10" w:type="dxa"/>
                    <w:left w:w="10" w:type="dxa"/>
                    <w:right w:w="10" w:type="dxa"/>
                  </w:tcMar>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GB" w:eastAsia="zh-CN"/>
                    </w:rPr>
                    <w:t>产品名称</w:t>
                  </w:r>
                </w:p>
              </w:tc>
              <w:tc>
                <w:tcPr>
                  <w:tcW w:w="1343" w:type="pct"/>
                  <w:noWrap w:val="0"/>
                  <w:tcMar>
                    <w:top w:w="10" w:type="dxa"/>
                    <w:left w:w="10" w:type="dxa"/>
                    <w:right w:w="10" w:type="dxa"/>
                  </w:tcMar>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规格型号</w:t>
                  </w:r>
                </w:p>
              </w:tc>
              <w:tc>
                <w:tcPr>
                  <w:tcW w:w="1073" w:type="pct"/>
                  <w:noWrap w:val="0"/>
                  <w:tcMar>
                    <w:top w:w="10" w:type="dxa"/>
                    <w:left w:w="10" w:type="dxa"/>
                    <w:right w:w="10" w:type="dxa"/>
                  </w:tcMar>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单位</w:t>
                  </w:r>
                </w:p>
              </w:tc>
              <w:tc>
                <w:tcPr>
                  <w:tcW w:w="783" w:type="pct"/>
                  <w:noWrap w:val="0"/>
                  <w:tcMar>
                    <w:top w:w="10" w:type="dxa"/>
                    <w:left w:w="10" w:type="dxa"/>
                    <w:right w:w="10" w:type="dxa"/>
                  </w:tcMar>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年产量</w:t>
                  </w:r>
                </w:p>
              </w:tc>
              <w:tc>
                <w:tcPr>
                  <w:tcW w:w="715" w:type="pct"/>
                  <w:noWrap w:val="0"/>
                  <w:tcMar>
                    <w:top w:w="10" w:type="dxa"/>
                    <w:left w:w="10" w:type="dxa"/>
                    <w:right w:w="10" w:type="dxa"/>
                  </w:tcMar>
                  <w:vAlign w:val="center"/>
                </w:tcPr>
                <w:p>
                  <w:pPr>
                    <w:jc w:val="center"/>
                    <w:rPr>
                      <w:rFonts w:hint="eastAsia" w:eastAsia="宋体"/>
                      <w:szCs w:val="21"/>
                      <w:lang w:val="en-US" w:eastAsia="zh-CN"/>
                    </w:rPr>
                  </w:pPr>
                  <w:r>
                    <w:rPr>
                      <w:rFonts w:hint="eastAsia"/>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195" w:type="pct"/>
                  <w:noWrap/>
                  <w:tcMar>
                    <w:top w:w="10" w:type="dxa"/>
                    <w:left w:w="10" w:type="dxa"/>
                    <w:right w:w="10" w:type="dxa"/>
                  </w:tcMar>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w:t>
                  </w:r>
                </w:p>
              </w:tc>
              <w:tc>
                <w:tcPr>
                  <w:tcW w:w="888" w:type="pct"/>
                  <w:noWrap/>
                  <w:tcMar>
                    <w:top w:w="10" w:type="dxa"/>
                    <w:left w:w="10" w:type="dxa"/>
                    <w:right w:w="10" w:type="dxa"/>
                  </w:tcMar>
                  <w:vAlign w:val="center"/>
                </w:tcPr>
                <w:p>
                  <w:pPr>
                    <w:jc w:val="center"/>
                    <w:rPr>
                      <w:rFonts w:hint="eastAsia" w:ascii="Times New Roman" w:hAnsi="Times New Roman" w:eastAsia="宋体" w:cs="Times New Roman"/>
                      <w:szCs w:val="21"/>
                      <w:lang w:val="en-GB" w:eastAsia="zh-CN"/>
                    </w:rPr>
                  </w:pPr>
                  <w:r>
                    <w:rPr>
                      <w:rFonts w:hint="eastAsia" w:cs="Times New Roman"/>
                      <w:szCs w:val="21"/>
                      <w:lang w:val="en-US" w:eastAsia="zh-CN"/>
                    </w:rPr>
                    <w:t>维修液压支架</w:t>
                  </w:r>
                </w:p>
              </w:tc>
              <w:tc>
                <w:tcPr>
                  <w:tcW w:w="1343" w:type="pct"/>
                  <w:tcBorders>
                    <w:bottom w:val="single" w:color="auto" w:sz="4" w:space="0"/>
                  </w:tcBorders>
                  <w:noWrap w:val="0"/>
                  <w:tcMar>
                    <w:top w:w="10" w:type="dxa"/>
                    <w:left w:w="10" w:type="dxa"/>
                    <w:right w:w="10" w:type="dxa"/>
                  </w:tcMar>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1073" w:type="pct"/>
                  <w:noWrap w:val="0"/>
                  <w:tcMar>
                    <w:top w:w="10" w:type="dxa"/>
                    <w:left w:w="10" w:type="dxa"/>
                    <w:right w:w="10" w:type="dxa"/>
                  </w:tcMar>
                  <w:vAlign w:val="center"/>
                </w:tcPr>
                <w:p>
                  <w:pPr>
                    <w:jc w:val="center"/>
                    <w:rPr>
                      <w:rFonts w:hint="eastAsia" w:ascii="Times New Roman" w:hAnsi="Times New Roman" w:eastAsia="宋体" w:cs="Times New Roman"/>
                      <w:szCs w:val="21"/>
                      <w:lang w:val="en-US" w:eastAsia="zh-CN"/>
                    </w:rPr>
                  </w:pPr>
                  <w:r>
                    <w:rPr>
                      <w:rFonts w:hint="eastAsia" w:cs="Times New Roman"/>
                      <w:szCs w:val="21"/>
                      <w:lang w:val="en-US" w:eastAsia="zh-CN"/>
                    </w:rPr>
                    <w:t>万平方分米</w:t>
                  </w:r>
                  <w:r>
                    <w:rPr>
                      <w:rFonts w:hint="eastAsia" w:ascii="Times New Roman" w:hAnsi="Times New Roman" w:eastAsia="宋体" w:cs="Times New Roman"/>
                      <w:szCs w:val="21"/>
                      <w:lang w:val="en-US" w:eastAsia="zh-CN"/>
                    </w:rPr>
                    <w:t>/a</w:t>
                  </w:r>
                </w:p>
              </w:tc>
              <w:tc>
                <w:tcPr>
                  <w:tcW w:w="783" w:type="pct"/>
                  <w:noWrap w:val="0"/>
                  <w:tcMar>
                    <w:top w:w="10" w:type="dxa"/>
                    <w:left w:w="10" w:type="dxa"/>
                    <w:right w:w="10" w:type="dxa"/>
                  </w:tcMar>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40</w:t>
                  </w:r>
                </w:p>
              </w:tc>
              <w:tc>
                <w:tcPr>
                  <w:tcW w:w="715" w:type="pct"/>
                  <w:noWrap w:val="0"/>
                  <w:tcMar>
                    <w:top w:w="10" w:type="dxa"/>
                    <w:left w:w="10" w:type="dxa"/>
                    <w:right w:w="10" w:type="dxa"/>
                  </w:tcMar>
                  <w:vAlign w:val="center"/>
                </w:tcPr>
                <w:p>
                  <w:pPr>
                    <w:jc w:val="center"/>
                    <w:rPr>
                      <w:rFonts w:hint="default" w:eastAsia="宋体"/>
                      <w:szCs w:val="21"/>
                      <w:lang w:val="en-US" w:eastAsia="zh-CN"/>
                    </w:rPr>
                  </w:pPr>
                  <w:r>
                    <w:rPr>
                      <w:rFonts w:hint="eastAsia"/>
                      <w:szCs w:val="21"/>
                      <w:lang w:val="en-US" w:eastAsia="zh-CN"/>
                    </w:rPr>
                    <w:t>/</w:t>
                  </w:r>
                </w:p>
              </w:tc>
            </w:tr>
          </w:tbl>
          <w:p>
            <w:pPr>
              <w:spacing w:line="454" w:lineRule="exact"/>
              <w:ind w:firstLine="480" w:firstLineChars="200"/>
              <w:rPr>
                <w:color w:val="auto"/>
                <w:sz w:val="24"/>
              </w:rPr>
            </w:pPr>
            <w:r>
              <w:rPr>
                <w:color w:val="auto"/>
                <w:sz w:val="24"/>
              </w:rPr>
              <w:t>3、主要设备</w:t>
            </w:r>
          </w:p>
          <w:p>
            <w:pPr>
              <w:adjustRightInd w:val="0"/>
              <w:snapToGrid w:val="0"/>
              <w:spacing w:line="450" w:lineRule="exact"/>
              <w:ind w:firstLine="480" w:firstLineChars="200"/>
              <w:rPr>
                <w:rFonts w:hint="eastAsia"/>
                <w:color w:val="auto"/>
                <w:sz w:val="24"/>
              </w:rPr>
            </w:pPr>
            <w:r>
              <w:rPr>
                <w:color w:val="auto"/>
                <w:sz w:val="24"/>
              </w:rPr>
              <w:t>主要设备见</w:t>
            </w:r>
            <w:r>
              <w:rPr>
                <w:rFonts w:hint="eastAsia"/>
                <w:color w:val="auto"/>
                <w:sz w:val="24"/>
              </w:rPr>
              <w:t>下表</w:t>
            </w:r>
            <w:r>
              <w:rPr>
                <w:color w:val="auto"/>
                <w:sz w:val="24"/>
              </w:rPr>
              <w:t>。</w:t>
            </w:r>
          </w:p>
          <w:p>
            <w:pPr>
              <w:pStyle w:val="98"/>
              <w:rPr>
                <w:rFonts w:eastAsia="宋体"/>
                <w:b/>
                <w:color w:val="auto"/>
                <w:szCs w:val="21"/>
                <w:lang w:val="en-US" w:eastAsia="zh-CN"/>
              </w:rPr>
            </w:pPr>
            <w:r>
              <w:rPr>
                <w:rFonts w:eastAsia="宋体"/>
                <w:b/>
                <w:color w:val="auto"/>
                <w:szCs w:val="21"/>
                <w:lang w:val="en-US" w:eastAsia="zh-CN"/>
              </w:rPr>
              <w:t>表</w:t>
            </w:r>
            <w:r>
              <w:rPr>
                <w:rFonts w:hint="eastAsia" w:eastAsia="宋体"/>
                <w:b/>
                <w:color w:val="auto"/>
                <w:szCs w:val="21"/>
                <w:lang w:val="en-US" w:eastAsia="zh-CN"/>
              </w:rPr>
              <w:t>2-4</w:t>
            </w:r>
            <w:r>
              <w:rPr>
                <w:rFonts w:eastAsia="宋体"/>
                <w:b/>
                <w:color w:val="auto"/>
                <w:szCs w:val="21"/>
                <w:lang w:val="en-US" w:eastAsia="zh-CN"/>
              </w:rPr>
              <w:t xml:space="preserve"> 主要设备一览表</w:t>
            </w:r>
          </w:p>
          <w:tbl>
            <w:tblPr>
              <w:tblStyle w:val="28"/>
              <w:tblW w:w="8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2030"/>
              <w:gridCol w:w="949"/>
              <w:gridCol w:w="910"/>
              <w:gridCol w:w="1484"/>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4" w:type="dxa"/>
                  <w:noWrap w:val="0"/>
                  <w:vAlign w:val="center"/>
                </w:tcPr>
                <w:p>
                  <w:pPr>
                    <w:jc w:val="center"/>
                    <w:textAlignment w:val="baseline"/>
                    <w:rPr>
                      <w:bCs/>
                      <w:color w:val="auto"/>
                      <w:szCs w:val="21"/>
                    </w:rPr>
                  </w:pPr>
                  <w:r>
                    <w:rPr>
                      <w:rFonts w:hint="eastAsia"/>
                      <w:bCs/>
                      <w:color w:val="auto"/>
                      <w:szCs w:val="21"/>
                    </w:rPr>
                    <w:t>序号</w:t>
                  </w:r>
                </w:p>
              </w:tc>
              <w:tc>
                <w:tcPr>
                  <w:tcW w:w="2030" w:type="dxa"/>
                  <w:noWrap w:val="0"/>
                  <w:vAlign w:val="center"/>
                </w:tcPr>
                <w:p>
                  <w:pPr>
                    <w:jc w:val="center"/>
                    <w:textAlignment w:val="baseline"/>
                    <w:rPr>
                      <w:bCs/>
                      <w:color w:val="auto"/>
                      <w:szCs w:val="21"/>
                    </w:rPr>
                  </w:pPr>
                  <w:r>
                    <w:rPr>
                      <w:rFonts w:hint="eastAsia"/>
                      <w:bCs/>
                      <w:color w:val="auto"/>
                      <w:szCs w:val="21"/>
                    </w:rPr>
                    <w:t>设备名称</w:t>
                  </w:r>
                </w:p>
              </w:tc>
              <w:tc>
                <w:tcPr>
                  <w:tcW w:w="949" w:type="dxa"/>
                  <w:noWrap w:val="0"/>
                  <w:vAlign w:val="center"/>
                </w:tcPr>
                <w:p>
                  <w:pPr>
                    <w:jc w:val="center"/>
                    <w:textAlignment w:val="baseline"/>
                    <w:rPr>
                      <w:rFonts w:hint="eastAsia" w:eastAsia="宋体"/>
                      <w:bCs/>
                      <w:color w:val="auto"/>
                      <w:szCs w:val="21"/>
                      <w:lang w:val="en-US" w:eastAsia="zh-CN"/>
                    </w:rPr>
                  </w:pPr>
                  <w:r>
                    <w:rPr>
                      <w:rFonts w:hint="eastAsia"/>
                      <w:bCs/>
                      <w:color w:val="auto"/>
                      <w:szCs w:val="21"/>
                      <w:lang w:val="en-US" w:eastAsia="zh-CN"/>
                    </w:rPr>
                    <w:t>单位</w:t>
                  </w:r>
                </w:p>
              </w:tc>
              <w:tc>
                <w:tcPr>
                  <w:tcW w:w="910" w:type="dxa"/>
                  <w:noWrap w:val="0"/>
                  <w:vAlign w:val="center"/>
                </w:tcPr>
                <w:p>
                  <w:pPr>
                    <w:jc w:val="center"/>
                    <w:textAlignment w:val="baseline"/>
                    <w:rPr>
                      <w:bCs/>
                      <w:color w:val="auto"/>
                      <w:szCs w:val="21"/>
                    </w:rPr>
                  </w:pPr>
                  <w:r>
                    <w:rPr>
                      <w:rFonts w:hint="eastAsia"/>
                      <w:bCs/>
                      <w:color w:val="auto"/>
                      <w:szCs w:val="21"/>
                    </w:rPr>
                    <w:t>数量</w:t>
                  </w:r>
                </w:p>
              </w:tc>
              <w:tc>
                <w:tcPr>
                  <w:tcW w:w="1484" w:type="dxa"/>
                  <w:noWrap w:val="0"/>
                  <w:vAlign w:val="center"/>
                </w:tcPr>
                <w:p>
                  <w:pPr>
                    <w:jc w:val="center"/>
                    <w:textAlignment w:val="baseline"/>
                    <w:rPr>
                      <w:bCs/>
                      <w:color w:val="auto"/>
                      <w:szCs w:val="21"/>
                    </w:rPr>
                  </w:pPr>
                  <w:r>
                    <w:rPr>
                      <w:rFonts w:hint="eastAsia"/>
                      <w:bCs/>
                      <w:color w:val="auto"/>
                      <w:szCs w:val="21"/>
                    </w:rPr>
                    <w:t>型号</w:t>
                  </w:r>
                </w:p>
              </w:tc>
              <w:tc>
                <w:tcPr>
                  <w:tcW w:w="2070" w:type="dxa"/>
                  <w:noWrap w:val="0"/>
                  <w:vAlign w:val="center"/>
                </w:tcPr>
                <w:p>
                  <w:pPr>
                    <w:jc w:val="center"/>
                    <w:textAlignment w:val="baseline"/>
                    <w:rPr>
                      <w:rFonts w:hint="eastAsia" w:eastAsia="宋体"/>
                      <w:bCs/>
                      <w:color w:val="auto"/>
                      <w:szCs w:val="21"/>
                      <w:lang w:val="en-US" w:eastAsia="zh-CN"/>
                    </w:rPr>
                  </w:pPr>
                  <w:r>
                    <w:rPr>
                      <w:rFonts w:hint="eastAsia"/>
                      <w:bCs/>
                      <w:color w:val="auto"/>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4" w:type="dxa"/>
                  <w:noWrap w:val="0"/>
                  <w:vAlign w:val="center"/>
                </w:tcPr>
                <w:p>
                  <w:pPr>
                    <w:jc w:val="center"/>
                    <w:textAlignment w:val="baseline"/>
                    <w:rPr>
                      <w:bCs/>
                      <w:color w:val="auto"/>
                      <w:szCs w:val="21"/>
                    </w:rPr>
                  </w:pPr>
                  <w:r>
                    <w:rPr>
                      <w:rFonts w:hint="eastAsia"/>
                      <w:bCs/>
                      <w:color w:val="auto"/>
                      <w:szCs w:val="21"/>
                    </w:rPr>
                    <w:t>1</w:t>
                  </w:r>
                </w:p>
              </w:tc>
              <w:tc>
                <w:tcPr>
                  <w:tcW w:w="2030" w:type="dxa"/>
                  <w:noWrap w:val="0"/>
                  <w:vAlign w:val="center"/>
                </w:tcPr>
                <w:p>
                  <w:pPr>
                    <w:pStyle w:val="84"/>
                    <w:spacing w:line="240" w:lineRule="auto"/>
                    <w:ind w:firstLine="420" w:firstLineChars="200"/>
                    <w:rPr>
                      <w:rFonts w:hint="default" w:ascii="Times New Roman" w:hAnsi="Times New Roman" w:eastAsia="宋体" w:cs="Times New Roman"/>
                      <w:bCs w:val="0"/>
                      <w:kern w:val="2"/>
                      <w:sz w:val="21"/>
                      <w:szCs w:val="21"/>
                      <w:lang w:val="en-US" w:eastAsia="zh-CN" w:bidi="ar-SA"/>
                    </w:rPr>
                  </w:pPr>
                  <w:r>
                    <w:rPr>
                      <w:rFonts w:hint="eastAsia" w:hAnsi="Times New Roman" w:cs="Times New Roman"/>
                      <w:bCs w:val="0"/>
                      <w:kern w:val="2"/>
                      <w:sz w:val="21"/>
                      <w:szCs w:val="21"/>
                      <w:lang w:val="en-US" w:eastAsia="zh-CN" w:bidi="ar-SA"/>
                    </w:rPr>
                    <w:t>碱液喷淋</w:t>
                  </w:r>
                  <w:r>
                    <w:rPr>
                      <w:rFonts w:hint="eastAsia" w:ascii="Times New Roman" w:hAnsi="Times New Roman" w:eastAsia="宋体" w:cs="Times New Roman"/>
                      <w:bCs w:val="0"/>
                      <w:kern w:val="2"/>
                      <w:sz w:val="21"/>
                      <w:szCs w:val="21"/>
                      <w:lang w:val="en-US" w:eastAsia="zh-CN" w:bidi="ar-SA"/>
                    </w:rPr>
                    <w:t>塔</w:t>
                  </w:r>
                </w:p>
              </w:tc>
              <w:tc>
                <w:tcPr>
                  <w:tcW w:w="949" w:type="dxa"/>
                  <w:noWrap w:val="0"/>
                  <w:vAlign w:val="center"/>
                </w:tcPr>
                <w:p>
                  <w:pPr>
                    <w:jc w:val="center"/>
                    <w:textAlignment w:val="baseline"/>
                    <w:rPr>
                      <w:rFonts w:hint="default"/>
                      <w:bCs/>
                      <w:color w:val="auto"/>
                      <w:szCs w:val="21"/>
                      <w:lang w:val="en-US" w:eastAsia="zh-CN"/>
                    </w:rPr>
                  </w:pPr>
                  <w:r>
                    <w:rPr>
                      <w:rFonts w:hint="eastAsia"/>
                      <w:bCs/>
                      <w:color w:val="auto"/>
                      <w:szCs w:val="21"/>
                      <w:lang w:val="en-US" w:eastAsia="zh-CN"/>
                    </w:rPr>
                    <w:t>台</w:t>
                  </w:r>
                </w:p>
              </w:tc>
              <w:tc>
                <w:tcPr>
                  <w:tcW w:w="910" w:type="dxa"/>
                  <w:noWrap w:val="0"/>
                  <w:vAlign w:val="center"/>
                </w:tcPr>
                <w:p>
                  <w:pPr>
                    <w:pStyle w:val="84"/>
                    <w:spacing w:line="240" w:lineRule="auto"/>
                    <w:ind w:left="0" w:leftChars="0" w:firstLine="0" w:firstLineChars="0"/>
                    <w:jc w:val="center"/>
                    <w:rPr>
                      <w:rFonts w:hint="eastAsia" w:ascii="Times New Roman" w:hAnsi="Times New Roman" w:eastAsia="宋体" w:cs="Times New Roman"/>
                      <w:bCs/>
                      <w:color w:val="auto"/>
                      <w:szCs w:val="21"/>
                      <w:lang w:val="en-US" w:eastAsia="zh-CN"/>
                    </w:rPr>
                  </w:pPr>
                  <w:r>
                    <w:rPr>
                      <w:rFonts w:hint="eastAsia"/>
                      <w:szCs w:val="21"/>
                      <w:lang w:val="en-US" w:eastAsia="zh-CN"/>
                    </w:rPr>
                    <w:t>1</w:t>
                  </w:r>
                </w:p>
              </w:tc>
              <w:tc>
                <w:tcPr>
                  <w:tcW w:w="1484" w:type="dxa"/>
                  <w:noWrap w:val="0"/>
                  <w:vAlign w:val="center"/>
                </w:tcPr>
                <w:p>
                  <w:pPr>
                    <w:jc w:val="center"/>
                    <w:textAlignment w:val="baseline"/>
                    <w:rPr>
                      <w:rFonts w:hint="default" w:ascii="Times New Roman" w:hAnsi="Times New Roman" w:eastAsia="宋体" w:cs="Times New Roman"/>
                      <w:bCs/>
                      <w:color w:val="auto"/>
                      <w:szCs w:val="21"/>
                      <w:lang w:val="en-US" w:eastAsia="zh-CN"/>
                    </w:rPr>
                  </w:pPr>
                  <w:r>
                    <w:rPr>
                      <w:rFonts w:hint="eastAsia"/>
                      <w:color w:val="auto"/>
                      <w:szCs w:val="21"/>
                      <w:lang w:val="en-US" w:eastAsia="zh-CN"/>
                    </w:rPr>
                    <w:t>/</w:t>
                  </w:r>
                </w:p>
              </w:tc>
              <w:tc>
                <w:tcPr>
                  <w:tcW w:w="2070" w:type="dxa"/>
                  <w:noWrap w:val="0"/>
                  <w:vAlign w:val="center"/>
                </w:tcPr>
                <w:p>
                  <w:pPr>
                    <w:pStyle w:val="84"/>
                    <w:spacing w:line="240" w:lineRule="auto"/>
                    <w:ind w:left="0" w:leftChars="0" w:firstLine="0" w:firstLineChars="0"/>
                    <w:jc w:val="center"/>
                    <w:rPr>
                      <w:rFonts w:hint="default" w:eastAsia="宋体"/>
                      <w:color w:val="auto"/>
                      <w:sz w:val="21"/>
                      <w:szCs w:val="21"/>
                      <w:lang w:val="en-US" w:eastAsia="zh-CN"/>
                    </w:rPr>
                  </w:pPr>
                  <w:r>
                    <w:rPr>
                      <w:rFonts w:hint="eastAsia"/>
                      <w:sz w:val="21"/>
                      <w:szCs w:val="21"/>
                      <w:lang w:eastAsia="zh-CN"/>
                    </w:rPr>
                    <w:t>吸收酸雾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4" w:type="dxa"/>
                  <w:noWrap w:val="0"/>
                  <w:vAlign w:val="center"/>
                </w:tcPr>
                <w:p>
                  <w:pPr>
                    <w:jc w:val="center"/>
                    <w:textAlignment w:val="baseline"/>
                    <w:rPr>
                      <w:bCs/>
                      <w:color w:val="auto"/>
                      <w:szCs w:val="21"/>
                    </w:rPr>
                  </w:pPr>
                  <w:r>
                    <w:rPr>
                      <w:rFonts w:hint="eastAsia"/>
                      <w:bCs/>
                      <w:color w:val="auto"/>
                      <w:szCs w:val="21"/>
                    </w:rPr>
                    <w:t>2</w:t>
                  </w:r>
                </w:p>
              </w:tc>
              <w:tc>
                <w:tcPr>
                  <w:tcW w:w="2030" w:type="dxa"/>
                  <w:noWrap w:val="0"/>
                  <w:vAlign w:val="center"/>
                </w:tcPr>
                <w:p>
                  <w:pPr>
                    <w:pStyle w:val="84"/>
                    <w:spacing w:line="240" w:lineRule="auto"/>
                    <w:ind w:firstLine="420" w:firstLineChars="200"/>
                    <w:rPr>
                      <w:rFonts w:hint="default" w:ascii="Times New Roman" w:hAnsi="Times New Roman" w:eastAsia="宋体" w:cs="Times New Roman"/>
                      <w:bCs w:val="0"/>
                      <w:kern w:val="2"/>
                      <w:sz w:val="21"/>
                      <w:szCs w:val="21"/>
                      <w:lang w:val="en-US" w:eastAsia="zh-CN" w:bidi="ar-SA"/>
                    </w:rPr>
                  </w:pPr>
                  <w:r>
                    <w:rPr>
                      <w:rFonts w:hint="eastAsia" w:hAnsi="Times New Roman" w:cs="Times New Roman"/>
                      <w:bCs w:val="0"/>
                      <w:kern w:val="2"/>
                      <w:sz w:val="21"/>
                      <w:szCs w:val="21"/>
                      <w:lang w:val="en-US" w:eastAsia="zh-CN" w:bidi="ar-SA"/>
                    </w:rPr>
                    <w:t>袋式除尘器</w:t>
                  </w:r>
                </w:p>
              </w:tc>
              <w:tc>
                <w:tcPr>
                  <w:tcW w:w="949" w:type="dxa"/>
                  <w:noWrap w:val="0"/>
                  <w:vAlign w:val="center"/>
                </w:tcPr>
                <w:p>
                  <w:pPr>
                    <w:jc w:val="center"/>
                    <w:textAlignment w:val="baseline"/>
                    <w:rPr>
                      <w:rFonts w:hint="default"/>
                      <w:bCs/>
                      <w:color w:val="auto"/>
                      <w:szCs w:val="21"/>
                      <w:lang w:val="en-US" w:eastAsia="zh-CN"/>
                    </w:rPr>
                  </w:pPr>
                  <w:r>
                    <w:rPr>
                      <w:rFonts w:hint="eastAsia"/>
                      <w:bCs/>
                      <w:color w:val="auto"/>
                      <w:szCs w:val="21"/>
                      <w:lang w:val="en-US" w:eastAsia="zh-CN"/>
                    </w:rPr>
                    <w:t>台</w:t>
                  </w:r>
                </w:p>
              </w:tc>
              <w:tc>
                <w:tcPr>
                  <w:tcW w:w="910" w:type="dxa"/>
                  <w:noWrap w:val="0"/>
                  <w:vAlign w:val="center"/>
                </w:tcPr>
                <w:p>
                  <w:pPr>
                    <w:pStyle w:val="84"/>
                    <w:spacing w:line="240" w:lineRule="auto"/>
                    <w:ind w:left="0" w:leftChars="0" w:firstLine="0" w:firstLineChars="0"/>
                    <w:jc w:val="center"/>
                    <w:rPr>
                      <w:rFonts w:hint="default" w:eastAsia="宋体"/>
                      <w:bCs w:val="0"/>
                      <w:color w:val="auto"/>
                      <w:szCs w:val="21"/>
                      <w:lang w:val="en-US" w:eastAsia="zh-CN"/>
                    </w:rPr>
                  </w:pPr>
                  <w:r>
                    <w:rPr>
                      <w:rFonts w:hint="eastAsia"/>
                      <w:szCs w:val="21"/>
                      <w:lang w:val="en-US" w:eastAsia="zh-CN"/>
                    </w:rPr>
                    <w:t>1</w:t>
                  </w:r>
                </w:p>
              </w:tc>
              <w:tc>
                <w:tcPr>
                  <w:tcW w:w="1484" w:type="dxa"/>
                  <w:noWrap w:val="0"/>
                  <w:vAlign w:val="center"/>
                </w:tcPr>
                <w:p>
                  <w:pPr>
                    <w:jc w:val="center"/>
                    <w:textAlignment w:val="baseline"/>
                    <w:rPr>
                      <w:rFonts w:hint="default" w:eastAsia="宋体"/>
                      <w:bCs/>
                      <w:color w:val="auto"/>
                      <w:szCs w:val="21"/>
                      <w:lang w:val="en-US" w:eastAsia="zh-CN"/>
                    </w:rPr>
                  </w:pPr>
                  <w:r>
                    <w:rPr>
                      <w:rFonts w:hint="eastAsia"/>
                      <w:color w:val="auto"/>
                      <w:szCs w:val="21"/>
                      <w:lang w:val="en-US" w:eastAsia="zh-CN"/>
                    </w:rPr>
                    <w:t>/</w:t>
                  </w:r>
                </w:p>
              </w:tc>
              <w:tc>
                <w:tcPr>
                  <w:tcW w:w="2070" w:type="dxa"/>
                  <w:noWrap w:val="0"/>
                  <w:vAlign w:val="center"/>
                </w:tcPr>
                <w:p>
                  <w:pPr>
                    <w:pStyle w:val="84"/>
                    <w:spacing w:line="240" w:lineRule="auto"/>
                    <w:ind w:left="0" w:leftChars="0" w:firstLine="0" w:firstLineChars="0"/>
                    <w:jc w:val="center"/>
                    <w:rPr>
                      <w:color w:val="auto"/>
                      <w:sz w:val="21"/>
                      <w:szCs w:val="21"/>
                    </w:rPr>
                  </w:pPr>
                  <w:r>
                    <w:rPr>
                      <w:rFonts w:hint="eastAsia"/>
                      <w:sz w:val="21"/>
                      <w:szCs w:val="21"/>
                      <w:lang w:eastAsia="zh-CN"/>
                    </w:rPr>
                    <w:t>处理粉尘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4" w:type="dxa"/>
                  <w:noWrap w:val="0"/>
                  <w:vAlign w:val="center"/>
                </w:tcPr>
                <w:p>
                  <w:pPr>
                    <w:jc w:val="center"/>
                    <w:textAlignment w:val="baseline"/>
                    <w:rPr>
                      <w:rFonts w:hint="eastAsia" w:eastAsia="宋体"/>
                      <w:bCs/>
                      <w:color w:val="auto"/>
                      <w:szCs w:val="21"/>
                      <w:lang w:val="en-US" w:eastAsia="zh-CN"/>
                    </w:rPr>
                  </w:pPr>
                  <w:r>
                    <w:rPr>
                      <w:rFonts w:hint="eastAsia"/>
                      <w:bCs/>
                      <w:color w:val="auto"/>
                      <w:szCs w:val="21"/>
                      <w:lang w:val="en-US" w:eastAsia="zh-CN"/>
                    </w:rPr>
                    <w:t>3</w:t>
                  </w:r>
                </w:p>
              </w:tc>
              <w:tc>
                <w:tcPr>
                  <w:tcW w:w="2030" w:type="dxa"/>
                  <w:noWrap w:val="0"/>
                  <w:vAlign w:val="center"/>
                </w:tcPr>
                <w:p>
                  <w:pPr>
                    <w:pStyle w:val="84"/>
                    <w:spacing w:line="240" w:lineRule="auto"/>
                    <w:ind w:firstLine="420" w:firstLineChars="200"/>
                    <w:rPr>
                      <w:rFonts w:hint="eastAsia" w:hAnsi="Times New Roman" w:cs="Times New Roman"/>
                      <w:bCs w:val="0"/>
                      <w:kern w:val="2"/>
                      <w:sz w:val="21"/>
                      <w:szCs w:val="21"/>
                      <w:lang w:val="en-US" w:eastAsia="zh-CN" w:bidi="ar-SA"/>
                    </w:rPr>
                  </w:pPr>
                  <w:r>
                    <w:rPr>
                      <w:rFonts w:hint="eastAsia" w:hAnsi="Times New Roman" w:cs="Times New Roman"/>
                      <w:bCs w:val="0"/>
                      <w:kern w:val="2"/>
                      <w:sz w:val="21"/>
                      <w:szCs w:val="21"/>
                      <w:lang w:val="en-US" w:eastAsia="zh-CN" w:bidi="ar-SA"/>
                    </w:rPr>
                    <w:t>磨光机</w:t>
                  </w:r>
                </w:p>
              </w:tc>
              <w:tc>
                <w:tcPr>
                  <w:tcW w:w="949" w:type="dxa"/>
                  <w:noWrap w:val="0"/>
                  <w:vAlign w:val="center"/>
                </w:tcPr>
                <w:p>
                  <w:pPr>
                    <w:jc w:val="center"/>
                    <w:textAlignment w:val="baseline"/>
                    <w:rPr>
                      <w:rFonts w:hint="eastAsia"/>
                      <w:bCs/>
                      <w:color w:val="auto"/>
                      <w:szCs w:val="21"/>
                      <w:lang w:val="en-US" w:eastAsia="zh-CN"/>
                    </w:rPr>
                  </w:pPr>
                  <w:r>
                    <w:rPr>
                      <w:rFonts w:hint="eastAsia"/>
                      <w:bCs/>
                      <w:color w:val="auto"/>
                      <w:szCs w:val="21"/>
                      <w:lang w:val="en-US" w:eastAsia="zh-CN"/>
                    </w:rPr>
                    <w:t>台</w:t>
                  </w:r>
                </w:p>
              </w:tc>
              <w:tc>
                <w:tcPr>
                  <w:tcW w:w="910" w:type="dxa"/>
                  <w:noWrap w:val="0"/>
                  <w:vAlign w:val="center"/>
                </w:tcPr>
                <w:p>
                  <w:pPr>
                    <w:pStyle w:val="84"/>
                    <w:spacing w:line="240" w:lineRule="auto"/>
                    <w:ind w:left="0" w:leftChars="0" w:firstLine="0" w:firstLineChars="0"/>
                    <w:jc w:val="center"/>
                    <w:rPr>
                      <w:rFonts w:hint="default"/>
                      <w:szCs w:val="21"/>
                      <w:lang w:val="en-US" w:eastAsia="zh-CN"/>
                    </w:rPr>
                  </w:pPr>
                  <w:r>
                    <w:rPr>
                      <w:rFonts w:hint="eastAsia"/>
                      <w:szCs w:val="21"/>
                      <w:lang w:val="en-US" w:eastAsia="zh-CN"/>
                    </w:rPr>
                    <w:t>5</w:t>
                  </w:r>
                </w:p>
              </w:tc>
              <w:tc>
                <w:tcPr>
                  <w:tcW w:w="1484" w:type="dxa"/>
                  <w:noWrap w:val="0"/>
                  <w:vAlign w:val="center"/>
                </w:tcPr>
                <w:p>
                  <w:pPr>
                    <w:jc w:val="center"/>
                    <w:textAlignment w:val="baseline"/>
                    <w:rPr>
                      <w:rFonts w:hint="eastAsia"/>
                      <w:color w:val="auto"/>
                      <w:szCs w:val="21"/>
                      <w:lang w:val="en-US" w:eastAsia="zh-CN"/>
                    </w:rPr>
                  </w:pPr>
                  <w:r>
                    <w:rPr>
                      <w:rFonts w:hint="eastAsia"/>
                      <w:color w:val="auto"/>
                      <w:szCs w:val="21"/>
                      <w:lang w:val="en-US" w:eastAsia="zh-CN"/>
                    </w:rPr>
                    <w:t>/</w:t>
                  </w:r>
                </w:p>
              </w:tc>
              <w:tc>
                <w:tcPr>
                  <w:tcW w:w="2070" w:type="dxa"/>
                  <w:noWrap w:val="0"/>
                  <w:vAlign w:val="center"/>
                </w:tcPr>
                <w:p>
                  <w:pPr>
                    <w:pStyle w:val="84"/>
                    <w:spacing w:line="240" w:lineRule="auto"/>
                    <w:ind w:left="0" w:leftChars="0" w:firstLine="0" w:firstLineChars="0"/>
                    <w:jc w:val="center"/>
                    <w:rPr>
                      <w:rFonts w:hint="eastAsia"/>
                      <w:sz w:val="21"/>
                      <w:szCs w:val="21"/>
                      <w:lang w:eastAsia="zh-CN"/>
                    </w:rPr>
                  </w:pPr>
                  <w:r>
                    <w:rPr>
                      <w:rFonts w:hint="eastAsia"/>
                      <w:sz w:val="21"/>
                      <w:szCs w:val="21"/>
                      <w:lang w:eastAsia="zh-CN"/>
                    </w:rPr>
                    <w:t>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4" w:type="dxa"/>
                  <w:noWrap w:val="0"/>
                  <w:vAlign w:val="center"/>
                </w:tcPr>
                <w:p>
                  <w:pPr>
                    <w:jc w:val="center"/>
                    <w:textAlignment w:val="baseline"/>
                    <w:rPr>
                      <w:rFonts w:hint="eastAsia" w:eastAsia="宋体"/>
                      <w:bCs/>
                      <w:color w:val="auto"/>
                      <w:szCs w:val="21"/>
                      <w:lang w:eastAsia="zh-CN"/>
                    </w:rPr>
                  </w:pPr>
                  <w:r>
                    <w:rPr>
                      <w:rFonts w:hint="eastAsia"/>
                      <w:bCs/>
                      <w:color w:val="auto"/>
                      <w:szCs w:val="21"/>
                      <w:lang w:val="en-US" w:eastAsia="zh-CN"/>
                    </w:rPr>
                    <w:t>4</w:t>
                  </w:r>
                </w:p>
              </w:tc>
              <w:tc>
                <w:tcPr>
                  <w:tcW w:w="2030" w:type="dxa"/>
                  <w:noWrap w:val="0"/>
                  <w:vAlign w:val="center"/>
                </w:tcPr>
                <w:p>
                  <w:pPr>
                    <w:pStyle w:val="84"/>
                    <w:spacing w:line="240" w:lineRule="auto"/>
                    <w:ind w:left="0" w:leftChars="0" w:firstLine="0" w:firstLineChars="0"/>
                    <w:jc w:val="center"/>
                    <w:rPr>
                      <w:rFonts w:hint="default" w:ascii="Times New Roman" w:hAnsi="Times New Roman" w:eastAsia="宋体" w:cs="Times New Roman"/>
                      <w:bCs w:val="0"/>
                      <w:kern w:val="2"/>
                      <w:sz w:val="21"/>
                      <w:szCs w:val="21"/>
                      <w:lang w:val="en-US" w:eastAsia="zh-CN" w:bidi="ar-SA"/>
                    </w:rPr>
                  </w:pPr>
                  <w:r>
                    <w:rPr>
                      <w:rFonts w:hint="eastAsia" w:ascii="Times New Roman" w:hAnsi="Times New Roman" w:eastAsia="宋体" w:cs="Times New Roman"/>
                      <w:bCs w:val="0"/>
                      <w:kern w:val="2"/>
                      <w:sz w:val="21"/>
                      <w:szCs w:val="21"/>
                      <w:lang w:val="en-US" w:eastAsia="zh-CN" w:bidi="ar-SA"/>
                    </w:rPr>
                    <w:t>内孔除锈</w:t>
                  </w:r>
                  <w:r>
                    <w:rPr>
                      <w:rFonts w:hint="eastAsia" w:hAnsi="Times New Roman" w:cs="Times New Roman"/>
                      <w:bCs w:val="0"/>
                      <w:kern w:val="2"/>
                      <w:sz w:val="21"/>
                      <w:szCs w:val="21"/>
                      <w:lang w:val="en-US" w:eastAsia="zh-CN" w:bidi="ar-SA"/>
                    </w:rPr>
                    <w:t>机</w:t>
                  </w:r>
                </w:p>
              </w:tc>
              <w:tc>
                <w:tcPr>
                  <w:tcW w:w="949" w:type="dxa"/>
                  <w:noWrap w:val="0"/>
                  <w:vAlign w:val="center"/>
                </w:tcPr>
                <w:p>
                  <w:pPr>
                    <w:jc w:val="center"/>
                    <w:textAlignment w:val="baseline"/>
                    <w:rPr>
                      <w:rFonts w:hint="eastAsia"/>
                      <w:bCs/>
                      <w:color w:val="auto"/>
                      <w:szCs w:val="21"/>
                      <w:lang w:val="en-US" w:eastAsia="zh-CN"/>
                    </w:rPr>
                  </w:pPr>
                  <w:r>
                    <w:rPr>
                      <w:rFonts w:hint="eastAsia"/>
                      <w:bCs/>
                      <w:color w:val="auto"/>
                      <w:szCs w:val="21"/>
                      <w:lang w:val="en-US" w:eastAsia="zh-CN"/>
                    </w:rPr>
                    <w:t>台</w:t>
                  </w:r>
                </w:p>
              </w:tc>
              <w:tc>
                <w:tcPr>
                  <w:tcW w:w="910" w:type="dxa"/>
                  <w:noWrap w:val="0"/>
                  <w:vAlign w:val="center"/>
                </w:tcPr>
                <w:p>
                  <w:pPr>
                    <w:pStyle w:val="84"/>
                    <w:spacing w:line="240" w:lineRule="auto"/>
                    <w:ind w:left="0" w:leftChars="0" w:firstLine="0" w:firstLineChars="0"/>
                    <w:jc w:val="center"/>
                    <w:rPr>
                      <w:rFonts w:hint="default" w:eastAsia="宋体"/>
                      <w:bCs w:val="0"/>
                      <w:color w:val="auto"/>
                      <w:szCs w:val="21"/>
                      <w:lang w:val="en-US" w:eastAsia="zh-CN"/>
                    </w:rPr>
                  </w:pPr>
                  <w:r>
                    <w:rPr>
                      <w:rFonts w:hint="eastAsia"/>
                      <w:szCs w:val="21"/>
                      <w:lang w:val="en-US" w:eastAsia="zh-CN"/>
                    </w:rPr>
                    <w:t>1</w:t>
                  </w:r>
                </w:p>
              </w:tc>
              <w:tc>
                <w:tcPr>
                  <w:tcW w:w="1484" w:type="dxa"/>
                  <w:noWrap w:val="0"/>
                  <w:vAlign w:val="center"/>
                </w:tcPr>
                <w:p>
                  <w:pPr>
                    <w:jc w:val="center"/>
                    <w:textAlignment w:val="baseline"/>
                    <w:rPr>
                      <w:rFonts w:hint="default" w:eastAsia="宋体"/>
                      <w:bCs/>
                      <w:color w:val="auto"/>
                      <w:szCs w:val="21"/>
                      <w:lang w:val="en-US" w:eastAsia="zh-CN"/>
                    </w:rPr>
                  </w:pPr>
                  <w:r>
                    <w:rPr>
                      <w:rFonts w:hint="eastAsia"/>
                      <w:color w:val="auto"/>
                      <w:szCs w:val="21"/>
                      <w:lang w:val="en-US" w:eastAsia="zh-CN"/>
                    </w:rPr>
                    <w:t>/</w:t>
                  </w:r>
                </w:p>
              </w:tc>
              <w:tc>
                <w:tcPr>
                  <w:tcW w:w="2070" w:type="dxa"/>
                  <w:noWrap w:val="0"/>
                  <w:vAlign w:val="center"/>
                </w:tcPr>
                <w:p>
                  <w:pPr>
                    <w:pStyle w:val="84"/>
                    <w:spacing w:line="240" w:lineRule="auto"/>
                    <w:ind w:left="0" w:leftChars="0" w:firstLine="0" w:firstLineChars="0"/>
                    <w:jc w:val="center"/>
                    <w:rPr>
                      <w:rFonts w:hint="default"/>
                      <w:color w:val="FF0000"/>
                      <w:sz w:val="21"/>
                      <w:szCs w:val="21"/>
                      <w:lang w:val="en-US"/>
                    </w:rPr>
                  </w:pPr>
                  <w:r>
                    <w:rPr>
                      <w:rFonts w:hint="eastAsia"/>
                      <w:sz w:val="21"/>
                      <w:szCs w:val="21"/>
                      <w:lang w:eastAsia="zh-CN"/>
                    </w:rPr>
                    <w:t>清理内孔铁锈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4" w:type="dxa"/>
                  <w:noWrap w:val="0"/>
                  <w:vAlign w:val="center"/>
                </w:tcPr>
                <w:p>
                  <w:pPr>
                    <w:jc w:val="center"/>
                    <w:textAlignment w:val="baseline"/>
                    <w:rPr>
                      <w:rFonts w:hint="eastAsia" w:eastAsia="宋体"/>
                      <w:bCs/>
                      <w:color w:val="auto"/>
                      <w:szCs w:val="21"/>
                      <w:lang w:val="en-US" w:eastAsia="zh-CN"/>
                    </w:rPr>
                  </w:pPr>
                  <w:r>
                    <w:rPr>
                      <w:rFonts w:hint="eastAsia"/>
                      <w:bCs/>
                      <w:color w:val="auto"/>
                      <w:szCs w:val="21"/>
                      <w:lang w:val="en-US" w:eastAsia="zh-CN"/>
                    </w:rPr>
                    <w:t>5</w:t>
                  </w:r>
                </w:p>
              </w:tc>
              <w:tc>
                <w:tcPr>
                  <w:tcW w:w="2030" w:type="dxa"/>
                  <w:noWrap w:val="0"/>
                  <w:vAlign w:val="center"/>
                </w:tcPr>
                <w:p>
                  <w:pPr>
                    <w:pStyle w:val="84"/>
                    <w:spacing w:line="240" w:lineRule="auto"/>
                    <w:ind w:left="0" w:leftChars="0" w:firstLine="0" w:firstLineChars="0"/>
                    <w:jc w:val="center"/>
                    <w:rPr>
                      <w:rFonts w:hint="eastAsia" w:ascii="Times New Roman" w:hAnsi="Times New Roman" w:eastAsia="宋体" w:cs="Times New Roman"/>
                      <w:bCs w:val="0"/>
                      <w:kern w:val="2"/>
                      <w:sz w:val="21"/>
                      <w:szCs w:val="21"/>
                      <w:lang w:val="en-US" w:eastAsia="zh-CN" w:bidi="ar-SA"/>
                    </w:rPr>
                  </w:pPr>
                  <w:r>
                    <w:rPr>
                      <w:rFonts w:hint="eastAsia" w:hAnsi="Times New Roman" w:cs="Times New Roman"/>
                      <w:bCs w:val="0"/>
                      <w:kern w:val="2"/>
                      <w:sz w:val="21"/>
                      <w:szCs w:val="21"/>
                      <w:lang w:val="en-US" w:eastAsia="zh-CN" w:bidi="ar-SA"/>
                    </w:rPr>
                    <w:t>推铁环设备</w:t>
                  </w:r>
                </w:p>
              </w:tc>
              <w:tc>
                <w:tcPr>
                  <w:tcW w:w="949" w:type="dxa"/>
                  <w:noWrap w:val="0"/>
                  <w:vAlign w:val="center"/>
                </w:tcPr>
                <w:p>
                  <w:pPr>
                    <w:jc w:val="center"/>
                    <w:textAlignment w:val="baseline"/>
                    <w:rPr>
                      <w:rFonts w:hint="eastAsia"/>
                      <w:bCs/>
                      <w:color w:val="auto"/>
                      <w:szCs w:val="21"/>
                      <w:lang w:val="en-US" w:eastAsia="zh-CN"/>
                    </w:rPr>
                  </w:pPr>
                  <w:r>
                    <w:rPr>
                      <w:rFonts w:hint="eastAsia"/>
                      <w:bCs/>
                      <w:color w:val="auto"/>
                      <w:szCs w:val="21"/>
                      <w:lang w:val="en-US" w:eastAsia="zh-CN"/>
                    </w:rPr>
                    <w:t>台</w:t>
                  </w:r>
                </w:p>
              </w:tc>
              <w:tc>
                <w:tcPr>
                  <w:tcW w:w="910" w:type="dxa"/>
                  <w:noWrap w:val="0"/>
                  <w:vAlign w:val="center"/>
                </w:tcPr>
                <w:p>
                  <w:pPr>
                    <w:pStyle w:val="84"/>
                    <w:spacing w:line="240" w:lineRule="auto"/>
                    <w:ind w:left="0" w:leftChars="0" w:firstLine="0" w:firstLineChars="0"/>
                    <w:jc w:val="center"/>
                    <w:rPr>
                      <w:rFonts w:hint="eastAsia"/>
                      <w:szCs w:val="21"/>
                      <w:lang w:val="en-US" w:eastAsia="zh-CN"/>
                    </w:rPr>
                  </w:pPr>
                  <w:r>
                    <w:rPr>
                      <w:rFonts w:hint="eastAsia"/>
                      <w:szCs w:val="21"/>
                      <w:lang w:val="en-US" w:eastAsia="zh-CN"/>
                    </w:rPr>
                    <w:t>1</w:t>
                  </w:r>
                </w:p>
              </w:tc>
              <w:tc>
                <w:tcPr>
                  <w:tcW w:w="1484" w:type="dxa"/>
                  <w:noWrap w:val="0"/>
                  <w:vAlign w:val="center"/>
                </w:tcPr>
                <w:p>
                  <w:pPr>
                    <w:jc w:val="center"/>
                    <w:textAlignment w:val="baseline"/>
                    <w:rPr>
                      <w:rFonts w:hint="eastAsia"/>
                      <w:color w:val="auto"/>
                      <w:szCs w:val="21"/>
                      <w:lang w:val="en-US" w:eastAsia="zh-CN"/>
                    </w:rPr>
                  </w:pPr>
                  <w:r>
                    <w:rPr>
                      <w:rFonts w:hint="eastAsia"/>
                      <w:color w:val="auto"/>
                      <w:szCs w:val="21"/>
                      <w:lang w:val="en-US" w:eastAsia="zh-CN"/>
                    </w:rPr>
                    <w:t>/</w:t>
                  </w:r>
                </w:p>
              </w:tc>
              <w:tc>
                <w:tcPr>
                  <w:tcW w:w="2070" w:type="dxa"/>
                  <w:noWrap w:val="0"/>
                  <w:vAlign w:val="center"/>
                </w:tcPr>
                <w:p>
                  <w:pPr>
                    <w:pStyle w:val="84"/>
                    <w:spacing w:line="240" w:lineRule="auto"/>
                    <w:ind w:left="0" w:leftChars="0" w:firstLine="0" w:firstLineChars="0"/>
                    <w:jc w:val="center"/>
                    <w:rPr>
                      <w:rFonts w:hint="eastAsia"/>
                      <w:sz w:val="21"/>
                      <w:szCs w:val="21"/>
                      <w:lang w:eastAsia="zh-CN"/>
                    </w:rPr>
                  </w:pPr>
                  <w:r>
                    <w:rPr>
                      <w:rFonts w:hint="eastAsia"/>
                      <w:sz w:val="21"/>
                      <w:szCs w:val="21"/>
                      <w:lang w:eastAsia="zh-CN"/>
                    </w:rPr>
                    <w:t>处理产品上的铁环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4" w:type="dxa"/>
                  <w:noWrap w:val="0"/>
                  <w:vAlign w:val="center"/>
                </w:tcPr>
                <w:p>
                  <w:pPr>
                    <w:jc w:val="center"/>
                    <w:textAlignment w:val="baseline"/>
                    <w:rPr>
                      <w:rFonts w:hint="default"/>
                      <w:bCs/>
                      <w:color w:val="auto"/>
                      <w:szCs w:val="21"/>
                      <w:lang w:val="en-US" w:eastAsia="zh-CN"/>
                    </w:rPr>
                  </w:pPr>
                  <w:r>
                    <w:rPr>
                      <w:rFonts w:hint="eastAsia"/>
                      <w:bCs/>
                      <w:color w:val="auto"/>
                      <w:szCs w:val="21"/>
                      <w:lang w:val="en-US" w:eastAsia="zh-CN"/>
                    </w:rPr>
                    <w:t>6</w:t>
                  </w:r>
                </w:p>
              </w:tc>
              <w:tc>
                <w:tcPr>
                  <w:tcW w:w="2030" w:type="dxa"/>
                  <w:noWrap w:val="0"/>
                  <w:vAlign w:val="center"/>
                </w:tcPr>
                <w:p>
                  <w:pPr>
                    <w:pStyle w:val="84"/>
                    <w:spacing w:line="240" w:lineRule="auto"/>
                    <w:ind w:left="0" w:leftChars="0" w:firstLine="0" w:firstLineChars="0"/>
                    <w:jc w:val="center"/>
                    <w:rPr>
                      <w:rFonts w:hint="eastAsia" w:hAnsi="Times New Roman" w:cs="Times New Roman"/>
                      <w:bCs w:val="0"/>
                      <w:kern w:val="2"/>
                      <w:sz w:val="21"/>
                      <w:szCs w:val="21"/>
                      <w:lang w:val="en-US" w:eastAsia="zh-CN" w:bidi="ar-SA"/>
                    </w:rPr>
                  </w:pPr>
                  <w:r>
                    <w:rPr>
                      <w:rFonts w:hint="eastAsia" w:hAnsi="Times New Roman" w:cs="Times New Roman"/>
                      <w:bCs w:val="0"/>
                      <w:kern w:val="2"/>
                      <w:sz w:val="21"/>
                      <w:szCs w:val="21"/>
                      <w:lang w:val="en-US" w:eastAsia="zh-CN" w:bidi="ar-SA"/>
                    </w:rPr>
                    <w:t>车床改造磨床</w:t>
                  </w:r>
                </w:p>
              </w:tc>
              <w:tc>
                <w:tcPr>
                  <w:tcW w:w="949" w:type="dxa"/>
                  <w:noWrap w:val="0"/>
                  <w:vAlign w:val="center"/>
                </w:tcPr>
                <w:p>
                  <w:pPr>
                    <w:jc w:val="center"/>
                    <w:textAlignment w:val="baseline"/>
                    <w:rPr>
                      <w:rFonts w:hint="eastAsia"/>
                      <w:bCs/>
                      <w:color w:val="auto"/>
                      <w:szCs w:val="21"/>
                      <w:lang w:val="en-US" w:eastAsia="zh-CN"/>
                    </w:rPr>
                  </w:pPr>
                  <w:r>
                    <w:rPr>
                      <w:rFonts w:hint="eastAsia"/>
                      <w:bCs/>
                      <w:color w:val="auto"/>
                      <w:szCs w:val="21"/>
                      <w:lang w:val="en-US" w:eastAsia="zh-CN"/>
                    </w:rPr>
                    <w:t>台</w:t>
                  </w:r>
                </w:p>
              </w:tc>
              <w:tc>
                <w:tcPr>
                  <w:tcW w:w="910" w:type="dxa"/>
                  <w:noWrap w:val="0"/>
                  <w:vAlign w:val="center"/>
                </w:tcPr>
                <w:p>
                  <w:pPr>
                    <w:pStyle w:val="84"/>
                    <w:spacing w:line="240" w:lineRule="auto"/>
                    <w:ind w:left="0" w:leftChars="0" w:firstLine="0" w:firstLineChars="0"/>
                    <w:jc w:val="center"/>
                    <w:rPr>
                      <w:rFonts w:hint="default"/>
                      <w:szCs w:val="21"/>
                      <w:lang w:val="en-US" w:eastAsia="zh-CN"/>
                    </w:rPr>
                  </w:pPr>
                  <w:r>
                    <w:rPr>
                      <w:rFonts w:hint="eastAsia"/>
                      <w:szCs w:val="21"/>
                      <w:lang w:val="en-US" w:eastAsia="zh-CN"/>
                    </w:rPr>
                    <w:t>5</w:t>
                  </w:r>
                </w:p>
              </w:tc>
              <w:tc>
                <w:tcPr>
                  <w:tcW w:w="1484" w:type="dxa"/>
                  <w:noWrap w:val="0"/>
                  <w:vAlign w:val="center"/>
                </w:tcPr>
                <w:p>
                  <w:pPr>
                    <w:jc w:val="center"/>
                    <w:textAlignment w:val="baseline"/>
                    <w:rPr>
                      <w:rFonts w:hint="eastAsia"/>
                      <w:color w:val="auto"/>
                      <w:szCs w:val="21"/>
                      <w:lang w:val="en-US" w:eastAsia="zh-CN"/>
                    </w:rPr>
                  </w:pPr>
                  <w:r>
                    <w:rPr>
                      <w:rFonts w:hint="eastAsia"/>
                      <w:color w:val="auto"/>
                      <w:szCs w:val="21"/>
                      <w:lang w:val="en-US" w:eastAsia="zh-CN"/>
                    </w:rPr>
                    <w:t>/</w:t>
                  </w:r>
                </w:p>
              </w:tc>
              <w:tc>
                <w:tcPr>
                  <w:tcW w:w="2070" w:type="dxa"/>
                  <w:noWrap w:val="0"/>
                  <w:vAlign w:val="center"/>
                </w:tcPr>
                <w:p>
                  <w:pPr>
                    <w:pStyle w:val="84"/>
                    <w:spacing w:line="240" w:lineRule="auto"/>
                    <w:ind w:left="0" w:leftChars="0" w:firstLine="0" w:firstLineChars="0"/>
                    <w:jc w:val="center"/>
                    <w:rPr>
                      <w:rFonts w:hint="eastAsia"/>
                      <w:sz w:val="21"/>
                      <w:szCs w:val="21"/>
                      <w:lang w:eastAsia="zh-CN"/>
                    </w:rPr>
                  </w:pPr>
                  <w:r>
                    <w:rPr>
                      <w:rFonts w:hint="eastAsia"/>
                      <w:sz w:val="21"/>
                      <w:szCs w:val="21"/>
                      <w:lang w:eastAsia="zh-CN"/>
                    </w:rPr>
                    <w:t>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4" w:type="dxa"/>
                  <w:noWrap w:val="0"/>
                  <w:vAlign w:val="center"/>
                </w:tcPr>
                <w:p>
                  <w:pPr>
                    <w:jc w:val="center"/>
                    <w:textAlignment w:val="baseline"/>
                    <w:rPr>
                      <w:rFonts w:hint="default"/>
                      <w:bCs/>
                      <w:color w:val="auto"/>
                      <w:szCs w:val="21"/>
                      <w:lang w:val="en-US" w:eastAsia="zh-CN"/>
                    </w:rPr>
                  </w:pPr>
                  <w:r>
                    <w:rPr>
                      <w:rFonts w:hint="eastAsia"/>
                      <w:bCs/>
                      <w:color w:val="auto"/>
                      <w:szCs w:val="21"/>
                      <w:lang w:val="en-US" w:eastAsia="zh-CN"/>
                    </w:rPr>
                    <w:t>7</w:t>
                  </w:r>
                </w:p>
              </w:tc>
              <w:tc>
                <w:tcPr>
                  <w:tcW w:w="2030" w:type="dxa"/>
                  <w:noWrap w:val="0"/>
                  <w:vAlign w:val="center"/>
                </w:tcPr>
                <w:p>
                  <w:pPr>
                    <w:pStyle w:val="84"/>
                    <w:spacing w:line="240" w:lineRule="auto"/>
                    <w:ind w:left="0" w:leftChars="0" w:firstLine="0" w:firstLineChars="0"/>
                    <w:jc w:val="center"/>
                    <w:rPr>
                      <w:rFonts w:hint="eastAsia" w:hAnsi="Times New Roman" w:cs="Times New Roman"/>
                      <w:bCs w:val="0"/>
                      <w:kern w:val="2"/>
                      <w:sz w:val="21"/>
                      <w:szCs w:val="21"/>
                      <w:lang w:val="en-US" w:eastAsia="zh-CN" w:bidi="ar-SA"/>
                    </w:rPr>
                  </w:pPr>
                  <w:r>
                    <w:rPr>
                      <w:rFonts w:hint="eastAsia" w:hAnsi="Times New Roman" w:cs="Times New Roman"/>
                      <w:bCs w:val="0"/>
                      <w:kern w:val="2"/>
                      <w:sz w:val="21"/>
                      <w:szCs w:val="21"/>
                      <w:lang w:val="en-US" w:eastAsia="zh-CN" w:bidi="ar-SA"/>
                    </w:rPr>
                    <w:t>酸洗槽</w:t>
                  </w:r>
                </w:p>
              </w:tc>
              <w:tc>
                <w:tcPr>
                  <w:tcW w:w="949" w:type="dxa"/>
                  <w:noWrap w:val="0"/>
                  <w:vAlign w:val="center"/>
                </w:tcPr>
                <w:p>
                  <w:pPr>
                    <w:jc w:val="center"/>
                    <w:textAlignment w:val="baseline"/>
                    <w:rPr>
                      <w:rFonts w:hint="eastAsia"/>
                      <w:bCs/>
                      <w:color w:val="auto"/>
                      <w:szCs w:val="21"/>
                      <w:lang w:val="en-US" w:eastAsia="zh-CN"/>
                    </w:rPr>
                  </w:pPr>
                  <w:r>
                    <w:rPr>
                      <w:rFonts w:hint="eastAsia"/>
                      <w:bCs/>
                      <w:color w:val="auto"/>
                      <w:szCs w:val="21"/>
                      <w:lang w:val="en-US" w:eastAsia="zh-CN"/>
                    </w:rPr>
                    <w:t>套</w:t>
                  </w:r>
                </w:p>
              </w:tc>
              <w:tc>
                <w:tcPr>
                  <w:tcW w:w="910" w:type="dxa"/>
                  <w:noWrap w:val="0"/>
                  <w:vAlign w:val="center"/>
                </w:tcPr>
                <w:p>
                  <w:pPr>
                    <w:pStyle w:val="84"/>
                    <w:spacing w:line="240" w:lineRule="auto"/>
                    <w:ind w:left="0" w:leftChars="0" w:firstLine="0" w:firstLineChars="0"/>
                    <w:jc w:val="center"/>
                    <w:rPr>
                      <w:rFonts w:hint="default"/>
                      <w:szCs w:val="21"/>
                      <w:lang w:val="en-US" w:eastAsia="zh-CN"/>
                    </w:rPr>
                  </w:pPr>
                  <w:r>
                    <w:rPr>
                      <w:rFonts w:hint="eastAsia"/>
                      <w:szCs w:val="21"/>
                      <w:lang w:val="en-US" w:eastAsia="zh-CN"/>
                    </w:rPr>
                    <w:t>1</w:t>
                  </w:r>
                </w:p>
              </w:tc>
              <w:tc>
                <w:tcPr>
                  <w:tcW w:w="1484" w:type="dxa"/>
                  <w:noWrap w:val="0"/>
                  <w:vAlign w:val="center"/>
                </w:tcPr>
                <w:p>
                  <w:pPr>
                    <w:jc w:val="center"/>
                    <w:textAlignment w:val="baseline"/>
                    <w:rPr>
                      <w:rFonts w:hint="eastAsia"/>
                      <w:color w:val="auto"/>
                      <w:szCs w:val="21"/>
                      <w:lang w:val="en-US" w:eastAsia="zh-CN"/>
                    </w:rPr>
                  </w:pPr>
                  <w:r>
                    <w:rPr>
                      <w:rFonts w:hint="eastAsia"/>
                      <w:color w:val="auto"/>
                      <w:szCs w:val="21"/>
                      <w:lang w:val="en-US" w:eastAsia="zh-CN"/>
                    </w:rPr>
                    <w:t>/</w:t>
                  </w:r>
                </w:p>
              </w:tc>
              <w:tc>
                <w:tcPr>
                  <w:tcW w:w="2070" w:type="dxa"/>
                  <w:noWrap w:val="0"/>
                  <w:vAlign w:val="center"/>
                </w:tcPr>
                <w:p>
                  <w:pPr>
                    <w:pStyle w:val="84"/>
                    <w:spacing w:line="240" w:lineRule="auto"/>
                    <w:ind w:left="0" w:leftChars="0" w:firstLine="0" w:firstLineChars="0"/>
                    <w:jc w:val="center"/>
                    <w:rPr>
                      <w:rFonts w:hint="eastAsia"/>
                      <w:sz w:val="21"/>
                      <w:szCs w:val="21"/>
                      <w:lang w:eastAsia="zh-CN"/>
                    </w:rPr>
                  </w:pPr>
                  <w:r>
                    <w:rPr>
                      <w:rFonts w:hint="eastAsia"/>
                      <w:sz w:val="21"/>
                      <w:szCs w:val="21"/>
                      <w:lang w:eastAsia="zh-CN"/>
                    </w:rPr>
                    <w:t>酸洗</w:t>
                  </w:r>
                </w:p>
              </w:tc>
            </w:tr>
          </w:tbl>
          <w:p>
            <w:pPr>
              <w:pStyle w:val="7"/>
              <w:snapToGrid/>
              <w:spacing w:before="0" w:after="0" w:line="360" w:lineRule="auto"/>
              <w:ind w:firstLine="480"/>
              <w:rPr>
                <w:kern w:val="2"/>
                <w:sz w:val="24"/>
                <w:szCs w:val="24"/>
                <w:lang w:val="en-US" w:eastAsia="zh-CN"/>
              </w:rPr>
            </w:pPr>
            <w:r>
              <w:rPr>
                <w:rFonts w:hint="eastAsia"/>
                <w:kern w:val="2"/>
                <w:sz w:val="24"/>
                <w:szCs w:val="24"/>
                <w:lang w:val="en-US" w:eastAsia="zh-CN"/>
              </w:rPr>
              <w:t>4、</w:t>
            </w:r>
            <w:r>
              <w:rPr>
                <w:kern w:val="2"/>
                <w:sz w:val="24"/>
                <w:szCs w:val="24"/>
                <w:lang w:val="en-US" w:eastAsia="zh-CN"/>
              </w:rPr>
              <w:t>原辅材料消耗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w:t>
            </w:r>
            <w:r>
              <w:rPr>
                <w:rFonts w:hint="eastAsia" w:ascii="Times New Roman" w:hAnsi="Times New Roman" w:eastAsia="宋体" w:cs="Times New Roman"/>
                <w:kern w:val="2"/>
                <w:sz w:val="24"/>
                <w:szCs w:val="24"/>
                <w:lang w:val="en-US" w:eastAsia="zh-CN" w:bidi="ar-SA"/>
              </w:rPr>
              <w:t>主要原辅材消耗量</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本项目各原辅材料消耗详见下表所示：</w:t>
            </w:r>
          </w:p>
          <w:p>
            <w:pPr>
              <w:pStyle w:val="98"/>
              <w:snapToGrid/>
              <w:spacing w:before="0" w:after="0" w:line="360" w:lineRule="auto"/>
              <w:rPr>
                <w:rFonts w:eastAsia="宋体"/>
                <w:b/>
                <w:color w:val="auto"/>
                <w:szCs w:val="21"/>
                <w:lang w:val="en-US" w:eastAsia="zh-CN"/>
              </w:rPr>
            </w:pPr>
            <w:r>
              <w:rPr>
                <w:rFonts w:eastAsia="宋体"/>
                <w:b/>
                <w:color w:val="auto"/>
                <w:szCs w:val="21"/>
                <w:lang w:val="en-US" w:eastAsia="zh-CN"/>
              </w:rPr>
              <w:t>表</w:t>
            </w:r>
            <w:r>
              <w:rPr>
                <w:rFonts w:hint="eastAsia" w:eastAsia="宋体"/>
                <w:b/>
                <w:color w:val="auto"/>
                <w:szCs w:val="21"/>
                <w:lang w:val="en-US" w:eastAsia="zh-CN"/>
              </w:rPr>
              <w:t>2-5</w:t>
            </w:r>
            <w:r>
              <w:rPr>
                <w:rFonts w:eastAsia="宋体"/>
                <w:b/>
                <w:color w:val="auto"/>
                <w:szCs w:val="21"/>
                <w:lang w:val="en-US" w:eastAsia="zh-CN"/>
              </w:rPr>
              <w:t xml:space="preserve"> 本项目各原辅材料</w:t>
            </w:r>
            <w:r>
              <w:rPr>
                <w:rFonts w:hint="eastAsia" w:eastAsia="宋体"/>
                <w:b/>
                <w:color w:val="auto"/>
                <w:szCs w:val="21"/>
                <w:lang w:val="en-US" w:eastAsia="zh-CN"/>
              </w:rPr>
              <w:t>消耗情况一览表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30"/>
              <w:gridCol w:w="1965"/>
              <w:gridCol w:w="2178"/>
              <w:gridCol w:w="1348"/>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8" w:hRule="atLeast"/>
                <w:jc w:val="center"/>
              </w:trPr>
              <w:tc>
                <w:tcPr>
                  <w:tcW w:w="674" w:type="pct"/>
                  <w:noWrap w:val="0"/>
                  <w:vAlign w:val="center"/>
                </w:tcPr>
                <w:p>
                  <w:pPr>
                    <w:pStyle w:val="99"/>
                    <w:spacing w:line="240" w:lineRule="auto"/>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序号</w:t>
                  </w:r>
                </w:p>
              </w:tc>
              <w:tc>
                <w:tcPr>
                  <w:tcW w:w="1172" w:type="pct"/>
                  <w:noWrap w:val="0"/>
                  <w:vAlign w:val="center"/>
                </w:tcPr>
                <w:p>
                  <w:pPr>
                    <w:pStyle w:val="99"/>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名称</w:t>
                  </w:r>
                </w:p>
              </w:tc>
              <w:tc>
                <w:tcPr>
                  <w:tcW w:w="1299" w:type="pct"/>
                  <w:noWrap w:val="0"/>
                  <w:vAlign w:val="center"/>
                </w:tcPr>
                <w:p>
                  <w:pPr>
                    <w:pStyle w:val="99"/>
                    <w:spacing w:line="240" w:lineRule="auto"/>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单位</w:t>
                  </w:r>
                </w:p>
              </w:tc>
              <w:tc>
                <w:tcPr>
                  <w:tcW w:w="804" w:type="pct"/>
                  <w:noWrap w:val="0"/>
                  <w:vAlign w:val="center"/>
                </w:tcPr>
                <w:p>
                  <w:pPr>
                    <w:pStyle w:val="99"/>
                    <w:spacing w:line="240" w:lineRule="auto"/>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用量</w:t>
                  </w:r>
                </w:p>
              </w:tc>
              <w:tc>
                <w:tcPr>
                  <w:tcW w:w="1049" w:type="pct"/>
                  <w:noWrap w:val="0"/>
                  <w:vAlign w:val="center"/>
                </w:tcPr>
                <w:p>
                  <w:pPr>
                    <w:pStyle w:val="99"/>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最大储量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2" w:hRule="atLeast"/>
                <w:jc w:val="center"/>
              </w:trPr>
              <w:tc>
                <w:tcPr>
                  <w:tcW w:w="674" w:type="pct"/>
                  <w:noWrap w:val="0"/>
                  <w:vAlign w:val="center"/>
                </w:tcPr>
                <w:p>
                  <w:pPr>
                    <w:pStyle w:val="99"/>
                    <w:spacing w:line="240" w:lineRule="auto"/>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1172" w:type="pct"/>
                  <w:noWrap w:val="0"/>
                  <w:vAlign w:val="center"/>
                </w:tcPr>
                <w:p>
                  <w:pPr>
                    <w:pStyle w:val="84"/>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sz w:val="21"/>
                      <w:szCs w:val="21"/>
                      <w:lang w:eastAsia="zh-CN"/>
                    </w:rPr>
                    <w:t>盐酸</w:t>
                  </w:r>
                </w:p>
              </w:tc>
              <w:tc>
                <w:tcPr>
                  <w:tcW w:w="1299" w:type="pct"/>
                  <w:noWrap w:val="0"/>
                  <w:vAlign w:val="center"/>
                </w:tcPr>
                <w:p>
                  <w:pPr>
                    <w:pStyle w:val="99"/>
                    <w:spacing w:line="240" w:lineRule="auto"/>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t/a</w:t>
                  </w:r>
                </w:p>
              </w:tc>
              <w:tc>
                <w:tcPr>
                  <w:tcW w:w="804" w:type="pct"/>
                  <w:noWrap w:val="0"/>
                  <w:vAlign w:val="center"/>
                </w:tcPr>
                <w:p>
                  <w:pPr>
                    <w:pStyle w:val="99"/>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w:t>
                  </w:r>
                </w:p>
              </w:tc>
              <w:tc>
                <w:tcPr>
                  <w:tcW w:w="1049" w:type="pct"/>
                  <w:noWrap w:val="0"/>
                  <w:vAlign w:val="center"/>
                </w:tcPr>
                <w:p>
                  <w:pPr>
                    <w:pStyle w:val="99"/>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0.5</w:t>
                  </w:r>
                  <w:r>
                    <w:rPr>
                      <w:rFonts w:hint="eastAsia" w:ascii="Times New Roman" w:hAnsi="Times New Roman" w:eastAsia="宋体" w:cs="Times New Roman"/>
                      <w:color w:val="auto"/>
                      <w:sz w:val="21"/>
                      <w:szCs w:val="21"/>
                      <w:highlight w:val="none"/>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674" w:type="pct"/>
                  <w:noWrap w:val="0"/>
                  <w:vAlign w:val="center"/>
                </w:tcPr>
                <w:p>
                  <w:pPr>
                    <w:pStyle w:val="99"/>
                    <w:spacing w:line="240" w:lineRule="auto"/>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1172" w:type="pct"/>
                  <w:noWrap w:val="0"/>
                  <w:vAlign w:val="center"/>
                </w:tcPr>
                <w:p>
                  <w:pPr>
                    <w:pStyle w:val="84"/>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sz w:val="21"/>
                      <w:szCs w:val="21"/>
                      <w:lang w:eastAsia="zh-CN"/>
                    </w:rPr>
                    <w:t>千叶轮</w:t>
                  </w:r>
                </w:p>
              </w:tc>
              <w:tc>
                <w:tcPr>
                  <w:tcW w:w="1299" w:type="pct"/>
                  <w:noWrap w:val="0"/>
                  <w:vAlign w:val="center"/>
                </w:tcPr>
                <w:p>
                  <w:pPr>
                    <w:pStyle w:val="99"/>
                    <w:spacing w:line="240" w:lineRule="auto"/>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个/a</w:t>
                  </w:r>
                </w:p>
              </w:tc>
              <w:tc>
                <w:tcPr>
                  <w:tcW w:w="804" w:type="pct"/>
                  <w:noWrap w:val="0"/>
                  <w:vAlign w:val="center"/>
                </w:tcPr>
                <w:p>
                  <w:pPr>
                    <w:pStyle w:val="99"/>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10000</w:t>
                  </w:r>
                </w:p>
              </w:tc>
              <w:tc>
                <w:tcPr>
                  <w:tcW w:w="1049" w:type="pct"/>
                  <w:noWrap w:val="0"/>
                  <w:vAlign w:val="center"/>
                </w:tcPr>
                <w:p>
                  <w:pPr>
                    <w:pStyle w:val="99"/>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74" w:type="pct"/>
                  <w:noWrap w:val="0"/>
                  <w:vAlign w:val="center"/>
                </w:tcPr>
                <w:p>
                  <w:pPr>
                    <w:pStyle w:val="99"/>
                    <w:spacing w:line="240" w:lineRule="auto"/>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w:t>
                  </w:r>
                </w:p>
              </w:tc>
              <w:tc>
                <w:tcPr>
                  <w:tcW w:w="1172" w:type="pct"/>
                  <w:noWrap w:val="0"/>
                  <w:vAlign w:val="center"/>
                </w:tcPr>
                <w:p>
                  <w:pPr>
                    <w:pStyle w:val="84"/>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sz w:val="21"/>
                      <w:szCs w:val="21"/>
                      <w:lang w:eastAsia="zh-CN"/>
                    </w:rPr>
                    <w:t>百叶轮</w:t>
                  </w:r>
                </w:p>
              </w:tc>
              <w:tc>
                <w:tcPr>
                  <w:tcW w:w="1299" w:type="pct"/>
                  <w:noWrap w:val="0"/>
                  <w:vAlign w:val="center"/>
                </w:tcPr>
                <w:p>
                  <w:pPr>
                    <w:pStyle w:val="99"/>
                    <w:spacing w:line="240" w:lineRule="auto"/>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个/a</w:t>
                  </w:r>
                </w:p>
              </w:tc>
              <w:tc>
                <w:tcPr>
                  <w:tcW w:w="804" w:type="pct"/>
                  <w:noWrap w:val="0"/>
                  <w:vAlign w:val="center"/>
                </w:tcPr>
                <w:p>
                  <w:pPr>
                    <w:pStyle w:val="99"/>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50000</w:t>
                  </w:r>
                </w:p>
              </w:tc>
              <w:tc>
                <w:tcPr>
                  <w:tcW w:w="1049" w:type="pct"/>
                  <w:noWrap w:val="0"/>
                  <w:vAlign w:val="center"/>
                </w:tcPr>
                <w:p>
                  <w:pPr>
                    <w:pStyle w:val="99"/>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74" w:type="pct"/>
                  <w:noWrap w:val="0"/>
                  <w:vAlign w:val="center"/>
                </w:tcPr>
                <w:p>
                  <w:pPr>
                    <w:pStyle w:val="99"/>
                    <w:spacing w:line="240" w:lineRule="auto"/>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w:t>
                  </w:r>
                </w:p>
              </w:tc>
              <w:tc>
                <w:tcPr>
                  <w:tcW w:w="1172" w:type="pct"/>
                  <w:noWrap w:val="0"/>
                  <w:vAlign w:val="center"/>
                </w:tcPr>
                <w:p>
                  <w:pPr>
                    <w:pStyle w:val="84"/>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sz w:val="21"/>
                      <w:szCs w:val="21"/>
                      <w:lang w:eastAsia="zh-CN"/>
                    </w:rPr>
                    <w:t>片碱</w:t>
                  </w:r>
                </w:p>
              </w:tc>
              <w:tc>
                <w:tcPr>
                  <w:tcW w:w="1299" w:type="pct"/>
                  <w:noWrap w:val="0"/>
                  <w:vAlign w:val="center"/>
                </w:tcPr>
                <w:p>
                  <w:pPr>
                    <w:pStyle w:val="99"/>
                    <w:spacing w:line="240" w:lineRule="auto"/>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t/a</w:t>
                  </w:r>
                </w:p>
              </w:tc>
              <w:tc>
                <w:tcPr>
                  <w:tcW w:w="804" w:type="pct"/>
                  <w:noWrap w:val="0"/>
                  <w:vAlign w:val="center"/>
                </w:tcPr>
                <w:p>
                  <w:pPr>
                    <w:pStyle w:val="99"/>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p>
              </w:tc>
              <w:tc>
                <w:tcPr>
                  <w:tcW w:w="1049" w:type="pct"/>
                  <w:noWrap w:val="0"/>
                  <w:vAlign w:val="center"/>
                </w:tcPr>
                <w:p>
                  <w:pPr>
                    <w:pStyle w:val="99"/>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0.03t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674" w:type="pct"/>
                  <w:noWrap w:val="0"/>
                  <w:vAlign w:val="center"/>
                </w:tcPr>
                <w:p>
                  <w:pPr>
                    <w:pStyle w:val="99"/>
                    <w:spacing w:line="240" w:lineRule="auto"/>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w:t>
                  </w:r>
                </w:p>
              </w:tc>
              <w:tc>
                <w:tcPr>
                  <w:tcW w:w="1172" w:type="pct"/>
                  <w:noWrap w:val="0"/>
                  <w:vAlign w:val="center"/>
                </w:tcPr>
                <w:p>
                  <w:pPr>
                    <w:pStyle w:val="84"/>
                    <w:spacing w:line="240" w:lineRule="auto"/>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sz w:val="21"/>
                      <w:szCs w:val="21"/>
                      <w:lang w:eastAsia="zh-CN"/>
                    </w:rPr>
                    <w:t>薄膜</w:t>
                  </w:r>
                </w:p>
              </w:tc>
              <w:tc>
                <w:tcPr>
                  <w:tcW w:w="1299" w:type="pct"/>
                  <w:noWrap w:val="0"/>
                  <w:vAlign w:val="center"/>
                </w:tcPr>
                <w:p>
                  <w:pPr>
                    <w:pStyle w:val="99"/>
                    <w:spacing w:line="240" w:lineRule="auto"/>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卷/a</w:t>
                  </w:r>
                </w:p>
              </w:tc>
              <w:tc>
                <w:tcPr>
                  <w:tcW w:w="804" w:type="pct"/>
                  <w:noWrap w:val="0"/>
                  <w:vAlign w:val="center"/>
                </w:tcPr>
                <w:p>
                  <w:pPr>
                    <w:pStyle w:val="99"/>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5000</w:t>
                  </w:r>
                </w:p>
              </w:tc>
              <w:tc>
                <w:tcPr>
                  <w:tcW w:w="1049" w:type="pct"/>
                  <w:noWrap w:val="0"/>
                  <w:vAlign w:val="center"/>
                </w:tcPr>
                <w:p>
                  <w:pPr>
                    <w:pStyle w:val="99"/>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0.04t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674" w:type="pct"/>
                  <w:noWrap w:val="0"/>
                  <w:vAlign w:val="center"/>
                </w:tcPr>
                <w:p>
                  <w:pPr>
                    <w:pStyle w:val="99"/>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w:t>
                  </w:r>
                </w:p>
              </w:tc>
              <w:tc>
                <w:tcPr>
                  <w:tcW w:w="1172" w:type="pct"/>
                  <w:noWrap w:val="0"/>
                  <w:vAlign w:val="center"/>
                </w:tcPr>
                <w:p>
                  <w:pPr>
                    <w:pStyle w:val="84"/>
                    <w:spacing w:line="240" w:lineRule="auto"/>
                    <w:ind w:left="0" w:leftChars="0" w:firstLine="0" w:firstLineChars="0"/>
                    <w:jc w:val="center"/>
                    <w:rPr>
                      <w:rFonts w:hint="eastAsia"/>
                      <w:sz w:val="21"/>
                      <w:szCs w:val="21"/>
                      <w:lang w:eastAsia="zh-CN"/>
                    </w:rPr>
                  </w:pPr>
                  <w:r>
                    <w:rPr>
                      <w:rFonts w:hint="eastAsia"/>
                      <w:sz w:val="21"/>
                      <w:szCs w:val="21"/>
                      <w:lang w:eastAsia="zh-CN"/>
                    </w:rPr>
                    <w:t>润滑油</w:t>
                  </w:r>
                </w:p>
              </w:tc>
              <w:tc>
                <w:tcPr>
                  <w:tcW w:w="1299" w:type="pct"/>
                  <w:noWrap w:val="0"/>
                  <w:vAlign w:val="center"/>
                </w:tcPr>
                <w:p>
                  <w:pPr>
                    <w:pStyle w:val="99"/>
                    <w:spacing w:line="240" w:lineRule="auto"/>
                    <w:ind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t/a</w:t>
                  </w:r>
                </w:p>
              </w:tc>
              <w:tc>
                <w:tcPr>
                  <w:tcW w:w="804" w:type="pct"/>
                  <w:noWrap w:val="0"/>
                  <w:vAlign w:val="center"/>
                </w:tcPr>
                <w:p>
                  <w:pPr>
                    <w:pStyle w:val="99"/>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0.2</w:t>
                  </w:r>
                </w:p>
              </w:tc>
              <w:tc>
                <w:tcPr>
                  <w:tcW w:w="1049" w:type="pct"/>
                  <w:noWrap w:val="0"/>
                  <w:vAlign w:val="center"/>
                </w:tcPr>
                <w:p>
                  <w:pPr>
                    <w:pStyle w:val="99"/>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0.04</w:t>
                  </w:r>
                  <w:r>
                    <w:rPr>
                      <w:rFonts w:hint="eastAsia" w:ascii="Times New Roman" w:hAnsi="Times New Roman" w:eastAsia="宋体" w:cs="Times New Roman"/>
                      <w:color w:val="auto"/>
                      <w:sz w:val="21"/>
                      <w:szCs w:val="21"/>
                      <w:highlight w:val="none"/>
                      <w:lang w:val="en-US" w:eastAsia="zh-CN"/>
                    </w:rPr>
                    <w:t>t</w:t>
                  </w:r>
                </w:p>
              </w:tc>
            </w:tr>
          </w:tbl>
          <w:p>
            <w:pPr>
              <w:spacing w:line="360" w:lineRule="auto"/>
              <w:ind w:firstLine="480" w:firstLineChars="200"/>
              <w:rPr>
                <w:sz w:val="24"/>
              </w:rPr>
            </w:pPr>
          </w:p>
          <w:p>
            <w:pPr>
              <w:spacing w:line="360" w:lineRule="auto"/>
              <w:ind w:firstLine="480" w:firstLineChars="200"/>
              <w:rPr>
                <w:rFonts w:hint="eastAsia" w:eastAsia="宋体"/>
                <w:color w:val="auto"/>
                <w:sz w:val="24"/>
                <w:lang w:eastAsia="zh-CN"/>
              </w:rPr>
            </w:pPr>
            <w:r>
              <w:rPr>
                <w:sz w:val="24"/>
              </w:rPr>
              <w:t>项目</w:t>
            </w:r>
            <w:r>
              <w:rPr>
                <w:rFonts w:hint="eastAsia"/>
                <w:sz w:val="24"/>
                <w:lang w:val="en-US" w:eastAsia="zh-CN"/>
              </w:rPr>
              <w:t>主要原辅材特性</w:t>
            </w:r>
            <w:r>
              <w:rPr>
                <w:rFonts w:hint="eastAsia"/>
                <w:sz w:val="24"/>
                <w:lang w:eastAsia="zh-CN"/>
              </w:rPr>
              <w:t>见下表：</w:t>
            </w:r>
          </w:p>
          <w:p>
            <w:pPr>
              <w:pStyle w:val="16"/>
              <w:jc w:val="center"/>
              <w:rPr>
                <w:rFonts w:hint="default"/>
                <w:lang w:val="en-US"/>
              </w:rPr>
            </w:pPr>
            <w:r>
              <w:rPr>
                <w:rFonts w:eastAsia="宋体"/>
                <w:b/>
                <w:color w:val="auto"/>
                <w:szCs w:val="21"/>
                <w:lang w:val="en-US" w:eastAsia="zh-CN"/>
              </w:rPr>
              <w:t>表</w:t>
            </w:r>
            <w:r>
              <w:rPr>
                <w:rFonts w:hint="eastAsia" w:ascii="宋体" w:hAnsi="Courier New" w:eastAsia="宋体" w:cs="Times New Roman"/>
                <w:b/>
                <w:color w:val="auto"/>
                <w:szCs w:val="21"/>
                <w:lang w:val="en-US" w:eastAsia="zh-CN"/>
              </w:rPr>
              <w:t>2-</w:t>
            </w:r>
            <w:r>
              <w:rPr>
                <w:rFonts w:hint="eastAsia" w:cs="Times New Roman"/>
                <w:b/>
                <w:color w:val="auto"/>
                <w:szCs w:val="21"/>
                <w:lang w:val="en-US" w:eastAsia="zh-CN"/>
              </w:rPr>
              <w:t>6</w:t>
            </w:r>
            <w:r>
              <w:rPr>
                <w:rFonts w:hint="eastAsia" w:ascii="宋体" w:hAnsi="Courier New" w:eastAsia="宋体" w:cs="Times New Roman"/>
                <w:b/>
                <w:color w:val="auto"/>
                <w:szCs w:val="21"/>
                <w:lang w:val="en-US" w:eastAsia="zh-CN"/>
              </w:rPr>
              <w:t xml:space="preserve"> 项目主要原辅材特性一览表</w:t>
            </w:r>
          </w:p>
          <w:tbl>
            <w:tblPr>
              <w:tblStyle w:val="2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1372"/>
              <w:gridCol w:w="1417"/>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pct"/>
                  <w:noWrap w:val="0"/>
                  <w:vAlign w:val="center"/>
                </w:tcPr>
                <w:p>
                  <w:pPr>
                    <w:pStyle w:val="7"/>
                    <w:snapToGrid/>
                    <w:spacing w:before="0" w:after="0" w:line="360" w:lineRule="auto"/>
                    <w:ind w:left="0" w:leftChars="0" w:firstLine="0" w:firstLineChars="0"/>
                    <w:jc w:val="center"/>
                    <w:rPr>
                      <w:rFonts w:hint="eastAsia" w:ascii="宋体" w:hAnsi="Courier New" w:eastAsia="宋体" w:cs="Times New Roman"/>
                      <w:b w:val="0"/>
                      <w:bCs/>
                      <w:color w:val="auto"/>
                      <w:sz w:val="21"/>
                      <w:szCs w:val="21"/>
                      <w:vertAlign w:val="baseline"/>
                      <w:lang w:val="en-US" w:eastAsia="zh-CN"/>
                    </w:rPr>
                  </w:pPr>
                  <w:r>
                    <w:rPr>
                      <w:rFonts w:hint="eastAsia" w:ascii="宋体" w:hAnsi="Courier New" w:eastAsia="宋体" w:cs="Times New Roman"/>
                      <w:b w:val="0"/>
                      <w:bCs/>
                      <w:color w:val="auto"/>
                      <w:sz w:val="21"/>
                      <w:szCs w:val="21"/>
                      <w:vertAlign w:val="baseline"/>
                      <w:lang w:val="en-US" w:eastAsia="zh-CN"/>
                    </w:rPr>
                    <w:t>序号</w:t>
                  </w:r>
                </w:p>
              </w:tc>
              <w:tc>
                <w:tcPr>
                  <w:tcW w:w="818" w:type="pct"/>
                  <w:noWrap w:val="0"/>
                  <w:vAlign w:val="center"/>
                </w:tcPr>
                <w:p>
                  <w:pPr>
                    <w:pStyle w:val="7"/>
                    <w:snapToGrid/>
                    <w:spacing w:before="0" w:after="0" w:line="360" w:lineRule="auto"/>
                    <w:ind w:left="0" w:leftChars="0" w:firstLine="0" w:firstLineChars="0"/>
                    <w:jc w:val="center"/>
                    <w:rPr>
                      <w:rFonts w:hint="eastAsia" w:ascii="宋体" w:hAnsi="Courier New" w:eastAsia="宋体" w:cs="Times New Roman"/>
                      <w:b w:val="0"/>
                      <w:bCs/>
                      <w:color w:val="auto"/>
                      <w:sz w:val="21"/>
                      <w:szCs w:val="21"/>
                      <w:vertAlign w:val="baseline"/>
                      <w:lang w:val="en-US" w:eastAsia="zh-CN"/>
                    </w:rPr>
                  </w:pPr>
                  <w:r>
                    <w:rPr>
                      <w:rFonts w:hint="eastAsia" w:ascii="宋体" w:hAnsi="Courier New" w:eastAsia="宋体" w:cs="Times New Roman"/>
                      <w:b w:val="0"/>
                      <w:bCs/>
                      <w:color w:val="auto"/>
                      <w:sz w:val="21"/>
                      <w:szCs w:val="21"/>
                      <w:vertAlign w:val="baseline"/>
                      <w:lang w:val="en-US" w:eastAsia="zh-CN"/>
                    </w:rPr>
                    <w:t>名称</w:t>
                  </w:r>
                </w:p>
              </w:tc>
              <w:tc>
                <w:tcPr>
                  <w:tcW w:w="845" w:type="pct"/>
                  <w:noWrap w:val="0"/>
                  <w:vAlign w:val="center"/>
                </w:tcPr>
                <w:p>
                  <w:pPr>
                    <w:pStyle w:val="7"/>
                    <w:snapToGrid/>
                    <w:spacing w:before="0" w:after="0" w:line="360" w:lineRule="auto"/>
                    <w:ind w:left="0" w:leftChars="0" w:firstLine="0" w:firstLineChars="0"/>
                    <w:jc w:val="center"/>
                    <w:rPr>
                      <w:rFonts w:hint="eastAsia" w:ascii="宋体" w:hAnsi="Courier New" w:eastAsia="宋体" w:cs="Times New Roman"/>
                      <w:b w:val="0"/>
                      <w:bCs/>
                      <w:color w:val="auto"/>
                      <w:sz w:val="21"/>
                      <w:szCs w:val="21"/>
                      <w:vertAlign w:val="baseline"/>
                      <w:lang w:val="en-US" w:eastAsia="zh-CN"/>
                    </w:rPr>
                  </w:pPr>
                  <w:r>
                    <w:rPr>
                      <w:rFonts w:hint="eastAsia" w:ascii="宋体" w:hAnsi="Courier New" w:eastAsia="宋体" w:cs="Times New Roman"/>
                      <w:b w:val="0"/>
                      <w:bCs/>
                      <w:color w:val="auto"/>
                      <w:sz w:val="21"/>
                      <w:szCs w:val="21"/>
                      <w:vertAlign w:val="baseline"/>
                      <w:lang w:val="en-US" w:eastAsia="zh-CN"/>
                    </w:rPr>
                    <w:t>化学式</w:t>
                  </w:r>
                </w:p>
              </w:tc>
              <w:tc>
                <w:tcPr>
                  <w:tcW w:w="2677" w:type="pct"/>
                  <w:noWrap w:val="0"/>
                  <w:vAlign w:val="center"/>
                </w:tcPr>
                <w:p>
                  <w:pPr>
                    <w:pStyle w:val="7"/>
                    <w:snapToGrid/>
                    <w:spacing w:before="0" w:after="0" w:line="360" w:lineRule="auto"/>
                    <w:ind w:left="0" w:leftChars="0" w:firstLine="0" w:firstLineChars="0"/>
                    <w:jc w:val="center"/>
                    <w:rPr>
                      <w:rFonts w:hint="default" w:ascii="宋体" w:hAnsi="Courier New" w:eastAsia="宋体" w:cs="Times New Roman"/>
                      <w:b w:val="0"/>
                      <w:bCs/>
                      <w:color w:val="auto"/>
                      <w:sz w:val="21"/>
                      <w:szCs w:val="21"/>
                      <w:vertAlign w:val="baseline"/>
                      <w:lang w:val="en-US" w:eastAsia="zh-CN"/>
                    </w:rPr>
                  </w:pPr>
                  <w:r>
                    <w:rPr>
                      <w:rFonts w:hint="eastAsia" w:ascii="宋体" w:hAnsi="Courier New" w:eastAsia="宋体" w:cs="Times New Roman"/>
                      <w:b w:val="0"/>
                      <w:bCs/>
                      <w:color w:val="auto"/>
                      <w:sz w:val="21"/>
                      <w:szCs w:val="21"/>
                      <w:vertAlign w:val="baseline"/>
                      <w:lang w:val="en-US" w:eastAsia="zh-CN"/>
                    </w:rPr>
                    <w:t>主要特性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pct"/>
                  <w:noWrap w:val="0"/>
                  <w:vAlign w:val="center"/>
                </w:tcPr>
                <w:p>
                  <w:pPr>
                    <w:pStyle w:val="7"/>
                    <w:snapToGrid/>
                    <w:spacing w:before="0" w:after="0" w:line="360" w:lineRule="auto"/>
                    <w:jc w:val="center"/>
                    <w:rPr>
                      <w:rFonts w:hint="default" w:ascii="宋体" w:hAnsi="Courier New" w:eastAsia="宋体" w:cs="Times New Roman"/>
                      <w:b w:val="0"/>
                      <w:bCs/>
                      <w:color w:val="auto"/>
                      <w:sz w:val="21"/>
                      <w:szCs w:val="21"/>
                      <w:vertAlign w:val="baseline"/>
                      <w:lang w:val="en-US" w:eastAsia="zh-CN"/>
                    </w:rPr>
                  </w:pPr>
                  <w:r>
                    <w:rPr>
                      <w:rFonts w:hint="eastAsia" w:ascii="宋体" w:hAnsi="Courier New" w:eastAsia="宋体" w:cs="Times New Roman"/>
                      <w:b w:val="0"/>
                      <w:bCs/>
                      <w:color w:val="auto"/>
                      <w:sz w:val="21"/>
                      <w:szCs w:val="21"/>
                      <w:vertAlign w:val="baseline"/>
                      <w:lang w:val="en-US" w:eastAsia="zh-CN"/>
                    </w:rPr>
                    <w:t>1</w:t>
                  </w:r>
                </w:p>
              </w:tc>
              <w:tc>
                <w:tcPr>
                  <w:tcW w:w="818" w:type="pct"/>
                  <w:noWrap w:val="0"/>
                  <w:vAlign w:val="center"/>
                </w:tcPr>
                <w:p>
                  <w:pPr>
                    <w:pStyle w:val="7"/>
                    <w:snapToGrid/>
                    <w:spacing w:before="0" w:after="0" w:line="360" w:lineRule="auto"/>
                    <w:ind w:left="0" w:leftChars="0" w:firstLine="0" w:firstLineChars="0"/>
                    <w:jc w:val="center"/>
                    <w:rPr>
                      <w:rFonts w:hint="eastAsia" w:ascii="宋体" w:hAnsi="Courier New" w:eastAsia="宋体" w:cs="Times New Roman"/>
                      <w:b w:val="0"/>
                      <w:bCs/>
                      <w:color w:val="auto"/>
                      <w:sz w:val="21"/>
                      <w:szCs w:val="21"/>
                      <w:vertAlign w:val="baseline"/>
                      <w:lang w:val="en-US" w:eastAsia="zh-CN"/>
                    </w:rPr>
                  </w:pPr>
                  <w:r>
                    <w:rPr>
                      <w:rFonts w:hint="eastAsia" w:ascii="宋体" w:hAnsi="Courier New" w:eastAsia="宋体" w:cs="Times New Roman"/>
                      <w:b w:val="0"/>
                      <w:bCs/>
                      <w:color w:val="auto"/>
                      <w:sz w:val="21"/>
                      <w:szCs w:val="21"/>
                      <w:vertAlign w:val="baseline"/>
                      <w:lang w:val="en-US" w:eastAsia="zh-CN"/>
                    </w:rPr>
                    <w:t>盐酸</w:t>
                  </w:r>
                </w:p>
              </w:tc>
              <w:tc>
                <w:tcPr>
                  <w:tcW w:w="845" w:type="pct"/>
                  <w:noWrap w:val="0"/>
                  <w:vAlign w:val="center"/>
                </w:tcPr>
                <w:p>
                  <w:pPr>
                    <w:pStyle w:val="7"/>
                    <w:snapToGrid/>
                    <w:spacing w:before="0" w:after="0" w:line="360" w:lineRule="auto"/>
                    <w:ind w:left="0" w:leftChars="0" w:firstLine="0" w:firstLineChars="0"/>
                    <w:jc w:val="center"/>
                    <w:rPr>
                      <w:rFonts w:hint="default" w:ascii="宋体" w:hAnsi="Courier New"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HCl</w:t>
                  </w:r>
                </w:p>
              </w:tc>
              <w:tc>
                <w:tcPr>
                  <w:tcW w:w="2677" w:type="pct"/>
                  <w:noWrap w:val="0"/>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left"/>
                    <w:textAlignment w:val="auto"/>
                    <w:rPr>
                      <w:rFonts w:hint="eastAsia" w:ascii="宋体" w:hAnsi="Courier New" w:eastAsia="宋体" w:cs="Times New Roman"/>
                      <w:b w:val="0"/>
                      <w:bCs/>
                      <w:color w:val="auto"/>
                      <w:sz w:val="21"/>
                      <w:szCs w:val="21"/>
                      <w:vertAlign w:val="baseline"/>
                      <w:lang w:val="en-US" w:eastAsia="zh-CN"/>
                    </w:rPr>
                  </w:pPr>
                  <w:r>
                    <w:rPr>
                      <w:rFonts w:ascii="Helvetica" w:hAnsi="Helvetica" w:eastAsia="Helvetica" w:cs="Helvetica"/>
                      <w:b w:val="0"/>
                      <w:bCs/>
                      <w:i w:val="0"/>
                      <w:iCs w:val="0"/>
                      <w:caps w:val="0"/>
                      <w:color w:val="auto"/>
                      <w:spacing w:val="0"/>
                      <w:sz w:val="21"/>
                      <w:szCs w:val="21"/>
                      <w:shd w:val="clear" w:color="auto" w:fill="FFFFFF"/>
                    </w:rPr>
                    <w:t>是</w:t>
                  </w:r>
                  <w:r>
                    <w:rPr>
                      <w:rFonts w:hint="default" w:ascii="Helvetica" w:hAnsi="Helvetica" w:eastAsia="Helvetica" w:cs="Helvetica"/>
                      <w:b w:val="0"/>
                      <w:bCs/>
                      <w:i w:val="0"/>
                      <w:iCs w:val="0"/>
                      <w:caps w:val="0"/>
                      <w:color w:val="auto"/>
                      <w:spacing w:val="0"/>
                      <w:sz w:val="21"/>
                      <w:szCs w:val="21"/>
                      <w:u w:val="none"/>
                      <w:shd w:val="clear" w:color="auto" w:fill="FFFFFF"/>
                    </w:rPr>
                    <w:fldChar w:fldCharType="begin"/>
                  </w:r>
                  <w:r>
                    <w:rPr>
                      <w:rFonts w:hint="default" w:ascii="Helvetica" w:hAnsi="Helvetica" w:eastAsia="Helvetica" w:cs="Helvetica"/>
                      <w:b w:val="0"/>
                      <w:bCs/>
                      <w:i w:val="0"/>
                      <w:iCs w:val="0"/>
                      <w:caps w:val="0"/>
                      <w:color w:val="auto"/>
                      <w:spacing w:val="0"/>
                      <w:sz w:val="21"/>
                      <w:szCs w:val="21"/>
                      <w:u w:val="none"/>
                      <w:shd w:val="clear" w:color="auto" w:fill="FFFFFF"/>
                    </w:rPr>
                    <w:instrText xml:space="preserve"> HYPERLINK "https://baike.baidu.com/item/%E6%B0%AF%E5%8C%96%E6%B0%A2/1401023?fromModule=lemma_inlink" \t "https://baike.baidu.com/item/%E7%9B%90%E9%85%B8/_blank" </w:instrText>
                  </w:r>
                  <w:r>
                    <w:rPr>
                      <w:rFonts w:hint="default" w:ascii="Helvetica" w:hAnsi="Helvetica" w:eastAsia="Helvetica" w:cs="Helvetica"/>
                      <w:b w:val="0"/>
                      <w:bCs/>
                      <w:i w:val="0"/>
                      <w:iCs w:val="0"/>
                      <w:caps w:val="0"/>
                      <w:color w:val="auto"/>
                      <w:spacing w:val="0"/>
                      <w:sz w:val="21"/>
                      <w:szCs w:val="21"/>
                      <w:u w:val="none"/>
                      <w:shd w:val="clear" w:color="auto" w:fill="FFFFFF"/>
                    </w:rPr>
                    <w:fldChar w:fldCharType="separate"/>
                  </w:r>
                  <w:r>
                    <w:rPr>
                      <w:rStyle w:val="33"/>
                      <w:rFonts w:hint="default" w:ascii="Helvetica" w:hAnsi="Helvetica" w:eastAsia="Helvetica" w:cs="Helvetica"/>
                      <w:b w:val="0"/>
                      <w:bCs/>
                      <w:i w:val="0"/>
                      <w:iCs w:val="0"/>
                      <w:caps w:val="0"/>
                      <w:color w:val="auto"/>
                      <w:spacing w:val="0"/>
                      <w:sz w:val="21"/>
                      <w:szCs w:val="21"/>
                      <w:u w:val="none"/>
                      <w:shd w:val="clear" w:color="auto" w:fill="FFFFFF"/>
                    </w:rPr>
                    <w:t>氯化氢</w:t>
                  </w:r>
                  <w:r>
                    <w:rPr>
                      <w:rFonts w:hint="default" w:ascii="Helvetica" w:hAnsi="Helvetica" w:eastAsia="Helvetica" w:cs="Helvetica"/>
                      <w:b w:val="0"/>
                      <w:bCs/>
                      <w:i w:val="0"/>
                      <w:iCs w:val="0"/>
                      <w:caps w:val="0"/>
                      <w:color w:val="auto"/>
                      <w:spacing w:val="0"/>
                      <w:sz w:val="21"/>
                      <w:szCs w:val="21"/>
                      <w:u w:val="none"/>
                      <w:shd w:val="clear" w:color="auto" w:fill="FFFFFF"/>
                    </w:rPr>
                    <w:fldChar w:fldCharType="end"/>
                  </w:r>
                  <w:r>
                    <w:rPr>
                      <w:rFonts w:hint="default" w:ascii="Helvetica" w:hAnsi="Helvetica" w:eastAsia="Helvetica" w:cs="Helvetica"/>
                      <w:b w:val="0"/>
                      <w:bCs/>
                      <w:i w:val="0"/>
                      <w:iCs w:val="0"/>
                      <w:caps w:val="0"/>
                      <w:color w:val="auto"/>
                      <w:spacing w:val="0"/>
                      <w:sz w:val="21"/>
                      <w:szCs w:val="21"/>
                      <w:shd w:val="clear" w:color="auto" w:fill="FFFFFF"/>
                    </w:rPr>
                    <w:t>（</w:t>
                  </w:r>
                  <w:r>
                    <w:rPr>
                      <w:rFonts w:hint="default" w:ascii="Times New Roman" w:hAnsi="Times New Roman" w:eastAsia="宋体" w:cs="Times New Roman"/>
                      <w:b w:val="0"/>
                      <w:bCs/>
                      <w:color w:val="auto"/>
                      <w:sz w:val="21"/>
                      <w:szCs w:val="21"/>
                      <w:vertAlign w:val="baseline"/>
                      <w:lang w:val="en-US" w:eastAsia="zh-CN"/>
                    </w:rPr>
                    <w:t>HCl</w:t>
                  </w:r>
                  <w:r>
                    <w:rPr>
                      <w:rFonts w:hint="default" w:ascii="Helvetica" w:hAnsi="Helvetica" w:eastAsia="Helvetica" w:cs="Helvetica"/>
                      <w:b w:val="0"/>
                      <w:bCs/>
                      <w:i w:val="0"/>
                      <w:iCs w:val="0"/>
                      <w:caps w:val="0"/>
                      <w:color w:val="auto"/>
                      <w:spacing w:val="0"/>
                      <w:sz w:val="21"/>
                      <w:szCs w:val="21"/>
                      <w:shd w:val="clear" w:color="auto" w:fill="FFFFFF"/>
                    </w:rPr>
                    <w:t>）的水溶液</w:t>
                  </w:r>
                  <w:r>
                    <w:rPr>
                      <w:rFonts w:hint="eastAsia" w:ascii="Helvetica" w:hAnsi="Helvetica" w:eastAsia="宋体" w:cs="Helvetica"/>
                      <w:b w:val="0"/>
                      <w:bCs/>
                      <w:i w:val="0"/>
                      <w:iCs w:val="0"/>
                      <w:caps w:val="0"/>
                      <w:color w:val="auto"/>
                      <w:spacing w:val="0"/>
                      <w:sz w:val="21"/>
                      <w:szCs w:val="21"/>
                      <w:shd w:val="clear" w:color="auto" w:fill="FFFFFF"/>
                      <w:lang w:eastAsia="zh-CN"/>
                    </w:rPr>
                    <w:t>。</w:t>
                  </w:r>
                  <w:r>
                    <w:rPr>
                      <w:rFonts w:ascii="Helvetica" w:hAnsi="Helvetica" w:eastAsia="Helvetica" w:cs="Helvetica"/>
                      <w:b w:val="0"/>
                      <w:bCs/>
                      <w:i w:val="0"/>
                      <w:iCs w:val="0"/>
                      <w:caps w:val="0"/>
                      <w:color w:val="auto"/>
                      <w:spacing w:val="0"/>
                      <w:sz w:val="21"/>
                      <w:szCs w:val="21"/>
                      <w:shd w:val="clear" w:color="auto" w:fill="FFFFFF"/>
                    </w:rPr>
                    <w:t>工业用途广泛。盐酸的性状为无色透明的液体，有强烈的刺鼻气味，具有较高的腐蚀性。浓盐酸（质量分数约为37%）具有极强的挥发性，因此盛有浓盐酸的容器打开后氯化氢气体会挥发，与空气中的水蒸气结合产生盐酸小液滴，使瓶口上方出现酸雾</w:t>
                  </w:r>
                  <w:r>
                    <w:rPr>
                      <w:rFonts w:hint="eastAsia" w:ascii="Helvetica" w:hAnsi="Helvetica" w:eastAsia="宋体" w:cs="Helvetica"/>
                      <w:b w:val="0"/>
                      <w:bCs/>
                      <w:i w:val="0"/>
                      <w:iCs w:val="0"/>
                      <w:caps w:val="0"/>
                      <w:color w:val="auto"/>
                      <w:spacing w:val="0"/>
                      <w:sz w:val="21"/>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pct"/>
                  <w:noWrap w:val="0"/>
                  <w:vAlign w:val="center"/>
                </w:tcPr>
                <w:p>
                  <w:pPr>
                    <w:pStyle w:val="7"/>
                    <w:snapToGrid/>
                    <w:spacing w:before="0" w:after="0" w:line="360" w:lineRule="auto"/>
                    <w:jc w:val="center"/>
                    <w:rPr>
                      <w:rFonts w:hint="default" w:ascii="宋体" w:hAnsi="Courier New" w:eastAsia="宋体" w:cs="Times New Roman"/>
                      <w:b w:val="0"/>
                      <w:bCs/>
                      <w:color w:val="auto"/>
                      <w:sz w:val="21"/>
                      <w:szCs w:val="21"/>
                      <w:vertAlign w:val="baseline"/>
                      <w:lang w:val="en-US" w:eastAsia="zh-CN"/>
                    </w:rPr>
                  </w:pPr>
                  <w:r>
                    <w:rPr>
                      <w:rFonts w:hint="eastAsia" w:ascii="宋体" w:hAnsi="Courier New" w:eastAsia="宋体" w:cs="Times New Roman"/>
                      <w:b w:val="0"/>
                      <w:bCs/>
                      <w:color w:val="auto"/>
                      <w:sz w:val="21"/>
                      <w:szCs w:val="21"/>
                      <w:vertAlign w:val="baseline"/>
                      <w:lang w:val="en-US" w:eastAsia="zh-CN"/>
                    </w:rPr>
                    <w:t>2</w:t>
                  </w:r>
                </w:p>
              </w:tc>
              <w:tc>
                <w:tcPr>
                  <w:tcW w:w="818" w:type="pct"/>
                  <w:noWrap w:val="0"/>
                  <w:vAlign w:val="center"/>
                </w:tcPr>
                <w:p>
                  <w:pPr>
                    <w:pStyle w:val="7"/>
                    <w:snapToGrid/>
                    <w:spacing w:before="0" w:after="0" w:line="360" w:lineRule="auto"/>
                    <w:ind w:left="0" w:leftChars="0" w:firstLine="0" w:firstLineChars="0"/>
                    <w:jc w:val="center"/>
                    <w:rPr>
                      <w:rFonts w:hint="eastAsia" w:ascii="宋体" w:hAnsi="Courier New" w:eastAsia="宋体" w:cs="Times New Roman"/>
                      <w:b w:val="0"/>
                      <w:bCs/>
                      <w:color w:val="auto"/>
                      <w:sz w:val="21"/>
                      <w:szCs w:val="21"/>
                      <w:vertAlign w:val="baseline"/>
                      <w:lang w:val="en-US" w:eastAsia="zh-CN"/>
                    </w:rPr>
                  </w:pPr>
                  <w:r>
                    <w:rPr>
                      <w:rFonts w:hint="eastAsia"/>
                      <w:sz w:val="21"/>
                      <w:szCs w:val="21"/>
                      <w:lang w:eastAsia="zh-CN"/>
                    </w:rPr>
                    <w:t>片碱</w:t>
                  </w:r>
                </w:p>
              </w:tc>
              <w:tc>
                <w:tcPr>
                  <w:tcW w:w="845" w:type="pct"/>
                  <w:noWrap w:val="0"/>
                  <w:vAlign w:val="center"/>
                </w:tcPr>
                <w:p>
                  <w:pPr>
                    <w:pStyle w:val="7"/>
                    <w:snapToGrid/>
                    <w:spacing w:before="0" w:after="0" w:line="360" w:lineRule="auto"/>
                    <w:ind w:left="0" w:leftChars="0" w:firstLine="0" w:firstLineChars="0"/>
                    <w:jc w:val="center"/>
                    <w:rPr>
                      <w:rFonts w:hint="eastAsia" w:ascii="宋体" w:hAnsi="Courier New" w:eastAsia="宋体" w:cs="Times New Roman"/>
                      <w:b w:val="0"/>
                      <w:bCs/>
                      <w:color w:val="auto"/>
                      <w:sz w:val="21"/>
                      <w:szCs w:val="21"/>
                      <w:vertAlign w:val="baseline"/>
                      <w:lang w:val="en-US" w:eastAsia="zh-CN"/>
                    </w:rPr>
                  </w:pPr>
                  <w:r>
                    <w:rPr>
                      <w:rFonts w:hint="default" w:ascii="Times New Roman" w:hAnsi="Times New Roman" w:eastAsia="宋体" w:cs="Times New Roman"/>
                      <w:i w:val="0"/>
                      <w:iCs w:val="0"/>
                      <w:caps w:val="0"/>
                      <w:color w:val="auto"/>
                      <w:spacing w:val="0"/>
                      <w:sz w:val="21"/>
                      <w:szCs w:val="21"/>
                      <w:shd w:val="clear" w:color="auto" w:fill="FFFFFF"/>
                    </w:rPr>
                    <w:t>NaOH</w:t>
                  </w:r>
                </w:p>
              </w:tc>
              <w:tc>
                <w:tcPr>
                  <w:tcW w:w="2677" w:type="pct"/>
                  <w:noWrap w:val="0"/>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left"/>
                    <w:textAlignment w:val="auto"/>
                    <w:rPr>
                      <w:rFonts w:hint="eastAsia" w:ascii="宋体" w:hAnsi="Courier New" w:eastAsia="宋体" w:cs="Times New Roman"/>
                      <w:b w:val="0"/>
                      <w:bCs/>
                      <w:color w:val="auto"/>
                      <w:sz w:val="21"/>
                      <w:szCs w:val="21"/>
                      <w:vertAlign w:val="baseline"/>
                      <w:lang w:val="en-US" w:eastAsia="zh-CN"/>
                    </w:rPr>
                  </w:pPr>
                  <w:r>
                    <w:rPr>
                      <w:rStyle w:val="32"/>
                      <w:rFonts w:ascii="Arial" w:hAnsi="Arial" w:eastAsia="宋体" w:cs="Arial"/>
                      <w:i w:val="0"/>
                      <w:iCs w:val="0"/>
                      <w:caps w:val="0"/>
                      <w:color w:val="auto"/>
                      <w:spacing w:val="0"/>
                      <w:sz w:val="21"/>
                      <w:szCs w:val="21"/>
                      <w:shd w:val="clear" w:color="auto" w:fill="FFFFFF"/>
                    </w:rPr>
                    <w:t>片碱</w:t>
                  </w:r>
                  <w:r>
                    <w:rPr>
                      <w:rFonts w:hint="default" w:ascii="Arial" w:hAnsi="Arial" w:eastAsia="宋体" w:cs="Arial"/>
                      <w:i w:val="0"/>
                      <w:iCs w:val="0"/>
                      <w:caps w:val="0"/>
                      <w:color w:val="auto"/>
                      <w:spacing w:val="0"/>
                      <w:sz w:val="21"/>
                      <w:szCs w:val="21"/>
                      <w:shd w:val="clear" w:color="auto" w:fill="FFFFFF"/>
                    </w:rPr>
                    <w:t>一般指氢氧化钠。 氢氧化钠，也称苛性钠、烧碱、火碱，是一种无机化合物，化学式</w:t>
                  </w:r>
                  <w:r>
                    <w:rPr>
                      <w:rFonts w:hint="default" w:ascii="Times New Roman" w:hAnsi="Times New Roman" w:eastAsia="宋体" w:cs="Times New Roman"/>
                      <w:i w:val="0"/>
                      <w:iCs w:val="0"/>
                      <w:caps w:val="0"/>
                      <w:color w:val="auto"/>
                      <w:spacing w:val="0"/>
                      <w:sz w:val="21"/>
                      <w:szCs w:val="21"/>
                      <w:shd w:val="clear" w:color="auto" w:fill="FFFFFF"/>
                    </w:rPr>
                    <w:t>NaOH</w:t>
                  </w:r>
                  <w:r>
                    <w:rPr>
                      <w:rFonts w:hint="default" w:ascii="Arial" w:hAnsi="Arial" w:eastAsia="宋体" w:cs="Arial"/>
                      <w:i w:val="0"/>
                      <w:iCs w:val="0"/>
                      <w:caps w:val="0"/>
                      <w:color w:val="auto"/>
                      <w:spacing w:val="0"/>
                      <w:sz w:val="21"/>
                      <w:szCs w:val="21"/>
                      <w:shd w:val="clear" w:color="auto" w:fill="FFFFFF"/>
                    </w:rPr>
                    <w:t>，氢氧化钠具有强碱性，腐蚀性极强，可作酸中和剂</w:t>
                  </w:r>
                  <w:r>
                    <w:rPr>
                      <w:rFonts w:hint="eastAsia" w:ascii="Arial" w:hAnsi="Arial" w:eastAsia="宋体" w:cs="Arial"/>
                      <w:i w:val="0"/>
                      <w:iCs w:val="0"/>
                      <w:caps w:val="0"/>
                      <w:color w:val="auto"/>
                      <w:spacing w:val="0"/>
                      <w:sz w:val="21"/>
                      <w:szCs w:val="21"/>
                      <w:shd w:val="clear" w:color="auto" w:fill="FFFFFF"/>
                      <w:lang w:eastAsia="zh-CN"/>
                    </w:rPr>
                    <w:t>。</w:t>
                  </w:r>
                </w:p>
              </w:tc>
            </w:tr>
          </w:tbl>
          <w:p>
            <w:pPr>
              <w:pStyle w:val="7"/>
              <w:snapToGrid/>
              <w:spacing w:before="0" w:after="0" w:line="360" w:lineRule="auto"/>
              <w:ind w:left="0" w:leftChars="0" w:firstLine="0" w:firstLineChars="0"/>
              <w:jc w:val="center"/>
              <w:rPr>
                <w:rFonts w:hint="eastAsia" w:ascii="宋体" w:hAnsi="Courier New" w:eastAsia="宋体" w:cs="Times New Roman"/>
                <w:b/>
                <w:color w:val="auto"/>
                <w:szCs w:val="21"/>
                <w:lang w:val="en-US" w:eastAsia="zh-CN"/>
              </w:rPr>
            </w:pPr>
          </w:p>
          <w:p>
            <w:pPr>
              <w:pStyle w:val="7"/>
              <w:snapToGrid/>
              <w:spacing w:before="0" w:after="0" w:line="360" w:lineRule="auto"/>
              <w:ind w:left="0" w:leftChars="0" w:firstLine="480" w:firstLineChars="200"/>
              <w:rPr>
                <w:kern w:val="2"/>
                <w:sz w:val="24"/>
                <w:szCs w:val="24"/>
                <w:lang w:val="en-US" w:eastAsia="zh-CN"/>
              </w:rPr>
            </w:pPr>
            <w:r>
              <w:rPr>
                <w:kern w:val="2"/>
                <w:sz w:val="24"/>
                <w:szCs w:val="24"/>
                <w:lang w:val="en-US" w:eastAsia="zh-CN"/>
              </w:rPr>
              <w:t>5、公用工程</w:t>
            </w:r>
          </w:p>
          <w:p>
            <w:pPr>
              <w:spacing w:line="360" w:lineRule="auto"/>
              <w:ind w:firstLine="480" w:firstLineChars="200"/>
              <w:rPr>
                <w:rFonts w:hint="eastAsia"/>
                <w:sz w:val="24"/>
              </w:rPr>
            </w:pPr>
            <w:r>
              <w:rPr>
                <w:rFonts w:hint="eastAsia"/>
                <w:sz w:val="24"/>
              </w:rPr>
              <w:t>供电：项</w:t>
            </w:r>
            <w:r>
              <w:rPr>
                <w:rFonts w:hint="eastAsia" w:ascii="Times New Roman" w:hAnsi="Times New Roman" w:eastAsia="宋体" w:cs="Times New Roman"/>
                <w:sz w:val="24"/>
              </w:rPr>
              <w:t>目用电引自当地供电所，可满足项目用电需求，年用电量约为</w:t>
            </w:r>
            <w:r>
              <w:rPr>
                <w:rFonts w:hint="eastAsia" w:ascii="Times New Roman" w:hAnsi="Times New Roman" w:eastAsia="宋体" w:cs="Times New Roman"/>
                <w:sz w:val="24"/>
                <w:lang w:val="en-US" w:eastAsia="zh-CN"/>
              </w:rPr>
              <w:t>5万</w:t>
            </w:r>
            <w:r>
              <w:rPr>
                <w:rFonts w:hint="eastAsia" w:ascii="Times New Roman" w:hAnsi="Times New Roman" w:eastAsia="宋体" w:cs="Times New Roman"/>
                <w:sz w:val="24"/>
              </w:rPr>
              <w:t>kw·h/a。</w:t>
            </w:r>
          </w:p>
          <w:p>
            <w:pPr>
              <w:spacing w:line="360" w:lineRule="auto"/>
              <w:ind w:firstLine="480" w:firstLineChars="200"/>
              <w:rPr>
                <w:rFonts w:hint="eastAsia"/>
                <w:sz w:val="24"/>
              </w:rPr>
            </w:pPr>
            <w:r>
              <w:rPr>
                <w:rFonts w:hint="eastAsia"/>
                <w:sz w:val="24"/>
              </w:rPr>
              <w:t>供水：</w:t>
            </w:r>
            <w:r>
              <w:rPr>
                <w:sz w:val="24"/>
              </w:rPr>
              <w:t>来源于市政自来水供水管</w:t>
            </w:r>
            <w:r>
              <w:rPr>
                <w:rFonts w:ascii="Times New Roman" w:hAnsi="Times New Roman" w:eastAsia="宋体" w:cs="Times New Roman"/>
                <w:sz w:val="24"/>
              </w:rPr>
              <w:t>网，年用水量为</w:t>
            </w:r>
            <w:r>
              <w:rPr>
                <w:rFonts w:hint="eastAsia" w:cs="Times New Roman"/>
                <w:sz w:val="24"/>
                <w:lang w:val="en-US" w:eastAsia="zh-CN"/>
              </w:rPr>
              <w:t>3</w:t>
            </w:r>
            <w:r>
              <w:rPr>
                <w:rFonts w:ascii="Times New Roman" w:hAnsi="Times New Roman" w:eastAsia="宋体" w:cs="Times New Roman"/>
                <w:sz w:val="24"/>
              </w:rPr>
              <w:t>t/a，市政</w:t>
            </w:r>
            <w:r>
              <w:rPr>
                <w:rFonts w:hint="eastAsia"/>
                <w:sz w:val="24"/>
              </w:rPr>
              <w:t>供水</w:t>
            </w:r>
            <w:r>
              <w:rPr>
                <w:sz w:val="24"/>
              </w:rPr>
              <w:t>管网供水。</w:t>
            </w:r>
          </w:p>
          <w:p>
            <w:pPr>
              <w:spacing w:line="360" w:lineRule="auto"/>
              <w:ind w:firstLine="480" w:firstLineChars="200"/>
              <w:rPr>
                <w:rFonts w:hint="eastAsia"/>
                <w:sz w:val="24"/>
                <w:highlight w:val="none"/>
              </w:rPr>
            </w:pPr>
            <w:r>
              <w:rPr>
                <w:sz w:val="24"/>
              </w:rPr>
              <w:t>排水：</w:t>
            </w:r>
            <w:r>
              <w:rPr>
                <w:rFonts w:hint="eastAsia" w:hAnsi="宋体"/>
                <w:sz w:val="24"/>
              </w:rPr>
              <w:t>厂</w:t>
            </w:r>
            <w:r>
              <w:rPr>
                <w:rFonts w:hAnsi="宋体"/>
                <w:sz w:val="24"/>
              </w:rPr>
              <w:t>区排水采用雨、污</w:t>
            </w:r>
            <w:r>
              <w:rPr>
                <w:rFonts w:ascii="Times New Roman" w:hAnsi="宋体" w:eastAsia="宋体" w:cs="Times New Roman"/>
                <w:sz w:val="24"/>
              </w:rPr>
              <w:t>水</w:t>
            </w:r>
            <w:r>
              <w:rPr>
                <w:rFonts w:hint="eastAsia" w:ascii="Times New Roman" w:hAnsi="宋体" w:eastAsia="宋体" w:cs="Times New Roman"/>
                <w:sz w:val="24"/>
              </w:rPr>
              <w:t>分</w:t>
            </w:r>
            <w:r>
              <w:rPr>
                <w:rFonts w:ascii="Times New Roman" w:hAnsi="宋体" w:eastAsia="宋体" w:cs="Times New Roman"/>
                <w:sz w:val="24"/>
              </w:rPr>
              <w:t>流制排水系统。</w:t>
            </w:r>
            <w:r>
              <w:rPr>
                <w:rFonts w:hint="eastAsia" w:ascii="Times New Roman" w:hAnsi="宋体" w:eastAsia="宋体" w:cs="Times New Roman"/>
                <w:sz w:val="24"/>
                <w:highlight w:val="none"/>
              </w:rPr>
              <w:t>厂区</w:t>
            </w:r>
            <w:r>
              <w:rPr>
                <w:rFonts w:hint="eastAsia" w:ascii="Times New Roman" w:hAnsi="宋体" w:eastAsia="宋体" w:cs="Times New Roman"/>
                <w:sz w:val="24"/>
                <w:highlight w:val="none"/>
                <w:lang w:val="en-US" w:eastAsia="zh-CN"/>
              </w:rPr>
              <w:t>排放的生活污水经</w:t>
            </w:r>
            <w:r>
              <w:rPr>
                <w:rFonts w:hint="eastAsia" w:ascii="Times New Roman" w:hAnsi="宋体" w:eastAsia="宋体" w:cs="Times New Roman"/>
                <w:sz w:val="24"/>
                <w:highlight w:val="none"/>
              </w:rPr>
              <w:t>化粪池预处理</w:t>
            </w:r>
            <w:r>
              <w:rPr>
                <w:rFonts w:hint="eastAsia" w:ascii="Times New Roman" w:hAnsi="宋体" w:eastAsia="宋体" w:cs="Times New Roman"/>
                <w:sz w:val="24"/>
                <w:highlight w:val="none"/>
                <w:lang w:eastAsia="zh-CN"/>
              </w:rPr>
              <w:t>，</w:t>
            </w:r>
            <w:r>
              <w:rPr>
                <w:rFonts w:hint="eastAsia" w:ascii="Times New Roman" w:hAnsi="宋体" w:eastAsia="宋体" w:cs="Times New Roman"/>
                <w:sz w:val="24"/>
                <w:highlight w:val="none"/>
              </w:rPr>
              <w:t>经</w:t>
            </w:r>
            <w:r>
              <w:rPr>
                <w:rFonts w:hint="eastAsia" w:hAnsi="宋体" w:cs="Times New Roman"/>
                <w:sz w:val="24"/>
                <w:highlight w:val="none"/>
                <w:lang w:eastAsia="zh-CN"/>
              </w:rPr>
              <w:t>市政</w:t>
            </w:r>
            <w:r>
              <w:rPr>
                <w:rFonts w:hint="eastAsia" w:ascii="Times New Roman" w:hAnsi="宋体" w:eastAsia="宋体" w:cs="Times New Roman"/>
                <w:sz w:val="24"/>
                <w:highlight w:val="none"/>
              </w:rPr>
              <w:t>污水管网进入淮南经济技术开发区工业污水处理厂处理，尾水排入淮</w:t>
            </w:r>
            <w:r>
              <w:rPr>
                <w:rFonts w:hint="eastAsia"/>
                <w:sz w:val="24"/>
                <w:highlight w:val="none"/>
              </w:rPr>
              <w:t>河。</w:t>
            </w:r>
          </w:p>
          <w:p>
            <w:pPr>
              <w:pStyle w:val="7"/>
              <w:snapToGrid/>
              <w:spacing w:before="0" w:after="0" w:line="360" w:lineRule="auto"/>
              <w:ind w:firstLine="480"/>
              <w:jc w:val="both"/>
              <w:rPr>
                <w:rFonts w:hint="eastAsia"/>
                <w:kern w:val="2"/>
                <w:sz w:val="24"/>
                <w:szCs w:val="24"/>
                <w:lang w:val="en-US" w:eastAsia="zh-CN"/>
              </w:rPr>
            </w:pPr>
            <w:r>
              <w:rPr>
                <w:rFonts w:hint="eastAsia"/>
                <w:kern w:val="2"/>
                <w:sz w:val="24"/>
                <w:szCs w:val="24"/>
                <w:lang w:val="en-US" w:eastAsia="zh-CN"/>
              </w:rPr>
              <w:t>6、劳动定员及工作制度</w:t>
            </w:r>
          </w:p>
          <w:p>
            <w:pPr>
              <w:pStyle w:val="7"/>
              <w:snapToGrid/>
              <w:spacing w:before="0" w:after="0" w:line="360" w:lineRule="auto"/>
              <w:ind w:firstLine="480"/>
              <w:jc w:val="both"/>
              <w:rPr>
                <w:rFonts w:hint="eastAsia"/>
                <w:sz w:val="24"/>
                <w:lang w:val="en-US" w:eastAsia="zh-CN"/>
              </w:rPr>
            </w:pPr>
            <w:r>
              <w:rPr>
                <w:sz w:val="24"/>
                <w:lang w:val="en-US" w:eastAsia="zh-CN"/>
              </w:rPr>
              <w:t>项目营运期实行</w:t>
            </w:r>
            <w:r>
              <w:rPr>
                <w:rFonts w:hint="eastAsia"/>
                <w:sz w:val="24"/>
                <w:lang w:val="en-US" w:eastAsia="zh-CN"/>
              </w:rPr>
              <w:t>白</w:t>
            </w:r>
            <w:r>
              <w:rPr>
                <w:sz w:val="24"/>
                <w:lang w:val="en-US" w:eastAsia="zh-CN"/>
              </w:rPr>
              <w:t>班制，单班</w:t>
            </w:r>
            <w:r>
              <w:rPr>
                <w:rFonts w:hint="eastAsia"/>
                <w:sz w:val="24"/>
                <w:lang w:val="en-US" w:eastAsia="zh-CN"/>
              </w:rPr>
              <w:t>8</w:t>
            </w:r>
            <w:r>
              <w:rPr>
                <w:sz w:val="24"/>
                <w:lang w:val="en-US" w:eastAsia="zh-CN"/>
              </w:rPr>
              <w:t>小时，职工人数</w:t>
            </w:r>
            <w:r>
              <w:rPr>
                <w:rFonts w:hint="eastAsia"/>
                <w:sz w:val="24"/>
                <w:lang w:val="en-US" w:eastAsia="zh-CN"/>
              </w:rPr>
              <w:t>12</w:t>
            </w:r>
            <w:r>
              <w:rPr>
                <w:sz w:val="24"/>
                <w:lang w:val="en-US" w:eastAsia="zh-CN"/>
              </w:rPr>
              <w:t>人，年工作</w:t>
            </w:r>
            <w:r>
              <w:rPr>
                <w:rFonts w:hint="eastAsia"/>
                <w:sz w:val="24"/>
                <w:lang w:val="en-US" w:eastAsia="zh-CN"/>
              </w:rPr>
              <w:t>200</w:t>
            </w:r>
            <w:r>
              <w:rPr>
                <w:sz w:val="24"/>
                <w:lang w:val="en-US" w:eastAsia="zh-CN"/>
              </w:rPr>
              <w:t>天。</w:t>
            </w:r>
            <w:r>
              <w:rPr>
                <w:rFonts w:hint="eastAsia"/>
                <w:sz w:val="24"/>
                <w:lang w:val="en-US" w:eastAsia="zh-CN"/>
              </w:rPr>
              <w:t>项目区不设置食堂，不安排住宿。</w:t>
            </w:r>
          </w:p>
          <w:p>
            <w:pPr>
              <w:rPr>
                <w:rFonts w:hint="eastAsia"/>
                <w:lang w:val="en-US" w:eastAsia="zh-CN"/>
              </w:rPr>
            </w:pPr>
          </w:p>
          <w:p>
            <w:pPr>
              <w:pStyle w:val="7"/>
              <w:snapToGrid/>
              <w:spacing w:before="0" w:after="0" w:line="360" w:lineRule="auto"/>
              <w:ind w:firstLine="480"/>
              <w:jc w:val="both"/>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7、总平面布置</w:t>
            </w:r>
          </w:p>
          <w:p>
            <w:pPr>
              <w:pStyle w:val="7"/>
              <w:snapToGrid/>
              <w:spacing w:before="0" w:after="0" w:line="360" w:lineRule="auto"/>
              <w:ind w:firstLine="480"/>
              <w:jc w:val="both"/>
              <w:rPr>
                <w:rFonts w:ascii="宋体" w:hAnsi="宋体" w:cs="宋体"/>
                <w:bCs/>
                <w:sz w:val="24"/>
              </w:rPr>
            </w:pPr>
            <w:r>
              <w:rPr>
                <w:rFonts w:ascii="Times New Roman" w:hAnsi="Times New Roman" w:eastAsia="宋体" w:cs="Times New Roman"/>
                <w:sz w:val="24"/>
                <w:lang w:val="en-US" w:eastAsia="zh-CN"/>
              </w:rPr>
              <w:t>项目位于</w:t>
            </w:r>
            <w:r>
              <w:rPr>
                <w:rFonts w:hint="eastAsia" w:cs="Times New Roman"/>
                <w:sz w:val="24"/>
                <w:lang w:val="en-US" w:eastAsia="zh-CN"/>
              </w:rPr>
              <w:t>淮南经济技术开发区</w:t>
            </w:r>
            <w:r>
              <w:rPr>
                <w:rFonts w:hint="eastAsia" w:ascii="Times New Roman" w:hAnsi="Times New Roman" w:eastAsia="宋体" w:cs="Times New Roman"/>
                <w:sz w:val="24"/>
                <w:lang w:val="en-US" w:eastAsia="zh-CN"/>
              </w:rPr>
              <w:t>农科路南侧，淮南群力冶金煤矿机械制造有限公司院内。项目租赁现有厂房</w:t>
            </w:r>
            <w:r>
              <w:rPr>
                <w:rFonts w:ascii="Times New Roman" w:hAnsi="Times New Roman" w:eastAsia="宋体" w:cs="Times New Roman"/>
                <w:sz w:val="24"/>
                <w:lang w:val="en-US" w:eastAsia="zh-CN"/>
              </w:rPr>
              <w:t>，项目周边交通便利</w:t>
            </w:r>
            <w:r>
              <w:rPr>
                <w:rFonts w:hint="eastAsia" w:ascii="Times New Roman" w:hAnsi="Times New Roman" w:eastAsia="宋体" w:cs="Times New Roman"/>
                <w:sz w:val="24"/>
                <w:lang w:val="en-US" w:eastAsia="zh-CN"/>
              </w:rPr>
              <w:t>。根据现场勘查，</w:t>
            </w:r>
            <w:r>
              <w:rPr>
                <w:rFonts w:hint="eastAsia" w:ascii="宋体" w:hAnsi="宋体" w:cs="宋体"/>
                <w:sz w:val="24"/>
              </w:rPr>
              <w:t>东侧为</w:t>
            </w:r>
            <w:r>
              <w:rPr>
                <w:rFonts w:hint="eastAsia" w:ascii="宋体" w:hAnsi="宋体" w:cs="宋体"/>
                <w:bCs/>
                <w:sz w:val="24"/>
                <w:lang w:eastAsia="zh-CN"/>
              </w:rPr>
              <w:t>淮汽汽修厂</w:t>
            </w:r>
            <w:r>
              <w:rPr>
                <w:rFonts w:hint="eastAsia" w:ascii="宋体" w:hAnsi="宋体" w:cs="宋体"/>
                <w:sz w:val="24"/>
              </w:rPr>
              <w:t>，南侧为</w:t>
            </w:r>
            <w:r>
              <w:rPr>
                <w:rFonts w:hint="eastAsia" w:ascii="宋体" w:hAnsi="宋体" w:cs="宋体"/>
                <w:sz w:val="24"/>
                <w:lang w:eastAsia="zh-CN"/>
              </w:rPr>
              <w:t>淮南市新光源特种照明器材有限公司</w:t>
            </w:r>
            <w:r>
              <w:rPr>
                <w:rFonts w:hint="eastAsia" w:ascii="宋体" w:hAnsi="宋体" w:cs="宋体"/>
                <w:sz w:val="24"/>
              </w:rPr>
              <w:t>，西侧为</w:t>
            </w:r>
            <w:r>
              <w:rPr>
                <w:rFonts w:hint="eastAsia" w:ascii="宋体" w:hAnsi="宋体" w:cs="宋体"/>
                <w:sz w:val="24"/>
                <w:lang w:val="en-US" w:eastAsia="zh-CN"/>
              </w:rPr>
              <w:t>淮南市科源印刷包装机械有限公司</w:t>
            </w:r>
            <w:r>
              <w:rPr>
                <w:rFonts w:hint="eastAsia" w:ascii="宋体" w:hAnsi="宋体" w:cs="宋体"/>
                <w:sz w:val="24"/>
                <w:highlight w:val="none"/>
              </w:rPr>
              <w:t>，北侧为</w:t>
            </w:r>
            <w:r>
              <w:rPr>
                <w:rFonts w:hint="eastAsia" w:ascii="Times New Roman" w:hAnsi="Times New Roman" w:eastAsia="宋体" w:cs="Times New Roman"/>
                <w:sz w:val="24"/>
                <w:lang w:val="en-US" w:eastAsia="zh-CN"/>
              </w:rPr>
              <w:t>淮南群力冶金煤矿机械制造有限公司</w:t>
            </w:r>
            <w:r>
              <w:rPr>
                <w:rFonts w:hint="eastAsia" w:ascii="宋体" w:hAnsi="宋体" w:cs="宋体"/>
                <w:sz w:val="24"/>
                <w:highlight w:val="none"/>
              </w:rPr>
              <w:t>。</w:t>
            </w:r>
            <w:r>
              <w:rPr>
                <w:rFonts w:hint="eastAsia" w:ascii="Times New Roman" w:hAnsi="Times New Roman" w:eastAsia="宋体" w:cs="Times New Roman"/>
                <w:i w:val="0"/>
                <w:iCs w:val="0"/>
                <w:sz w:val="24"/>
                <w:highlight w:val="none"/>
                <w:lang w:val="en-US" w:eastAsia="zh-CN"/>
              </w:rPr>
              <w:t>厂区内北侧和南侧设置了生产区，在西侧设置了办公区。总平面布置在功能上分区明确，设计线路清晰</w:t>
            </w:r>
            <w:r>
              <w:rPr>
                <w:rFonts w:ascii="Times New Roman" w:hAnsi="Times New Roman" w:eastAsia="宋体" w:cs="Times New Roman"/>
                <w:i w:val="0"/>
                <w:iCs w:val="0"/>
                <w:sz w:val="24"/>
                <w:highlight w:val="none"/>
                <w:lang w:val="en-US" w:eastAsia="zh-CN"/>
              </w:rPr>
              <w:t>。总体来讲，总平面布置合理</w:t>
            </w:r>
            <w:r>
              <w:rPr>
                <w:rFonts w:hint="eastAsia" w:ascii="Times New Roman" w:hAnsi="Times New Roman" w:eastAsia="宋体" w:cs="Times New Roman"/>
                <w:i w:val="0"/>
                <w:iCs w:val="0"/>
                <w:sz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697" w:type="dxa"/>
            <w:noWrap w:val="0"/>
            <w:vAlign w:val="center"/>
          </w:tcPr>
          <w:p>
            <w:pPr>
              <w:pStyle w:val="24"/>
              <w:adjustRightInd w:val="0"/>
              <w:snapToGrid w:val="0"/>
              <w:spacing w:before="0" w:beforeAutospacing="0" w:after="0" w:afterAutospacing="0"/>
              <w:jc w:val="center"/>
              <w:rPr>
                <w:rFonts w:cs="宋体"/>
                <w:szCs w:val="24"/>
                <w:lang w:val="en-US" w:eastAsia="zh-CN"/>
              </w:rPr>
            </w:pPr>
            <w:r>
              <w:rPr>
                <w:rFonts w:hint="eastAsia" w:cs="宋体"/>
                <w:szCs w:val="24"/>
                <w:lang w:val="en-US" w:eastAsia="zh-CN"/>
              </w:rPr>
              <w:t>工艺流程和产排污环节</w:t>
            </w:r>
          </w:p>
        </w:tc>
        <w:tc>
          <w:tcPr>
            <w:tcW w:w="8363" w:type="dxa"/>
            <w:noWrap w:val="0"/>
            <w:vAlign w:val="top"/>
          </w:tcPr>
          <w:p>
            <w:pPr>
              <w:pStyle w:val="7"/>
              <w:snapToGrid/>
              <w:spacing w:before="0" w:after="0" w:line="360" w:lineRule="auto"/>
              <w:ind w:left="0" w:leftChars="0" w:firstLine="0" w:firstLineChars="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一、施工期工艺流程和产排污节点</w:t>
            </w:r>
          </w:p>
          <w:p>
            <w:pPr>
              <w:spacing w:line="360" w:lineRule="auto"/>
              <w:ind w:firstLine="480"/>
              <w:rPr>
                <w:rFonts w:hint="eastAsia"/>
                <w:color w:val="auto"/>
                <w:sz w:val="24"/>
              </w:rPr>
            </w:pPr>
            <w:r>
              <w:rPr>
                <w:rFonts w:hint="eastAsia"/>
                <w:color w:val="auto"/>
                <w:sz w:val="24"/>
              </w:rPr>
              <w:t>项目</w:t>
            </w:r>
            <w:r>
              <w:rPr>
                <w:rFonts w:hint="eastAsia"/>
                <w:color w:val="auto"/>
                <w:sz w:val="24"/>
                <w:lang w:eastAsia="zh-CN"/>
              </w:rPr>
              <w:t>租用</w:t>
            </w:r>
            <w:r>
              <w:rPr>
                <w:rFonts w:hint="eastAsia"/>
                <w:color w:val="auto"/>
                <w:sz w:val="24"/>
                <w:lang w:val="en-US" w:eastAsia="zh-CN"/>
              </w:rPr>
              <w:t>已建</w:t>
            </w:r>
            <w:r>
              <w:rPr>
                <w:rFonts w:hint="eastAsia"/>
                <w:color w:val="auto"/>
                <w:sz w:val="24"/>
              </w:rPr>
              <w:t>厂房，施工期主要环境问题是项目设备安装产生的污染。</w:t>
            </w:r>
            <w:r>
              <w:rPr>
                <w:color w:val="auto"/>
                <w:sz w:val="24"/>
              </w:rPr>
              <mc:AlternateContent>
                <mc:Choice Requires="wpc">
                  <w:drawing>
                    <wp:inline distT="0" distB="0" distL="114300" distR="114300">
                      <wp:extent cx="5090795" cy="1264285"/>
                      <wp:effectExtent l="0" t="0" r="0" b="10160"/>
                      <wp:docPr id="23" name="画布 258"/>
                      <wp:cNvGraphicFramePr/>
                      <a:graphic xmlns:a="http://schemas.openxmlformats.org/drawingml/2006/main">
                        <a:graphicData uri="http://schemas.microsoft.com/office/word/2010/wordprocessingCanvas">
                          <wpc:wpc>
                            <wpc:bg>
                              <a:noFill/>
                            </wpc:bg>
                            <wpc:whole>
                              <a:ln>
                                <a:noFill/>
                              </a:ln>
                            </wpc:whole>
                            <wps:wsp>
                              <wps:cNvPr id="20" name="直线 267"/>
                              <wps:cNvCnPr/>
                              <wps:spPr>
                                <a:xfrm>
                                  <a:off x="2249518" y="632808"/>
                                  <a:ext cx="5001" cy="357327"/>
                                </a:xfrm>
                                <a:prstGeom prst="line">
                                  <a:avLst/>
                                </a:prstGeom>
                                <a:ln w="9525" cap="flat" cmpd="sng">
                                  <a:solidFill>
                                    <a:srgbClr val="000000"/>
                                  </a:solidFill>
                                  <a:prstDash val="dash"/>
                                  <a:headEnd type="none" w="med" len="med"/>
                                  <a:tailEnd type="triangle" w="med" len="med"/>
                                </a:ln>
                              </wps:spPr>
                              <wps:bodyPr upright="1"/>
                            </wps:wsp>
                            <wps:wsp>
                              <wps:cNvPr id="21" name="文本框 270"/>
                              <wps:cNvSpPr txBox="1"/>
                              <wps:spPr>
                                <a:xfrm>
                                  <a:off x="711778" y="1005439"/>
                                  <a:ext cx="3653904" cy="258846"/>
                                </a:xfrm>
                                <a:prstGeom prst="rect">
                                  <a:avLst/>
                                </a:prstGeom>
                                <a:noFill/>
                                <a:ln w="3175" cap="flat" cmpd="sng">
                                  <a:solidFill>
                                    <a:srgbClr val="000000"/>
                                  </a:solidFill>
                                  <a:prstDash val="dashDot"/>
                                  <a:miter/>
                                  <a:headEnd type="none" w="med" len="med"/>
                                  <a:tailEnd type="none" w="med" len="med"/>
                                </a:ln>
                              </wps:spPr>
                              <wps:txbx>
                                <w:txbxContent>
                                  <w:p>
                                    <w:pPr>
                                      <w:jc w:val="center"/>
                                    </w:pPr>
                                    <w:r>
                                      <w:rPr>
                                        <w:rFonts w:hint="eastAsia"/>
                                        <w:szCs w:val="21"/>
                                        <w:lang w:val="en-US" w:eastAsia="zh-CN"/>
                                      </w:rPr>
                                      <w:t>粉尘</w:t>
                                    </w:r>
                                    <w:r>
                                      <w:rPr>
                                        <w:rFonts w:hint="eastAsia"/>
                                        <w:szCs w:val="21"/>
                                      </w:rPr>
                                      <w:t>、</w:t>
                                    </w:r>
                                    <w:r>
                                      <w:rPr>
                                        <w:rFonts w:hint="eastAsia"/>
                                        <w:szCs w:val="21"/>
                                        <w:lang w:val="en-US" w:eastAsia="zh-CN"/>
                                      </w:rPr>
                                      <w:t>生活污水</w:t>
                                    </w:r>
                                    <w:r>
                                      <w:rPr>
                                        <w:rFonts w:hint="eastAsia"/>
                                        <w:szCs w:val="21"/>
                                      </w:rPr>
                                      <w:t>、</w:t>
                                    </w:r>
                                    <w:r>
                                      <w:rPr>
                                        <w:rFonts w:hint="eastAsia"/>
                                        <w:szCs w:val="21"/>
                                        <w:lang w:val="en-US" w:eastAsia="zh-CN"/>
                                      </w:rPr>
                                      <w:t>施工</w:t>
                                    </w:r>
                                    <w:r>
                                      <w:rPr>
                                        <w:rFonts w:hint="eastAsia"/>
                                        <w:szCs w:val="21"/>
                                      </w:rPr>
                                      <w:t>噪声、</w:t>
                                    </w:r>
                                    <w:r>
                                      <w:rPr>
                                        <w:rFonts w:hint="eastAsia"/>
                                        <w:szCs w:val="21"/>
                                        <w:lang w:val="en-US" w:eastAsia="zh-CN"/>
                                      </w:rPr>
                                      <w:t>建筑垃圾、生活垃圾</w:t>
                                    </w:r>
                                  </w:p>
                                </w:txbxContent>
                              </wps:txbx>
                              <wps:bodyPr vert="horz" wrap="square" lIns="0" tIns="0" rIns="0" bIns="0" anchor="t" anchorCtr="0" upright="1"/>
                            </wps:wsp>
                            <wps:wsp>
                              <wps:cNvPr id="22" name="文本框 264"/>
                              <wps:cNvSpPr txBox="1"/>
                              <wps:spPr>
                                <a:xfrm>
                                  <a:off x="1849455" y="292116"/>
                                  <a:ext cx="735948" cy="304759"/>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设备安装</w:t>
                                    </w:r>
                                  </w:p>
                                </w:txbxContent>
                              </wps:txbx>
                              <wps:bodyPr vert="horz" wrap="square" lIns="0" tIns="45720" rIns="0" bIns="45720" anchor="t" anchorCtr="0" upright="1"/>
                            </wps:wsp>
                          </wpc:wpc>
                        </a:graphicData>
                      </a:graphic>
                    </wp:inline>
                  </w:drawing>
                </mc:Choice>
                <mc:Fallback>
                  <w:pict>
                    <v:group id="画布 258" o:spid="_x0000_s1026" o:spt="203" style="height:99.55pt;width:400.85pt;" coordsize="5090795,1264285" editas="canvas" o:gfxdata="UEsDBAoAAAAAAIdO4kAAAAAAAAAAAAAAAAAEAAAAZHJzL1BLAwQUAAAACACHTuJA5jW8i9YAAAAF&#10;AQAADwAAAGRycy9kb3ducmV2LnhtbE2PQUvDQBCF74L/YRnBi9jdeNA2ZtNDQSwiFNPa8zY7JsHs&#10;bJrdJvXfO+2lvTwY3uO9b7L50bViwD40njQkEwUCqfS2oUrDZv32OAURoiFrWk+o4Q8DzPPbm8yk&#10;1o/0hUMRK8ElFFKjoY6xS6UMZY3OhInvkNj78b0zkc++krY3I5e7Vj4p9SydaYgXatPhosbytzg4&#10;DWO5Grbrz3e5etguPe2X+0Xx/aH1/V2iXkFEPMZLGE74jA45M+38gWwQrQZ+JJ6VvalKXkDsODSb&#10;JSDzTF7T5/9QSwMEFAAAAAgAh07iQPKPajJvAwAAUwoAAA4AAABkcnMvZTJvRG9jLnhtbNWWzY7k&#10;NBDH70i8g+U7k8RJOp1oMisxvTtCQrDSwgO4E+dDcmxju6d7uCLBC6y4wIU7Rw4IDjwNs69B2U66&#10;YXYGlkELYg49FccuV/3r53LOnxwmjq6ZNqMUNU7OYoyYaGQ7ir7Gn37y7L01RsZS0VIuBavxDTP4&#10;ycW775zvVcWIHCRvmUbgRJhqr2o8WKuqKDLNwCZqzqRiAl52Uk/UwqPuo1bTPXifeETieBXtpW6V&#10;lg0zBkY34SWePeo3cSi7bmzYRja7iQkbvGrGqYWUzDAqgy98tF3HGvtx1xlmEa8xZGr9L2wC9tb9&#10;RhfntOo1VcPYzCHQNwnhTk4THQVsenS1oZainR5fczWNjZZGdvaskVMUEvGKQBZJfEebKy13yufS&#10;V/teHUWHQt1R/dFum4+un2s0tjUmKUaCTlDxVy9//vXHLxDJ106eveormHWl1Qv1XM8DfXhyGR86&#10;Pbn/kAs6eGFvjsKyg0UNDOZxGRdljlED7xKyysg6D9I3A9TntXXN8PQvVkbLxpGL7xjOXgGU5qSU&#10;+WdKvRioYr4AxmmwKAXwzEp988Orn35BZFUEpfysSzHLZCoDit2jESFZmSdwzkCNVUrWsReaVie5&#10;4iRoleZFSrzzY8K0UtrYKyYn5Iwa81G4GGlFrz80FgoEU5cpbpgLtK9xmROnP4UT28FJAXNSUHUj&#10;er/WSD62z0bO3Qqj++0l1+iaulPj/1x+4PcP09wmG2qGMK8FK9R0YLR9KlpkbxTQJKCLYBfBxFqM&#10;OIOm4yzwRytLR36aafVIRc8fmA27cwFBuBIHXZ21le0NlGWn9NgPIEbiA50xcPD+GzxAsQIPt19/&#10;dfvt97fffYlI4XuL2x/AcScH2cP7Es6Cj9CNPwBHkSRFEdhI4jjP0jJotcCRrvK0jLPAB5zRdbby&#10;OS8H4lT8mQ8NTfDP+BDS1d3XI6CSJsXbR2UjbchrGi3TfvfHcvMwYfczYw/bA2zoajDjA9chsDNI&#10;/TmQCpcBnIvPdlQDifwDAT3E3RyLoRdjuxhUNLC0xnCognlpww3z31JJ7qFylTnRH0Flss7KLAcs&#10;oGWRkiSJh+7Usoo0LzOg1jX4NM6K3FML+i/Xw9KRHgvlW+9fvrX9D5HM8oIAn3ewnEf/Npr+OoVv&#10;Dd/t5+8i9zHz+2ffhE/fgh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N4FAABbQ29udGVudF9UeXBlc10ueG1sUEsBAhQACgAAAAAAh07iQAAA&#10;AAAAAAAAAAAAAAYAAAAAAAAAAAAQAAAAwAQAAF9yZWxzL1BLAQIUABQAAAAIAIdO4kCKFGY80QAA&#10;AJQBAAALAAAAAAAAAAEAIAAAAOQEAABfcmVscy8ucmVsc1BLAQIUAAoAAAAAAIdO4kAAAAAAAAAA&#10;AAAAAAAEAAAAAAAAAAAAEAAAAAAAAABkcnMvUEsBAhQAFAAAAAgAh07iQOY1vIvWAAAABQEAAA8A&#10;AAAAAAAAAQAgAAAAIgAAAGRycy9kb3ducmV2LnhtbFBLAQIUABQAAAAIAIdO4kDyj2oybwMAAFMK&#10;AAAOAAAAAAAAAAEAIAAAACUBAABkcnMvZTJvRG9jLnhtbFBLBQYAAAAABgAGAFkBAAAGBwAAAAA=&#10;">
                      <o:lock v:ext="edit" aspectratio="f"/>
                      <v:shape id="画布 258" o:spid="_x0000_s1026" style="position:absolute;left:0;top:0;height:1264285;width:5090795;" filled="f" stroked="f" coordsize="21600,21600" o:gfxdata="UEsDBAoAAAAAAIdO4kAAAAAAAAAAAAAAAAAEAAAAZHJzL1BLAwQUAAAACACHTuJA5jW8i9YAAAAF&#10;AQAADwAAAGRycy9kb3ducmV2LnhtbE2PQUvDQBCF74L/YRnBi9jdeNA2ZtNDQSwiFNPa8zY7JsHs&#10;bJrdJvXfO+2lvTwY3uO9b7L50bViwD40njQkEwUCqfS2oUrDZv32OAURoiFrWk+o4Q8DzPPbm8yk&#10;1o/0hUMRK8ElFFKjoY6xS6UMZY3OhInvkNj78b0zkc++krY3I5e7Vj4p9SydaYgXatPhosbytzg4&#10;DWO5Grbrz3e5etguPe2X+0Xx/aH1/V2iXkFEPMZLGE74jA45M+38gWwQrQZ+JJ6VvalKXkDsODSb&#10;JSDzTF7T5/9QSwMEFAAAAAgAh07iQD5FVlQxAwAAzQkAAA4AAABkcnMvZTJvRG9jLnhtbNWWzW7U&#10;MBCA70i8g+U7zc8mm92o2UrsUoSEoFLhAbyJ8yM5drC9P+UB4A24wIU7R05ceJv2NRjbSbctLSqU&#10;CrGH7MSejOfnm0n2D7YtQ2sqVSN4hoM9HyPKc1E0vMrw61eHjyYYKU14QZjgNMMnVOGD2cMH+5su&#10;paGoBSuoRGCEq3TTZbjWuks9T+U1bYnaEx3lsFkK2RINt7LyCkk2YL1lXuj7Y28jZNFJkVOlYHXh&#10;NnFvUd7GoCjLJqcLka9ayrWzKikjGkJSddMpPLPeliXN9cuyVFQjlmGIVNsrHALy0ly92T5JK0m6&#10;usl7F8htXLgSU0saDoeem1oQTdBKNj+ZaptcCiVKvZeL1nOB2IxAFIF/JTdzwtfEBZNDrgcHQfqL&#10;dpeV8ZuLw4YxyIYH1lOzZv43UG1qthm/rORWrG6vs+kAB9Wdg6Hu5uJxTTpqy6jS/MX6SKKmyHAI&#10;ZeOkBSrPPn49+/YdhePElNAcDlpzfiT7O9UdSePytpSt+YdMoy0YCKNpHADhJxkej8KJP3EE0K1G&#10;OezHvh9glMPuKE5GoTXu7ax0UumnVLTICBlmDTc+kpSsnyttkkfSQcUsM442GZ7GYQw2CfRKCYyC&#10;2HYQi+KVfVYJ1hQm+eYJJavlnEm0JoZX+zMOgt1LauaQBVG10ytAcmHUlBRPeIH0SQc54tC/2HjQ&#10;0gIjRqHdjQT2SKpJw3aaWjaEV+wGbTjd1B+qrVKXVyMtRXECZVl1sqlqSEZgHe0xcCW5fx6gWI6H&#10;0w/vTz99Of38DoWJ7eoeiWPgAOntYwHFtR7ugtiVtYcjCYIkcWwEvh9Ho6nL1QDHaByPpn7k+Ajj&#10;ySQa25h3hobi93xIGD+/4uO86QZURkFy/6gshHZxtY2m0tLwp9zcTNj1zOjtcgsHXsAHXkTATi3k&#10;WyAVxjD0xZsVkUAie8ZhhpiZPQhyEJaDQHgOj2YYmsqJc+1m+7+lMryGynFkkv4HVAaTaBrFgAUM&#10;pXAaBoGFjqQDlckonkZArR1afpTEllrI/zD67grlvc8vO9r+QySjODEvpCtY9qu/jaZ7mXa5nfb9&#10;F4n5jLh4b4fw7its9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DmNbyL1gAAAAUBAAAPAAAAAAAA&#10;AAEAIAAAACIAAABkcnMvZG93bnJldi54bWxQSwECFAAUAAAACACHTuJAPkVWVDEDAADNCQAADgAA&#10;AAAAAAABACAAAAAlAQAAZHJzL2Uyb0RvYy54bWxQSwUGAAAAAAYABgBZAQAAyAYAAAAA&#10;">
                        <v:fill on="f" focussize="0,0"/>
                        <v:stroke on="f"/>
                        <v:imagedata o:title=""/>
                        <o:lock v:ext="edit" aspectratio="f"/>
                      </v:shape>
                      <v:line id="直线 267" o:spid="_x0000_s1026" o:spt="20" style="position:absolute;left:2249518;top:632808;height:357327;width:5001;" filled="f" stroked="t" coordsize="21600,21600" o:gfxdata="UEsDBAoAAAAAAIdO4kAAAAAAAAAAAAAAAAAEAAAAZHJzL1BLAwQUAAAACACHTuJALFITsNcAAAAF&#10;AQAADwAAAGRycy9kb3ducmV2LnhtbE2PS0/DMBCE70j8B2uRuCBqB0RpQ5wK8ThxoA0cOG7jbRKI&#10;11HsPuDXs3CBy0irGc18WywOvlc7GmMX2EI2MaCI6+A6biy8vjyez0DFhOywD0wWPinCojw+KjB3&#10;Yc8r2lWpUVLCMUcLbUpDrnWsW/IYJ2EgFm8TRo9JzrHRbsS9lPteXxgz1R47loUWB7prqf6ott7C&#10;9O0ZbzfV8mo5rB7qy+rrPpw9vVt7epKZG1CJDukvDD/4gg6lMK3Dll1UvQV5JP2qeDOTXYNaS2g+&#10;z0CXhf5PX34DUEsDBBQAAAAIAIdO4kBBU59hAgIAAO4DAAAOAAAAZHJzL2Uyb0RvYy54bWytU0tu&#10;2zAQ3RfoHQjua8ly7TiC5SzippuiNZD2ABOSkgjwBw79O0uv0VU3PU6u0aHkxm2KAllUC2moGb55&#10;73G4ujlaw/Yqovau4dNJyZlywkvtuoZ/+Xz3ZskZJnASjHeq4SeF/Gb9+tXqEGpV+d4bqSIjEIf1&#10;ITS8TynURYGiVxZw4oNylGx9tJBoGbtCRjgQujVFVZaL4uCjDNELhUh/N2OSnxHjSwB922qhNl7s&#10;rHJpRI3KQCJJ2OuAfD2wbVsl0qe2RZWYaTgpTcObmlD8kN/FegV1FyH0WpwpwEsoPNNkQTtq+gS1&#10;gQRsF/VfUFaL6NG3aSK8LUYhgyOkYlo+8+a+h6AGLWQ1hifT8f/Bio/7bWRaNrwiSxxYOvHHr98e&#10;v/9g1eIq23MIWFPVrdvG8wrDNmatxzba/CUV7EgA1dvr+ZSm59TwxaxalsvRXXVMTFB+XpZTzgRl&#10;Z/OrWTWAFxeUEDG9V96yHDTcaJelQw37D5ioM5X+Ksm/jWOHhl/PqzlhAs1hS+dPoQ2kBV037EVv&#10;tLzTxuQdGLuHWxPZHvIsDE8mSLh/lOUmG8B+rJMUjTJ6BfKdkyydAnnk6G7wzMAqyZlRdJVyRHhQ&#10;J9DmUpmiBteZf1RTd+OIRHZ59DVHD16e6Fh2IequJzOmA9GcoTEYKJ9HNs/Z7+sB6XJN1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FITsNcAAAAFAQAADwAAAAAAAAABACAAAAAiAAAAZHJzL2Rv&#10;d25yZXYueG1sUEsBAhQAFAAAAAgAh07iQEFTn2ECAgAA7gMAAA4AAAAAAAAAAQAgAAAAJgEAAGRy&#10;cy9lMm9Eb2MueG1sUEsFBgAAAAAGAAYAWQEAAJoFAAAAAA==&#10;">
                        <v:fill on="f" focussize="0,0"/>
                        <v:stroke color="#000000" joinstyle="round" dashstyle="dash" endarrow="block"/>
                        <v:imagedata o:title=""/>
                        <o:lock v:ext="edit" aspectratio="f"/>
                      </v:line>
                      <v:shape id="文本框 270" o:spid="_x0000_s1026" o:spt="202" type="#_x0000_t202" style="position:absolute;left:711778;top:1005439;height:258846;width:3653904;" filled="f" stroked="t" coordsize="21600,21600" o:gfxdata="UEsDBAoAAAAAAIdO4kAAAAAAAAAAAAAAAAAEAAAAZHJzL1BLAwQUAAAACACHTuJAK8t8S9QAAAAF&#10;AQAADwAAAGRycy9kb3ducmV2LnhtbE2PvU7DQBCEeyTe4bRIdOTOFMExPqcIokhHEoIo1/bGduLb&#10;M77L39uz0EAz0mpGM9/m84vr1YnG0Hm2kEwMKOLK1x03Ft43rw8pqBCRa+w9k4UrBZgXtzc5ZrU/&#10;84pO69goKeGQoYU2xiHTOlQtOQwTPxCLt/Ojwyjn2Oh6xLOUu14/GjPVDjuWhRYHWrRUHdZHZ2Fr&#10;PtPV9uP6svgKzbR8222WuNxbe3+XmGdQkS7xLww/+IIOhTCV/sh1UL0FeST+qnipSZ5AlRKazRLQ&#10;Ra7/0xffUEsDBBQAAAAIAIdO4kBbkuuJQQIAAHQEAAAOAAAAZHJzL2Uyb0RvYy54bWytVEuOEzEU&#10;3CNxB8t7pjuZyWeidEZiwiAkBEgDB3Dc7rQl/7CdpMMB4Aas2LDnXDkHZXcygWEzC7LoVNvleu/V&#10;e+75TacV2QofpDUVHVyUlAjDbS3NuqKfPt69mFISIjM1U9aIiu5FoDeL58/mOzcTQ9taVQtPIGLC&#10;bOcq2sboZkUReCs0CxfWCYPNxnrNIl79uqg920Fdq2JYluNiZ33tvOUiBKwu+016VPRPEbRNI7lY&#10;Wr7RwsRe1QvFIkoKrXSBLnK2TSN4fN80QUSiKopKY34iCPAqPYvFnM3WnrlW8mMK7CkpPKpJM2kQ&#10;9EFqySIjGy//kdKSextsEy+41UVfSHYEVQzKR97ct8yJXAusDu7B9PD/ZPm77QdPZF3R4YASwzQ6&#10;fvj+7fDj1+HnVzKcZId2LsxAvHegxu6l7TA3ybm0HrCYCu8ar9M/SiLYnwwGkwkmaQ9qWY6uLq97&#10;q0UXCcf+5Xh0eV1eUcLBGI6m06txIhRnIedDfC2sJglU1KOV2WG2fRtiTz1RUlxj76RSuZ3KkB0i&#10;DCYjyDOMaIPRANQOZQazzjLBKlmnI+lw8OvVrfJky9KY5N8xm79oKd6Shbbn1UBLG/u6tIzC5+it&#10;YPUrU5O4d/DS4A7RlI4WNSVK4MollJmRSfUUJkxRBt6c7U4odqsOMgmubL1Ha3CpYVRr/RdExEij&#10;2M8b5hFfvTGYmTT/J+BPYHUCzHAcrSic6uFt7O/Jxnm5bqGce56zwDDmXh0vTpr2P99zruePxe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8t8S9QAAAAFAQAADwAAAAAAAAABACAAAAAiAAAAZHJz&#10;L2Rvd25yZXYueG1sUEsBAhQAFAAAAAgAh07iQFuS64lBAgAAdAQAAA4AAAAAAAAAAQAgAAAAIwEA&#10;AGRycy9lMm9Eb2MueG1sUEsFBgAAAAAGAAYAWQEAANYFAAAAAA==&#10;">
                        <v:fill on="f" focussize="0,0"/>
                        <v:stroke weight="0.25pt" color="#000000" joinstyle="miter" dashstyle="dashDot"/>
                        <v:imagedata o:title=""/>
                        <o:lock v:ext="edit" aspectratio="f"/>
                        <v:textbox inset="0mm,0mm,0mm,0mm">
                          <w:txbxContent>
                            <w:p>
                              <w:pPr>
                                <w:jc w:val="center"/>
                              </w:pPr>
                              <w:r>
                                <w:rPr>
                                  <w:rFonts w:hint="eastAsia"/>
                                  <w:szCs w:val="21"/>
                                  <w:lang w:val="en-US" w:eastAsia="zh-CN"/>
                                </w:rPr>
                                <w:t>粉尘</w:t>
                              </w:r>
                              <w:r>
                                <w:rPr>
                                  <w:rFonts w:hint="eastAsia"/>
                                  <w:szCs w:val="21"/>
                                </w:rPr>
                                <w:t>、</w:t>
                              </w:r>
                              <w:r>
                                <w:rPr>
                                  <w:rFonts w:hint="eastAsia"/>
                                  <w:szCs w:val="21"/>
                                  <w:lang w:val="en-US" w:eastAsia="zh-CN"/>
                                </w:rPr>
                                <w:t>生活污水</w:t>
                              </w:r>
                              <w:r>
                                <w:rPr>
                                  <w:rFonts w:hint="eastAsia"/>
                                  <w:szCs w:val="21"/>
                                </w:rPr>
                                <w:t>、</w:t>
                              </w:r>
                              <w:r>
                                <w:rPr>
                                  <w:rFonts w:hint="eastAsia"/>
                                  <w:szCs w:val="21"/>
                                  <w:lang w:val="en-US" w:eastAsia="zh-CN"/>
                                </w:rPr>
                                <w:t>施工</w:t>
                              </w:r>
                              <w:r>
                                <w:rPr>
                                  <w:rFonts w:hint="eastAsia"/>
                                  <w:szCs w:val="21"/>
                                </w:rPr>
                                <w:t>噪声、</w:t>
                              </w:r>
                              <w:r>
                                <w:rPr>
                                  <w:rFonts w:hint="eastAsia"/>
                                  <w:szCs w:val="21"/>
                                  <w:lang w:val="en-US" w:eastAsia="zh-CN"/>
                                </w:rPr>
                                <w:t>建筑垃圾、生活垃圾</w:t>
                              </w:r>
                            </w:p>
                          </w:txbxContent>
                        </v:textbox>
                      </v:shape>
                      <v:shape id="文本框 264" o:spid="_x0000_s1026" o:spt="202" type="#_x0000_t202" style="position:absolute;left:1849455;top:292116;height:304759;width:735948;" filled="f" stroked="t" coordsize="21600,21600" o:gfxdata="UEsDBAoAAAAAAIdO4kAAAAAAAAAAAAAAAAAEAAAAZHJzL1BLAwQUAAAACACHTuJAzDAsqtIAAAAF&#10;AQAADwAAAGRycy9kb3ducmV2LnhtbE2PzU7DMBCE70i8g7VI3KiTIkEb4lSohRuXJojzNt4mgXgd&#10;2e7f27NwgctIqxnNfFuuzm5URwpx8Gwgn2WgiFtvB+4MvDevdwtQMSFbHD2TgQtFWFXXVyUW1p94&#10;S8c6dUpKOBZooE9pKrSObU8O48xPxOLtfXCY5AydtgFPUu5GPc+yB+1wYFnocaJ1T+1XfXAGwv7y&#10;9vmyQXpeN/db/tjMsW6cMbc3efYEKtE5/YXhB1/QoRKmnT+wjWo0II+kXxVvkeWPoHYSWi5z0FWp&#10;/9NX31BLAwQUAAAACACHTuJAV1veqUUCAAB5BAAADgAAAGRycy9lMm9Eb2MueG1srVTNjtMwEL4j&#10;8Q6W7zRtNu1uq6YrsWUREgKkhQdwHSex5D/GbpPyAPAGnPbCnefqczB22t1lufRAD+nYM/lmvm9m&#10;srzutSI7AV5aU9LJaEyJMNxW0jQl/fL59tUVJT4wUzFljSjpXnh6vXr5Ytm5hchta1UlgCCI8YvO&#10;lbQNwS2yzPNWaOZH1gmDztqCZgGP0GQVsA7Rtcry8XiWdRYqB5YL7/F2PTjpERHOAbR1LblYW77V&#10;woQBFYRiASn5VjpPV6nauhY8fKxrLwJRJUWmIT0xCdqb+MxWS7ZogLlW8mMJ7JwSnnHSTBpM+gC1&#10;ZoGRLch/oLTkYL2tw4hbnQ1EkiLIYjJ+ps1dy5xIXFBq7x5E9/8Pln/YfQIiq5LmOSWGaez44eeP&#10;w/3vw6/vJJ8VUaHO+QUG3jkMDf1r2+PcnO49XkbifQ06/iMlEv1XxbyYTinZI/I8n0xmg9SiD4Sj&#10;//JiOi9w0jj6L8bF5XQe/dkjjgMf3gqrSTRKCtjJJDDbvfdhCD2FxLTG3kqlUjeVIV1J59Mcs3OG&#10;E1rjZKCpHbL0pkkw3ipZxVfiyx6azY0CsmNxStLvWM1fYTHfmvl2iEuugZSWQUDK3QpWvTEVCXuH&#10;QhpcIBqL0aKiRAnct2ilyMCkOicSJVEGlYk9GLSOVug3PcJEc2OrPfYFNxplai18w4w4z0j165YB&#10;5lfvDA5MHP5kFNPLHA9wut08vWWGI0RJUa/BvAnDsmwdyKbFDKnxqRqcyNSx4/bEkX96TjU/fjF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MMCyq0gAAAAUBAAAPAAAAAAAAAAEAIAAAACIAAABk&#10;cnMvZG93bnJldi54bWxQSwECFAAUAAAACACHTuJAV1veqUUCAAB5BAAADgAAAAAAAAABACAAAAAh&#10;AQAAZHJzL2Uyb0RvYy54bWxQSwUGAAAAAAYABgBZAQAA2AUAAAAA&#10;">
                        <v:fill on="f" focussize="0,0"/>
                        <v:stroke color="#000000" joinstyle="miter"/>
                        <v:imagedata o:title=""/>
                        <o:lock v:ext="edit" aspectratio="f"/>
                        <v:textbox inset="0mm,72,0mm,72">
                          <w:txbxContent>
                            <w:p>
                              <w:pPr>
                                <w:jc w:val="center"/>
                              </w:pPr>
                              <w:r>
                                <w:rPr>
                                  <w:rFonts w:hint="eastAsia"/>
                                </w:rPr>
                                <w:t>设备安装</w:t>
                              </w:r>
                            </w:p>
                          </w:txbxContent>
                        </v:textbox>
                      </v:shape>
                      <w10:wrap type="none"/>
                      <w10:anchorlock/>
                    </v:group>
                  </w:pict>
                </mc:Fallback>
              </mc:AlternateContent>
            </w:r>
          </w:p>
          <w:p>
            <w:pPr>
              <w:pStyle w:val="7"/>
              <w:snapToGrid/>
              <w:spacing w:before="0" w:after="0" w:line="360" w:lineRule="auto"/>
              <w:ind w:firstLine="0" w:firstLineChars="0"/>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图2-1 施工期工艺流程及产污节点图</w:t>
            </w:r>
          </w:p>
          <w:p>
            <w:pPr>
              <w:pStyle w:val="7"/>
              <w:pageBreakBefore w:val="0"/>
              <w:widowControl w:val="0"/>
              <w:kinsoku/>
              <w:wordWrap/>
              <w:overflowPunct/>
              <w:topLinePunct w:val="0"/>
              <w:autoSpaceDE/>
              <w:autoSpaceDN/>
              <w:bidi w:val="0"/>
              <w:adjustRightInd/>
              <w:snapToGrid/>
              <w:spacing w:before="0" w:after="0" w:line="400" w:lineRule="exact"/>
              <w:ind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施工期工艺流程概述</w:t>
            </w:r>
          </w:p>
          <w:p>
            <w:pPr>
              <w:pStyle w:val="7"/>
              <w:pageBreakBefore w:val="0"/>
              <w:widowControl w:val="0"/>
              <w:kinsoku/>
              <w:wordWrap/>
              <w:overflowPunct/>
              <w:topLinePunct w:val="0"/>
              <w:autoSpaceDE/>
              <w:autoSpaceDN/>
              <w:bidi w:val="0"/>
              <w:adjustRightInd/>
              <w:snapToGrid/>
              <w:spacing w:before="0" w:beforeLines="0" w:after="0" w:afterLines="0" w:line="360" w:lineRule="auto"/>
              <w:ind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本项目位于</w:t>
            </w:r>
            <w:r>
              <w:rPr>
                <w:rFonts w:hint="eastAsia" w:cs="Times New Roman"/>
                <w:sz w:val="24"/>
                <w:lang w:val="en-US" w:eastAsia="zh-CN"/>
              </w:rPr>
              <w:t>淮南经济技术开发区</w:t>
            </w:r>
            <w:r>
              <w:rPr>
                <w:rFonts w:hint="eastAsia" w:ascii="Times New Roman" w:hAnsi="Times New Roman" w:eastAsia="宋体" w:cs="Times New Roman"/>
                <w:sz w:val="24"/>
                <w:lang w:val="en-US" w:eastAsia="zh-CN"/>
              </w:rPr>
              <w:t>农科路南侧</w:t>
            </w:r>
            <w:r>
              <w:rPr>
                <w:rFonts w:hint="eastAsia" w:ascii="Times New Roman" w:hAnsi="Times New Roman" w:eastAsia="宋体" w:cs="Times New Roman"/>
                <w:color w:val="auto"/>
                <w:sz w:val="24"/>
                <w:lang w:val="en-US" w:eastAsia="zh-CN"/>
              </w:rPr>
              <w:t>，现场查勘土建工程已完工，利用现有厂房，无土方开挖、结构等施工期作业。施工期主要为设备安装，工期较短，施工期主要产生的环境影响为：施工人员产生的少量生活废水、生活垃圾，施工过程产生的少量施工废料、施工噪声等。施工期对环境影响不大。本环评重点对项目营运期进行工程分析。</w:t>
            </w:r>
          </w:p>
          <w:p>
            <w:pPr>
              <w:pStyle w:val="7"/>
              <w:pageBreakBefore w:val="0"/>
              <w:widowControl w:val="0"/>
              <w:kinsoku/>
              <w:wordWrap/>
              <w:overflowPunct/>
              <w:topLinePunct w:val="0"/>
              <w:autoSpaceDE/>
              <w:autoSpaceDN/>
              <w:bidi w:val="0"/>
              <w:adjustRightInd/>
              <w:snapToGrid/>
              <w:spacing w:before="0" w:beforeLines="0" w:after="0" w:afterLines="0" w:line="360" w:lineRule="auto"/>
              <w:ind w:firstLine="0" w:firstLineChars="0"/>
              <w:jc w:val="both"/>
              <w:textAlignment w:val="auto"/>
              <w:rPr>
                <w:rFonts w:hint="eastAsia"/>
                <w:color w:val="auto"/>
                <w:kern w:val="2"/>
                <w:sz w:val="24"/>
                <w:szCs w:val="24"/>
                <w:lang w:val="en-US" w:eastAsia="zh-CN"/>
              </w:rPr>
            </w:pPr>
            <w:r>
              <w:rPr>
                <w:rFonts w:hint="eastAsia"/>
                <w:color w:val="auto"/>
                <w:sz w:val="24"/>
                <w:lang w:val="en-US" w:eastAsia="zh-CN"/>
              </w:rPr>
              <w:t>二</w:t>
            </w:r>
            <w:r>
              <w:rPr>
                <w:rFonts w:hint="eastAsia"/>
                <w:color w:val="auto"/>
                <w:kern w:val="2"/>
                <w:sz w:val="24"/>
                <w:szCs w:val="24"/>
                <w:lang w:val="en-US" w:eastAsia="zh-CN"/>
              </w:rPr>
              <w:t>、运营期</w:t>
            </w:r>
            <w:r>
              <w:rPr>
                <w:color w:val="auto"/>
                <w:kern w:val="2"/>
                <w:sz w:val="24"/>
                <w:szCs w:val="24"/>
                <w:lang w:val="en-US" w:eastAsia="zh-CN"/>
              </w:rPr>
              <w:t>工艺流程和产排污</w:t>
            </w:r>
            <w:r>
              <w:rPr>
                <w:rFonts w:hint="eastAsia"/>
                <w:color w:val="auto"/>
                <w:kern w:val="2"/>
                <w:sz w:val="24"/>
                <w:szCs w:val="24"/>
                <w:lang w:val="en-US" w:eastAsia="zh-CN"/>
              </w:rPr>
              <w:t>节点</w:t>
            </w:r>
          </w:p>
          <w:p>
            <w:pPr>
              <w:pageBreakBefore w:val="0"/>
              <w:widowControl w:val="0"/>
              <w:tabs>
                <w:tab w:val="left" w:pos="2700"/>
              </w:tabs>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1、</w:t>
            </w:r>
            <w:r>
              <w:rPr>
                <w:rFonts w:hint="eastAsia"/>
                <w:color w:val="auto"/>
                <w:sz w:val="24"/>
                <w:lang w:val="en-US" w:eastAsia="zh-CN"/>
              </w:rPr>
              <w:t>项目</w:t>
            </w:r>
            <w:r>
              <w:rPr>
                <w:color w:val="auto"/>
                <w:sz w:val="24"/>
              </w:rPr>
              <w:t>生产工艺流程</w:t>
            </w:r>
          </w:p>
          <w:p>
            <w:pPr>
              <w:pStyle w:val="2"/>
              <w:ind w:left="0" w:leftChars="0" w:firstLine="0" w:firstLineChars="0"/>
              <w:jc w:val="both"/>
              <w:rPr>
                <w:rFonts w:hint="eastAsia" w:eastAsia="宋体"/>
                <w:color w:val="auto"/>
                <w:sz w:val="24"/>
                <w:lang w:eastAsia="zh-CN"/>
              </w:rPr>
            </w:pPr>
            <w:r>
              <w:rPr>
                <w:rFonts w:hint="eastAsia" w:eastAsia="宋体"/>
                <w:color w:val="auto"/>
                <w:sz w:val="24"/>
                <w:lang w:eastAsia="zh-CN"/>
              </w:rPr>
              <w:drawing>
                <wp:inline distT="0" distB="0" distL="114300" distR="114300">
                  <wp:extent cx="5327650" cy="1611630"/>
                  <wp:effectExtent l="0" t="0" r="0" b="0"/>
                  <wp:docPr id="26"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CB019B1-382A-4266-B25C-5B523AA43C14-1" descr="wps"/>
                          <pic:cNvPicPr>
                            <a:picLocks noChangeAspect="1"/>
                          </pic:cNvPicPr>
                        </pic:nvPicPr>
                        <pic:blipFill>
                          <a:blip r:embed="rId8"/>
                          <a:stretch>
                            <a:fillRect/>
                          </a:stretch>
                        </pic:blipFill>
                        <pic:spPr>
                          <a:xfrm>
                            <a:off x="0" y="0"/>
                            <a:ext cx="5327650" cy="1611630"/>
                          </a:xfrm>
                          <a:prstGeom prst="rect">
                            <a:avLst/>
                          </a:prstGeom>
                        </pic:spPr>
                      </pic:pic>
                    </a:graphicData>
                  </a:graphic>
                </wp:inline>
              </w:drawing>
            </w:r>
          </w:p>
          <w:p>
            <w:pPr>
              <w:rPr>
                <w:color w:val="auto"/>
                <w:sz w:val="24"/>
              </w:rPr>
            </w:pPr>
            <w:r>
              <w:rPr>
                <w:color w:val="auto"/>
                <w:sz w:val="21"/>
              </w:rPr>
              <mc:AlternateContent>
                <mc:Choice Requires="wps">
                  <w:drawing>
                    <wp:anchor distT="0" distB="0" distL="114300" distR="114300" simplePos="0" relativeHeight="251661312" behindDoc="0" locked="0" layoutInCell="1" allowOverlap="1">
                      <wp:simplePos x="0" y="0"/>
                      <wp:positionH relativeFrom="column">
                        <wp:posOffset>1256665</wp:posOffset>
                      </wp:positionH>
                      <wp:positionV relativeFrom="paragraph">
                        <wp:posOffset>151765</wp:posOffset>
                      </wp:positionV>
                      <wp:extent cx="3234055" cy="439420"/>
                      <wp:effectExtent l="4445" t="5080" r="19050" b="12700"/>
                      <wp:wrapNone/>
                      <wp:docPr id="24" name="文本框 986"/>
                      <wp:cNvGraphicFramePr/>
                      <a:graphic xmlns:a="http://schemas.openxmlformats.org/drawingml/2006/main">
                        <a:graphicData uri="http://schemas.microsoft.com/office/word/2010/wordprocessingShape">
                          <wps:wsp>
                            <wps:cNvSpPr txBox="1"/>
                            <wps:spPr>
                              <a:xfrm>
                                <a:off x="0" y="0"/>
                                <a:ext cx="3234055" cy="4394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default" w:eastAsia="宋体"/>
                                      <w:sz w:val="24"/>
                                      <w:szCs w:val="24"/>
                                      <w:lang w:val="en-US" w:eastAsia="zh-CN"/>
                                    </w:rPr>
                                  </w:pPr>
                                  <w:r>
                                    <w:rPr>
                                      <w:rFonts w:hint="eastAsia"/>
                                      <w:sz w:val="24"/>
                                      <w:szCs w:val="24"/>
                                      <w:lang w:val="en-US" w:eastAsia="zh-CN"/>
                                    </w:rPr>
                                    <w:t>图2</w:t>
                                  </w:r>
                                  <w:r>
                                    <w:rPr>
                                      <w:rFonts w:hint="eastAsia" w:ascii="Times New Roman" w:hAnsi="Times New Roman" w:eastAsia="宋体" w:cs="Times New Roman"/>
                                      <w:sz w:val="24"/>
                                      <w:szCs w:val="24"/>
                                      <w:lang w:val="en-US" w:eastAsia="zh-CN"/>
                                    </w:rPr>
                                    <w:t>-2 酸洗及机加工工艺及产排污流程</w:t>
                                  </w:r>
                                  <w:r>
                                    <w:rPr>
                                      <w:rFonts w:hint="eastAsia" w:cs="Times New Roman"/>
                                      <w:sz w:val="24"/>
                                      <w:szCs w:val="24"/>
                                      <w:lang w:val="en-US" w:eastAsia="zh-CN"/>
                                    </w:rPr>
                                    <w:t>图</w:t>
                                  </w:r>
                                </w:p>
                              </w:txbxContent>
                            </wps:txbx>
                            <wps:bodyPr vert="horz" wrap="square" anchor="t" anchorCtr="0" upright="1"/>
                          </wps:wsp>
                        </a:graphicData>
                      </a:graphic>
                    </wp:anchor>
                  </w:drawing>
                </mc:Choice>
                <mc:Fallback>
                  <w:pict>
                    <v:shape id="文本框 986" o:spid="_x0000_s1026" o:spt="202" type="#_x0000_t202" style="position:absolute;left:0pt;margin-left:98.95pt;margin-top:11.95pt;height:34.6pt;width:254.65pt;z-index:251661312;mso-width-relative:page;mso-height-relative:page;" fillcolor="#FFFFFF" filled="t" stroked="t" coordsize="21600,21600" o:gfxdata="UEsDBAoAAAAAAIdO4kAAAAAAAAAAAAAAAAAEAAAAZHJzL1BLAwQUAAAACACHTuJA8oyGKNcAAAAJ&#10;AQAADwAAAGRycy9kb3ducmV2LnhtbE2PwU7DMAyG70i8Q2QkLmhLmkmUdk0nNIE4b3DhlrVeW9E4&#10;bZOtG0+POcHJ+uVPvz8Xm4vrxRmn0HkykCwVCKTK1x01Bj7eXxdPIEK0VNveExq4YoBNeXtT2Lz2&#10;M+3wvI+N4BIKuTXQxjjkUoaqRWfD0g9IvDv6ydnIcWpkPdmZy10vtVKP0tmO+EJrB9y2WH3tT86A&#10;n1+uzuOo9MPnt3vbPo+7ox6Nub9L1BpExEv8g+FXn9WhZKeDP1EdRM85SzNGDegVTwZSlWoQBwPZ&#10;KgFZFvL/B+UPUEsDBBQAAAAIAIdO4kAAAl2IKgIAAGwEAAAOAAAAZHJzL2Uyb0RvYy54bWytVEuO&#10;EzEQ3SNxB8t70pl8RpMonZGYEDYIkAYO4LjdaUv+YTvpDgeAG7Biw55z5Rw8uzMZZthkQS+6y3b5&#10;Vb1XVb247bQie+GDtKakV4MhJcJwW0mzLennT+tXN5SEyEzFlDWipAcR6O3y5YtF6+ZiZBurKuEJ&#10;QEyYt66kTYxuXhSBN0KzMLBOGBzW1msWsfTbovKsBbpWxWg4vC5a6yvnLRchYHfVH9ITor8E0Na1&#10;5GJl+U4LE3tULxSLoBQa6QJd5mzrWvD4oa6DiESVFExjfiMI7E16F8sFm289c43kpxTYJSk846SZ&#10;NAh6hlqxyMjOy3+gtOTeBlvHAbe66IlkRcDiavhMm/uGOZG5QOrgzqKH/wfL3+8/eiKrko4mlBim&#10;UfHjj+/Hn7+Pv76R2c11Uqh1YQ7HewfX2L22HfrmYT9gMxHvaq/TF5QIzqHv4ayv6CLh2ByPxpPh&#10;dEoJx9lkPJuMcgGKx9vOh/hWWE2SUVKP+mVZ2f5diMgErg8uKViwSlZrqVRe+O3mTnmyZ6j1Oj8p&#10;SVx54qYMaUs6m45SHgwNXKNxYGoHEYLZ5nhPboTLgFNiKxaaPoGM0LeXllH43GiNYNUbU5F4cNDZ&#10;YL5oSkaLihIlMI7Jyp6RSXWJJ9gpA5KpRH0pkhW7TQeYZG5sdUDZMPDQs7H+KyKi3UH1y455xGeG&#10;Y7uk0KA372I/Hzvn5bbBrVzrHAFNmAU9DUzq8r/XOY/Hn8Ty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KMhijXAAAACQEAAA8AAAAAAAAAAQAgAAAAIgAAAGRycy9kb3ducmV2LnhtbFBLAQIUABQA&#10;AAAIAIdO4kAAAl2IKgIAAGwEAAAOAAAAAAAAAAEAIAAAACYBAABkcnMvZTJvRG9jLnhtbFBLBQYA&#10;AAAABgAGAFkBAADCBQAAAAA=&#10;">
                      <v:fill on="t" focussize="0,0"/>
                      <v:stroke color="#FFFFFF" joinstyle="miter"/>
                      <v:imagedata o:title=""/>
                      <o:lock v:ext="edit" aspectratio="f"/>
                      <v:textbox>
                        <w:txbxContent>
                          <w:p>
                            <w:pPr>
                              <w:rPr>
                                <w:rFonts w:hint="default" w:eastAsia="宋体"/>
                                <w:sz w:val="24"/>
                                <w:szCs w:val="24"/>
                                <w:lang w:val="en-US" w:eastAsia="zh-CN"/>
                              </w:rPr>
                            </w:pPr>
                            <w:r>
                              <w:rPr>
                                <w:rFonts w:hint="eastAsia"/>
                                <w:sz w:val="24"/>
                                <w:szCs w:val="24"/>
                                <w:lang w:val="en-US" w:eastAsia="zh-CN"/>
                              </w:rPr>
                              <w:t>图2</w:t>
                            </w:r>
                            <w:r>
                              <w:rPr>
                                <w:rFonts w:hint="eastAsia" w:ascii="Times New Roman" w:hAnsi="Times New Roman" w:eastAsia="宋体" w:cs="Times New Roman"/>
                                <w:sz w:val="24"/>
                                <w:szCs w:val="24"/>
                                <w:lang w:val="en-US" w:eastAsia="zh-CN"/>
                              </w:rPr>
                              <w:t>-2 酸洗及机加工工艺及产排污流程</w:t>
                            </w:r>
                            <w:r>
                              <w:rPr>
                                <w:rFonts w:hint="eastAsia" w:cs="Times New Roman"/>
                                <w:sz w:val="24"/>
                                <w:szCs w:val="24"/>
                                <w:lang w:val="en-US" w:eastAsia="zh-CN"/>
                              </w:rPr>
                              <w:t>图</w:t>
                            </w:r>
                          </w:p>
                        </w:txbxContent>
                      </v:textbox>
                    </v:shape>
                  </w:pict>
                </mc:Fallback>
              </mc:AlternateContent>
            </w:r>
          </w:p>
          <w:p>
            <w:pPr>
              <w:pStyle w:val="2"/>
              <w:rPr>
                <w:rFonts w:hint="eastAsia" w:eastAsia="宋体"/>
                <w:color w:val="auto"/>
                <w:sz w:val="24"/>
                <w:lang w:val="en-US" w:eastAsia="zh-CN"/>
              </w:rPr>
            </w:pPr>
          </w:p>
          <w:p>
            <w:pPr>
              <w:rPr>
                <w:color w:val="auto"/>
                <w:sz w:val="24"/>
              </w:rPr>
            </w:pPr>
          </w:p>
          <w:p>
            <w:pPr>
              <w:spacing w:line="360" w:lineRule="auto"/>
              <w:ind w:firstLine="480"/>
              <w:rPr>
                <w:rFonts w:hint="eastAsia" w:ascii="Times New Roman" w:hAnsi="Times New Roman" w:eastAsia="宋体" w:cs="Times New Roman"/>
                <w:color w:val="auto"/>
                <w:sz w:val="24"/>
              </w:rPr>
            </w:pPr>
          </w:p>
          <w:p>
            <w:pPr>
              <w:spacing w:line="360" w:lineRule="auto"/>
              <w:ind w:firstLine="48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drawing>
                <wp:inline distT="0" distB="0" distL="114300" distR="114300">
                  <wp:extent cx="5170805" cy="2288540"/>
                  <wp:effectExtent l="0" t="0" r="0" b="0"/>
                  <wp:docPr id="59" name="ECB019B1-382A-4266-B25C-5B523AA43C14-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ECB019B1-382A-4266-B25C-5B523AA43C14-2" descr="wps"/>
                          <pic:cNvPicPr>
                            <a:picLocks noChangeAspect="1"/>
                          </pic:cNvPicPr>
                        </pic:nvPicPr>
                        <pic:blipFill>
                          <a:blip r:embed="rId9"/>
                          <a:stretch>
                            <a:fillRect/>
                          </a:stretch>
                        </pic:blipFill>
                        <pic:spPr>
                          <a:xfrm>
                            <a:off x="0" y="0"/>
                            <a:ext cx="5170805" cy="2288540"/>
                          </a:xfrm>
                          <a:prstGeom prst="rect">
                            <a:avLst/>
                          </a:prstGeom>
                          <a:noFill/>
                          <a:ln>
                            <a:noFill/>
                          </a:ln>
                        </pic:spPr>
                      </pic:pic>
                    </a:graphicData>
                  </a:graphic>
                </wp:inline>
              </w:drawing>
            </w:r>
          </w:p>
          <w:p>
            <w:pPr>
              <w:spacing w:line="360" w:lineRule="auto"/>
              <w:ind w:firstLine="480"/>
              <w:rPr>
                <w:rFonts w:hint="eastAsia" w:ascii="Times New Roman" w:hAnsi="Times New Roman" w:eastAsia="宋体" w:cs="Times New Roman"/>
                <w:color w:val="auto"/>
                <w:sz w:val="24"/>
              </w:rPr>
            </w:pPr>
          </w:p>
          <w:p>
            <w:pPr>
              <w:spacing w:line="360" w:lineRule="auto"/>
              <w:jc w:val="center"/>
              <w:rPr>
                <w:rFonts w:hint="eastAsia" w:ascii="Times New Roman" w:hAnsi="Times New Roman" w:eastAsia="宋体" w:cs="Times New Roman"/>
                <w:color w:val="auto"/>
                <w:sz w:val="24"/>
                <w:lang w:eastAsia="zh-CN"/>
              </w:rPr>
            </w:pPr>
            <w:r>
              <w:rPr>
                <w:rFonts w:hint="eastAsia" w:cs="Times New Roman"/>
                <w:color w:val="auto"/>
                <w:sz w:val="24"/>
                <w:lang w:eastAsia="zh-CN"/>
              </w:rPr>
              <w:t>图</w:t>
            </w:r>
            <w:r>
              <w:rPr>
                <w:rFonts w:hint="eastAsia" w:cs="Times New Roman"/>
                <w:color w:val="auto"/>
                <w:sz w:val="24"/>
                <w:lang w:val="en-US" w:eastAsia="zh-CN"/>
              </w:rPr>
              <w:t xml:space="preserve">2-3 </w:t>
            </w:r>
            <w:r>
              <w:rPr>
                <w:rFonts w:hint="eastAsia" w:ascii="Times New Roman" w:hAnsi="Times New Roman" w:eastAsia="宋体" w:cs="Times New Roman"/>
                <w:color w:val="auto"/>
                <w:sz w:val="24"/>
                <w:lang w:eastAsia="zh-CN"/>
              </w:rPr>
              <w:t>项目废水处理工艺流程</w:t>
            </w:r>
          </w:p>
          <w:p>
            <w:pPr>
              <w:spacing w:line="360" w:lineRule="auto"/>
              <w:ind w:firstLine="480"/>
              <w:rPr>
                <w:rFonts w:hint="eastAsia" w:ascii="Times New Roman" w:hAnsi="Times New Roman" w:eastAsia="宋体" w:cs="Times New Roman"/>
                <w:color w:val="auto"/>
                <w:sz w:val="24"/>
                <w:lang w:val="en-US" w:eastAsia="zh-CN"/>
              </w:rPr>
            </w:pPr>
            <w:r>
              <w:rPr>
                <w:rFonts w:hint="eastAsia" w:cs="Times New Roman"/>
                <w:color w:val="auto"/>
                <w:sz w:val="24"/>
                <w:lang w:val="en-US" w:eastAsia="zh-CN"/>
              </w:rPr>
              <w:t>1、酸洗及机加工</w:t>
            </w:r>
          </w:p>
          <w:p>
            <w:pPr>
              <w:pStyle w:val="15"/>
              <w:keepNext w:val="0"/>
              <w:keepLines w:val="0"/>
              <w:pageBreakBefore w:val="0"/>
              <w:widowControl/>
              <w:kinsoku/>
              <w:wordWrap/>
              <w:overflowPunct/>
              <w:topLinePunct w:val="0"/>
              <w:autoSpaceDE/>
              <w:autoSpaceDN/>
              <w:bidi w:val="0"/>
              <w:adjustRightInd/>
              <w:snapToGrid w:val="0"/>
              <w:spacing w:line="360" w:lineRule="auto"/>
              <w:ind w:left="0" w:right="0" w:firstLine="480" w:firstLineChars="200"/>
              <w:textAlignment w:val="auto"/>
              <w:rPr>
                <w:rFonts w:hint="eastAsia" w:ascii="Times New Roman" w:hAnsi="Times New Roman" w:eastAsia="宋体" w:cs="Times New Roman"/>
                <w:bCs/>
                <w:caps w:val="0"/>
                <w:color w:val="auto"/>
                <w:kern w:val="2"/>
                <w:sz w:val="24"/>
                <w:szCs w:val="24"/>
                <w:highlight w:val="none"/>
                <w:lang w:val="en-US" w:eastAsia="zh-CN" w:bidi="ar-SA"/>
              </w:rPr>
            </w:pPr>
            <w:r>
              <w:rPr>
                <w:rFonts w:hint="eastAsia" w:cs="Times New Roman"/>
                <w:bCs/>
                <w:caps w:val="0"/>
                <w:color w:val="auto"/>
                <w:kern w:val="2"/>
                <w:sz w:val="24"/>
                <w:szCs w:val="24"/>
                <w:highlight w:val="none"/>
                <w:lang w:val="en-US" w:eastAsia="zh-CN" w:bidi="ar-SA"/>
              </w:rPr>
              <w:t>（1）</w:t>
            </w:r>
            <w:r>
              <w:rPr>
                <w:rFonts w:hint="eastAsia" w:ascii="Times New Roman" w:hAnsi="Times New Roman" w:eastAsia="宋体" w:cs="Times New Roman"/>
                <w:bCs/>
                <w:caps w:val="0"/>
                <w:color w:val="auto"/>
                <w:kern w:val="2"/>
                <w:sz w:val="24"/>
                <w:szCs w:val="24"/>
                <w:highlight w:val="none"/>
                <w:lang w:val="en-US" w:eastAsia="zh-CN" w:bidi="ar-SA"/>
              </w:rPr>
              <w:t>吊装：将购买的热轧</w:t>
            </w:r>
            <w:r>
              <w:rPr>
                <w:rFonts w:hint="eastAsia" w:cs="Times New Roman"/>
                <w:bCs/>
                <w:caps w:val="0"/>
                <w:color w:val="auto"/>
                <w:kern w:val="2"/>
                <w:sz w:val="24"/>
                <w:szCs w:val="24"/>
                <w:highlight w:val="none"/>
                <w:lang w:val="en-US" w:eastAsia="zh-CN" w:bidi="ar-SA"/>
              </w:rPr>
              <w:t>钢件</w:t>
            </w:r>
            <w:r>
              <w:rPr>
                <w:rFonts w:hint="eastAsia" w:ascii="Times New Roman" w:hAnsi="Times New Roman" w:eastAsia="宋体" w:cs="Times New Roman"/>
                <w:bCs/>
                <w:caps w:val="0"/>
                <w:color w:val="auto"/>
                <w:kern w:val="2"/>
                <w:sz w:val="24"/>
                <w:szCs w:val="24"/>
                <w:highlight w:val="none"/>
                <w:lang w:val="en-US" w:eastAsia="zh-CN" w:bidi="ar-SA"/>
              </w:rPr>
              <w:t>通过天车吊装到酸洗池中，此过程产生噪声及废捆扎丝；</w:t>
            </w:r>
          </w:p>
          <w:p>
            <w:pPr>
              <w:pStyle w:val="15"/>
              <w:keepNext w:val="0"/>
              <w:keepLines w:val="0"/>
              <w:pageBreakBefore w:val="0"/>
              <w:widowControl/>
              <w:kinsoku/>
              <w:wordWrap/>
              <w:overflowPunct/>
              <w:topLinePunct w:val="0"/>
              <w:autoSpaceDE/>
              <w:autoSpaceDN/>
              <w:bidi w:val="0"/>
              <w:adjustRightInd/>
              <w:snapToGrid w:val="0"/>
              <w:spacing w:line="360" w:lineRule="auto"/>
              <w:ind w:left="0" w:right="0" w:firstLine="480" w:firstLineChars="200"/>
              <w:jc w:val="both"/>
              <w:textAlignment w:val="auto"/>
              <w:rPr>
                <w:rFonts w:hint="eastAsia" w:ascii="Times New Roman" w:hAnsi="Times New Roman" w:eastAsia="宋体" w:cs="Times New Roman"/>
                <w:bCs/>
                <w:caps w:val="0"/>
                <w:color w:val="auto"/>
                <w:kern w:val="2"/>
                <w:sz w:val="24"/>
                <w:szCs w:val="24"/>
                <w:highlight w:val="none"/>
                <w:lang w:val="en-US" w:eastAsia="zh-CN" w:bidi="ar-SA"/>
              </w:rPr>
            </w:pPr>
            <w:r>
              <w:rPr>
                <w:rFonts w:hint="eastAsia" w:cs="Times New Roman"/>
                <w:bCs/>
                <w:caps w:val="0"/>
                <w:color w:val="auto"/>
                <w:kern w:val="2"/>
                <w:sz w:val="24"/>
                <w:szCs w:val="24"/>
                <w:highlight w:val="none"/>
                <w:lang w:val="en-US" w:eastAsia="zh-CN" w:bidi="ar-SA"/>
              </w:rPr>
              <w:t>（2）</w:t>
            </w:r>
            <w:r>
              <w:rPr>
                <w:rFonts w:hint="eastAsia" w:ascii="Times New Roman" w:hAnsi="Times New Roman" w:eastAsia="宋体" w:cs="Times New Roman"/>
                <w:bCs/>
                <w:caps w:val="0"/>
                <w:color w:val="auto"/>
                <w:kern w:val="2"/>
                <w:sz w:val="24"/>
                <w:szCs w:val="24"/>
                <w:highlight w:val="none"/>
                <w:lang w:val="en-US" w:eastAsia="zh-CN" w:bidi="ar-SA"/>
              </w:rPr>
              <w:t>酸洗：钢</w:t>
            </w:r>
            <w:r>
              <w:rPr>
                <w:rFonts w:hint="eastAsia" w:cs="Times New Roman"/>
                <w:bCs/>
                <w:caps w:val="0"/>
                <w:color w:val="auto"/>
                <w:kern w:val="2"/>
                <w:sz w:val="24"/>
                <w:szCs w:val="24"/>
                <w:highlight w:val="none"/>
                <w:lang w:val="en-US" w:eastAsia="zh-CN" w:bidi="ar-SA"/>
              </w:rPr>
              <w:t>件</w:t>
            </w:r>
            <w:r>
              <w:rPr>
                <w:rFonts w:hint="eastAsia" w:ascii="Times New Roman" w:hAnsi="Times New Roman" w:eastAsia="宋体" w:cs="Times New Roman"/>
                <w:bCs/>
                <w:caps w:val="0"/>
                <w:color w:val="auto"/>
                <w:kern w:val="2"/>
                <w:sz w:val="24"/>
                <w:szCs w:val="24"/>
                <w:highlight w:val="none"/>
                <w:lang w:val="en-US" w:eastAsia="zh-CN" w:bidi="ar-SA"/>
              </w:rPr>
              <w:t>在酸洗池中浸泡约 20 分钟，此过程产生酸雾及噪声；</w:t>
            </w:r>
          </w:p>
          <w:p>
            <w:pPr>
              <w:pStyle w:val="15"/>
              <w:keepNext w:val="0"/>
              <w:keepLines w:val="0"/>
              <w:pageBreakBefore w:val="0"/>
              <w:widowControl/>
              <w:kinsoku/>
              <w:wordWrap/>
              <w:overflowPunct/>
              <w:topLinePunct w:val="0"/>
              <w:autoSpaceDE/>
              <w:autoSpaceDN/>
              <w:bidi w:val="0"/>
              <w:adjustRightInd/>
              <w:snapToGrid w:val="0"/>
              <w:spacing w:line="360" w:lineRule="auto"/>
              <w:ind w:left="0" w:right="0" w:firstLine="480" w:firstLineChars="200"/>
              <w:jc w:val="both"/>
              <w:textAlignment w:val="auto"/>
              <w:rPr>
                <w:rFonts w:hint="eastAsia" w:ascii="Times New Roman" w:hAnsi="Times New Roman" w:eastAsia="宋体" w:cs="Times New Roman"/>
                <w:bCs/>
                <w:caps w:val="0"/>
                <w:color w:val="auto"/>
                <w:kern w:val="2"/>
                <w:sz w:val="24"/>
                <w:szCs w:val="24"/>
                <w:highlight w:val="none"/>
                <w:lang w:val="en-US" w:eastAsia="zh-CN" w:bidi="ar-SA"/>
              </w:rPr>
            </w:pPr>
            <w:r>
              <w:rPr>
                <w:rFonts w:hint="eastAsia" w:cs="Times New Roman"/>
                <w:bCs/>
                <w:caps w:val="0"/>
                <w:color w:val="auto"/>
                <w:kern w:val="2"/>
                <w:sz w:val="24"/>
                <w:szCs w:val="24"/>
                <w:highlight w:val="none"/>
                <w:lang w:val="en-US" w:eastAsia="zh-CN" w:bidi="ar-SA"/>
              </w:rPr>
              <w:t>（3）冲</w:t>
            </w:r>
            <w:r>
              <w:rPr>
                <w:rFonts w:hint="eastAsia" w:ascii="Times New Roman" w:hAnsi="Times New Roman" w:eastAsia="宋体" w:cs="Times New Roman"/>
                <w:bCs/>
                <w:caps w:val="0"/>
                <w:color w:val="auto"/>
                <w:kern w:val="2"/>
                <w:sz w:val="24"/>
                <w:szCs w:val="24"/>
                <w:highlight w:val="none"/>
                <w:lang w:val="en-US" w:eastAsia="zh-CN" w:bidi="ar-SA"/>
              </w:rPr>
              <w:t>洗：</w:t>
            </w:r>
            <w:r>
              <w:rPr>
                <w:rFonts w:hint="eastAsia" w:cs="Times New Roman"/>
                <w:bCs/>
                <w:caps w:val="0"/>
                <w:color w:val="auto"/>
                <w:kern w:val="2"/>
                <w:sz w:val="24"/>
                <w:szCs w:val="24"/>
                <w:highlight w:val="none"/>
                <w:lang w:val="en-US" w:eastAsia="zh-CN" w:bidi="ar-SA"/>
              </w:rPr>
              <w:t>钢件从酸洗池中吊出</w:t>
            </w:r>
            <w:r>
              <w:rPr>
                <w:rFonts w:hint="eastAsia" w:ascii="Times New Roman" w:hAnsi="Times New Roman" w:eastAsia="宋体" w:cs="Times New Roman"/>
                <w:bCs/>
                <w:caps w:val="0"/>
                <w:color w:val="auto"/>
                <w:kern w:val="2"/>
                <w:sz w:val="24"/>
                <w:szCs w:val="24"/>
                <w:highlight w:val="none"/>
                <w:lang w:val="en-US" w:eastAsia="zh-CN" w:bidi="ar-SA"/>
              </w:rPr>
              <w:t>，</w:t>
            </w:r>
            <w:r>
              <w:rPr>
                <w:rFonts w:hint="eastAsia" w:cs="Times New Roman"/>
                <w:bCs/>
                <w:caps w:val="0"/>
                <w:color w:val="auto"/>
                <w:kern w:val="2"/>
                <w:sz w:val="24"/>
                <w:szCs w:val="24"/>
                <w:highlight w:val="none"/>
                <w:lang w:val="en-US" w:eastAsia="zh-CN" w:bidi="ar-SA"/>
              </w:rPr>
              <w:t>从冲洗池中抽水进行冲洗。</w:t>
            </w:r>
            <w:r>
              <w:rPr>
                <w:rFonts w:hint="eastAsia" w:ascii="Times New Roman" w:hAnsi="Times New Roman" w:eastAsia="宋体" w:cs="Times New Roman"/>
                <w:bCs/>
                <w:caps w:val="0"/>
                <w:color w:val="auto"/>
                <w:kern w:val="2"/>
                <w:sz w:val="24"/>
                <w:szCs w:val="24"/>
                <w:highlight w:val="none"/>
                <w:lang w:val="en-US" w:eastAsia="zh-CN" w:bidi="ar-SA"/>
              </w:rPr>
              <w:t>此过程产生废水及噪声</w:t>
            </w:r>
            <w:r>
              <w:rPr>
                <w:rFonts w:hint="eastAsia" w:cs="Times New Roman"/>
                <w:bCs/>
                <w:caps w:val="0"/>
                <w:color w:val="auto"/>
                <w:kern w:val="2"/>
                <w:sz w:val="24"/>
                <w:szCs w:val="24"/>
                <w:highlight w:val="none"/>
                <w:lang w:val="en-US" w:eastAsia="zh-CN" w:bidi="ar-SA"/>
              </w:rPr>
              <w:t>，废水回流至冲洗池中</w:t>
            </w:r>
            <w:r>
              <w:rPr>
                <w:rFonts w:hint="eastAsia" w:ascii="Times New Roman" w:hAnsi="Times New Roman" w:eastAsia="宋体" w:cs="Times New Roman"/>
                <w:bCs/>
                <w:caps w:val="0"/>
                <w:color w:val="auto"/>
                <w:kern w:val="2"/>
                <w:sz w:val="24"/>
                <w:szCs w:val="24"/>
                <w:highlight w:val="none"/>
                <w:lang w:val="en-US" w:eastAsia="zh-CN" w:bidi="ar-SA"/>
              </w:rPr>
              <w:t>；</w:t>
            </w:r>
          </w:p>
          <w:p>
            <w:pPr>
              <w:pStyle w:val="15"/>
              <w:keepNext w:val="0"/>
              <w:keepLines w:val="0"/>
              <w:pageBreakBefore w:val="0"/>
              <w:widowControl/>
              <w:kinsoku/>
              <w:wordWrap/>
              <w:overflowPunct/>
              <w:topLinePunct w:val="0"/>
              <w:autoSpaceDE/>
              <w:autoSpaceDN/>
              <w:bidi w:val="0"/>
              <w:adjustRightInd/>
              <w:snapToGrid w:val="0"/>
              <w:spacing w:line="360" w:lineRule="auto"/>
              <w:ind w:left="0" w:right="0" w:firstLine="480" w:firstLineChars="200"/>
              <w:jc w:val="both"/>
              <w:textAlignment w:val="auto"/>
              <w:rPr>
                <w:rFonts w:hint="eastAsia" w:ascii="Times New Roman" w:hAnsi="Times New Roman" w:eastAsia="宋体" w:cs="Times New Roman"/>
                <w:bCs/>
                <w:caps w:val="0"/>
                <w:color w:val="auto"/>
                <w:kern w:val="2"/>
                <w:sz w:val="24"/>
                <w:szCs w:val="24"/>
                <w:highlight w:val="none"/>
                <w:lang w:val="en-US" w:eastAsia="zh-CN" w:bidi="ar-SA"/>
              </w:rPr>
            </w:pPr>
            <w:r>
              <w:rPr>
                <w:rFonts w:hint="eastAsia" w:cs="Times New Roman"/>
                <w:bCs/>
                <w:caps w:val="0"/>
                <w:color w:val="auto"/>
                <w:kern w:val="2"/>
                <w:sz w:val="24"/>
                <w:szCs w:val="24"/>
                <w:highlight w:val="none"/>
                <w:lang w:val="en-US" w:eastAsia="zh-CN" w:bidi="ar-SA"/>
              </w:rPr>
              <w:t>（4）内孔除锈</w:t>
            </w:r>
            <w:r>
              <w:rPr>
                <w:rFonts w:hint="eastAsia" w:ascii="Times New Roman" w:hAnsi="Times New Roman" w:eastAsia="宋体" w:cs="Times New Roman"/>
                <w:bCs/>
                <w:caps w:val="0"/>
                <w:color w:val="auto"/>
                <w:kern w:val="2"/>
                <w:sz w:val="24"/>
                <w:szCs w:val="24"/>
                <w:highlight w:val="none"/>
                <w:lang w:val="en-US" w:eastAsia="zh-CN" w:bidi="ar-SA"/>
              </w:rPr>
              <w:t>：</w:t>
            </w:r>
            <w:r>
              <w:rPr>
                <w:rFonts w:hint="eastAsia" w:cs="Times New Roman"/>
                <w:bCs/>
                <w:caps w:val="0"/>
                <w:color w:val="auto"/>
                <w:kern w:val="2"/>
                <w:sz w:val="24"/>
                <w:szCs w:val="24"/>
                <w:highlight w:val="none"/>
                <w:lang w:val="en-US" w:eastAsia="zh-CN" w:bidi="ar-SA"/>
              </w:rPr>
              <w:t>部分钢件需经过钢刷除锈</w:t>
            </w:r>
            <w:r>
              <w:rPr>
                <w:rFonts w:hint="eastAsia" w:ascii="Times New Roman" w:hAnsi="Times New Roman" w:eastAsia="宋体" w:cs="Times New Roman"/>
                <w:bCs/>
                <w:caps w:val="0"/>
                <w:color w:val="auto"/>
                <w:kern w:val="2"/>
                <w:sz w:val="24"/>
                <w:szCs w:val="24"/>
                <w:highlight w:val="none"/>
                <w:lang w:val="en-US" w:eastAsia="zh-CN" w:bidi="ar-SA"/>
              </w:rPr>
              <w:t>，</w:t>
            </w:r>
            <w:r>
              <w:rPr>
                <w:rFonts w:hint="eastAsia" w:cs="Times New Roman"/>
                <w:bCs/>
                <w:caps w:val="0"/>
                <w:color w:val="auto"/>
                <w:kern w:val="2"/>
                <w:sz w:val="24"/>
                <w:szCs w:val="24"/>
                <w:highlight w:val="none"/>
                <w:lang w:val="en-US" w:eastAsia="zh-CN" w:bidi="ar-SA"/>
              </w:rPr>
              <w:t>机器磨光后作为产品外售。</w:t>
            </w:r>
            <w:r>
              <w:rPr>
                <w:rFonts w:hint="eastAsia" w:ascii="Times New Roman" w:hAnsi="Times New Roman" w:eastAsia="宋体" w:cs="Times New Roman"/>
                <w:bCs/>
                <w:caps w:val="0"/>
                <w:color w:val="auto"/>
                <w:kern w:val="2"/>
                <w:sz w:val="24"/>
                <w:szCs w:val="24"/>
                <w:highlight w:val="none"/>
                <w:lang w:val="en-US" w:eastAsia="zh-CN" w:bidi="ar-SA"/>
              </w:rPr>
              <w:t>在此过程产生噪声；</w:t>
            </w:r>
          </w:p>
          <w:p>
            <w:pPr>
              <w:spacing w:line="360" w:lineRule="auto"/>
              <w:ind w:firstLine="240" w:firstLineChars="100"/>
              <w:rPr>
                <w:rFonts w:hint="default" w:ascii="Times New Roman" w:hAnsi="Times New Roman" w:eastAsia="宋体" w:cs="Times New Roman"/>
                <w:bCs/>
                <w:caps w:val="0"/>
                <w:color w:val="auto"/>
                <w:kern w:val="2"/>
                <w:sz w:val="24"/>
                <w:szCs w:val="24"/>
                <w:highlight w:val="none"/>
                <w:lang w:val="en-US" w:eastAsia="zh-CN" w:bidi="ar-SA"/>
              </w:rPr>
            </w:pPr>
            <w:r>
              <w:rPr>
                <w:rFonts w:hint="eastAsia" w:cs="Times New Roman"/>
                <w:bCs/>
                <w:caps w:val="0"/>
                <w:color w:val="auto"/>
                <w:kern w:val="2"/>
                <w:sz w:val="24"/>
                <w:szCs w:val="24"/>
                <w:highlight w:val="none"/>
                <w:lang w:val="en-US" w:eastAsia="zh-CN" w:bidi="ar-SA"/>
              </w:rPr>
              <w:t xml:space="preserve"> 2、废水处理工艺</w:t>
            </w:r>
          </w:p>
          <w:p>
            <w:pPr>
              <w:spacing w:line="360" w:lineRule="auto"/>
              <w:ind w:firstLine="48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w:t>
            </w:r>
            <w:r>
              <w:rPr>
                <w:rFonts w:hint="eastAsia" w:cs="Times New Roman"/>
                <w:color w:val="auto"/>
                <w:sz w:val="24"/>
                <w:lang w:val="en-US" w:eastAsia="zh-CN"/>
              </w:rPr>
              <w:t>1</w:t>
            </w:r>
            <w:r>
              <w:rPr>
                <w:rFonts w:hint="eastAsia" w:ascii="Times New Roman" w:hAnsi="Times New Roman" w:eastAsia="宋体" w:cs="Times New Roman"/>
                <w:color w:val="auto"/>
                <w:sz w:val="24"/>
                <w:lang w:val="en-US" w:eastAsia="zh-CN"/>
              </w:rPr>
              <w:t>）</w:t>
            </w:r>
            <w:r>
              <w:rPr>
                <w:rFonts w:hint="eastAsia" w:cs="Times New Roman"/>
                <w:color w:val="auto"/>
                <w:sz w:val="24"/>
                <w:lang w:val="en-US" w:eastAsia="zh-CN"/>
              </w:rPr>
              <w:t>冲洗</w:t>
            </w:r>
            <w:r>
              <w:rPr>
                <w:rFonts w:hint="eastAsia" w:ascii="Times New Roman" w:hAnsi="Times New Roman" w:eastAsia="宋体" w:cs="Times New Roman"/>
                <w:color w:val="auto"/>
                <w:sz w:val="24"/>
                <w:lang w:val="en-US" w:eastAsia="zh-CN"/>
              </w:rPr>
              <w:t>：</w:t>
            </w:r>
            <w:r>
              <w:rPr>
                <w:rFonts w:hint="eastAsia" w:cs="Times New Roman"/>
                <w:bCs/>
                <w:caps w:val="0"/>
                <w:color w:val="auto"/>
                <w:kern w:val="2"/>
                <w:sz w:val="24"/>
                <w:szCs w:val="24"/>
                <w:highlight w:val="none"/>
                <w:lang w:val="en-US" w:eastAsia="zh-CN" w:bidi="ar-SA"/>
              </w:rPr>
              <w:t>冲洗废水排入冲洗废水池，再加入片碱中和，中和后废水循环使用进行钢件冲洗，废水池定期委托有资质的危废处理公司进行清渣</w:t>
            </w:r>
            <w:r>
              <w:rPr>
                <w:rFonts w:hint="eastAsia" w:ascii="Times New Roman" w:hAnsi="Times New Roman" w:eastAsia="宋体" w:cs="Times New Roman"/>
                <w:bCs/>
                <w:caps w:val="0"/>
                <w:color w:val="auto"/>
                <w:kern w:val="2"/>
                <w:sz w:val="24"/>
                <w:szCs w:val="24"/>
                <w:highlight w:val="none"/>
                <w:lang w:val="en-US" w:eastAsia="zh-CN" w:bidi="ar-SA"/>
              </w:rPr>
              <w:t>。</w:t>
            </w:r>
          </w:p>
          <w:p>
            <w:pPr>
              <w:pStyle w:val="13"/>
              <w:ind w:firstLine="480" w:firstLineChars="200"/>
              <w:rPr>
                <w:highlight w:val="none"/>
              </w:rPr>
            </w:pPr>
            <w:r>
              <w:rPr>
                <w:rFonts w:hint="eastAsia"/>
                <w:highlight w:val="none"/>
              </w:rPr>
              <w:t>2、</w:t>
            </w:r>
            <w:r>
              <w:rPr>
                <w:highlight w:val="none"/>
              </w:rPr>
              <w:t>产污环节污染物情况分析</w:t>
            </w:r>
          </w:p>
          <w:p>
            <w:pPr>
              <w:pStyle w:val="114"/>
              <w:rPr>
                <w:rFonts w:hint="eastAsia"/>
                <w:color w:val="auto"/>
                <w:highlight w:val="none"/>
              </w:rPr>
            </w:pPr>
          </w:p>
          <w:p>
            <w:pPr>
              <w:spacing w:line="360" w:lineRule="auto"/>
              <w:ind w:firstLine="48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本项目</w:t>
            </w:r>
            <w:r>
              <w:rPr>
                <w:rFonts w:hint="eastAsia" w:cs="Times New Roman"/>
                <w:color w:val="auto"/>
                <w:sz w:val="24"/>
                <w:highlight w:val="none"/>
                <w:lang w:val="en-US" w:eastAsia="zh-CN"/>
              </w:rPr>
              <w:t>酸碱</w:t>
            </w:r>
            <w:r>
              <w:rPr>
                <w:rFonts w:hint="eastAsia" w:ascii="Times New Roman" w:hAnsi="Times New Roman" w:eastAsia="宋体" w:cs="Times New Roman"/>
                <w:color w:val="auto"/>
                <w:sz w:val="24"/>
                <w:highlight w:val="none"/>
                <w:lang w:val="en-US" w:eastAsia="zh-CN"/>
              </w:rPr>
              <w:t>原料使用过程产生的废弃包装材料（S</w:t>
            </w:r>
            <w:r>
              <w:rPr>
                <w:rFonts w:hint="eastAsia" w:cs="Times New Roman"/>
                <w:color w:val="auto"/>
                <w:sz w:val="24"/>
                <w:highlight w:val="none"/>
                <w:lang w:val="en-US" w:eastAsia="zh-CN"/>
              </w:rPr>
              <w:t>6</w:t>
            </w:r>
            <w:r>
              <w:rPr>
                <w:rFonts w:hint="eastAsia" w:ascii="Times New Roman" w:hAnsi="Times New Roman" w:eastAsia="宋体" w:cs="Times New Roman"/>
                <w:color w:val="auto"/>
                <w:sz w:val="24"/>
                <w:highlight w:val="none"/>
                <w:lang w:val="en-US" w:eastAsia="zh-CN"/>
              </w:rPr>
              <w:t>）</w:t>
            </w:r>
            <w:r>
              <w:rPr>
                <w:rFonts w:hint="eastAsia" w:cs="Times New Roman"/>
                <w:color w:val="auto"/>
                <w:sz w:val="24"/>
                <w:highlight w:val="none"/>
                <w:lang w:val="en-US" w:eastAsia="zh-CN"/>
              </w:rPr>
              <w:t>、机加工</w:t>
            </w:r>
            <w:r>
              <w:rPr>
                <w:rFonts w:hint="eastAsia" w:ascii="Times New Roman" w:hAnsi="Times New Roman" w:eastAsia="宋体" w:cs="Times New Roman"/>
                <w:color w:val="auto"/>
                <w:sz w:val="24"/>
                <w:highlight w:val="none"/>
                <w:lang w:val="en-US" w:eastAsia="zh-CN"/>
              </w:rPr>
              <w:t>过程中</w:t>
            </w:r>
            <w:r>
              <w:rPr>
                <w:rFonts w:hint="eastAsia" w:cs="Times New Roman"/>
                <w:color w:val="auto"/>
                <w:sz w:val="24"/>
                <w:highlight w:val="none"/>
                <w:lang w:val="en-US" w:eastAsia="zh-CN"/>
              </w:rPr>
              <w:t>车床更换后</w:t>
            </w:r>
            <w:r>
              <w:rPr>
                <w:rFonts w:hint="eastAsia" w:ascii="Times New Roman" w:hAnsi="Times New Roman" w:eastAsia="宋体" w:cs="Times New Roman"/>
                <w:color w:val="auto"/>
                <w:sz w:val="24"/>
                <w:highlight w:val="none"/>
                <w:lang w:val="en-US" w:eastAsia="zh-CN"/>
              </w:rPr>
              <w:t>的废</w:t>
            </w:r>
            <w:r>
              <w:rPr>
                <w:rFonts w:hint="eastAsia" w:cs="Times New Roman"/>
                <w:color w:val="auto"/>
                <w:sz w:val="24"/>
                <w:highlight w:val="none"/>
                <w:lang w:val="en-US" w:eastAsia="zh-CN"/>
              </w:rPr>
              <w:t>润滑油</w:t>
            </w:r>
            <w:r>
              <w:rPr>
                <w:rFonts w:hint="eastAsia" w:ascii="Times New Roman" w:hAnsi="Times New Roman" w:eastAsia="宋体" w:cs="Times New Roman"/>
                <w:color w:val="auto"/>
                <w:sz w:val="24"/>
                <w:highlight w:val="none"/>
                <w:lang w:val="en-US" w:eastAsia="zh-CN"/>
              </w:rPr>
              <w:t>（S5）</w:t>
            </w:r>
            <w:r>
              <w:rPr>
                <w:rFonts w:hint="eastAsia" w:cs="Times New Roman"/>
                <w:color w:val="auto"/>
                <w:sz w:val="24"/>
                <w:highlight w:val="none"/>
                <w:lang w:val="en-US" w:eastAsia="zh-CN"/>
              </w:rPr>
              <w:t>、项目酸洗后产生的污泥沉渣</w:t>
            </w:r>
            <w:r>
              <w:rPr>
                <w:rFonts w:hint="eastAsia" w:ascii="Times New Roman" w:hAnsi="Times New Roman" w:eastAsia="宋体" w:cs="Times New Roman"/>
                <w:color w:val="auto"/>
                <w:sz w:val="24"/>
                <w:highlight w:val="none"/>
                <w:lang w:val="en-US" w:eastAsia="zh-CN"/>
              </w:rPr>
              <w:t>（S</w:t>
            </w:r>
            <w:r>
              <w:rPr>
                <w:rFonts w:hint="eastAsia" w:cs="Times New Roman"/>
                <w:color w:val="auto"/>
                <w:sz w:val="24"/>
                <w:highlight w:val="none"/>
                <w:lang w:val="en-US" w:eastAsia="zh-CN"/>
              </w:rPr>
              <w:t>4</w:t>
            </w:r>
            <w:r>
              <w:rPr>
                <w:rFonts w:hint="eastAsia" w:ascii="Times New Roman" w:hAnsi="Times New Roman" w:eastAsia="宋体" w:cs="Times New Roman"/>
                <w:color w:val="auto"/>
                <w:sz w:val="24"/>
                <w:highlight w:val="none"/>
                <w:lang w:val="en-US" w:eastAsia="zh-CN"/>
              </w:rPr>
              <w:t>）</w:t>
            </w:r>
            <w:r>
              <w:rPr>
                <w:rFonts w:hint="eastAsia" w:cs="Times New Roman"/>
                <w:color w:val="auto"/>
                <w:sz w:val="24"/>
                <w:highlight w:val="none"/>
                <w:lang w:val="en-US" w:eastAsia="zh-CN"/>
              </w:rPr>
              <w:t>、打磨过程产生废铁屑（</w:t>
            </w:r>
            <w:r>
              <w:rPr>
                <w:rFonts w:hint="eastAsia" w:ascii="Times New Roman" w:hAnsi="Times New Roman" w:eastAsia="宋体" w:cs="Times New Roman"/>
                <w:color w:val="auto"/>
                <w:sz w:val="24"/>
                <w:highlight w:val="none"/>
                <w:lang w:val="en-US" w:eastAsia="zh-CN"/>
              </w:rPr>
              <w:t>S</w:t>
            </w:r>
            <w:r>
              <w:rPr>
                <w:rFonts w:hint="eastAsia" w:cs="Times New Roman"/>
                <w:color w:val="auto"/>
                <w:sz w:val="24"/>
                <w:highlight w:val="none"/>
                <w:lang w:val="en-US" w:eastAsia="zh-CN"/>
              </w:rPr>
              <w:t>3</w:t>
            </w:r>
            <w:r>
              <w:rPr>
                <w:rFonts w:hint="eastAsia" w:ascii="Times New Roman" w:hAnsi="Times New Roman" w:eastAsia="宋体" w:cs="Times New Roman"/>
                <w:color w:val="auto"/>
                <w:sz w:val="24"/>
                <w:highlight w:val="none"/>
                <w:lang w:val="en-US" w:eastAsia="zh-CN"/>
              </w:rPr>
              <w:t>）</w:t>
            </w:r>
            <w:r>
              <w:rPr>
                <w:rFonts w:hint="eastAsia" w:cs="Times New Roman"/>
                <w:color w:val="auto"/>
                <w:sz w:val="24"/>
                <w:highlight w:val="none"/>
                <w:lang w:val="en-US" w:eastAsia="zh-CN"/>
              </w:rPr>
              <w:t>、</w:t>
            </w:r>
            <w:r>
              <w:rPr>
                <w:rFonts w:hint="eastAsia" w:ascii="Times New Roman" w:hAnsi="Times New Roman" w:eastAsia="宋体" w:cs="Times New Roman"/>
                <w:color w:val="auto"/>
                <w:sz w:val="24"/>
                <w:highlight w:val="none"/>
                <w:lang w:val="en-US" w:eastAsia="zh-CN"/>
              </w:rPr>
              <w:t>机型设备维护、保养、擦拭过程中产生的含油抹布（</w:t>
            </w:r>
            <w:r>
              <w:rPr>
                <w:rFonts w:hint="default" w:ascii="Times New Roman" w:hAnsi="Times New Roman" w:eastAsia="宋体" w:cs="Times New Roman"/>
                <w:color w:val="auto"/>
                <w:sz w:val="24"/>
                <w:highlight w:val="none"/>
                <w:lang w:val="en-US" w:eastAsia="zh-CN"/>
              </w:rPr>
              <w:t>S</w:t>
            </w:r>
            <w:r>
              <w:rPr>
                <w:rFonts w:hint="eastAsia" w:cs="Times New Roman"/>
                <w:color w:val="auto"/>
                <w:sz w:val="24"/>
                <w:highlight w:val="none"/>
                <w:lang w:val="en-US" w:eastAsia="zh-CN"/>
              </w:rPr>
              <w:t>2</w:t>
            </w:r>
            <w:r>
              <w:rPr>
                <w:rFonts w:hint="eastAsia" w:ascii="Times New Roman" w:hAnsi="Times New Roman" w:eastAsia="宋体" w:cs="Times New Roman"/>
                <w:color w:val="auto"/>
                <w:sz w:val="24"/>
                <w:highlight w:val="none"/>
                <w:lang w:val="en-US" w:eastAsia="zh-CN"/>
              </w:rPr>
              <w:t>）</w:t>
            </w:r>
            <w:r>
              <w:rPr>
                <w:rFonts w:hint="eastAsia" w:cs="Times New Roman"/>
                <w:color w:val="auto"/>
                <w:sz w:val="24"/>
                <w:highlight w:val="none"/>
                <w:lang w:val="en-US" w:eastAsia="zh-CN"/>
              </w:rPr>
              <w:t>、</w:t>
            </w:r>
            <w:r>
              <w:rPr>
                <w:rFonts w:hint="eastAsia" w:ascii="Times New Roman" w:hAnsi="Times New Roman" w:eastAsia="宋体" w:cs="Times New Roman"/>
                <w:color w:val="auto"/>
                <w:sz w:val="24"/>
                <w:highlight w:val="none"/>
                <w:lang w:val="en-US" w:eastAsia="zh-CN"/>
              </w:rPr>
              <w:t>员工</w:t>
            </w:r>
            <w:r>
              <w:rPr>
                <w:rFonts w:hint="eastAsia" w:cs="Times New Roman"/>
                <w:color w:val="auto"/>
                <w:sz w:val="24"/>
                <w:highlight w:val="none"/>
                <w:lang w:val="en-US" w:eastAsia="zh-CN"/>
              </w:rPr>
              <w:t>日常办公</w:t>
            </w:r>
            <w:r>
              <w:rPr>
                <w:rFonts w:hint="eastAsia" w:ascii="Times New Roman" w:hAnsi="Times New Roman" w:eastAsia="宋体" w:cs="Times New Roman"/>
                <w:color w:val="auto"/>
                <w:sz w:val="24"/>
                <w:highlight w:val="none"/>
                <w:lang w:val="en-US" w:eastAsia="zh-CN"/>
              </w:rPr>
              <w:t>生活会产生</w:t>
            </w:r>
            <w:r>
              <w:rPr>
                <w:rFonts w:hint="eastAsia" w:cs="Times New Roman"/>
                <w:color w:val="auto"/>
                <w:sz w:val="24"/>
                <w:highlight w:val="none"/>
                <w:lang w:val="en-US" w:eastAsia="zh-CN"/>
              </w:rPr>
              <w:t>办公</w:t>
            </w:r>
            <w:r>
              <w:rPr>
                <w:rFonts w:hint="eastAsia" w:ascii="Times New Roman" w:hAnsi="Times New Roman" w:eastAsia="宋体" w:cs="Times New Roman"/>
                <w:color w:val="auto"/>
                <w:sz w:val="24"/>
                <w:highlight w:val="none"/>
                <w:lang w:val="en-US" w:eastAsia="zh-CN"/>
              </w:rPr>
              <w:t>生活垃圾（</w:t>
            </w:r>
            <w:r>
              <w:rPr>
                <w:rFonts w:hint="default" w:ascii="Times New Roman" w:hAnsi="Times New Roman" w:eastAsia="宋体" w:cs="Times New Roman"/>
                <w:color w:val="auto"/>
                <w:sz w:val="24"/>
                <w:highlight w:val="none"/>
                <w:lang w:val="en-US" w:eastAsia="zh-CN"/>
              </w:rPr>
              <w:t>S</w:t>
            </w:r>
            <w:r>
              <w:rPr>
                <w:rFonts w:hint="eastAsia" w:ascii="Times New Roman" w:hAnsi="Times New Roman" w:eastAsia="宋体" w:cs="Times New Roman"/>
                <w:color w:val="auto"/>
                <w:sz w:val="24"/>
                <w:highlight w:val="none"/>
                <w:lang w:val="en-US" w:eastAsia="zh-CN"/>
              </w:rPr>
              <w:t>1）</w:t>
            </w:r>
            <w:r>
              <w:rPr>
                <w:rFonts w:hint="eastAsia" w:cs="Times New Roman"/>
                <w:color w:val="auto"/>
                <w:sz w:val="24"/>
                <w:highlight w:val="none"/>
                <w:lang w:val="en-US" w:eastAsia="zh-CN"/>
              </w:rPr>
              <w:t>；冲洗钢件产生的废水（</w:t>
            </w:r>
            <w:r>
              <w:rPr>
                <w:rFonts w:hint="default" w:ascii="Times New Roman" w:hAnsi="Times New Roman" w:eastAsia="宋体" w:cs="Times New Roman"/>
                <w:color w:val="auto"/>
                <w:sz w:val="24"/>
                <w:highlight w:val="none"/>
                <w:lang w:val="en-US" w:eastAsia="zh-CN"/>
              </w:rPr>
              <w:t>W</w:t>
            </w:r>
            <w:r>
              <w:rPr>
                <w:rFonts w:hint="eastAsia" w:cs="Times New Roman"/>
                <w:color w:val="auto"/>
                <w:sz w:val="24"/>
                <w:highlight w:val="none"/>
                <w:lang w:val="en-US" w:eastAsia="zh-CN"/>
              </w:rPr>
              <w:t>2）、</w:t>
            </w:r>
            <w:r>
              <w:rPr>
                <w:rFonts w:hint="eastAsia" w:ascii="Times New Roman" w:hAnsi="Times New Roman" w:eastAsia="宋体" w:cs="Times New Roman"/>
                <w:color w:val="auto"/>
                <w:sz w:val="24"/>
                <w:highlight w:val="none"/>
                <w:lang w:val="en-US" w:eastAsia="zh-CN"/>
              </w:rPr>
              <w:t>职工生活</w:t>
            </w:r>
            <w:r>
              <w:rPr>
                <w:rFonts w:hint="eastAsia" w:cs="Times New Roman"/>
                <w:color w:val="auto"/>
                <w:sz w:val="24"/>
                <w:highlight w:val="none"/>
                <w:lang w:val="en-US" w:eastAsia="zh-CN"/>
              </w:rPr>
              <w:t>污</w:t>
            </w:r>
            <w:r>
              <w:rPr>
                <w:rFonts w:hint="eastAsia" w:ascii="Times New Roman" w:hAnsi="Times New Roman" w:eastAsia="宋体" w:cs="Times New Roman"/>
                <w:color w:val="auto"/>
                <w:sz w:val="24"/>
                <w:highlight w:val="none"/>
                <w:lang w:val="en-US" w:eastAsia="zh-CN"/>
              </w:rPr>
              <w:t>水（</w:t>
            </w:r>
            <w:r>
              <w:rPr>
                <w:rFonts w:hint="default" w:ascii="Times New Roman" w:hAnsi="Times New Roman" w:eastAsia="宋体" w:cs="Times New Roman"/>
                <w:color w:val="auto"/>
                <w:sz w:val="24"/>
                <w:highlight w:val="none"/>
                <w:lang w:val="en-US" w:eastAsia="zh-CN"/>
              </w:rPr>
              <w:t>W1</w:t>
            </w:r>
            <w:r>
              <w:rPr>
                <w:rFonts w:hint="eastAsia" w:ascii="Times New Roman" w:hAnsi="Times New Roman" w:eastAsia="宋体" w:cs="Times New Roman"/>
                <w:color w:val="auto"/>
                <w:sz w:val="24"/>
                <w:highlight w:val="none"/>
                <w:lang w:val="en-US" w:eastAsia="zh-CN"/>
              </w:rPr>
              <w:t>）。本项目污染工序及污染因子汇总情况见表2-8。</w:t>
            </w:r>
          </w:p>
          <w:p>
            <w:pPr>
              <w:pStyle w:val="114"/>
              <w:rPr>
                <w:rFonts w:hint="eastAsia"/>
                <w:color w:val="auto"/>
              </w:rPr>
            </w:pPr>
          </w:p>
          <w:p>
            <w:pPr>
              <w:pStyle w:val="114"/>
              <w:rPr>
                <w:rFonts w:hint="eastAsia"/>
                <w:color w:val="auto"/>
              </w:rPr>
            </w:pPr>
          </w:p>
          <w:p>
            <w:pPr>
              <w:spacing w:line="360" w:lineRule="auto"/>
              <w:ind w:firstLine="480"/>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表2-</w:t>
            </w:r>
            <w:r>
              <w:rPr>
                <w:rFonts w:hint="eastAsia" w:cs="Times New Roman"/>
                <w:b/>
                <w:bCs/>
                <w:color w:val="auto"/>
                <w:sz w:val="21"/>
                <w:szCs w:val="21"/>
                <w:lang w:val="en-US" w:eastAsia="zh-CN"/>
              </w:rPr>
              <w:t>7</w:t>
            </w:r>
            <w:r>
              <w:rPr>
                <w:rFonts w:hint="eastAsia" w:ascii="Times New Roman" w:hAnsi="Times New Roman" w:eastAsia="宋体" w:cs="Times New Roman"/>
                <w:b/>
                <w:bCs/>
                <w:color w:val="auto"/>
                <w:sz w:val="21"/>
                <w:szCs w:val="21"/>
                <w:lang w:val="en-US" w:eastAsia="zh-CN"/>
              </w:rPr>
              <w:t xml:space="preserve">  营运期污染物产生工序一览表</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
              <w:gridCol w:w="711"/>
              <w:gridCol w:w="892"/>
              <w:gridCol w:w="1352"/>
              <w:gridCol w:w="2497"/>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trPr>
              <w:tc>
                <w:tcPr>
                  <w:tcW w:w="257" w:type="pct"/>
                  <w:noWrap w:val="0"/>
                  <w:vAlign w:val="center"/>
                </w:tcPr>
                <w:p>
                  <w:pPr>
                    <w:adjustRightInd w:val="0"/>
                    <w:snapToGrid w:val="0"/>
                    <w:jc w:val="center"/>
                    <w:rPr>
                      <w:color w:val="auto"/>
                      <w:spacing w:val="3"/>
                      <w:szCs w:val="21"/>
                    </w:rPr>
                  </w:pPr>
                  <w:r>
                    <w:rPr>
                      <w:color w:val="auto"/>
                      <w:spacing w:val="3"/>
                      <w:szCs w:val="21"/>
                    </w:rPr>
                    <w:t>时段</w:t>
                  </w:r>
                </w:p>
              </w:tc>
              <w:tc>
                <w:tcPr>
                  <w:tcW w:w="424" w:type="pct"/>
                  <w:noWrap w:val="0"/>
                  <w:vAlign w:val="center"/>
                </w:tcPr>
                <w:p>
                  <w:pPr>
                    <w:adjustRightInd w:val="0"/>
                    <w:snapToGrid w:val="0"/>
                    <w:jc w:val="center"/>
                    <w:rPr>
                      <w:color w:val="auto"/>
                      <w:spacing w:val="3"/>
                      <w:szCs w:val="21"/>
                    </w:rPr>
                  </w:pPr>
                  <w:r>
                    <w:rPr>
                      <w:color w:val="auto"/>
                      <w:spacing w:val="3"/>
                      <w:szCs w:val="21"/>
                    </w:rPr>
                    <w:t>污染因子</w:t>
                  </w:r>
                </w:p>
              </w:tc>
              <w:tc>
                <w:tcPr>
                  <w:tcW w:w="532" w:type="pct"/>
                  <w:noWrap w:val="0"/>
                  <w:vAlign w:val="center"/>
                </w:tcPr>
                <w:p>
                  <w:pPr>
                    <w:adjustRightInd w:val="0"/>
                    <w:snapToGrid w:val="0"/>
                    <w:jc w:val="center"/>
                    <w:rPr>
                      <w:rFonts w:hint="eastAsia" w:eastAsia="宋体"/>
                      <w:color w:val="auto"/>
                      <w:spacing w:val="3"/>
                      <w:szCs w:val="21"/>
                      <w:lang w:val="en-US" w:eastAsia="zh-CN"/>
                    </w:rPr>
                  </w:pPr>
                  <w:r>
                    <w:rPr>
                      <w:rFonts w:hint="eastAsia"/>
                      <w:color w:val="auto"/>
                      <w:spacing w:val="3"/>
                      <w:szCs w:val="21"/>
                      <w:lang w:val="en-US" w:eastAsia="zh-CN"/>
                    </w:rPr>
                    <w:t>代码</w:t>
                  </w:r>
                </w:p>
              </w:tc>
              <w:tc>
                <w:tcPr>
                  <w:tcW w:w="806" w:type="pct"/>
                  <w:noWrap w:val="0"/>
                  <w:vAlign w:val="center"/>
                </w:tcPr>
                <w:p>
                  <w:pPr>
                    <w:adjustRightInd w:val="0"/>
                    <w:snapToGrid w:val="0"/>
                    <w:jc w:val="center"/>
                    <w:rPr>
                      <w:rFonts w:hint="eastAsia" w:eastAsia="宋体"/>
                      <w:color w:val="auto"/>
                      <w:spacing w:val="3"/>
                      <w:szCs w:val="21"/>
                      <w:lang w:eastAsia="zh-CN"/>
                    </w:rPr>
                  </w:pPr>
                  <w:r>
                    <w:rPr>
                      <w:rFonts w:hint="eastAsia"/>
                      <w:color w:val="auto"/>
                      <w:spacing w:val="3"/>
                      <w:szCs w:val="21"/>
                      <w:lang w:eastAsia="zh-CN"/>
                    </w:rPr>
                    <w:t>产污节点</w:t>
                  </w:r>
                </w:p>
              </w:tc>
              <w:tc>
                <w:tcPr>
                  <w:tcW w:w="1489" w:type="pct"/>
                  <w:noWrap w:val="0"/>
                  <w:vAlign w:val="center"/>
                </w:tcPr>
                <w:p>
                  <w:pPr>
                    <w:adjustRightInd w:val="0"/>
                    <w:snapToGrid w:val="0"/>
                    <w:jc w:val="center"/>
                    <w:rPr>
                      <w:rFonts w:hint="eastAsia"/>
                      <w:color w:val="auto"/>
                      <w:spacing w:val="3"/>
                      <w:szCs w:val="21"/>
                      <w:lang w:eastAsia="zh-CN"/>
                    </w:rPr>
                  </w:pPr>
                  <w:r>
                    <w:rPr>
                      <w:rFonts w:hint="eastAsia"/>
                      <w:color w:val="auto"/>
                      <w:spacing w:val="3"/>
                      <w:szCs w:val="21"/>
                      <w:lang w:eastAsia="zh-CN"/>
                    </w:rPr>
                    <w:t>主要污染物</w:t>
                  </w:r>
                </w:p>
              </w:tc>
              <w:tc>
                <w:tcPr>
                  <w:tcW w:w="1489" w:type="pct"/>
                  <w:noWrap w:val="0"/>
                  <w:vAlign w:val="center"/>
                </w:tcPr>
                <w:p>
                  <w:pPr>
                    <w:adjustRightInd w:val="0"/>
                    <w:snapToGrid w:val="0"/>
                    <w:jc w:val="center"/>
                    <w:rPr>
                      <w:rFonts w:hint="eastAsia" w:eastAsia="宋体"/>
                      <w:color w:val="auto"/>
                      <w:spacing w:val="3"/>
                      <w:szCs w:val="21"/>
                      <w:lang w:eastAsia="zh-CN"/>
                    </w:rPr>
                  </w:pPr>
                  <w:r>
                    <w:rPr>
                      <w:color w:val="auto"/>
                      <w:spacing w:val="3"/>
                      <w:szCs w:val="21"/>
                    </w:rPr>
                    <w:t>污染</w:t>
                  </w:r>
                  <w:r>
                    <w:rPr>
                      <w:rFonts w:hint="eastAsia"/>
                      <w:color w:val="auto"/>
                      <w:spacing w:val="3"/>
                      <w:szCs w:val="21"/>
                      <w:lang w:eastAsia="zh-CN"/>
                    </w:rPr>
                    <w:t>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257" w:type="pct"/>
                  <w:vMerge w:val="restart"/>
                  <w:noWrap w:val="0"/>
                  <w:vAlign w:val="center"/>
                </w:tcPr>
                <w:p>
                  <w:pPr>
                    <w:adjustRightInd w:val="0"/>
                    <w:snapToGrid w:val="0"/>
                    <w:jc w:val="center"/>
                    <w:rPr>
                      <w:color w:val="auto"/>
                      <w:spacing w:val="3"/>
                      <w:szCs w:val="21"/>
                    </w:rPr>
                  </w:pPr>
                  <w:r>
                    <w:rPr>
                      <w:color w:val="auto"/>
                      <w:spacing w:val="3"/>
                      <w:szCs w:val="21"/>
                    </w:rPr>
                    <w:t>运</w:t>
                  </w:r>
                </w:p>
                <w:p>
                  <w:pPr>
                    <w:adjustRightInd w:val="0"/>
                    <w:snapToGrid w:val="0"/>
                    <w:jc w:val="center"/>
                    <w:rPr>
                      <w:color w:val="auto"/>
                      <w:spacing w:val="3"/>
                      <w:szCs w:val="21"/>
                    </w:rPr>
                  </w:pPr>
                  <w:r>
                    <w:rPr>
                      <w:color w:val="auto"/>
                      <w:spacing w:val="3"/>
                      <w:szCs w:val="21"/>
                    </w:rPr>
                    <w:t>营</w:t>
                  </w:r>
                </w:p>
                <w:p>
                  <w:pPr>
                    <w:adjustRightInd w:val="0"/>
                    <w:snapToGrid w:val="0"/>
                    <w:jc w:val="center"/>
                    <w:rPr>
                      <w:color w:val="auto"/>
                      <w:spacing w:val="3"/>
                      <w:szCs w:val="21"/>
                    </w:rPr>
                  </w:pPr>
                  <w:r>
                    <w:rPr>
                      <w:color w:val="auto"/>
                      <w:spacing w:val="3"/>
                      <w:szCs w:val="21"/>
                    </w:rPr>
                    <w:t>期</w:t>
                  </w:r>
                </w:p>
              </w:tc>
              <w:tc>
                <w:tcPr>
                  <w:tcW w:w="424" w:type="pct"/>
                  <w:vMerge w:val="restart"/>
                  <w:noWrap w:val="0"/>
                  <w:vAlign w:val="center"/>
                </w:tcPr>
                <w:p>
                  <w:pPr>
                    <w:adjustRightInd w:val="0"/>
                    <w:snapToGrid w:val="0"/>
                    <w:jc w:val="center"/>
                    <w:rPr>
                      <w:color w:val="auto"/>
                      <w:spacing w:val="3"/>
                      <w:szCs w:val="21"/>
                    </w:rPr>
                  </w:pPr>
                  <w:r>
                    <w:rPr>
                      <w:color w:val="auto"/>
                      <w:spacing w:val="3"/>
                      <w:szCs w:val="21"/>
                    </w:rPr>
                    <w:t>废水</w:t>
                  </w:r>
                </w:p>
              </w:tc>
              <w:tc>
                <w:tcPr>
                  <w:tcW w:w="532" w:type="pct"/>
                  <w:noWrap w:val="0"/>
                  <w:vAlign w:val="center"/>
                </w:tcPr>
                <w:p>
                  <w:pPr>
                    <w:adjustRightInd w:val="0"/>
                    <w:snapToGrid w:val="0"/>
                    <w:jc w:val="center"/>
                    <w:rPr>
                      <w:rFonts w:hint="default" w:eastAsia="宋体"/>
                      <w:color w:val="auto"/>
                      <w:spacing w:val="3"/>
                      <w:szCs w:val="21"/>
                      <w:lang w:val="en-US" w:eastAsia="zh-CN"/>
                    </w:rPr>
                  </w:pPr>
                  <w:r>
                    <w:rPr>
                      <w:rFonts w:hint="eastAsia"/>
                      <w:color w:val="auto"/>
                      <w:spacing w:val="3"/>
                      <w:szCs w:val="21"/>
                      <w:lang w:val="en-US" w:eastAsia="zh-CN"/>
                    </w:rPr>
                    <w:t>W1</w:t>
                  </w:r>
                </w:p>
              </w:tc>
              <w:tc>
                <w:tcPr>
                  <w:tcW w:w="806" w:type="pct"/>
                  <w:noWrap w:val="0"/>
                  <w:vAlign w:val="center"/>
                </w:tcPr>
                <w:p>
                  <w:pPr>
                    <w:adjustRightInd w:val="0"/>
                    <w:snapToGrid w:val="0"/>
                    <w:jc w:val="center"/>
                    <w:rPr>
                      <w:color w:val="auto"/>
                      <w:spacing w:val="3"/>
                      <w:szCs w:val="21"/>
                    </w:rPr>
                  </w:pPr>
                  <w:r>
                    <w:rPr>
                      <w:color w:val="auto"/>
                      <w:spacing w:val="3"/>
                      <w:szCs w:val="21"/>
                    </w:rPr>
                    <w:t>生活污水</w:t>
                  </w:r>
                </w:p>
              </w:tc>
              <w:tc>
                <w:tcPr>
                  <w:tcW w:w="1489" w:type="pct"/>
                  <w:noWrap w:val="0"/>
                  <w:vAlign w:val="center"/>
                </w:tcPr>
                <w:p>
                  <w:pPr>
                    <w:adjustRightInd w:val="0"/>
                    <w:snapToGrid w:val="0"/>
                    <w:jc w:val="center"/>
                    <w:rPr>
                      <w:color w:val="auto"/>
                      <w:spacing w:val="3"/>
                      <w:szCs w:val="21"/>
                    </w:rPr>
                  </w:pPr>
                  <w:r>
                    <w:rPr>
                      <w:color w:val="auto"/>
                      <w:spacing w:val="3"/>
                      <w:szCs w:val="21"/>
                    </w:rPr>
                    <w:t>COD、BOD</w:t>
                  </w:r>
                  <w:r>
                    <w:rPr>
                      <w:color w:val="auto"/>
                      <w:spacing w:val="3"/>
                      <w:szCs w:val="21"/>
                      <w:vertAlign w:val="subscript"/>
                    </w:rPr>
                    <w:t>5</w:t>
                  </w:r>
                  <w:r>
                    <w:rPr>
                      <w:color w:val="auto"/>
                      <w:spacing w:val="3"/>
                      <w:szCs w:val="21"/>
                    </w:rPr>
                    <w:t>、SS、NH</w:t>
                  </w:r>
                  <w:r>
                    <w:rPr>
                      <w:color w:val="auto"/>
                      <w:spacing w:val="3"/>
                      <w:szCs w:val="21"/>
                      <w:vertAlign w:val="subscript"/>
                    </w:rPr>
                    <w:t>3</w:t>
                  </w:r>
                  <w:r>
                    <w:rPr>
                      <w:color w:val="auto"/>
                      <w:spacing w:val="3"/>
                      <w:szCs w:val="21"/>
                    </w:rPr>
                    <w:t>-N</w:t>
                  </w:r>
                </w:p>
              </w:tc>
              <w:tc>
                <w:tcPr>
                  <w:tcW w:w="1489" w:type="pct"/>
                  <w:noWrap w:val="0"/>
                  <w:vAlign w:val="center"/>
                </w:tcPr>
                <w:p>
                  <w:pPr>
                    <w:adjustRightInd w:val="0"/>
                    <w:snapToGrid w:val="0"/>
                    <w:jc w:val="center"/>
                    <w:rPr>
                      <w:color w:val="auto"/>
                      <w:spacing w:val="3"/>
                      <w:szCs w:val="21"/>
                    </w:rPr>
                  </w:pPr>
                  <w:r>
                    <w:rPr>
                      <w:color w:val="auto"/>
                      <w:spacing w:val="3"/>
                      <w:szCs w:val="21"/>
                    </w:rPr>
                    <w:t>COD、BOD</w:t>
                  </w:r>
                  <w:r>
                    <w:rPr>
                      <w:color w:val="auto"/>
                      <w:spacing w:val="3"/>
                      <w:szCs w:val="21"/>
                      <w:vertAlign w:val="subscript"/>
                    </w:rPr>
                    <w:t>5</w:t>
                  </w:r>
                  <w:r>
                    <w:rPr>
                      <w:color w:val="auto"/>
                      <w:spacing w:val="3"/>
                      <w:szCs w:val="21"/>
                    </w:rPr>
                    <w:t>、SS、NH</w:t>
                  </w:r>
                  <w:r>
                    <w:rPr>
                      <w:color w:val="auto"/>
                      <w:spacing w:val="3"/>
                      <w:szCs w:val="21"/>
                      <w:vertAlign w:val="subscript"/>
                    </w:rPr>
                    <w:t>3</w:t>
                  </w:r>
                  <w:r>
                    <w:rPr>
                      <w:color w:val="auto"/>
                      <w:spacing w:val="3"/>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257" w:type="pct"/>
                  <w:vMerge w:val="continue"/>
                  <w:noWrap w:val="0"/>
                  <w:vAlign w:val="center"/>
                </w:tcPr>
                <w:p>
                  <w:pPr>
                    <w:adjustRightInd w:val="0"/>
                    <w:snapToGrid w:val="0"/>
                    <w:jc w:val="center"/>
                    <w:rPr>
                      <w:color w:val="auto"/>
                      <w:spacing w:val="3"/>
                      <w:szCs w:val="21"/>
                    </w:rPr>
                  </w:pPr>
                </w:p>
              </w:tc>
              <w:tc>
                <w:tcPr>
                  <w:tcW w:w="424" w:type="pct"/>
                  <w:vMerge w:val="continue"/>
                  <w:noWrap w:val="0"/>
                  <w:vAlign w:val="center"/>
                </w:tcPr>
                <w:p>
                  <w:pPr>
                    <w:adjustRightInd w:val="0"/>
                    <w:snapToGrid w:val="0"/>
                    <w:jc w:val="center"/>
                    <w:rPr>
                      <w:color w:val="auto"/>
                      <w:spacing w:val="3"/>
                      <w:szCs w:val="21"/>
                    </w:rPr>
                  </w:pPr>
                </w:p>
              </w:tc>
              <w:tc>
                <w:tcPr>
                  <w:tcW w:w="532" w:type="pct"/>
                  <w:noWrap w:val="0"/>
                  <w:vAlign w:val="center"/>
                </w:tcPr>
                <w:p>
                  <w:pPr>
                    <w:adjustRightInd w:val="0"/>
                    <w:snapToGrid w:val="0"/>
                    <w:jc w:val="center"/>
                    <w:rPr>
                      <w:rFonts w:hint="default"/>
                      <w:color w:val="auto"/>
                      <w:spacing w:val="3"/>
                      <w:szCs w:val="21"/>
                      <w:lang w:val="en-US" w:eastAsia="zh-CN"/>
                    </w:rPr>
                  </w:pPr>
                  <w:r>
                    <w:rPr>
                      <w:rFonts w:hint="eastAsia"/>
                      <w:color w:val="auto"/>
                      <w:spacing w:val="3"/>
                      <w:szCs w:val="21"/>
                      <w:lang w:val="en-US" w:eastAsia="zh-CN"/>
                    </w:rPr>
                    <w:t>W2</w:t>
                  </w:r>
                </w:p>
              </w:tc>
              <w:tc>
                <w:tcPr>
                  <w:tcW w:w="806" w:type="pct"/>
                  <w:noWrap w:val="0"/>
                  <w:vAlign w:val="center"/>
                </w:tcPr>
                <w:p>
                  <w:pPr>
                    <w:adjustRightInd w:val="0"/>
                    <w:snapToGrid w:val="0"/>
                    <w:jc w:val="center"/>
                    <w:rPr>
                      <w:rFonts w:hint="default"/>
                      <w:color w:val="auto"/>
                      <w:spacing w:val="3"/>
                      <w:szCs w:val="21"/>
                      <w:lang w:val="en-US"/>
                    </w:rPr>
                  </w:pPr>
                  <w:r>
                    <w:rPr>
                      <w:rFonts w:hint="eastAsia" w:cs="Times New Roman"/>
                      <w:color w:val="auto"/>
                      <w:spacing w:val="3"/>
                      <w:szCs w:val="21"/>
                      <w:lang w:val="en-US" w:eastAsia="zh-CN"/>
                    </w:rPr>
                    <w:t>冲洗</w:t>
                  </w:r>
                </w:p>
              </w:tc>
              <w:tc>
                <w:tcPr>
                  <w:tcW w:w="1489" w:type="pct"/>
                  <w:noWrap w:val="0"/>
                  <w:vAlign w:val="center"/>
                </w:tcPr>
                <w:p>
                  <w:pPr>
                    <w:adjustRightInd w:val="0"/>
                    <w:snapToGrid w:val="0"/>
                    <w:jc w:val="center"/>
                    <w:rPr>
                      <w:rFonts w:hint="default" w:ascii="Times New Roman" w:hAnsi="Times New Roman" w:eastAsia="宋体" w:cs="Times New Roman"/>
                      <w:color w:val="auto"/>
                      <w:spacing w:val="3"/>
                      <w:szCs w:val="21"/>
                      <w:lang w:val="en-US" w:eastAsia="zh-CN"/>
                    </w:rPr>
                  </w:pPr>
                  <w:r>
                    <w:rPr>
                      <w:color w:val="auto"/>
                      <w:spacing w:val="3"/>
                      <w:szCs w:val="21"/>
                    </w:rPr>
                    <w:t>SS</w:t>
                  </w:r>
                  <w:r>
                    <w:rPr>
                      <w:rFonts w:hint="eastAsia"/>
                      <w:color w:val="auto"/>
                      <w:spacing w:val="3"/>
                      <w:szCs w:val="21"/>
                      <w:lang w:eastAsia="zh-CN"/>
                    </w:rPr>
                    <w:t>、</w:t>
                  </w:r>
                  <w:r>
                    <w:rPr>
                      <w:rFonts w:hint="eastAsia"/>
                      <w:color w:val="auto"/>
                      <w:spacing w:val="3"/>
                      <w:szCs w:val="21"/>
                      <w:lang w:val="en-US" w:eastAsia="zh-CN"/>
                    </w:rPr>
                    <w:t>HCl</w:t>
                  </w:r>
                </w:p>
              </w:tc>
              <w:tc>
                <w:tcPr>
                  <w:tcW w:w="1489" w:type="pct"/>
                  <w:noWrap w:val="0"/>
                  <w:vAlign w:val="center"/>
                </w:tcPr>
                <w:p>
                  <w:pPr>
                    <w:adjustRightInd w:val="0"/>
                    <w:snapToGrid w:val="0"/>
                    <w:jc w:val="center"/>
                    <w:rPr>
                      <w:rFonts w:hint="default" w:eastAsia="宋体"/>
                      <w:color w:val="auto"/>
                      <w:spacing w:val="3"/>
                      <w:szCs w:val="21"/>
                      <w:lang w:val="en-US" w:eastAsia="zh-CN"/>
                    </w:rPr>
                  </w:pPr>
                  <w:r>
                    <w:rPr>
                      <w:rFonts w:hint="eastAsia"/>
                      <w:color w:val="auto"/>
                      <w:spacing w:val="3"/>
                      <w:szCs w:val="21"/>
                      <w:lang w:val="en-US" w:eastAsia="zh-CN"/>
                    </w:rPr>
                    <w:t>循环使用，定期除渣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7" w:type="pct"/>
                  <w:vMerge w:val="continue"/>
                  <w:noWrap w:val="0"/>
                  <w:vAlign w:val="center"/>
                </w:tcPr>
                <w:p>
                  <w:pPr>
                    <w:adjustRightInd w:val="0"/>
                    <w:snapToGrid w:val="0"/>
                    <w:jc w:val="center"/>
                    <w:rPr>
                      <w:color w:val="auto"/>
                      <w:spacing w:val="3"/>
                      <w:szCs w:val="21"/>
                    </w:rPr>
                  </w:pPr>
                </w:p>
              </w:tc>
              <w:tc>
                <w:tcPr>
                  <w:tcW w:w="424" w:type="pct"/>
                  <w:vMerge w:val="restart"/>
                  <w:noWrap w:val="0"/>
                  <w:vAlign w:val="center"/>
                </w:tcPr>
                <w:p>
                  <w:pPr>
                    <w:adjustRightInd w:val="0"/>
                    <w:snapToGrid w:val="0"/>
                    <w:jc w:val="center"/>
                    <w:rPr>
                      <w:color w:val="auto"/>
                      <w:spacing w:val="3"/>
                      <w:szCs w:val="21"/>
                    </w:rPr>
                  </w:pPr>
                  <w:r>
                    <w:rPr>
                      <w:color w:val="auto"/>
                      <w:spacing w:val="3"/>
                      <w:szCs w:val="21"/>
                    </w:rPr>
                    <w:t>废气</w:t>
                  </w:r>
                </w:p>
              </w:tc>
              <w:tc>
                <w:tcPr>
                  <w:tcW w:w="532" w:type="pct"/>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G1</w:t>
                  </w:r>
                </w:p>
              </w:tc>
              <w:tc>
                <w:tcPr>
                  <w:tcW w:w="806" w:type="pct"/>
                  <w:noWrap w:val="0"/>
                  <w:vAlign w:val="center"/>
                </w:tcPr>
                <w:p>
                  <w:pPr>
                    <w:jc w:val="center"/>
                    <w:rPr>
                      <w:rFonts w:hint="default" w:eastAsia="宋体"/>
                      <w:color w:val="auto"/>
                      <w:spacing w:val="3"/>
                      <w:szCs w:val="21"/>
                      <w:lang w:val="en-US" w:eastAsia="zh-CN"/>
                    </w:rPr>
                  </w:pPr>
                  <w:r>
                    <w:rPr>
                      <w:rFonts w:hint="eastAsia"/>
                      <w:color w:val="auto"/>
                      <w:spacing w:val="3"/>
                      <w:szCs w:val="21"/>
                      <w:lang w:val="en-US" w:eastAsia="zh-CN"/>
                    </w:rPr>
                    <w:t>酸洗</w:t>
                  </w:r>
                </w:p>
              </w:tc>
              <w:tc>
                <w:tcPr>
                  <w:tcW w:w="1489" w:type="pct"/>
                  <w:noWrap w:val="0"/>
                  <w:vAlign w:val="center"/>
                </w:tcPr>
                <w:p>
                  <w:pPr>
                    <w:jc w:val="center"/>
                    <w:rPr>
                      <w:rFonts w:hint="eastAsia" w:eastAsia="宋体"/>
                      <w:color w:val="auto"/>
                      <w:spacing w:val="3"/>
                      <w:szCs w:val="21"/>
                      <w:lang w:val="en-US" w:eastAsia="zh-CN"/>
                    </w:rPr>
                  </w:pPr>
                  <w:r>
                    <w:rPr>
                      <w:rFonts w:hint="eastAsia"/>
                      <w:color w:val="auto"/>
                      <w:spacing w:val="3"/>
                      <w:szCs w:val="21"/>
                      <w:lang w:val="en-US" w:eastAsia="zh-CN"/>
                    </w:rPr>
                    <w:t>酸雾</w:t>
                  </w:r>
                </w:p>
              </w:tc>
              <w:tc>
                <w:tcPr>
                  <w:tcW w:w="1489" w:type="pct"/>
                  <w:noWrap w:val="0"/>
                  <w:vAlign w:val="center"/>
                </w:tcPr>
                <w:p>
                  <w:pPr>
                    <w:adjustRightInd w:val="0"/>
                    <w:snapToGrid w:val="0"/>
                    <w:jc w:val="center"/>
                    <w:rPr>
                      <w:rFonts w:hint="default" w:eastAsia="宋体"/>
                      <w:color w:val="auto"/>
                      <w:spacing w:val="3"/>
                      <w:szCs w:val="21"/>
                      <w:lang w:val="en-US" w:eastAsia="zh-CN"/>
                    </w:rPr>
                  </w:pPr>
                  <w:r>
                    <w:rPr>
                      <w:sz w:val="21"/>
                    </w:rPr>
                    <w:t>碱液喷淋塔</w:t>
                  </w:r>
                  <w:r>
                    <w:rPr>
                      <w:rFonts w:ascii="Times New Roman" w:eastAsia="Times New Roman"/>
                      <w:sz w:val="21"/>
                    </w:rPr>
                    <w:t xml:space="preserve">+15m </w:t>
                  </w:r>
                  <w:r>
                    <w:rPr>
                      <w:sz w:val="21"/>
                    </w:rPr>
                    <w:t>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7" w:type="pct"/>
                  <w:vMerge w:val="continue"/>
                  <w:noWrap w:val="0"/>
                  <w:vAlign w:val="center"/>
                </w:tcPr>
                <w:p>
                  <w:pPr>
                    <w:adjustRightInd w:val="0"/>
                    <w:snapToGrid w:val="0"/>
                    <w:jc w:val="center"/>
                    <w:rPr>
                      <w:color w:val="auto"/>
                      <w:spacing w:val="3"/>
                      <w:szCs w:val="21"/>
                    </w:rPr>
                  </w:pPr>
                </w:p>
              </w:tc>
              <w:tc>
                <w:tcPr>
                  <w:tcW w:w="424" w:type="pct"/>
                  <w:vMerge w:val="continue"/>
                  <w:noWrap w:val="0"/>
                  <w:vAlign w:val="center"/>
                </w:tcPr>
                <w:p>
                  <w:pPr>
                    <w:adjustRightInd w:val="0"/>
                    <w:snapToGrid w:val="0"/>
                    <w:jc w:val="center"/>
                    <w:rPr>
                      <w:color w:val="auto"/>
                      <w:spacing w:val="3"/>
                      <w:szCs w:val="21"/>
                    </w:rPr>
                  </w:pPr>
                </w:p>
              </w:tc>
              <w:tc>
                <w:tcPr>
                  <w:tcW w:w="532" w:type="pct"/>
                  <w:noWrap w:val="0"/>
                  <w:vAlign w:val="center"/>
                </w:tcPr>
                <w:p>
                  <w:pPr>
                    <w:jc w:val="center"/>
                    <w:rPr>
                      <w:rFonts w:hint="default"/>
                      <w:color w:val="auto"/>
                      <w:lang w:val="en-US" w:eastAsia="zh-CN"/>
                    </w:rPr>
                  </w:pPr>
                  <w:r>
                    <w:rPr>
                      <w:rFonts w:hint="eastAsia"/>
                      <w:color w:val="auto"/>
                      <w:lang w:val="en-US" w:eastAsia="zh-CN"/>
                    </w:rPr>
                    <w:t>G2</w:t>
                  </w:r>
                </w:p>
              </w:tc>
              <w:tc>
                <w:tcPr>
                  <w:tcW w:w="806" w:type="pct"/>
                  <w:noWrap w:val="0"/>
                  <w:vAlign w:val="center"/>
                </w:tcPr>
                <w:p>
                  <w:pPr>
                    <w:jc w:val="center"/>
                    <w:rPr>
                      <w:rFonts w:hint="default" w:ascii="Times New Roman" w:hAnsi="Times New Roman" w:eastAsia="宋体" w:cs="Times New Roman"/>
                      <w:color w:val="auto"/>
                      <w:kern w:val="2"/>
                      <w:szCs w:val="24"/>
                      <w:lang w:val="en-US" w:eastAsia="zh-CN"/>
                    </w:rPr>
                  </w:pPr>
                  <w:r>
                    <w:rPr>
                      <w:rFonts w:hint="eastAsia"/>
                      <w:color w:val="auto"/>
                      <w:lang w:val="en-US" w:eastAsia="zh-CN"/>
                    </w:rPr>
                    <w:t>打磨除锈</w:t>
                  </w:r>
                </w:p>
              </w:tc>
              <w:tc>
                <w:tcPr>
                  <w:tcW w:w="1489" w:type="pct"/>
                  <w:noWrap w:val="0"/>
                  <w:vAlign w:val="center"/>
                </w:tcPr>
                <w:p>
                  <w:pPr>
                    <w:jc w:val="center"/>
                    <w:rPr>
                      <w:rFonts w:hint="eastAsia"/>
                      <w:color w:val="auto"/>
                      <w:lang w:val="en-US" w:eastAsia="zh-CN"/>
                    </w:rPr>
                  </w:pPr>
                  <w:r>
                    <w:rPr>
                      <w:rFonts w:hint="eastAsia"/>
                      <w:color w:val="auto"/>
                      <w:lang w:val="en-US" w:eastAsia="zh-CN"/>
                    </w:rPr>
                    <w:t>颗粒物</w:t>
                  </w:r>
                </w:p>
              </w:tc>
              <w:tc>
                <w:tcPr>
                  <w:tcW w:w="1489" w:type="pct"/>
                  <w:noWrap w:val="0"/>
                  <w:vAlign w:val="center"/>
                </w:tcPr>
                <w:p>
                  <w:pPr>
                    <w:adjustRightInd w:val="0"/>
                    <w:snapToGrid w:val="0"/>
                    <w:jc w:val="center"/>
                    <w:rPr>
                      <w:rFonts w:hint="eastAsia" w:ascii="Times New Roman" w:hAnsi="Times New Roman" w:eastAsia="宋体" w:cs="Times New Roman"/>
                      <w:color w:val="auto"/>
                      <w:sz w:val="21"/>
                      <w:szCs w:val="21"/>
                      <w:lang w:val="en-US" w:eastAsia="zh-CN"/>
                    </w:rPr>
                  </w:pPr>
                  <w:r>
                    <w:rPr>
                      <w:rFonts w:hint="eastAsia"/>
                      <w:color w:val="auto"/>
                      <w:spacing w:val="3"/>
                      <w:szCs w:val="21"/>
                      <w:lang w:val="en-US" w:eastAsia="zh-CN"/>
                    </w:rPr>
                    <w:t>袋式除尘器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7" w:type="pct"/>
                  <w:vMerge w:val="continue"/>
                  <w:noWrap w:val="0"/>
                  <w:vAlign w:val="center"/>
                </w:tcPr>
                <w:p>
                  <w:pPr>
                    <w:adjustRightInd w:val="0"/>
                    <w:snapToGrid w:val="0"/>
                    <w:jc w:val="center"/>
                    <w:rPr>
                      <w:color w:val="auto"/>
                      <w:spacing w:val="3"/>
                      <w:szCs w:val="21"/>
                    </w:rPr>
                  </w:pPr>
                </w:p>
              </w:tc>
              <w:tc>
                <w:tcPr>
                  <w:tcW w:w="424" w:type="pct"/>
                  <w:noWrap w:val="0"/>
                  <w:vAlign w:val="center"/>
                </w:tcPr>
                <w:p>
                  <w:pPr>
                    <w:adjustRightInd w:val="0"/>
                    <w:snapToGrid w:val="0"/>
                    <w:jc w:val="center"/>
                    <w:rPr>
                      <w:color w:val="auto"/>
                      <w:spacing w:val="3"/>
                      <w:szCs w:val="21"/>
                    </w:rPr>
                  </w:pPr>
                  <w:r>
                    <w:rPr>
                      <w:color w:val="auto"/>
                      <w:spacing w:val="3"/>
                      <w:szCs w:val="21"/>
                    </w:rPr>
                    <w:t>噪声</w:t>
                  </w:r>
                </w:p>
              </w:tc>
              <w:tc>
                <w:tcPr>
                  <w:tcW w:w="532" w:type="pct"/>
                  <w:noWrap w:val="0"/>
                  <w:vAlign w:val="center"/>
                </w:tcPr>
                <w:p>
                  <w:pPr>
                    <w:adjustRightInd w:val="0"/>
                    <w:snapToGrid w:val="0"/>
                    <w:jc w:val="center"/>
                    <w:rPr>
                      <w:rFonts w:hint="eastAsia" w:eastAsia="宋体"/>
                      <w:color w:val="auto"/>
                      <w:spacing w:val="3"/>
                      <w:szCs w:val="21"/>
                      <w:lang w:val="en-US" w:eastAsia="zh-CN"/>
                    </w:rPr>
                  </w:pPr>
                  <w:r>
                    <w:rPr>
                      <w:rFonts w:hint="eastAsia"/>
                      <w:color w:val="auto"/>
                      <w:spacing w:val="3"/>
                      <w:szCs w:val="21"/>
                      <w:lang w:val="en-US" w:eastAsia="zh-CN"/>
                    </w:rPr>
                    <w:t>N</w:t>
                  </w:r>
                </w:p>
              </w:tc>
              <w:tc>
                <w:tcPr>
                  <w:tcW w:w="806" w:type="pct"/>
                  <w:noWrap w:val="0"/>
                  <w:vAlign w:val="center"/>
                </w:tcPr>
                <w:p>
                  <w:pPr>
                    <w:adjustRightInd w:val="0"/>
                    <w:snapToGrid w:val="0"/>
                    <w:jc w:val="center"/>
                    <w:rPr>
                      <w:color w:val="auto"/>
                      <w:spacing w:val="3"/>
                      <w:szCs w:val="21"/>
                    </w:rPr>
                  </w:pPr>
                  <w:r>
                    <w:rPr>
                      <w:color w:val="auto"/>
                      <w:spacing w:val="3"/>
                      <w:szCs w:val="21"/>
                    </w:rPr>
                    <w:t>生产设备</w:t>
                  </w:r>
                </w:p>
              </w:tc>
              <w:tc>
                <w:tcPr>
                  <w:tcW w:w="1489" w:type="pct"/>
                  <w:noWrap w:val="0"/>
                  <w:vAlign w:val="center"/>
                </w:tcPr>
                <w:p>
                  <w:pPr>
                    <w:adjustRightInd w:val="0"/>
                    <w:snapToGrid w:val="0"/>
                    <w:jc w:val="center"/>
                    <w:rPr>
                      <w:color w:val="auto"/>
                      <w:spacing w:val="3"/>
                      <w:szCs w:val="21"/>
                    </w:rPr>
                  </w:pPr>
                  <w:r>
                    <w:rPr>
                      <w:rFonts w:ascii="Times New Roman" w:eastAsia="Times New Roman"/>
                      <w:sz w:val="21"/>
                    </w:rPr>
                    <w:t>Leq</w:t>
                  </w:r>
                  <w:r>
                    <w:rPr>
                      <w:sz w:val="21"/>
                    </w:rPr>
                    <w:t>（</w:t>
                  </w:r>
                  <w:r>
                    <w:rPr>
                      <w:rFonts w:ascii="Times New Roman" w:eastAsia="Times New Roman"/>
                      <w:sz w:val="21"/>
                    </w:rPr>
                    <w:t>A</w:t>
                  </w:r>
                  <w:r>
                    <w:rPr>
                      <w:sz w:val="21"/>
                    </w:rPr>
                    <w:t>）</w:t>
                  </w:r>
                </w:p>
              </w:tc>
              <w:tc>
                <w:tcPr>
                  <w:tcW w:w="1489" w:type="pct"/>
                  <w:noWrap w:val="0"/>
                  <w:vAlign w:val="center"/>
                </w:tcPr>
                <w:p>
                  <w:pPr>
                    <w:adjustRightInd w:val="0"/>
                    <w:snapToGrid w:val="0"/>
                    <w:jc w:val="center"/>
                    <w:rPr>
                      <w:color w:val="auto"/>
                      <w:spacing w:val="3"/>
                      <w:szCs w:val="21"/>
                    </w:rPr>
                  </w:pPr>
                  <w:r>
                    <w:rPr>
                      <w:sz w:val="21"/>
                    </w:rPr>
                    <w:t>基座减震、隔音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7" w:type="pct"/>
                  <w:vMerge w:val="continue"/>
                  <w:noWrap w:val="0"/>
                  <w:vAlign w:val="center"/>
                </w:tcPr>
                <w:p>
                  <w:pPr>
                    <w:adjustRightInd w:val="0"/>
                    <w:snapToGrid w:val="0"/>
                    <w:jc w:val="center"/>
                    <w:rPr>
                      <w:color w:val="auto"/>
                      <w:spacing w:val="3"/>
                      <w:szCs w:val="21"/>
                    </w:rPr>
                  </w:pPr>
                </w:p>
              </w:tc>
              <w:tc>
                <w:tcPr>
                  <w:tcW w:w="424" w:type="pct"/>
                  <w:vMerge w:val="restart"/>
                  <w:noWrap w:val="0"/>
                  <w:vAlign w:val="center"/>
                </w:tcPr>
                <w:p>
                  <w:pPr>
                    <w:adjustRightInd w:val="0"/>
                    <w:snapToGrid w:val="0"/>
                    <w:jc w:val="center"/>
                    <w:rPr>
                      <w:color w:val="auto"/>
                      <w:spacing w:val="3"/>
                      <w:szCs w:val="21"/>
                    </w:rPr>
                  </w:pPr>
                  <w:r>
                    <w:rPr>
                      <w:color w:val="auto"/>
                      <w:spacing w:val="3"/>
                      <w:szCs w:val="21"/>
                    </w:rPr>
                    <w:t>固体废物</w:t>
                  </w:r>
                </w:p>
              </w:tc>
              <w:tc>
                <w:tcPr>
                  <w:tcW w:w="532" w:type="pct"/>
                  <w:noWrap w:val="0"/>
                  <w:vAlign w:val="center"/>
                </w:tcPr>
                <w:p>
                  <w:pPr>
                    <w:adjustRightInd w:val="0"/>
                    <w:snapToGrid w:val="0"/>
                    <w:jc w:val="center"/>
                    <w:rPr>
                      <w:rFonts w:hint="default" w:ascii="Times New Roman" w:hAnsi="Times New Roman" w:eastAsia="宋体" w:cs="Times New Roman"/>
                      <w:color w:val="auto"/>
                      <w:spacing w:val="3"/>
                      <w:szCs w:val="21"/>
                      <w:lang w:val="en-US" w:eastAsia="zh-CN"/>
                    </w:rPr>
                  </w:pPr>
                  <w:r>
                    <w:rPr>
                      <w:rFonts w:hint="eastAsia" w:ascii="Times New Roman" w:hAnsi="Times New Roman" w:eastAsia="宋体" w:cs="Times New Roman"/>
                      <w:color w:val="auto"/>
                      <w:spacing w:val="3"/>
                      <w:szCs w:val="21"/>
                      <w:lang w:val="en-US" w:eastAsia="zh-CN"/>
                    </w:rPr>
                    <w:t>S1</w:t>
                  </w:r>
                </w:p>
              </w:tc>
              <w:tc>
                <w:tcPr>
                  <w:tcW w:w="806" w:type="pct"/>
                  <w:noWrap w:val="0"/>
                  <w:vAlign w:val="center"/>
                </w:tcPr>
                <w:p>
                  <w:pPr>
                    <w:adjustRightInd w:val="0"/>
                    <w:snapToGrid w:val="0"/>
                    <w:jc w:val="center"/>
                    <w:rPr>
                      <w:rFonts w:hint="default" w:ascii="Times New Roman" w:hAnsi="Times New Roman" w:eastAsia="宋体" w:cs="Times New Roman"/>
                      <w:color w:val="auto"/>
                      <w:spacing w:val="3"/>
                      <w:szCs w:val="21"/>
                      <w:lang w:val="en-US" w:eastAsia="zh-CN"/>
                    </w:rPr>
                  </w:pPr>
                  <w:r>
                    <w:rPr>
                      <w:rFonts w:hint="eastAsia" w:ascii="Times New Roman" w:hAnsi="Times New Roman" w:eastAsia="宋体" w:cs="Times New Roman"/>
                      <w:color w:val="auto"/>
                      <w:spacing w:val="3"/>
                      <w:szCs w:val="21"/>
                      <w:lang w:val="en-US" w:eastAsia="zh-CN"/>
                    </w:rPr>
                    <w:t>日常办公、生活</w:t>
                  </w:r>
                </w:p>
              </w:tc>
              <w:tc>
                <w:tcPr>
                  <w:tcW w:w="1489" w:type="pct"/>
                  <w:noWrap w:val="0"/>
                  <w:vAlign w:val="center"/>
                </w:tcPr>
                <w:p>
                  <w:pPr>
                    <w:adjustRightInd w:val="0"/>
                    <w:snapToGrid w:val="0"/>
                    <w:jc w:val="center"/>
                    <w:rPr>
                      <w:rFonts w:hint="eastAsia" w:ascii="Times New Roman" w:hAnsi="Times New Roman" w:eastAsia="宋体" w:cs="Times New Roman"/>
                      <w:color w:val="auto"/>
                      <w:spacing w:val="3"/>
                      <w:szCs w:val="21"/>
                      <w:lang w:val="en-US" w:eastAsia="zh-CN"/>
                    </w:rPr>
                  </w:pPr>
                  <w:r>
                    <w:rPr>
                      <w:sz w:val="21"/>
                    </w:rPr>
                    <w:t>办公生活垃圾</w:t>
                  </w:r>
                </w:p>
              </w:tc>
              <w:tc>
                <w:tcPr>
                  <w:tcW w:w="1489" w:type="pct"/>
                  <w:noWrap w:val="0"/>
                  <w:vAlign w:val="center"/>
                </w:tcPr>
                <w:p>
                  <w:pPr>
                    <w:adjustRightInd w:val="0"/>
                    <w:snapToGrid w:val="0"/>
                    <w:jc w:val="center"/>
                    <w:rPr>
                      <w:rFonts w:hint="eastAsia" w:ascii="Times New Roman" w:hAnsi="Times New Roman" w:eastAsia="宋体" w:cs="Times New Roman"/>
                      <w:color w:val="auto"/>
                      <w:spacing w:val="3"/>
                      <w:szCs w:val="21"/>
                      <w:lang w:val="en-US" w:eastAsia="zh-CN"/>
                    </w:rPr>
                  </w:pPr>
                  <w:r>
                    <w:rPr>
                      <w:sz w:val="21"/>
                    </w:rPr>
                    <w:t>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57" w:type="pct"/>
                  <w:vMerge w:val="continue"/>
                  <w:noWrap w:val="0"/>
                  <w:vAlign w:val="center"/>
                </w:tcPr>
                <w:p>
                  <w:pPr>
                    <w:adjustRightInd w:val="0"/>
                    <w:snapToGrid w:val="0"/>
                    <w:jc w:val="center"/>
                    <w:rPr>
                      <w:color w:val="auto"/>
                      <w:spacing w:val="3"/>
                      <w:szCs w:val="21"/>
                    </w:rPr>
                  </w:pPr>
                </w:p>
              </w:tc>
              <w:tc>
                <w:tcPr>
                  <w:tcW w:w="424" w:type="pct"/>
                  <w:vMerge w:val="continue"/>
                  <w:noWrap w:val="0"/>
                  <w:vAlign w:val="center"/>
                </w:tcPr>
                <w:p>
                  <w:pPr>
                    <w:adjustRightInd w:val="0"/>
                    <w:snapToGrid w:val="0"/>
                    <w:jc w:val="center"/>
                    <w:rPr>
                      <w:color w:val="auto"/>
                      <w:spacing w:val="3"/>
                      <w:szCs w:val="21"/>
                    </w:rPr>
                  </w:pPr>
                </w:p>
              </w:tc>
              <w:tc>
                <w:tcPr>
                  <w:tcW w:w="532" w:type="pct"/>
                  <w:noWrap w:val="0"/>
                  <w:vAlign w:val="center"/>
                </w:tcPr>
                <w:p>
                  <w:pPr>
                    <w:adjustRightInd w:val="0"/>
                    <w:snapToGrid w:val="0"/>
                    <w:jc w:val="center"/>
                    <w:rPr>
                      <w:rFonts w:hint="eastAsia" w:ascii="Times New Roman" w:hAnsi="Times New Roman" w:eastAsia="宋体" w:cs="Times New Roman"/>
                      <w:color w:val="auto"/>
                      <w:spacing w:val="3"/>
                      <w:szCs w:val="21"/>
                      <w:lang w:val="en-US" w:eastAsia="zh-CN"/>
                    </w:rPr>
                  </w:pPr>
                  <w:r>
                    <w:rPr>
                      <w:rFonts w:hint="eastAsia" w:ascii="Times New Roman" w:hAnsi="Times New Roman" w:eastAsia="宋体" w:cs="Times New Roman"/>
                      <w:color w:val="auto"/>
                      <w:spacing w:val="3"/>
                      <w:szCs w:val="21"/>
                      <w:lang w:val="en-US" w:eastAsia="zh-CN"/>
                    </w:rPr>
                    <w:t>S2</w:t>
                  </w:r>
                </w:p>
              </w:tc>
              <w:tc>
                <w:tcPr>
                  <w:tcW w:w="806" w:type="pct"/>
                  <w:noWrap w:val="0"/>
                  <w:vAlign w:val="center"/>
                </w:tcPr>
                <w:p>
                  <w:pPr>
                    <w:pStyle w:val="71"/>
                    <w:snapToGrid w:val="0"/>
                    <w:rPr>
                      <w:rFonts w:hint="eastAsia" w:ascii="Times New Roman" w:hAnsi="Times New Roman" w:eastAsia="宋体" w:cs="Times New Roman"/>
                      <w:color w:val="auto"/>
                      <w:spacing w:val="3"/>
                      <w:szCs w:val="21"/>
                      <w:lang w:val="en-US" w:eastAsia="zh-CN"/>
                    </w:rPr>
                  </w:pPr>
                  <w:r>
                    <w:rPr>
                      <w:rFonts w:hint="eastAsia" w:ascii="Times New Roman" w:hAnsi="Times New Roman" w:eastAsia="宋体" w:cs="Times New Roman"/>
                      <w:color w:val="auto"/>
                      <w:sz w:val="21"/>
                      <w:szCs w:val="21"/>
                      <w:lang w:val="en-US" w:eastAsia="zh-CN"/>
                    </w:rPr>
                    <w:t>设备维护、保养、擦拭</w:t>
                  </w:r>
                </w:p>
              </w:tc>
              <w:tc>
                <w:tcPr>
                  <w:tcW w:w="1489" w:type="pct"/>
                  <w:noWrap w:val="0"/>
                  <w:vAlign w:val="center"/>
                </w:tcPr>
                <w:p>
                  <w:pPr>
                    <w:pStyle w:val="71"/>
                    <w:snapToGrid w:val="0"/>
                    <w:rPr>
                      <w:sz w:val="21"/>
                    </w:rPr>
                  </w:pPr>
                  <w:r>
                    <w:rPr>
                      <w:rFonts w:hint="eastAsia" w:ascii="Times New Roman" w:hAnsi="Times New Roman" w:eastAsia="宋体" w:cs="Times New Roman"/>
                      <w:color w:val="auto"/>
                      <w:sz w:val="21"/>
                      <w:szCs w:val="21"/>
                      <w:lang w:val="en-US" w:eastAsia="zh-CN"/>
                    </w:rPr>
                    <w:t>含油抹布</w:t>
                  </w:r>
                </w:p>
              </w:tc>
              <w:tc>
                <w:tcPr>
                  <w:tcW w:w="1489" w:type="pct"/>
                  <w:noWrap w:val="0"/>
                  <w:vAlign w:val="center"/>
                </w:tcPr>
                <w:p>
                  <w:pPr>
                    <w:pStyle w:val="71"/>
                    <w:snapToGrid w:val="0"/>
                    <w:rPr>
                      <w:sz w:val="21"/>
                    </w:rPr>
                  </w:pPr>
                  <w:r>
                    <w:rPr>
                      <w:sz w:val="21"/>
                    </w:rPr>
                    <w:t>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257" w:type="pct"/>
                  <w:vMerge w:val="continue"/>
                  <w:noWrap w:val="0"/>
                  <w:vAlign w:val="center"/>
                </w:tcPr>
                <w:p>
                  <w:pPr>
                    <w:adjustRightInd w:val="0"/>
                    <w:snapToGrid w:val="0"/>
                    <w:jc w:val="center"/>
                    <w:rPr>
                      <w:color w:val="auto"/>
                      <w:spacing w:val="3"/>
                      <w:szCs w:val="21"/>
                    </w:rPr>
                  </w:pPr>
                </w:p>
              </w:tc>
              <w:tc>
                <w:tcPr>
                  <w:tcW w:w="424" w:type="pct"/>
                  <w:vMerge w:val="continue"/>
                  <w:noWrap w:val="0"/>
                  <w:vAlign w:val="center"/>
                </w:tcPr>
                <w:p>
                  <w:pPr>
                    <w:adjustRightInd w:val="0"/>
                    <w:snapToGrid w:val="0"/>
                    <w:jc w:val="center"/>
                    <w:rPr>
                      <w:color w:val="auto"/>
                      <w:spacing w:val="3"/>
                      <w:szCs w:val="21"/>
                    </w:rPr>
                  </w:pPr>
                </w:p>
              </w:tc>
              <w:tc>
                <w:tcPr>
                  <w:tcW w:w="532" w:type="pct"/>
                  <w:noWrap w:val="0"/>
                  <w:vAlign w:val="center"/>
                </w:tcPr>
                <w:p>
                  <w:pPr>
                    <w:adjustRightInd w:val="0"/>
                    <w:snapToGrid w:val="0"/>
                    <w:jc w:val="center"/>
                    <w:rPr>
                      <w:rFonts w:hint="default" w:ascii="Times New Roman" w:hAnsi="Times New Roman" w:eastAsia="宋体" w:cs="Times New Roman"/>
                      <w:color w:val="auto"/>
                      <w:spacing w:val="3"/>
                      <w:szCs w:val="21"/>
                      <w:lang w:val="en-US" w:eastAsia="zh-CN"/>
                    </w:rPr>
                  </w:pPr>
                  <w:r>
                    <w:rPr>
                      <w:rFonts w:hint="eastAsia" w:ascii="Times New Roman" w:hAnsi="Times New Roman" w:eastAsia="宋体" w:cs="Times New Roman"/>
                      <w:color w:val="auto"/>
                      <w:spacing w:val="3"/>
                      <w:szCs w:val="21"/>
                      <w:lang w:val="en-US" w:eastAsia="zh-CN"/>
                    </w:rPr>
                    <w:t>S3</w:t>
                  </w:r>
                </w:p>
              </w:tc>
              <w:tc>
                <w:tcPr>
                  <w:tcW w:w="806" w:type="pct"/>
                  <w:noWrap w:val="0"/>
                  <w:vAlign w:val="center"/>
                </w:tcPr>
                <w:p>
                  <w:pPr>
                    <w:adjustRightInd w:val="0"/>
                    <w:snapToGrid w:val="0"/>
                    <w:jc w:val="center"/>
                    <w:rPr>
                      <w:rFonts w:hint="default" w:ascii="Times New Roman" w:hAnsi="Times New Roman" w:eastAsia="宋体" w:cs="Times New Roman"/>
                      <w:color w:val="auto"/>
                      <w:spacing w:val="3"/>
                      <w:szCs w:val="21"/>
                      <w:lang w:val="en-US" w:eastAsia="zh-CN"/>
                    </w:rPr>
                  </w:pPr>
                  <w:r>
                    <w:rPr>
                      <w:rFonts w:hint="eastAsia" w:cs="Times New Roman"/>
                      <w:color w:val="auto"/>
                      <w:spacing w:val="3"/>
                      <w:szCs w:val="21"/>
                      <w:lang w:val="en-US" w:eastAsia="zh-CN"/>
                    </w:rPr>
                    <w:t>打磨</w:t>
                  </w:r>
                </w:p>
              </w:tc>
              <w:tc>
                <w:tcPr>
                  <w:tcW w:w="1489" w:type="pct"/>
                  <w:noWrap w:val="0"/>
                  <w:vAlign w:val="center"/>
                </w:tcPr>
                <w:p>
                  <w:pPr>
                    <w:adjustRightInd w:val="0"/>
                    <w:snapToGrid w:val="0"/>
                    <w:jc w:val="center"/>
                    <w:rPr>
                      <w:rFonts w:hint="eastAsia" w:ascii="Times New Roman" w:hAnsi="Times New Roman" w:eastAsia="宋体" w:cs="Times New Roman"/>
                      <w:color w:val="auto"/>
                      <w:spacing w:val="3"/>
                      <w:szCs w:val="21"/>
                      <w:lang w:val="en-US" w:eastAsia="zh-CN"/>
                    </w:rPr>
                  </w:pPr>
                  <w:r>
                    <w:rPr>
                      <w:rFonts w:hint="eastAsia" w:cs="Times New Roman"/>
                      <w:color w:val="auto"/>
                      <w:spacing w:val="3"/>
                      <w:szCs w:val="21"/>
                      <w:lang w:val="en-US" w:eastAsia="zh-CN"/>
                    </w:rPr>
                    <w:t>废铁屑</w:t>
                  </w:r>
                </w:p>
              </w:tc>
              <w:tc>
                <w:tcPr>
                  <w:tcW w:w="1489" w:type="pct"/>
                  <w:noWrap w:val="0"/>
                  <w:vAlign w:val="center"/>
                </w:tcPr>
                <w:p>
                  <w:pPr>
                    <w:pStyle w:val="71"/>
                    <w:snapToGrid w:val="0"/>
                    <w:rPr>
                      <w:rFonts w:hint="default" w:ascii="Times New Roman" w:hAnsi="Times New Roman" w:eastAsia="宋体" w:cs="Times New Roman"/>
                      <w:color w:val="auto"/>
                      <w:spacing w:val="3"/>
                      <w:szCs w:val="21"/>
                      <w:lang w:val="en-US" w:eastAsia="zh-CN"/>
                    </w:rPr>
                  </w:pPr>
                  <w:r>
                    <w:rPr>
                      <w:sz w:val="21"/>
                    </w:rPr>
                    <w:t>暂存于一般固废暂存间，定期外售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257" w:type="pct"/>
                  <w:vMerge w:val="continue"/>
                  <w:noWrap w:val="0"/>
                  <w:vAlign w:val="center"/>
                </w:tcPr>
                <w:p>
                  <w:pPr>
                    <w:adjustRightInd w:val="0"/>
                    <w:snapToGrid w:val="0"/>
                    <w:jc w:val="center"/>
                    <w:rPr>
                      <w:color w:val="auto"/>
                      <w:spacing w:val="3"/>
                      <w:szCs w:val="21"/>
                    </w:rPr>
                  </w:pPr>
                </w:p>
              </w:tc>
              <w:tc>
                <w:tcPr>
                  <w:tcW w:w="424" w:type="pct"/>
                  <w:vMerge w:val="continue"/>
                  <w:noWrap w:val="0"/>
                  <w:vAlign w:val="center"/>
                </w:tcPr>
                <w:p>
                  <w:pPr>
                    <w:adjustRightInd w:val="0"/>
                    <w:snapToGrid w:val="0"/>
                    <w:jc w:val="center"/>
                    <w:rPr>
                      <w:color w:val="auto"/>
                      <w:spacing w:val="3"/>
                      <w:szCs w:val="21"/>
                    </w:rPr>
                  </w:pPr>
                </w:p>
              </w:tc>
              <w:tc>
                <w:tcPr>
                  <w:tcW w:w="532" w:type="pct"/>
                  <w:noWrap w:val="0"/>
                  <w:vAlign w:val="center"/>
                </w:tcPr>
                <w:p>
                  <w:pPr>
                    <w:adjustRightInd w:val="0"/>
                    <w:snapToGrid w:val="0"/>
                    <w:jc w:val="center"/>
                    <w:rPr>
                      <w:rFonts w:hint="default" w:ascii="Times New Roman" w:hAnsi="Times New Roman" w:eastAsia="宋体" w:cs="Times New Roman"/>
                      <w:color w:val="auto"/>
                      <w:spacing w:val="3"/>
                      <w:szCs w:val="21"/>
                      <w:lang w:val="en-US" w:eastAsia="zh-CN"/>
                    </w:rPr>
                  </w:pPr>
                  <w:r>
                    <w:rPr>
                      <w:rFonts w:hint="eastAsia" w:ascii="Times New Roman" w:hAnsi="Times New Roman" w:eastAsia="宋体" w:cs="Times New Roman"/>
                      <w:color w:val="auto"/>
                      <w:spacing w:val="3"/>
                      <w:szCs w:val="21"/>
                      <w:lang w:val="en-US" w:eastAsia="zh-CN"/>
                    </w:rPr>
                    <w:t>S4</w:t>
                  </w:r>
                </w:p>
              </w:tc>
              <w:tc>
                <w:tcPr>
                  <w:tcW w:w="806" w:type="pct"/>
                  <w:noWrap w:val="0"/>
                  <w:vAlign w:val="center"/>
                </w:tcPr>
                <w:p>
                  <w:pPr>
                    <w:adjustRightInd w:val="0"/>
                    <w:snapToGrid w:val="0"/>
                    <w:jc w:val="center"/>
                    <w:rPr>
                      <w:rFonts w:hint="default" w:ascii="Times New Roman" w:hAnsi="Times New Roman" w:eastAsia="宋体" w:cs="Times New Roman"/>
                      <w:color w:val="auto"/>
                      <w:spacing w:val="3"/>
                      <w:szCs w:val="21"/>
                      <w:lang w:val="en-US" w:eastAsia="zh-CN"/>
                    </w:rPr>
                  </w:pPr>
                  <w:r>
                    <w:rPr>
                      <w:rFonts w:hint="eastAsia" w:cs="Times New Roman"/>
                      <w:color w:val="auto"/>
                      <w:spacing w:val="3"/>
                      <w:szCs w:val="21"/>
                      <w:lang w:val="en-US" w:eastAsia="zh-CN"/>
                    </w:rPr>
                    <w:t>除渣</w:t>
                  </w:r>
                </w:p>
              </w:tc>
              <w:tc>
                <w:tcPr>
                  <w:tcW w:w="1489" w:type="pct"/>
                  <w:noWrap w:val="0"/>
                  <w:vAlign w:val="center"/>
                </w:tcPr>
                <w:p>
                  <w:pPr>
                    <w:adjustRightInd w:val="0"/>
                    <w:snapToGrid w:val="0"/>
                    <w:jc w:val="center"/>
                    <w:rPr>
                      <w:rFonts w:hint="eastAsia" w:ascii="Times New Roman" w:hAnsi="Times New Roman" w:eastAsia="宋体" w:cs="Times New Roman"/>
                      <w:color w:val="auto"/>
                      <w:spacing w:val="3"/>
                      <w:szCs w:val="21"/>
                      <w:lang w:val="en-US" w:eastAsia="zh-CN"/>
                    </w:rPr>
                  </w:pPr>
                  <w:r>
                    <w:rPr>
                      <w:rFonts w:hint="eastAsia" w:cs="Times New Roman"/>
                      <w:color w:val="auto"/>
                      <w:spacing w:val="3"/>
                      <w:szCs w:val="21"/>
                      <w:lang w:val="en-US" w:eastAsia="zh-CN"/>
                    </w:rPr>
                    <w:t>污泥</w:t>
                  </w:r>
                </w:p>
              </w:tc>
              <w:tc>
                <w:tcPr>
                  <w:tcW w:w="1489" w:type="pct"/>
                  <w:vMerge w:val="restart"/>
                  <w:noWrap w:val="0"/>
                  <w:vAlign w:val="center"/>
                </w:tcPr>
                <w:p>
                  <w:pPr>
                    <w:pStyle w:val="71"/>
                    <w:snapToGrid w:val="0"/>
                    <w:rPr>
                      <w:rFonts w:hint="default" w:ascii="Times New Roman" w:hAnsi="Times New Roman" w:eastAsia="宋体" w:cs="Times New Roman"/>
                      <w:color w:val="auto"/>
                      <w:sz w:val="24"/>
                      <w:lang w:val="en-US" w:eastAsia="zh-CN"/>
                    </w:rPr>
                  </w:pPr>
                  <w:r>
                    <w:rPr>
                      <w:sz w:val="21"/>
                    </w:rPr>
                    <w:t>分类收集暂存于危废暂存间，交由有资质单位进行无害化处置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257" w:type="pct"/>
                  <w:vMerge w:val="continue"/>
                  <w:noWrap w:val="0"/>
                  <w:vAlign w:val="center"/>
                </w:tcPr>
                <w:p>
                  <w:pPr>
                    <w:adjustRightInd w:val="0"/>
                    <w:snapToGrid w:val="0"/>
                    <w:jc w:val="center"/>
                    <w:rPr>
                      <w:color w:val="auto"/>
                      <w:spacing w:val="3"/>
                      <w:szCs w:val="21"/>
                    </w:rPr>
                  </w:pPr>
                </w:p>
              </w:tc>
              <w:tc>
                <w:tcPr>
                  <w:tcW w:w="424" w:type="pct"/>
                  <w:vMerge w:val="continue"/>
                  <w:noWrap w:val="0"/>
                  <w:vAlign w:val="center"/>
                </w:tcPr>
                <w:p>
                  <w:pPr>
                    <w:adjustRightInd w:val="0"/>
                    <w:snapToGrid w:val="0"/>
                    <w:jc w:val="center"/>
                    <w:rPr>
                      <w:color w:val="auto"/>
                      <w:spacing w:val="3"/>
                      <w:szCs w:val="21"/>
                    </w:rPr>
                  </w:pPr>
                </w:p>
              </w:tc>
              <w:tc>
                <w:tcPr>
                  <w:tcW w:w="532" w:type="pct"/>
                  <w:noWrap w:val="0"/>
                  <w:vAlign w:val="center"/>
                </w:tcPr>
                <w:p>
                  <w:pPr>
                    <w:adjustRightInd w:val="0"/>
                    <w:snapToGrid w:val="0"/>
                    <w:jc w:val="center"/>
                    <w:rPr>
                      <w:rFonts w:hint="default" w:ascii="Times New Roman" w:hAnsi="Times New Roman" w:eastAsia="宋体" w:cs="Times New Roman"/>
                      <w:color w:val="auto"/>
                      <w:spacing w:val="3"/>
                      <w:szCs w:val="21"/>
                      <w:lang w:val="en-US" w:eastAsia="zh-CN"/>
                    </w:rPr>
                  </w:pPr>
                  <w:r>
                    <w:rPr>
                      <w:rFonts w:hint="eastAsia" w:ascii="Times New Roman" w:hAnsi="Times New Roman" w:eastAsia="宋体" w:cs="Times New Roman"/>
                      <w:color w:val="auto"/>
                      <w:spacing w:val="3"/>
                      <w:szCs w:val="21"/>
                      <w:lang w:val="en-US" w:eastAsia="zh-CN"/>
                    </w:rPr>
                    <w:t>S</w:t>
                  </w:r>
                  <w:r>
                    <w:rPr>
                      <w:rFonts w:hint="eastAsia" w:cs="Times New Roman"/>
                      <w:color w:val="auto"/>
                      <w:spacing w:val="3"/>
                      <w:szCs w:val="21"/>
                      <w:lang w:val="en-US" w:eastAsia="zh-CN"/>
                    </w:rPr>
                    <w:t>5</w:t>
                  </w:r>
                </w:p>
              </w:tc>
              <w:tc>
                <w:tcPr>
                  <w:tcW w:w="806" w:type="pct"/>
                  <w:noWrap w:val="0"/>
                  <w:vAlign w:val="center"/>
                </w:tcPr>
                <w:p>
                  <w:pPr>
                    <w:adjustRightInd w:val="0"/>
                    <w:snapToGrid w:val="0"/>
                    <w:jc w:val="center"/>
                    <w:rPr>
                      <w:rFonts w:hint="default" w:ascii="Times New Roman" w:hAnsi="Times New Roman" w:eastAsia="宋体" w:cs="Times New Roman"/>
                      <w:color w:val="auto"/>
                      <w:spacing w:val="3"/>
                      <w:szCs w:val="21"/>
                      <w:lang w:val="en-US" w:eastAsia="zh-CN"/>
                    </w:rPr>
                  </w:pPr>
                  <w:r>
                    <w:rPr>
                      <w:rFonts w:hint="eastAsia"/>
                      <w:color w:val="auto"/>
                      <w:lang w:val="en-US" w:eastAsia="zh-CN"/>
                    </w:rPr>
                    <w:t>打磨除锈</w:t>
                  </w:r>
                </w:p>
              </w:tc>
              <w:tc>
                <w:tcPr>
                  <w:tcW w:w="1489" w:type="pct"/>
                  <w:noWrap w:val="0"/>
                  <w:vAlign w:val="center"/>
                </w:tcPr>
                <w:p>
                  <w:pPr>
                    <w:adjustRightInd w:val="0"/>
                    <w:snapToGrid w:val="0"/>
                    <w:jc w:val="center"/>
                    <w:rPr>
                      <w:rFonts w:hint="eastAsia" w:ascii="Times New Roman" w:hAnsi="Times New Roman" w:eastAsia="宋体" w:cs="Times New Roman"/>
                      <w:color w:val="auto"/>
                      <w:spacing w:val="3"/>
                      <w:szCs w:val="21"/>
                      <w:lang w:val="en-US" w:eastAsia="zh-CN"/>
                    </w:rPr>
                  </w:pPr>
                  <w:r>
                    <w:rPr>
                      <w:sz w:val="21"/>
                    </w:rPr>
                    <w:t>废</w:t>
                  </w:r>
                  <w:r>
                    <w:rPr>
                      <w:rFonts w:hint="eastAsia"/>
                      <w:sz w:val="21"/>
                      <w:lang w:eastAsia="zh-CN"/>
                    </w:rPr>
                    <w:t>润滑</w:t>
                  </w:r>
                  <w:r>
                    <w:rPr>
                      <w:sz w:val="21"/>
                    </w:rPr>
                    <w:t>油</w:t>
                  </w:r>
                </w:p>
              </w:tc>
              <w:tc>
                <w:tcPr>
                  <w:tcW w:w="1489" w:type="pct"/>
                  <w:vMerge w:val="continue"/>
                  <w:noWrap w:val="0"/>
                  <w:vAlign w:val="center"/>
                </w:tcPr>
                <w:p>
                  <w:pPr>
                    <w:pStyle w:val="71"/>
                    <w:snapToGrid w:val="0"/>
                    <w:rPr>
                      <w:rFonts w:hint="eastAsia" w:ascii="Times New Roman" w:hAnsi="Times New Roman" w:eastAsia="宋体" w:cs="Times New Roman"/>
                      <w:color w:val="auto"/>
                      <w:spacing w:val="3"/>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257" w:type="pct"/>
                  <w:vMerge w:val="continue"/>
                  <w:noWrap w:val="0"/>
                  <w:vAlign w:val="center"/>
                </w:tcPr>
                <w:p>
                  <w:pPr>
                    <w:adjustRightInd w:val="0"/>
                    <w:snapToGrid w:val="0"/>
                    <w:jc w:val="center"/>
                    <w:rPr>
                      <w:color w:val="auto"/>
                      <w:spacing w:val="3"/>
                      <w:szCs w:val="21"/>
                    </w:rPr>
                  </w:pPr>
                </w:p>
              </w:tc>
              <w:tc>
                <w:tcPr>
                  <w:tcW w:w="424" w:type="pct"/>
                  <w:vMerge w:val="continue"/>
                  <w:noWrap w:val="0"/>
                  <w:vAlign w:val="center"/>
                </w:tcPr>
                <w:p>
                  <w:pPr>
                    <w:adjustRightInd w:val="0"/>
                    <w:snapToGrid w:val="0"/>
                    <w:jc w:val="center"/>
                    <w:rPr>
                      <w:color w:val="auto"/>
                      <w:spacing w:val="3"/>
                      <w:szCs w:val="21"/>
                    </w:rPr>
                  </w:pPr>
                </w:p>
              </w:tc>
              <w:tc>
                <w:tcPr>
                  <w:tcW w:w="532" w:type="pct"/>
                  <w:noWrap w:val="0"/>
                  <w:vAlign w:val="center"/>
                </w:tcPr>
                <w:p>
                  <w:pPr>
                    <w:adjustRightInd w:val="0"/>
                    <w:snapToGrid w:val="0"/>
                    <w:jc w:val="center"/>
                    <w:rPr>
                      <w:rFonts w:hint="default" w:ascii="Times New Roman" w:hAnsi="Times New Roman" w:eastAsia="宋体" w:cs="Times New Roman"/>
                      <w:color w:val="auto"/>
                      <w:spacing w:val="3"/>
                      <w:szCs w:val="21"/>
                      <w:lang w:val="en-US" w:eastAsia="zh-CN"/>
                    </w:rPr>
                  </w:pPr>
                  <w:r>
                    <w:rPr>
                      <w:rFonts w:hint="eastAsia" w:ascii="Times New Roman" w:hAnsi="Times New Roman" w:eastAsia="宋体" w:cs="Times New Roman"/>
                      <w:color w:val="auto"/>
                      <w:spacing w:val="3"/>
                      <w:szCs w:val="21"/>
                      <w:lang w:val="en-US" w:eastAsia="zh-CN"/>
                    </w:rPr>
                    <w:t>S</w:t>
                  </w:r>
                  <w:r>
                    <w:rPr>
                      <w:rFonts w:hint="eastAsia" w:cs="Times New Roman"/>
                      <w:color w:val="auto"/>
                      <w:spacing w:val="3"/>
                      <w:szCs w:val="21"/>
                      <w:lang w:val="en-US" w:eastAsia="zh-CN"/>
                    </w:rPr>
                    <w:t>6</w:t>
                  </w:r>
                </w:p>
              </w:tc>
              <w:tc>
                <w:tcPr>
                  <w:tcW w:w="806" w:type="pct"/>
                  <w:noWrap w:val="0"/>
                  <w:vAlign w:val="center"/>
                </w:tcPr>
                <w:p>
                  <w:pPr>
                    <w:adjustRightInd w:val="0"/>
                    <w:snapToGrid w:val="0"/>
                    <w:jc w:val="center"/>
                    <w:rPr>
                      <w:rFonts w:hint="default" w:ascii="Times New Roman" w:hAnsi="Times New Roman" w:eastAsia="宋体" w:cs="Times New Roman"/>
                      <w:color w:val="auto"/>
                      <w:spacing w:val="3"/>
                      <w:szCs w:val="21"/>
                      <w:lang w:val="en-US" w:eastAsia="zh-CN"/>
                    </w:rPr>
                  </w:pPr>
                  <w:r>
                    <w:rPr>
                      <w:rFonts w:hint="eastAsia" w:ascii="Times New Roman" w:hAnsi="Times New Roman" w:eastAsia="宋体" w:cs="Times New Roman"/>
                      <w:color w:val="auto"/>
                      <w:spacing w:val="3"/>
                      <w:szCs w:val="21"/>
                      <w:lang w:val="en-US" w:eastAsia="zh-CN"/>
                    </w:rPr>
                    <w:t>废</w:t>
                  </w:r>
                  <w:r>
                    <w:rPr>
                      <w:rFonts w:hint="eastAsia" w:cs="Times New Roman"/>
                      <w:color w:val="auto"/>
                      <w:spacing w:val="3"/>
                      <w:szCs w:val="21"/>
                      <w:lang w:val="en-US" w:eastAsia="zh-CN"/>
                    </w:rPr>
                    <w:t>包装</w:t>
                  </w:r>
                </w:p>
              </w:tc>
              <w:tc>
                <w:tcPr>
                  <w:tcW w:w="1489" w:type="pct"/>
                  <w:noWrap w:val="0"/>
                  <w:vAlign w:val="center"/>
                </w:tcPr>
                <w:p>
                  <w:pPr>
                    <w:adjustRightInd w:val="0"/>
                    <w:snapToGrid w:val="0"/>
                    <w:jc w:val="center"/>
                    <w:rPr>
                      <w:rFonts w:hint="eastAsia" w:ascii="Times New Roman" w:hAnsi="Times New Roman" w:eastAsia="宋体" w:cs="Times New Roman"/>
                      <w:color w:val="auto"/>
                      <w:spacing w:val="3"/>
                      <w:szCs w:val="21"/>
                      <w:lang w:val="en-US" w:eastAsia="zh-CN"/>
                    </w:rPr>
                  </w:pPr>
                  <w:r>
                    <w:rPr>
                      <w:rFonts w:hint="eastAsia" w:cs="Times New Roman"/>
                      <w:color w:val="auto"/>
                      <w:spacing w:val="3"/>
                      <w:szCs w:val="21"/>
                      <w:lang w:val="en-US" w:eastAsia="zh-CN"/>
                    </w:rPr>
                    <w:t>酸、碱</w:t>
                  </w:r>
                </w:p>
              </w:tc>
              <w:tc>
                <w:tcPr>
                  <w:tcW w:w="1489" w:type="pct"/>
                  <w:vMerge w:val="continue"/>
                  <w:noWrap w:val="0"/>
                  <w:vAlign w:val="center"/>
                </w:tcPr>
                <w:p>
                  <w:pPr>
                    <w:pStyle w:val="71"/>
                    <w:snapToGrid w:val="0"/>
                    <w:rPr>
                      <w:rFonts w:hint="default" w:ascii="Times New Roman" w:hAnsi="Times New Roman" w:eastAsia="宋体" w:cs="Times New Roman"/>
                      <w:color w:val="auto"/>
                      <w:sz w:val="24"/>
                      <w:lang w:val="en-US" w:eastAsia="zh-CN"/>
                    </w:rPr>
                  </w:pPr>
                </w:p>
              </w:tc>
            </w:tr>
          </w:tbl>
          <w:p>
            <w:pPr>
              <w:pStyle w:val="60"/>
              <w:snapToGrid/>
              <w:spacing w:line="360" w:lineRule="auto"/>
              <w:ind w:firstLine="480" w:firstLineChars="200"/>
              <w:jc w:val="both"/>
              <w:rPr>
                <w:rFonts w:ascii="宋体" w:hAnsi="宋体"/>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93" w:hRule="atLeast"/>
          <w:jc w:val="center"/>
        </w:trPr>
        <w:tc>
          <w:tcPr>
            <w:tcW w:w="697" w:type="dxa"/>
            <w:noWrap w:val="0"/>
            <w:vAlign w:val="center"/>
          </w:tcPr>
          <w:p>
            <w:pPr>
              <w:pStyle w:val="24"/>
              <w:adjustRightInd w:val="0"/>
              <w:snapToGrid w:val="0"/>
              <w:spacing w:before="0" w:beforeAutospacing="0" w:after="0" w:afterAutospacing="0"/>
              <w:jc w:val="center"/>
              <w:rPr>
                <w:rFonts w:cs="宋体"/>
                <w:szCs w:val="24"/>
                <w:lang w:val="en-US" w:eastAsia="zh-CN"/>
              </w:rPr>
            </w:pPr>
            <w:r>
              <w:rPr>
                <w:rFonts w:hint="eastAsia" w:cs="宋体"/>
                <w:bCs/>
                <w:kern w:val="2"/>
                <w:szCs w:val="24"/>
                <w:lang w:val="en-US" w:eastAsia="zh-CN"/>
              </w:rPr>
              <w:t>与项目有关的原有环境污染问题</w:t>
            </w:r>
          </w:p>
        </w:tc>
        <w:tc>
          <w:tcPr>
            <w:tcW w:w="8363" w:type="dxa"/>
            <w:noWrap w:val="0"/>
            <w:vAlign w:val="top"/>
          </w:tcPr>
          <w:p>
            <w:pPr>
              <w:adjustRightInd w:val="0"/>
              <w:snapToGrid w:val="0"/>
              <w:rPr>
                <w:rFonts w:hint="eastAsia"/>
                <w:sz w:val="24"/>
              </w:rPr>
            </w:pPr>
          </w:p>
          <w:p>
            <w:pPr>
              <w:pStyle w:val="98"/>
              <w:spacing w:before="0" w:after="0" w:line="360" w:lineRule="auto"/>
              <w:ind w:firstLine="480" w:firstLineChars="200"/>
              <w:jc w:val="both"/>
              <w:rPr>
                <w:rFonts w:eastAsia="宋体"/>
                <w:color w:val="auto"/>
                <w:kern w:val="2"/>
                <w:sz w:val="24"/>
                <w:szCs w:val="24"/>
                <w:lang w:val="en-US" w:eastAsia="zh-CN"/>
              </w:rPr>
            </w:pPr>
            <w:r>
              <w:rPr>
                <w:rFonts w:hAnsi="宋体" w:eastAsia="宋体"/>
                <w:color w:val="auto"/>
                <w:kern w:val="2"/>
                <w:sz w:val="24"/>
                <w:szCs w:val="24"/>
                <w:lang w:val="en-US" w:eastAsia="zh-CN"/>
              </w:rPr>
              <w:t>本项目为新建项</w:t>
            </w:r>
            <w:r>
              <w:rPr>
                <w:rFonts w:ascii="Times New Roman" w:hAnsi="宋体" w:eastAsia="宋体" w:cs="Times New Roman"/>
                <w:color w:val="auto"/>
                <w:kern w:val="2"/>
                <w:sz w:val="24"/>
                <w:szCs w:val="24"/>
                <w:lang w:val="en-US" w:eastAsia="zh-CN"/>
              </w:rPr>
              <w:t>目</w:t>
            </w:r>
            <w:r>
              <w:rPr>
                <w:rFonts w:hint="eastAsia" w:ascii="Times New Roman" w:hAnsi="宋体" w:eastAsia="宋体" w:cs="Times New Roman"/>
                <w:color w:val="auto"/>
                <w:kern w:val="2"/>
                <w:sz w:val="24"/>
                <w:szCs w:val="24"/>
                <w:lang w:val="en-US" w:eastAsia="zh-CN"/>
              </w:rPr>
              <w:t>，根据现场查勘，现场土建工程已完工，利用已建厂房</w:t>
            </w:r>
            <w:r>
              <w:rPr>
                <w:rFonts w:ascii="Times New Roman" w:hAnsi="宋体" w:eastAsia="宋体" w:cs="Times New Roman"/>
                <w:color w:val="auto"/>
                <w:kern w:val="2"/>
                <w:sz w:val="24"/>
                <w:szCs w:val="24"/>
                <w:lang w:val="en-US" w:eastAsia="zh-CN"/>
              </w:rPr>
              <w:t>，</w:t>
            </w:r>
            <w:r>
              <w:rPr>
                <w:rFonts w:hint="eastAsia" w:ascii="Times New Roman" w:hAnsi="宋体" w:eastAsia="宋体" w:cs="Times New Roman"/>
                <w:color w:val="auto"/>
                <w:kern w:val="2"/>
                <w:sz w:val="24"/>
                <w:szCs w:val="24"/>
                <w:lang w:val="en-US" w:eastAsia="zh-CN"/>
              </w:rPr>
              <w:t>之前</w:t>
            </w:r>
            <w:r>
              <w:rPr>
                <w:rFonts w:ascii="Times New Roman" w:hAnsi="宋体" w:eastAsia="宋体" w:cs="Times New Roman"/>
                <w:color w:val="auto"/>
                <w:kern w:val="2"/>
                <w:sz w:val="24"/>
                <w:szCs w:val="24"/>
                <w:lang w:val="en-US" w:eastAsia="zh-CN"/>
              </w:rPr>
              <w:t>无生产活</w:t>
            </w:r>
            <w:r>
              <w:rPr>
                <w:rFonts w:hAnsi="宋体" w:eastAsia="宋体"/>
                <w:color w:val="auto"/>
                <w:kern w:val="2"/>
                <w:sz w:val="24"/>
                <w:szCs w:val="24"/>
                <w:lang w:val="en-US" w:eastAsia="zh-CN"/>
              </w:rPr>
              <w:t>动，不存在与本项目有关的原有污染情况和环境问题。</w:t>
            </w:r>
          </w:p>
          <w:p>
            <w:pPr>
              <w:pStyle w:val="8"/>
              <w:rPr>
                <w:rFonts w:hint="eastAsia"/>
                <w:sz w:val="24"/>
              </w:rPr>
            </w:pPr>
          </w:p>
          <w:p>
            <w:pPr>
              <w:rPr>
                <w:rFonts w:hint="eastAsia"/>
                <w:sz w:val="24"/>
              </w:rPr>
            </w:pPr>
          </w:p>
          <w:p>
            <w:pPr>
              <w:pStyle w:val="23"/>
              <w:rPr>
                <w:rFonts w:hint="eastAsia"/>
                <w:sz w:val="24"/>
              </w:rPr>
            </w:pPr>
          </w:p>
          <w:p>
            <w:pPr>
              <w:pStyle w:val="23"/>
              <w:rPr>
                <w:rFonts w:hint="eastAsia"/>
                <w:sz w:val="24"/>
              </w:rPr>
            </w:pPr>
          </w:p>
          <w:p>
            <w:pPr>
              <w:rPr>
                <w:rFonts w:hint="eastAsia"/>
                <w:sz w:val="24"/>
              </w:rPr>
            </w:pPr>
          </w:p>
          <w:p>
            <w:pPr>
              <w:rPr>
                <w:rFonts w:hint="eastAsia"/>
                <w:sz w:val="24"/>
              </w:rPr>
            </w:pPr>
          </w:p>
          <w:p>
            <w:pPr>
              <w:pStyle w:val="87"/>
              <w:rPr>
                <w:rFonts w:hint="eastAsia"/>
                <w:sz w:val="24"/>
              </w:rPr>
            </w:pPr>
          </w:p>
          <w:p>
            <w:pPr>
              <w:rPr>
                <w:rFonts w:hint="eastAsia"/>
                <w:sz w:val="24"/>
              </w:rPr>
            </w:pPr>
          </w:p>
        </w:tc>
      </w:tr>
    </w:tbl>
    <w:p>
      <w:pPr>
        <w:pStyle w:val="24"/>
        <w:jc w:val="center"/>
        <w:rPr>
          <w:rFonts w:ascii="黑体" w:hAnsi="黑体" w:eastAsia="黑体"/>
          <w:snapToGrid w:val="0"/>
          <w:sz w:val="36"/>
          <w:szCs w:val="36"/>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5"/>
        <w:bidi w:val="0"/>
      </w:pPr>
      <w:r>
        <w:rPr>
          <w:rFonts w:hint="eastAsia"/>
        </w:rPr>
        <w:t>三、区域环境质量现状、环境保护目标及评价标准</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86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6" w:type="dxa"/>
            <w:noWrap w:val="0"/>
            <w:vAlign w:val="center"/>
          </w:tcPr>
          <w:p>
            <w:pPr>
              <w:adjustRightInd w:val="0"/>
              <w:snapToGrid w:val="0"/>
              <w:jc w:val="center"/>
              <w:rPr>
                <w:rFonts w:hint="eastAsia" w:ascii="宋体" w:hAnsi="宋体" w:cs="宋体"/>
                <w:kern w:val="0"/>
                <w:sz w:val="24"/>
              </w:rPr>
            </w:pPr>
            <w:r>
              <w:rPr>
                <w:rFonts w:hint="eastAsia" w:ascii="宋体" w:hAnsi="宋体" w:cs="宋体"/>
                <w:kern w:val="0"/>
                <w:sz w:val="24"/>
              </w:rPr>
              <w:t>区域</w:t>
            </w:r>
          </w:p>
          <w:p>
            <w:pPr>
              <w:adjustRightInd w:val="0"/>
              <w:snapToGrid w:val="0"/>
              <w:jc w:val="center"/>
              <w:rPr>
                <w:rFonts w:hint="eastAsia" w:ascii="宋体" w:hAnsi="宋体" w:cs="宋体"/>
                <w:kern w:val="0"/>
                <w:sz w:val="24"/>
              </w:rPr>
            </w:pPr>
            <w:r>
              <w:rPr>
                <w:rFonts w:hint="eastAsia" w:ascii="宋体" w:hAnsi="宋体" w:cs="宋体"/>
                <w:kern w:val="0"/>
                <w:sz w:val="24"/>
              </w:rPr>
              <w:t>环境</w:t>
            </w:r>
          </w:p>
          <w:p>
            <w:pPr>
              <w:adjustRightInd w:val="0"/>
              <w:snapToGrid w:val="0"/>
              <w:jc w:val="center"/>
              <w:rPr>
                <w:rFonts w:hint="eastAsia" w:ascii="宋体" w:hAnsi="宋体" w:cs="宋体"/>
                <w:kern w:val="0"/>
                <w:sz w:val="24"/>
              </w:rPr>
            </w:pPr>
            <w:r>
              <w:rPr>
                <w:rFonts w:hint="eastAsia" w:ascii="宋体" w:hAnsi="宋体" w:cs="宋体"/>
                <w:kern w:val="0"/>
                <w:sz w:val="24"/>
              </w:rPr>
              <w:t>质量</w:t>
            </w:r>
          </w:p>
          <w:p>
            <w:pPr>
              <w:adjustRightInd w:val="0"/>
              <w:snapToGrid w:val="0"/>
              <w:jc w:val="center"/>
              <w:rPr>
                <w:rFonts w:ascii="宋体" w:hAnsi="宋体" w:cs="宋体"/>
                <w:kern w:val="0"/>
                <w:sz w:val="24"/>
              </w:rPr>
            </w:pPr>
            <w:r>
              <w:rPr>
                <w:rFonts w:hint="eastAsia" w:ascii="宋体" w:hAnsi="宋体" w:cs="宋体"/>
                <w:kern w:val="0"/>
                <w:sz w:val="24"/>
              </w:rPr>
              <w:t>现状</w:t>
            </w:r>
          </w:p>
        </w:tc>
        <w:tc>
          <w:tcPr>
            <w:tcW w:w="8385" w:type="dxa"/>
            <w:noWrap w:val="0"/>
            <w:vAlign w:val="center"/>
          </w:tcPr>
          <w:p>
            <w:pPr>
              <w:pStyle w:val="7"/>
              <w:snapToGrid/>
              <w:spacing w:before="0" w:after="0" w:line="360" w:lineRule="auto"/>
              <w:ind w:firstLine="480"/>
              <w:rPr>
                <w:kern w:val="2"/>
                <w:sz w:val="24"/>
                <w:szCs w:val="24"/>
                <w:lang w:val="en-US" w:eastAsia="zh-CN"/>
              </w:rPr>
            </w:pPr>
            <w:r>
              <w:rPr>
                <w:kern w:val="2"/>
                <w:sz w:val="24"/>
                <w:szCs w:val="24"/>
                <w:lang w:val="en-US" w:eastAsia="zh-CN"/>
              </w:rPr>
              <w:t>1、环境空气质量</w:t>
            </w:r>
          </w:p>
          <w:p>
            <w:pPr>
              <w:spacing w:line="360" w:lineRule="auto"/>
              <w:ind w:firstLine="480" w:firstLineChars="200"/>
              <w:rPr>
                <w:sz w:val="24"/>
              </w:rPr>
            </w:pPr>
            <w:r>
              <w:rPr>
                <w:sz w:val="24"/>
              </w:rPr>
              <w:t>1.1空气环境质量达标区判定及基本污染物环境质量现状</w:t>
            </w:r>
          </w:p>
          <w:p>
            <w:pPr>
              <w:autoSpaceDE w:val="0"/>
              <w:autoSpaceDN w:val="0"/>
              <w:spacing w:line="360" w:lineRule="auto"/>
              <w:ind w:firstLine="480" w:firstLineChars="200"/>
              <w:rPr>
                <w:kern w:val="0"/>
                <w:sz w:val="24"/>
              </w:rPr>
            </w:pPr>
            <w:r>
              <w:rPr>
                <w:sz w:val="24"/>
              </w:rPr>
              <w:t>根据《环境影响评价技术导则 大气环境》（HJ2.2-2018），项目所在区域达标判定优先采用国家或地方生态环境主管部门公开发布的评价基准年环境质量公告或环境质量报告中的数据或结论。</w:t>
            </w:r>
            <w:r>
              <w:rPr>
                <w:kern w:val="0"/>
                <w:sz w:val="24"/>
              </w:rPr>
              <w:t>本次项目评价范围内没有环境空气质量监测网络数据，因此，本项目引用《2020年淮南市环境质量状况公</w:t>
            </w:r>
            <w:r>
              <w:rPr>
                <w:rFonts w:hint="eastAsia"/>
                <w:kern w:val="0"/>
                <w:sz w:val="24"/>
              </w:rPr>
              <w:t>报</w:t>
            </w:r>
            <w:r>
              <w:rPr>
                <w:kern w:val="0"/>
                <w:sz w:val="24"/>
              </w:rPr>
              <w:t>》内容。</w:t>
            </w:r>
          </w:p>
          <w:p>
            <w:pPr>
              <w:autoSpaceDE w:val="0"/>
              <w:autoSpaceDN w:val="0"/>
              <w:spacing w:line="360" w:lineRule="auto"/>
              <w:ind w:firstLine="480" w:firstLineChars="200"/>
              <w:rPr>
                <w:sz w:val="24"/>
              </w:rPr>
            </w:pPr>
            <w:r>
              <w:rPr>
                <w:kern w:val="0"/>
                <w:sz w:val="24"/>
              </w:rPr>
              <w:t>2020年淮南市市区环境空气中的主</w:t>
            </w:r>
            <w:r>
              <w:rPr>
                <w:sz w:val="24"/>
              </w:rPr>
              <w:t>要污染物二氧化硫（SO</w:t>
            </w:r>
            <w:r>
              <w:rPr>
                <w:sz w:val="24"/>
                <w:vertAlign w:val="subscript"/>
              </w:rPr>
              <w:t>2</w:t>
            </w:r>
            <w:r>
              <w:rPr>
                <w:sz w:val="24"/>
              </w:rPr>
              <w:t>）、二氧化氮（NO</w:t>
            </w:r>
            <w:r>
              <w:rPr>
                <w:sz w:val="24"/>
                <w:vertAlign w:val="subscript"/>
              </w:rPr>
              <w:t>2</w:t>
            </w:r>
            <w:r>
              <w:rPr>
                <w:sz w:val="24"/>
              </w:rPr>
              <w:t>）、可吸入颗粒物（PM</w:t>
            </w:r>
            <w:r>
              <w:rPr>
                <w:sz w:val="24"/>
                <w:vertAlign w:val="subscript"/>
              </w:rPr>
              <w:t>10</w:t>
            </w:r>
            <w:r>
              <w:rPr>
                <w:sz w:val="24"/>
              </w:rPr>
              <w:t>）、细颗粒物（PM</w:t>
            </w:r>
            <w:r>
              <w:rPr>
                <w:sz w:val="24"/>
                <w:vertAlign w:val="subscript"/>
              </w:rPr>
              <w:t>2.5</w:t>
            </w:r>
            <w:r>
              <w:rPr>
                <w:sz w:val="24"/>
              </w:rPr>
              <w:t>）、一氧化碳（CO）</w:t>
            </w:r>
            <w:r>
              <w:rPr>
                <w:rFonts w:hint="eastAsia"/>
                <w:sz w:val="24"/>
              </w:rPr>
              <w:t>日均值第9</w:t>
            </w:r>
            <w:r>
              <w:rPr>
                <w:sz w:val="24"/>
              </w:rPr>
              <w:t>5</w:t>
            </w:r>
            <w:r>
              <w:rPr>
                <w:rFonts w:hint="eastAsia"/>
                <w:sz w:val="24"/>
              </w:rPr>
              <w:t>百分位浓度</w:t>
            </w:r>
            <w:r>
              <w:rPr>
                <w:sz w:val="24"/>
              </w:rPr>
              <w:t>、</w:t>
            </w:r>
            <w:bookmarkStart w:id="21" w:name="_Hlk49323734"/>
            <w:r>
              <w:rPr>
                <w:sz w:val="24"/>
              </w:rPr>
              <w:t>臭氧（O</w:t>
            </w:r>
            <w:r>
              <w:rPr>
                <w:sz w:val="24"/>
                <w:vertAlign w:val="subscript"/>
              </w:rPr>
              <w:t>3</w:t>
            </w:r>
            <w:r>
              <w:rPr>
                <w:sz w:val="24"/>
              </w:rPr>
              <w:t>）</w:t>
            </w:r>
            <w:r>
              <w:rPr>
                <w:rFonts w:hint="eastAsia"/>
                <w:sz w:val="24"/>
              </w:rPr>
              <w:t>日最大8小时平均第9</w:t>
            </w:r>
            <w:r>
              <w:rPr>
                <w:sz w:val="24"/>
              </w:rPr>
              <w:t>0</w:t>
            </w:r>
            <w:r>
              <w:rPr>
                <w:rFonts w:hint="eastAsia"/>
                <w:sz w:val="24"/>
              </w:rPr>
              <w:t>百分位浓度</w:t>
            </w:r>
            <w:bookmarkEnd w:id="21"/>
            <w:r>
              <w:rPr>
                <w:sz w:val="24"/>
              </w:rPr>
              <w:t>分别为10微克/立方米、28微克/立方米、76微克/立方米、48微克/立方米、1.1毫克/立方米和</w:t>
            </w:r>
            <w:r>
              <w:rPr>
                <w:rFonts w:hint="eastAsia"/>
                <w:sz w:val="24"/>
              </w:rPr>
              <w:t>1</w:t>
            </w:r>
            <w:r>
              <w:rPr>
                <w:sz w:val="24"/>
              </w:rPr>
              <w:t>60微克/立方米，二氧化硫、二氧化氮、一氧化碳均符合《环境空气质量标准》（GB3095-2012）二级标准，可吸入颗粒物（PM</w:t>
            </w:r>
            <w:r>
              <w:rPr>
                <w:sz w:val="24"/>
                <w:vertAlign w:val="subscript"/>
              </w:rPr>
              <w:t>10</w:t>
            </w:r>
            <w:r>
              <w:rPr>
                <w:sz w:val="24"/>
              </w:rPr>
              <w:t>）</w:t>
            </w:r>
            <w:r>
              <w:rPr>
                <w:rFonts w:hint="eastAsia"/>
                <w:sz w:val="24"/>
              </w:rPr>
              <w:t>、</w:t>
            </w:r>
            <w:r>
              <w:rPr>
                <w:sz w:val="24"/>
              </w:rPr>
              <w:t>细颗粒物（PM</w:t>
            </w:r>
            <w:r>
              <w:rPr>
                <w:sz w:val="24"/>
                <w:vertAlign w:val="subscript"/>
              </w:rPr>
              <w:t>2.5</w:t>
            </w:r>
            <w:r>
              <w:rPr>
                <w:sz w:val="24"/>
              </w:rPr>
              <w:t>）</w:t>
            </w:r>
            <w:r>
              <w:rPr>
                <w:rFonts w:hint="eastAsia"/>
                <w:sz w:val="24"/>
              </w:rPr>
              <w:t>年均浓度分别</w:t>
            </w:r>
            <w:r>
              <w:rPr>
                <w:sz w:val="24"/>
              </w:rPr>
              <w:t>超过《环境空气质量标准》（GB3095-2012）二级标准0.08倍倍</w:t>
            </w:r>
            <w:r>
              <w:rPr>
                <w:rFonts w:hint="eastAsia"/>
                <w:sz w:val="24"/>
              </w:rPr>
              <w:t>和0</w:t>
            </w:r>
            <w:r>
              <w:rPr>
                <w:sz w:val="24"/>
              </w:rPr>
              <w:t>.37</w:t>
            </w:r>
            <w:r>
              <w:rPr>
                <w:rFonts w:hint="eastAsia"/>
                <w:sz w:val="24"/>
              </w:rPr>
              <w:t>倍</w:t>
            </w:r>
            <w:r>
              <w:rPr>
                <w:sz w:val="24"/>
              </w:rPr>
              <w:t>。</w:t>
            </w:r>
          </w:p>
          <w:p>
            <w:pPr>
              <w:autoSpaceDE w:val="0"/>
              <w:autoSpaceDN w:val="0"/>
              <w:spacing w:line="360" w:lineRule="auto"/>
              <w:ind w:firstLine="480" w:firstLineChars="200"/>
              <w:rPr>
                <w:sz w:val="24"/>
              </w:rPr>
            </w:pPr>
            <w:r>
              <w:rPr>
                <w:sz w:val="24"/>
              </w:rPr>
              <w:t>污染物空间分布：田家庵区师范学院、经开区益益乳业工业园子站、谢家集区政府、八公山区政府、潘集区政府、毛集区焦岗湖风景区管理处（参照点，不参与评价）</w:t>
            </w:r>
            <w:r>
              <w:rPr>
                <w:rFonts w:hint="eastAsia"/>
                <w:sz w:val="24"/>
              </w:rPr>
              <w:t>、</w:t>
            </w:r>
            <w:r>
              <w:rPr>
                <w:sz w:val="24"/>
              </w:rPr>
              <w:t>凤台县青少年活动中心</w:t>
            </w:r>
            <w:r>
              <w:rPr>
                <w:rFonts w:hint="eastAsia"/>
                <w:sz w:val="24"/>
              </w:rPr>
              <w:t>（省控点，不参与全市均值评价）</w:t>
            </w:r>
            <w:r>
              <w:rPr>
                <w:sz w:val="24"/>
              </w:rPr>
              <w:t>、寿县东门空气自动站</w:t>
            </w:r>
            <w:r>
              <w:rPr>
                <w:rFonts w:hint="eastAsia"/>
                <w:sz w:val="24"/>
              </w:rPr>
              <w:t>（省控点，不参与全市均值评价）、大通区法院（市控点，不参与全市均值评价）和高新区（市控点，不参与全市均值评价）共</w:t>
            </w:r>
            <w:r>
              <w:rPr>
                <w:sz w:val="24"/>
              </w:rPr>
              <w:t>10</w:t>
            </w:r>
            <w:r>
              <w:rPr>
                <w:rFonts w:hint="eastAsia"/>
                <w:sz w:val="24"/>
              </w:rPr>
              <w:t>个环境空气质量自动监测子站的二氧化硫（</w:t>
            </w:r>
            <w:r>
              <w:rPr>
                <w:sz w:val="24"/>
              </w:rPr>
              <w:t>SO</w:t>
            </w:r>
            <w:r>
              <w:rPr>
                <w:sz w:val="24"/>
                <w:vertAlign w:val="subscript"/>
              </w:rPr>
              <w:t>2</w:t>
            </w:r>
            <w:r>
              <w:rPr>
                <w:sz w:val="24"/>
              </w:rPr>
              <w:t>）</w:t>
            </w:r>
            <w:r>
              <w:rPr>
                <w:rFonts w:hint="eastAsia"/>
                <w:sz w:val="24"/>
              </w:rPr>
              <w:t>年均浓度、二氧化氮（NO</w:t>
            </w:r>
            <w:r>
              <w:rPr>
                <w:sz w:val="24"/>
                <w:vertAlign w:val="subscript"/>
              </w:rPr>
              <w:t>2</w:t>
            </w:r>
            <w:r>
              <w:rPr>
                <w:rFonts w:hint="eastAsia"/>
                <w:sz w:val="24"/>
              </w:rPr>
              <w:t>)年均浓度、一氧化碳（</w:t>
            </w:r>
            <w:r>
              <w:rPr>
                <w:sz w:val="24"/>
              </w:rPr>
              <w:t>CO）</w:t>
            </w:r>
            <w:r>
              <w:rPr>
                <w:rFonts w:hint="eastAsia"/>
                <w:sz w:val="24"/>
              </w:rPr>
              <w:t>日均值第</w:t>
            </w:r>
            <w:r>
              <w:rPr>
                <w:sz w:val="24"/>
              </w:rPr>
              <w:t>95</w:t>
            </w:r>
            <w:r>
              <w:rPr>
                <w:rFonts w:hint="eastAsia"/>
                <w:sz w:val="24"/>
              </w:rPr>
              <w:t>百分位浓度和臭氧（</w:t>
            </w:r>
            <w:r>
              <w:rPr>
                <w:sz w:val="24"/>
              </w:rPr>
              <w:t>O</w:t>
            </w:r>
            <w:r>
              <w:rPr>
                <w:sz w:val="24"/>
                <w:vertAlign w:val="subscript"/>
              </w:rPr>
              <w:t>3</w:t>
            </w:r>
            <w:r>
              <w:rPr>
                <w:rFonts w:hint="eastAsia"/>
                <w:sz w:val="24"/>
              </w:rPr>
              <w:t>日最大</w:t>
            </w:r>
            <w:r>
              <w:rPr>
                <w:sz w:val="24"/>
              </w:rPr>
              <w:t>8</w:t>
            </w:r>
            <w:r>
              <w:rPr>
                <w:rFonts w:hint="eastAsia"/>
                <w:sz w:val="24"/>
              </w:rPr>
              <w:t>小时平均第</w:t>
            </w:r>
            <w:r>
              <w:rPr>
                <w:sz w:val="24"/>
              </w:rPr>
              <w:t>90</w:t>
            </w:r>
            <w:r>
              <w:rPr>
                <w:rFonts w:hint="eastAsia"/>
                <w:sz w:val="24"/>
              </w:rPr>
              <w:t>百分位浓度均符合《环境空气质量标准》</w:t>
            </w:r>
            <w:r>
              <w:rPr>
                <w:sz w:val="24"/>
              </w:rPr>
              <w:t>（GB3095-2012）</w:t>
            </w:r>
            <w:r>
              <w:rPr>
                <w:rFonts w:hint="eastAsia"/>
                <w:sz w:val="24"/>
              </w:rPr>
              <w:t>二级标准。八公山区政府自动监测子站可吸入颗粒物（</w:t>
            </w:r>
            <w:r>
              <w:rPr>
                <w:sz w:val="24"/>
              </w:rPr>
              <w:t>PM</w:t>
            </w:r>
            <w:r>
              <w:rPr>
                <w:sz w:val="24"/>
                <w:vertAlign w:val="subscript"/>
              </w:rPr>
              <w:t>10</w:t>
            </w:r>
            <w:r>
              <w:rPr>
                <w:sz w:val="24"/>
              </w:rPr>
              <w:t>）</w:t>
            </w:r>
            <w:r>
              <w:rPr>
                <w:rFonts w:hint="eastAsia"/>
                <w:sz w:val="24"/>
              </w:rPr>
              <w:t>年均浓度符合《环境空气质量标准》</w:t>
            </w:r>
            <w:r>
              <w:rPr>
                <w:sz w:val="24"/>
              </w:rPr>
              <w:t>（GB3095-2012）</w:t>
            </w:r>
            <w:r>
              <w:rPr>
                <w:rFonts w:hint="eastAsia"/>
                <w:sz w:val="24"/>
              </w:rPr>
              <w:t>二级标准，其他各环境空气质量自动监测子站可吸入颗粒物（</w:t>
            </w:r>
            <w:r>
              <w:rPr>
                <w:sz w:val="24"/>
              </w:rPr>
              <w:t>PM10</w:t>
            </w:r>
            <w:r>
              <w:rPr>
                <w:rFonts w:hint="eastAsia"/>
                <w:sz w:val="24"/>
              </w:rPr>
              <w:t>）和细颗粒物（</w:t>
            </w:r>
            <w:r>
              <w:rPr>
                <w:sz w:val="24"/>
              </w:rPr>
              <w:t>PM</w:t>
            </w:r>
            <w:r>
              <w:rPr>
                <w:sz w:val="24"/>
                <w:vertAlign w:val="subscript"/>
              </w:rPr>
              <w:t>2.5</w:t>
            </w:r>
            <w:r>
              <w:rPr>
                <w:sz w:val="24"/>
              </w:rPr>
              <w:t>）</w:t>
            </w:r>
            <w:r>
              <w:rPr>
                <w:rFonts w:hint="eastAsia"/>
                <w:sz w:val="24"/>
              </w:rPr>
              <w:t>年均浓度，均超过《环境空气质量标准》（</w:t>
            </w:r>
            <w:r>
              <w:rPr>
                <w:sz w:val="24"/>
              </w:rPr>
              <w:t>GB3095-2012）</w:t>
            </w:r>
            <w:r>
              <w:rPr>
                <w:rFonts w:hint="eastAsia"/>
                <w:sz w:val="24"/>
              </w:rPr>
              <w:t>二级标准</w:t>
            </w:r>
            <w:r>
              <w:rPr>
                <w:sz w:val="24"/>
              </w:rPr>
              <w:t>。具体情况见</w:t>
            </w:r>
            <w:r>
              <w:rPr>
                <w:rFonts w:hint="eastAsia"/>
                <w:sz w:val="24"/>
              </w:rPr>
              <w:t>下表</w:t>
            </w:r>
            <w:r>
              <w:rPr>
                <w:sz w:val="24"/>
              </w:rPr>
              <w:t>。</w:t>
            </w:r>
          </w:p>
          <w:p>
            <w:pPr>
              <w:spacing w:line="360" w:lineRule="auto"/>
              <w:jc w:val="center"/>
              <w:rPr>
                <w:rFonts w:hint="eastAsia"/>
                <w:b/>
                <w:szCs w:val="21"/>
              </w:rPr>
            </w:pPr>
          </w:p>
          <w:p>
            <w:pPr>
              <w:spacing w:line="360" w:lineRule="auto"/>
              <w:jc w:val="center"/>
              <w:rPr>
                <w:b/>
                <w:szCs w:val="21"/>
              </w:rPr>
            </w:pPr>
            <w:r>
              <w:rPr>
                <w:b/>
                <w:szCs w:val="21"/>
              </w:rPr>
              <w:t>表</w:t>
            </w:r>
            <w:r>
              <w:rPr>
                <w:rFonts w:hint="eastAsia"/>
                <w:b/>
                <w:szCs w:val="21"/>
              </w:rPr>
              <w:t xml:space="preserve">3-1 </w:t>
            </w:r>
            <w:r>
              <w:rPr>
                <w:b/>
                <w:szCs w:val="21"/>
              </w:rPr>
              <w:t>基本污染物环境质量现状</w:t>
            </w:r>
          </w:p>
          <w:tbl>
            <w:tblPr>
              <w:tblStyle w:val="28"/>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3047"/>
              <w:gridCol w:w="1457"/>
              <w:gridCol w:w="159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74" w:type="pct"/>
                  <w:noWrap w:val="0"/>
                  <w:vAlign w:val="center"/>
                </w:tcPr>
                <w:p>
                  <w:pPr>
                    <w:pStyle w:val="15"/>
                    <w:snapToGrid/>
                    <w:spacing w:line="240" w:lineRule="auto"/>
                    <w:jc w:val="center"/>
                    <w:rPr>
                      <w:bCs/>
                      <w:szCs w:val="21"/>
                      <w:lang w:val="en-US" w:eastAsia="zh-CN"/>
                    </w:rPr>
                  </w:pPr>
                  <w:r>
                    <w:rPr>
                      <w:bCs/>
                      <w:szCs w:val="21"/>
                      <w:lang w:val="en-US" w:eastAsia="zh-CN"/>
                    </w:rPr>
                    <w:t>污染物</w:t>
                  </w:r>
                </w:p>
              </w:tc>
              <w:tc>
                <w:tcPr>
                  <w:tcW w:w="1805" w:type="pct"/>
                  <w:noWrap w:val="0"/>
                  <w:vAlign w:val="center"/>
                </w:tcPr>
                <w:p>
                  <w:pPr>
                    <w:pStyle w:val="15"/>
                    <w:snapToGrid/>
                    <w:spacing w:line="240" w:lineRule="auto"/>
                    <w:jc w:val="center"/>
                    <w:rPr>
                      <w:bCs/>
                      <w:szCs w:val="21"/>
                      <w:lang w:val="en-US" w:eastAsia="zh-CN"/>
                    </w:rPr>
                  </w:pPr>
                  <w:r>
                    <w:rPr>
                      <w:bCs/>
                      <w:szCs w:val="21"/>
                      <w:lang w:val="en-US" w:eastAsia="zh-CN"/>
                    </w:rPr>
                    <w:t>年评价指标</w:t>
                  </w:r>
                </w:p>
              </w:tc>
              <w:tc>
                <w:tcPr>
                  <w:tcW w:w="863" w:type="pct"/>
                  <w:noWrap w:val="0"/>
                  <w:vAlign w:val="center"/>
                </w:tcPr>
                <w:p>
                  <w:pPr>
                    <w:pStyle w:val="15"/>
                    <w:snapToGrid/>
                    <w:spacing w:line="240" w:lineRule="auto"/>
                    <w:jc w:val="center"/>
                    <w:rPr>
                      <w:bCs/>
                      <w:szCs w:val="21"/>
                      <w:lang w:val="en-US" w:eastAsia="zh-CN"/>
                    </w:rPr>
                  </w:pPr>
                  <w:r>
                    <w:rPr>
                      <w:bCs/>
                      <w:szCs w:val="21"/>
                      <w:lang w:val="en-US" w:eastAsia="zh-CN"/>
                    </w:rPr>
                    <w:t>标准值（µg/m</w:t>
                  </w:r>
                  <w:r>
                    <w:rPr>
                      <w:bCs/>
                      <w:szCs w:val="21"/>
                      <w:vertAlign w:val="superscript"/>
                      <w:lang w:val="en-US" w:eastAsia="zh-CN"/>
                    </w:rPr>
                    <w:t>3</w:t>
                  </w:r>
                  <w:r>
                    <w:rPr>
                      <w:bCs/>
                      <w:szCs w:val="21"/>
                      <w:lang w:val="en-US" w:eastAsia="zh-CN"/>
                    </w:rPr>
                    <w:t>）</w:t>
                  </w:r>
                </w:p>
              </w:tc>
              <w:tc>
                <w:tcPr>
                  <w:tcW w:w="942" w:type="pct"/>
                  <w:noWrap w:val="0"/>
                  <w:vAlign w:val="center"/>
                </w:tcPr>
                <w:p>
                  <w:pPr>
                    <w:pStyle w:val="15"/>
                    <w:snapToGrid/>
                    <w:spacing w:line="240" w:lineRule="auto"/>
                    <w:jc w:val="center"/>
                    <w:rPr>
                      <w:bCs/>
                      <w:szCs w:val="21"/>
                      <w:lang w:val="en-US" w:eastAsia="zh-CN"/>
                    </w:rPr>
                  </w:pPr>
                  <w:r>
                    <w:rPr>
                      <w:bCs/>
                      <w:szCs w:val="21"/>
                      <w:lang w:val="en-US" w:eastAsia="zh-CN"/>
                    </w:rPr>
                    <w:t>现状浓度（µg/m</w:t>
                  </w:r>
                  <w:r>
                    <w:rPr>
                      <w:bCs/>
                      <w:szCs w:val="21"/>
                      <w:vertAlign w:val="superscript"/>
                      <w:lang w:val="en-US" w:eastAsia="zh-CN"/>
                    </w:rPr>
                    <w:t>3</w:t>
                  </w:r>
                  <w:r>
                    <w:rPr>
                      <w:bCs/>
                      <w:szCs w:val="21"/>
                      <w:lang w:val="en-US" w:eastAsia="zh-CN"/>
                    </w:rPr>
                    <w:t>）</w:t>
                  </w:r>
                </w:p>
              </w:tc>
              <w:tc>
                <w:tcPr>
                  <w:tcW w:w="616" w:type="pct"/>
                  <w:noWrap w:val="0"/>
                  <w:vAlign w:val="center"/>
                </w:tcPr>
                <w:p>
                  <w:pPr>
                    <w:pStyle w:val="15"/>
                    <w:snapToGrid/>
                    <w:spacing w:line="240" w:lineRule="auto"/>
                    <w:jc w:val="center"/>
                    <w:rPr>
                      <w:bCs/>
                      <w:szCs w:val="21"/>
                      <w:lang w:val="en-US" w:eastAsia="zh-CN"/>
                    </w:rPr>
                  </w:pPr>
                  <w:r>
                    <w:rPr>
                      <w:bCs/>
                      <w:szCs w:val="21"/>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74" w:type="pct"/>
                  <w:noWrap w:val="0"/>
                  <w:vAlign w:val="center"/>
                </w:tcPr>
                <w:p>
                  <w:pPr>
                    <w:pStyle w:val="15"/>
                    <w:snapToGrid/>
                    <w:spacing w:line="240" w:lineRule="auto"/>
                    <w:jc w:val="center"/>
                    <w:rPr>
                      <w:szCs w:val="21"/>
                      <w:lang w:val="en-US" w:eastAsia="zh-CN"/>
                    </w:rPr>
                  </w:pPr>
                  <w:r>
                    <w:rPr>
                      <w:szCs w:val="21"/>
                      <w:lang w:val="en-US" w:eastAsia="zh-CN"/>
                    </w:rPr>
                    <w:t>SO</w:t>
                  </w:r>
                  <w:r>
                    <w:rPr>
                      <w:szCs w:val="21"/>
                      <w:vertAlign w:val="subscript"/>
                      <w:lang w:val="en-US" w:eastAsia="zh-CN"/>
                    </w:rPr>
                    <w:t>2</w:t>
                  </w:r>
                </w:p>
              </w:tc>
              <w:tc>
                <w:tcPr>
                  <w:tcW w:w="1805" w:type="pct"/>
                  <w:noWrap w:val="0"/>
                  <w:vAlign w:val="center"/>
                </w:tcPr>
                <w:p>
                  <w:pPr>
                    <w:pStyle w:val="15"/>
                    <w:snapToGrid/>
                    <w:spacing w:line="240" w:lineRule="auto"/>
                    <w:jc w:val="center"/>
                    <w:rPr>
                      <w:szCs w:val="21"/>
                      <w:lang w:val="en-US" w:eastAsia="zh-CN"/>
                    </w:rPr>
                  </w:pPr>
                  <w:r>
                    <w:rPr>
                      <w:szCs w:val="21"/>
                      <w:lang w:val="en-US" w:eastAsia="zh-CN"/>
                    </w:rPr>
                    <w:t>年平均质量浓度</w:t>
                  </w:r>
                </w:p>
              </w:tc>
              <w:tc>
                <w:tcPr>
                  <w:tcW w:w="863" w:type="pct"/>
                  <w:noWrap w:val="0"/>
                  <w:vAlign w:val="center"/>
                </w:tcPr>
                <w:p>
                  <w:pPr>
                    <w:pStyle w:val="15"/>
                    <w:snapToGrid/>
                    <w:spacing w:line="240" w:lineRule="auto"/>
                    <w:jc w:val="center"/>
                    <w:rPr>
                      <w:szCs w:val="21"/>
                      <w:lang w:val="en-US" w:eastAsia="zh-CN"/>
                    </w:rPr>
                  </w:pPr>
                  <w:r>
                    <w:rPr>
                      <w:szCs w:val="21"/>
                      <w:lang w:val="en-US" w:eastAsia="zh-CN"/>
                    </w:rPr>
                    <w:t>60</w:t>
                  </w:r>
                </w:p>
              </w:tc>
              <w:tc>
                <w:tcPr>
                  <w:tcW w:w="942" w:type="pct"/>
                  <w:noWrap w:val="0"/>
                  <w:vAlign w:val="center"/>
                </w:tcPr>
                <w:p>
                  <w:pPr>
                    <w:pStyle w:val="15"/>
                    <w:snapToGrid/>
                    <w:spacing w:line="240" w:lineRule="auto"/>
                    <w:jc w:val="center"/>
                    <w:rPr>
                      <w:szCs w:val="21"/>
                      <w:lang w:val="en-US" w:eastAsia="zh-CN"/>
                    </w:rPr>
                  </w:pPr>
                  <w:r>
                    <w:rPr>
                      <w:szCs w:val="21"/>
                      <w:lang w:val="en-US" w:eastAsia="zh-CN"/>
                    </w:rPr>
                    <w:t>10</w:t>
                  </w:r>
                </w:p>
              </w:tc>
              <w:tc>
                <w:tcPr>
                  <w:tcW w:w="616" w:type="pct"/>
                  <w:noWrap w:val="0"/>
                  <w:vAlign w:val="center"/>
                </w:tcPr>
                <w:p>
                  <w:pPr>
                    <w:jc w:val="center"/>
                    <w:rPr>
                      <w:szCs w:val="21"/>
                    </w:rPr>
                  </w:pP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74" w:type="pct"/>
                  <w:noWrap w:val="0"/>
                  <w:vAlign w:val="center"/>
                </w:tcPr>
                <w:p>
                  <w:pPr>
                    <w:pStyle w:val="15"/>
                    <w:snapToGrid/>
                    <w:spacing w:line="240" w:lineRule="auto"/>
                    <w:jc w:val="center"/>
                    <w:rPr>
                      <w:szCs w:val="21"/>
                      <w:lang w:val="en-US" w:eastAsia="zh-CN"/>
                    </w:rPr>
                  </w:pPr>
                  <w:r>
                    <w:rPr>
                      <w:szCs w:val="21"/>
                      <w:lang w:val="en-US" w:eastAsia="zh-CN"/>
                    </w:rPr>
                    <w:t>NO</w:t>
                  </w:r>
                  <w:r>
                    <w:rPr>
                      <w:szCs w:val="21"/>
                      <w:vertAlign w:val="subscript"/>
                      <w:lang w:val="en-US" w:eastAsia="zh-CN"/>
                    </w:rPr>
                    <w:t>2</w:t>
                  </w:r>
                </w:p>
              </w:tc>
              <w:tc>
                <w:tcPr>
                  <w:tcW w:w="1805" w:type="pct"/>
                  <w:noWrap w:val="0"/>
                  <w:vAlign w:val="center"/>
                </w:tcPr>
                <w:p>
                  <w:pPr>
                    <w:pStyle w:val="15"/>
                    <w:snapToGrid/>
                    <w:spacing w:line="240" w:lineRule="auto"/>
                    <w:jc w:val="center"/>
                    <w:rPr>
                      <w:szCs w:val="21"/>
                      <w:lang w:val="en-US" w:eastAsia="zh-CN"/>
                    </w:rPr>
                  </w:pPr>
                  <w:r>
                    <w:rPr>
                      <w:szCs w:val="21"/>
                      <w:lang w:val="en-US" w:eastAsia="zh-CN"/>
                    </w:rPr>
                    <w:t>年平均质量浓度</w:t>
                  </w:r>
                </w:p>
              </w:tc>
              <w:tc>
                <w:tcPr>
                  <w:tcW w:w="863" w:type="pct"/>
                  <w:noWrap w:val="0"/>
                  <w:vAlign w:val="center"/>
                </w:tcPr>
                <w:p>
                  <w:pPr>
                    <w:pStyle w:val="15"/>
                    <w:snapToGrid/>
                    <w:spacing w:line="240" w:lineRule="auto"/>
                    <w:jc w:val="center"/>
                    <w:rPr>
                      <w:szCs w:val="21"/>
                      <w:lang w:val="en-US" w:eastAsia="zh-CN"/>
                    </w:rPr>
                  </w:pPr>
                  <w:r>
                    <w:rPr>
                      <w:szCs w:val="21"/>
                      <w:lang w:val="en-US" w:eastAsia="zh-CN"/>
                    </w:rPr>
                    <w:t>40</w:t>
                  </w:r>
                </w:p>
              </w:tc>
              <w:tc>
                <w:tcPr>
                  <w:tcW w:w="942" w:type="pct"/>
                  <w:noWrap w:val="0"/>
                  <w:vAlign w:val="center"/>
                </w:tcPr>
                <w:p>
                  <w:pPr>
                    <w:pStyle w:val="15"/>
                    <w:snapToGrid/>
                    <w:spacing w:line="240" w:lineRule="auto"/>
                    <w:jc w:val="center"/>
                    <w:rPr>
                      <w:szCs w:val="21"/>
                      <w:lang w:val="en-US" w:eastAsia="zh-CN"/>
                    </w:rPr>
                  </w:pPr>
                  <w:r>
                    <w:rPr>
                      <w:szCs w:val="21"/>
                      <w:lang w:val="en-US" w:eastAsia="zh-CN"/>
                    </w:rPr>
                    <w:t>28</w:t>
                  </w:r>
                </w:p>
              </w:tc>
              <w:tc>
                <w:tcPr>
                  <w:tcW w:w="616" w:type="pct"/>
                  <w:noWrap w:val="0"/>
                  <w:vAlign w:val="center"/>
                </w:tcPr>
                <w:p>
                  <w:pPr>
                    <w:jc w:val="center"/>
                    <w:rPr>
                      <w:szCs w:val="21"/>
                    </w:rPr>
                  </w:pP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74" w:type="pct"/>
                  <w:noWrap w:val="0"/>
                  <w:vAlign w:val="center"/>
                </w:tcPr>
                <w:p>
                  <w:pPr>
                    <w:pStyle w:val="15"/>
                    <w:snapToGrid/>
                    <w:spacing w:line="240" w:lineRule="auto"/>
                    <w:jc w:val="center"/>
                    <w:rPr>
                      <w:szCs w:val="21"/>
                      <w:lang w:val="en-US" w:eastAsia="zh-CN"/>
                    </w:rPr>
                  </w:pPr>
                  <w:r>
                    <w:rPr>
                      <w:szCs w:val="21"/>
                      <w:lang w:val="en-US" w:eastAsia="zh-CN"/>
                    </w:rPr>
                    <w:t>PM</w:t>
                  </w:r>
                  <w:r>
                    <w:rPr>
                      <w:szCs w:val="21"/>
                      <w:vertAlign w:val="subscript"/>
                      <w:lang w:val="en-US" w:eastAsia="zh-CN"/>
                    </w:rPr>
                    <w:t>10</w:t>
                  </w:r>
                </w:p>
              </w:tc>
              <w:tc>
                <w:tcPr>
                  <w:tcW w:w="1805" w:type="pct"/>
                  <w:noWrap w:val="0"/>
                  <w:vAlign w:val="center"/>
                </w:tcPr>
                <w:p>
                  <w:pPr>
                    <w:pStyle w:val="15"/>
                    <w:snapToGrid/>
                    <w:spacing w:line="240" w:lineRule="auto"/>
                    <w:jc w:val="center"/>
                    <w:rPr>
                      <w:szCs w:val="21"/>
                      <w:lang w:val="en-US" w:eastAsia="zh-CN"/>
                    </w:rPr>
                  </w:pPr>
                  <w:r>
                    <w:rPr>
                      <w:szCs w:val="21"/>
                      <w:lang w:val="en-US" w:eastAsia="zh-CN"/>
                    </w:rPr>
                    <w:t>年平均质量浓度</w:t>
                  </w:r>
                </w:p>
              </w:tc>
              <w:tc>
                <w:tcPr>
                  <w:tcW w:w="863" w:type="pct"/>
                  <w:noWrap w:val="0"/>
                  <w:vAlign w:val="center"/>
                </w:tcPr>
                <w:p>
                  <w:pPr>
                    <w:pStyle w:val="15"/>
                    <w:snapToGrid/>
                    <w:spacing w:line="240" w:lineRule="auto"/>
                    <w:jc w:val="center"/>
                    <w:rPr>
                      <w:szCs w:val="21"/>
                      <w:lang w:val="en-US" w:eastAsia="zh-CN"/>
                    </w:rPr>
                  </w:pPr>
                  <w:r>
                    <w:rPr>
                      <w:szCs w:val="21"/>
                      <w:lang w:val="en-US" w:eastAsia="zh-CN"/>
                    </w:rPr>
                    <w:t>70</w:t>
                  </w:r>
                </w:p>
              </w:tc>
              <w:tc>
                <w:tcPr>
                  <w:tcW w:w="942" w:type="pct"/>
                  <w:noWrap w:val="0"/>
                  <w:vAlign w:val="center"/>
                </w:tcPr>
                <w:p>
                  <w:pPr>
                    <w:pStyle w:val="15"/>
                    <w:snapToGrid/>
                    <w:spacing w:line="240" w:lineRule="auto"/>
                    <w:jc w:val="center"/>
                    <w:rPr>
                      <w:szCs w:val="21"/>
                      <w:lang w:val="en-US" w:eastAsia="zh-CN"/>
                    </w:rPr>
                  </w:pPr>
                  <w:r>
                    <w:rPr>
                      <w:szCs w:val="21"/>
                      <w:lang w:val="en-US" w:eastAsia="zh-CN"/>
                    </w:rPr>
                    <w:t>76</w:t>
                  </w:r>
                </w:p>
              </w:tc>
              <w:tc>
                <w:tcPr>
                  <w:tcW w:w="616" w:type="pct"/>
                  <w:noWrap w:val="0"/>
                  <w:vAlign w:val="center"/>
                </w:tcPr>
                <w:p>
                  <w:pPr>
                    <w:pStyle w:val="15"/>
                    <w:snapToGrid/>
                    <w:spacing w:line="240" w:lineRule="auto"/>
                    <w:jc w:val="center"/>
                    <w:rPr>
                      <w:szCs w:val="21"/>
                      <w:lang w:val="en-US" w:eastAsia="zh-CN"/>
                    </w:rPr>
                  </w:pPr>
                  <w:r>
                    <w:rPr>
                      <w:szCs w:val="21"/>
                      <w:lang w:val="en-US" w:eastAsia="zh-CN"/>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74" w:type="pct"/>
                  <w:noWrap w:val="0"/>
                  <w:vAlign w:val="center"/>
                </w:tcPr>
                <w:p>
                  <w:pPr>
                    <w:pStyle w:val="15"/>
                    <w:snapToGrid/>
                    <w:spacing w:line="240" w:lineRule="auto"/>
                    <w:jc w:val="center"/>
                    <w:rPr>
                      <w:szCs w:val="21"/>
                      <w:lang w:val="en-US" w:eastAsia="zh-CN"/>
                    </w:rPr>
                  </w:pPr>
                  <w:r>
                    <w:rPr>
                      <w:szCs w:val="21"/>
                      <w:lang w:val="en-US" w:eastAsia="zh-CN"/>
                    </w:rPr>
                    <w:t>PM</w:t>
                  </w:r>
                  <w:r>
                    <w:rPr>
                      <w:szCs w:val="21"/>
                      <w:vertAlign w:val="subscript"/>
                      <w:lang w:val="en-US" w:eastAsia="zh-CN"/>
                    </w:rPr>
                    <w:t>2.5</w:t>
                  </w:r>
                </w:p>
              </w:tc>
              <w:tc>
                <w:tcPr>
                  <w:tcW w:w="1805" w:type="pct"/>
                  <w:noWrap w:val="0"/>
                  <w:vAlign w:val="center"/>
                </w:tcPr>
                <w:p>
                  <w:pPr>
                    <w:pStyle w:val="15"/>
                    <w:snapToGrid/>
                    <w:spacing w:line="240" w:lineRule="auto"/>
                    <w:jc w:val="center"/>
                    <w:rPr>
                      <w:szCs w:val="21"/>
                      <w:lang w:val="en-US" w:eastAsia="zh-CN"/>
                    </w:rPr>
                  </w:pPr>
                  <w:r>
                    <w:rPr>
                      <w:szCs w:val="21"/>
                      <w:lang w:val="en-US" w:eastAsia="zh-CN"/>
                    </w:rPr>
                    <w:t>年平均质量浓度</w:t>
                  </w:r>
                </w:p>
              </w:tc>
              <w:tc>
                <w:tcPr>
                  <w:tcW w:w="863" w:type="pct"/>
                  <w:noWrap w:val="0"/>
                  <w:vAlign w:val="center"/>
                </w:tcPr>
                <w:p>
                  <w:pPr>
                    <w:pStyle w:val="15"/>
                    <w:snapToGrid/>
                    <w:spacing w:line="240" w:lineRule="auto"/>
                    <w:jc w:val="center"/>
                    <w:rPr>
                      <w:szCs w:val="21"/>
                      <w:lang w:val="en-US" w:eastAsia="zh-CN"/>
                    </w:rPr>
                  </w:pPr>
                  <w:r>
                    <w:rPr>
                      <w:szCs w:val="21"/>
                      <w:lang w:val="en-US" w:eastAsia="zh-CN"/>
                    </w:rPr>
                    <w:t>35</w:t>
                  </w:r>
                </w:p>
              </w:tc>
              <w:tc>
                <w:tcPr>
                  <w:tcW w:w="942" w:type="pct"/>
                  <w:noWrap w:val="0"/>
                  <w:vAlign w:val="center"/>
                </w:tcPr>
                <w:p>
                  <w:pPr>
                    <w:pStyle w:val="15"/>
                    <w:snapToGrid/>
                    <w:spacing w:line="240" w:lineRule="auto"/>
                    <w:jc w:val="center"/>
                    <w:rPr>
                      <w:szCs w:val="21"/>
                      <w:lang w:val="en-US" w:eastAsia="zh-CN"/>
                    </w:rPr>
                  </w:pPr>
                  <w:r>
                    <w:rPr>
                      <w:szCs w:val="21"/>
                      <w:lang w:val="en-US" w:eastAsia="zh-CN"/>
                    </w:rPr>
                    <w:t>48</w:t>
                  </w:r>
                </w:p>
              </w:tc>
              <w:tc>
                <w:tcPr>
                  <w:tcW w:w="616" w:type="pct"/>
                  <w:noWrap w:val="0"/>
                  <w:vAlign w:val="center"/>
                </w:tcPr>
                <w:p>
                  <w:pPr>
                    <w:pStyle w:val="15"/>
                    <w:snapToGrid/>
                    <w:spacing w:line="240" w:lineRule="auto"/>
                    <w:jc w:val="center"/>
                    <w:rPr>
                      <w:szCs w:val="21"/>
                      <w:lang w:val="en-US" w:eastAsia="zh-CN"/>
                    </w:rPr>
                  </w:pPr>
                  <w:r>
                    <w:rPr>
                      <w:szCs w:val="21"/>
                      <w:lang w:val="en-US" w:eastAsia="zh-CN"/>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74" w:type="pct"/>
                  <w:noWrap w:val="0"/>
                  <w:vAlign w:val="center"/>
                </w:tcPr>
                <w:p>
                  <w:pPr>
                    <w:jc w:val="center"/>
                    <w:rPr>
                      <w:szCs w:val="21"/>
                    </w:rPr>
                  </w:pPr>
                  <w:r>
                    <w:rPr>
                      <w:szCs w:val="21"/>
                    </w:rPr>
                    <w:t>CO</w:t>
                  </w:r>
                </w:p>
              </w:tc>
              <w:tc>
                <w:tcPr>
                  <w:tcW w:w="1805" w:type="pct"/>
                  <w:noWrap w:val="0"/>
                  <w:vAlign w:val="center"/>
                </w:tcPr>
                <w:p>
                  <w:pPr>
                    <w:pStyle w:val="15"/>
                    <w:snapToGrid/>
                    <w:spacing w:line="240" w:lineRule="auto"/>
                    <w:jc w:val="center"/>
                    <w:rPr>
                      <w:szCs w:val="21"/>
                      <w:lang w:val="en-US" w:eastAsia="zh-CN"/>
                    </w:rPr>
                  </w:pPr>
                  <w:r>
                    <w:rPr>
                      <w:szCs w:val="21"/>
                      <w:lang w:val="en-US" w:eastAsia="zh-CN"/>
                    </w:rPr>
                    <w:t>日均值第</w:t>
                  </w:r>
                  <w:r>
                    <w:rPr>
                      <w:rFonts w:hint="eastAsia"/>
                      <w:szCs w:val="21"/>
                      <w:lang w:val="en-US" w:eastAsia="zh-CN"/>
                    </w:rPr>
                    <w:t>9</w:t>
                  </w:r>
                  <w:r>
                    <w:rPr>
                      <w:szCs w:val="21"/>
                      <w:lang w:val="en-US" w:eastAsia="zh-CN"/>
                    </w:rPr>
                    <w:t>5百分位浓度</w:t>
                  </w:r>
                </w:p>
              </w:tc>
              <w:tc>
                <w:tcPr>
                  <w:tcW w:w="863" w:type="pct"/>
                  <w:noWrap w:val="0"/>
                  <w:vAlign w:val="center"/>
                </w:tcPr>
                <w:p>
                  <w:pPr>
                    <w:pStyle w:val="15"/>
                    <w:snapToGrid/>
                    <w:spacing w:line="240" w:lineRule="auto"/>
                    <w:jc w:val="center"/>
                    <w:rPr>
                      <w:szCs w:val="21"/>
                      <w:lang w:val="en-US" w:eastAsia="zh-CN"/>
                    </w:rPr>
                  </w:pPr>
                  <w:r>
                    <w:rPr>
                      <w:szCs w:val="21"/>
                      <w:lang w:val="en-US" w:eastAsia="zh-CN"/>
                    </w:rPr>
                    <w:t>4000</w:t>
                  </w:r>
                </w:p>
              </w:tc>
              <w:tc>
                <w:tcPr>
                  <w:tcW w:w="942" w:type="pct"/>
                  <w:noWrap w:val="0"/>
                  <w:vAlign w:val="center"/>
                </w:tcPr>
                <w:p>
                  <w:pPr>
                    <w:pStyle w:val="15"/>
                    <w:snapToGrid/>
                    <w:spacing w:line="240" w:lineRule="auto"/>
                    <w:jc w:val="center"/>
                    <w:rPr>
                      <w:szCs w:val="21"/>
                      <w:lang w:val="en-US" w:eastAsia="zh-CN"/>
                    </w:rPr>
                  </w:pPr>
                  <w:r>
                    <w:rPr>
                      <w:szCs w:val="21"/>
                      <w:lang w:val="en-US" w:eastAsia="zh-CN"/>
                    </w:rPr>
                    <w:t>1100</w:t>
                  </w:r>
                </w:p>
              </w:tc>
              <w:tc>
                <w:tcPr>
                  <w:tcW w:w="616" w:type="pct"/>
                  <w:noWrap w:val="0"/>
                  <w:vAlign w:val="center"/>
                </w:tcPr>
                <w:p>
                  <w:pPr>
                    <w:pStyle w:val="15"/>
                    <w:snapToGrid/>
                    <w:spacing w:line="240" w:lineRule="auto"/>
                    <w:jc w:val="center"/>
                    <w:rPr>
                      <w:szCs w:val="21"/>
                      <w:lang w:val="en-US" w:eastAsia="zh-CN"/>
                    </w:rPr>
                  </w:pPr>
                  <w:r>
                    <w:rPr>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74" w:type="pct"/>
                  <w:noWrap w:val="0"/>
                  <w:vAlign w:val="center"/>
                </w:tcPr>
                <w:p>
                  <w:pPr>
                    <w:jc w:val="center"/>
                    <w:rPr>
                      <w:szCs w:val="21"/>
                    </w:rPr>
                  </w:pPr>
                  <w:r>
                    <w:rPr>
                      <w:szCs w:val="21"/>
                    </w:rPr>
                    <w:t>O</w:t>
                  </w:r>
                  <w:r>
                    <w:rPr>
                      <w:szCs w:val="21"/>
                      <w:vertAlign w:val="subscript"/>
                    </w:rPr>
                    <w:t>3</w:t>
                  </w:r>
                </w:p>
              </w:tc>
              <w:tc>
                <w:tcPr>
                  <w:tcW w:w="1805" w:type="pct"/>
                  <w:noWrap w:val="0"/>
                  <w:vAlign w:val="center"/>
                </w:tcPr>
                <w:p>
                  <w:pPr>
                    <w:pStyle w:val="15"/>
                    <w:snapToGrid/>
                    <w:spacing w:line="240" w:lineRule="auto"/>
                    <w:jc w:val="center"/>
                    <w:rPr>
                      <w:szCs w:val="21"/>
                      <w:lang w:val="en-US" w:eastAsia="zh-CN"/>
                    </w:rPr>
                  </w:pPr>
                  <w:r>
                    <w:rPr>
                      <w:szCs w:val="21"/>
                      <w:lang w:val="en-US" w:eastAsia="zh-CN"/>
                    </w:rPr>
                    <w:t>日最大8h平均第</w:t>
                  </w:r>
                  <w:r>
                    <w:rPr>
                      <w:rFonts w:hint="eastAsia"/>
                      <w:szCs w:val="21"/>
                      <w:lang w:val="en-US" w:eastAsia="zh-CN"/>
                    </w:rPr>
                    <w:t>9</w:t>
                  </w:r>
                  <w:r>
                    <w:rPr>
                      <w:szCs w:val="21"/>
                      <w:lang w:val="en-US" w:eastAsia="zh-CN"/>
                    </w:rPr>
                    <w:t>0百分位质量浓度</w:t>
                  </w:r>
                </w:p>
              </w:tc>
              <w:tc>
                <w:tcPr>
                  <w:tcW w:w="863" w:type="pct"/>
                  <w:noWrap w:val="0"/>
                  <w:vAlign w:val="center"/>
                </w:tcPr>
                <w:p>
                  <w:pPr>
                    <w:pStyle w:val="15"/>
                    <w:snapToGrid/>
                    <w:spacing w:line="240" w:lineRule="auto"/>
                    <w:jc w:val="center"/>
                    <w:rPr>
                      <w:szCs w:val="21"/>
                      <w:lang w:val="en-US" w:eastAsia="zh-CN"/>
                    </w:rPr>
                  </w:pPr>
                  <w:r>
                    <w:rPr>
                      <w:szCs w:val="21"/>
                      <w:lang w:val="en-US" w:eastAsia="zh-CN"/>
                    </w:rPr>
                    <w:t>160</w:t>
                  </w:r>
                </w:p>
              </w:tc>
              <w:tc>
                <w:tcPr>
                  <w:tcW w:w="942" w:type="pct"/>
                  <w:noWrap w:val="0"/>
                  <w:vAlign w:val="center"/>
                </w:tcPr>
                <w:p>
                  <w:pPr>
                    <w:pStyle w:val="15"/>
                    <w:snapToGrid/>
                    <w:spacing w:line="240" w:lineRule="auto"/>
                    <w:jc w:val="center"/>
                    <w:rPr>
                      <w:szCs w:val="21"/>
                      <w:lang w:val="en-US" w:eastAsia="zh-CN"/>
                    </w:rPr>
                  </w:pPr>
                  <w:r>
                    <w:rPr>
                      <w:szCs w:val="21"/>
                      <w:lang w:val="en-US" w:eastAsia="zh-CN"/>
                    </w:rPr>
                    <w:t>160</w:t>
                  </w:r>
                </w:p>
              </w:tc>
              <w:tc>
                <w:tcPr>
                  <w:tcW w:w="616" w:type="pct"/>
                  <w:noWrap w:val="0"/>
                  <w:vAlign w:val="center"/>
                </w:tcPr>
                <w:p>
                  <w:pPr>
                    <w:pStyle w:val="15"/>
                    <w:snapToGrid/>
                    <w:spacing w:line="240" w:lineRule="auto"/>
                    <w:jc w:val="center"/>
                    <w:rPr>
                      <w:szCs w:val="21"/>
                      <w:lang w:val="en-US" w:eastAsia="zh-CN"/>
                    </w:rPr>
                  </w:pPr>
                  <w:r>
                    <w:rPr>
                      <w:rFonts w:hint="eastAsia"/>
                      <w:szCs w:val="21"/>
                      <w:lang w:val="en-US" w:eastAsia="zh-CN"/>
                    </w:rPr>
                    <w:t>达标</w:t>
                  </w:r>
                </w:p>
              </w:tc>
            </w:tr>
          </w:tbl>
          <w:p>
            <w:pPr>
              <w:spacing w:line="360" w:lineRule="auto"/>
              <w:ind w:firstLine="480" w:firstLineChars="200"/>
              <w:rPr>
                <w:rFonts w:hint="eastAsia"/>
                <w:sz w:val="24"/>
              </w:rPr>
            </w:pPr>
            <w:r>
              <w:rPr>
                <w:sz w:val="24"/>
              </w:rPr>
              <w:t>项目所在区域环境空气质量中可吸入颗粒物（PM</w:t>
            </w:r>
            <w:r>
              <w:rPr>
                <w:sz w:val="24"/>
                <w:vertAlign w:val="subscript"/>
              </w:rPr>
              <w:t>10</w:t>
            </w:r>
            <w:r>
              <w:rPr>
                <w:sz w:val="24"/>
              </w:rPr>
              <w:t>）、细颗粒物（PM</w:t>
            </w:r>
            <w:r>
              <w:rPr>
                <w:sz w:val="24"/>
                <w:vertAlign w:val="subscript"/>
              </w:rPr>
              <w:t>2.5</w:t>
            </w:r>
            <w:r>
              <w:rPr>
                <w:sz w:val="24"/>
              </w:rPr>
              <w:t>）年平均值</w:t>
            </w:r>
            <w:r>
              <w:rPr>
                <w:rFonts w:hint="eastAsia"/>
                <w:sz w:val="24"/>
              </w:rPr>
              <w:t>浓度</w:t>
            </w:r>
            <w:r>
              <w:rPr>
                <w:sz w:val="24"/>
              </w:rPr>
              <w:t>均不符合《环境空气质量标准》（GB3095-2012）二级标准限值要求，项目所在区域为不达标区</w:t>
            </w:r>
            <w:r>
              <w:rPr>
                <w:rFonts w:hint="eastAsia"/>
                <w:sz w:val="24"/>
              </w:rPr>
              <w:t>。</w:t>
            </w:r>
          </w:p>
          <w:p>
            <w:pPr>
              <w:spacing w:line="360" w:lineRule="auto"/>
              <w:ind w:firstLine="480" w:firstLineChars="200"/>
              <w:rPr>
                <w:sz w:val="24"/>
              </w:rPr>
            </w:pPr>
            <w:r>
              <w:rPr>
                <w:sz w:val="24"/>
              </w:rPr>
              <w:t>目前，淮南市严格按照《2020年安徽省大气污染防治重点工作任务》及《安徽省打赢蓝天保卫战三年行动计划实施方案》确定的各项工作任务，针对大气污染物已颁布实施了《淮南市蓝天行动实施方案》。围绕工业大气污染治理、扬（烟）尘污染防治、农业面源污染防治等开展“十大专项行动”，具体大气污染目标分解依据《2020年安徽省大气污染防治重点工作任务》执行，进一步削减大气污染物排放。</w:t>
            </w:r>
          </w:p>
          <w:p>
            <w:pPr>
              <w:spacing w:line="360" w:lineRule="auto"/>
              <w:ind w:firstLine="480" w:firstLineChars="200"/>
              <w:rPr>
                <w:rFonts w:hint="eastAsia"/>
                <w:color w:val="auto"/>
                <w:sz w:val="24"/>
              </w:rPr>
            </w:pPr>
            <w:r>
              <w:rPr>
                <w:rFonts w:hint="eastAsia"/>
                <w:color w:val="auto"/>
                <w:sz w:val="24"/>
              </w:rPr>
              <w:t>2、</w:t>
            </w:r>
            <w:r>
              <w:rPr>
                <w:color w:val="auto"/>
                <w:sz w:val="24"/>
              </w:rPr>
              <w:t>地表水环境</w:t>
            </w:r>
            <w:r>
              <w:rPr>
                <w:rFonts w:hint="eastAsia"/>
                <w:color w:val="auto"/>
                <w:sz w:val="24"/>
              </w:rPr>
              <w:t>质量</w:t>
            </w:r>
          </w:p>
          <w:p>
            <w:pPr>
              <w:spacing w:line="360" w:lineRule="auto"/>
              <w:ind w:firstLine="480" w:firstLineChars="200"/>
              <w:rPr>
                <w:sz w:val="24"/>
              </w:rPr>
            </w:pPr>
            <w:r>
              <w:rPr>
                <w:rFonts w:hint="eastAsia"/>
                <w:sz w:val="24"/>
              </w:rPr>
              <w:t>2</w:t>
            </w:r>
            <w:r>
              <w:rPr>
                <w:sz w:val="24"/>
              </w:rPr>
              <w:t>.1</w:t>
            </w:r>
            <w:r>
              <w:rPr>
                <w:rFonts w:hint="eastAsia"/>
                <w:sz w:val="24"/>
              </w:rPr>
              <w:t>地表水</w:t>
            </w:r>
            <w:r>
              <w:rPr>
                <w:sz w:val="24"/>
              </w:rPr>
              <w:t>环境质量现状</w:t>
            </w:r>
          </w:p>
          <w:p>
            <w:pPr>
              <w:widowControl/>
              <w:shd w:val="clear" w:color="auto" w:fill="FFFFFF"/>
              <w:spacing w:line="360" w:lineRule="auto"/>
              <w:ind w:firstLine="480" w:firstLineChars="200"/>
              <w:rPr>
                <w:sz w:val="24"/>
              </w:rPr>
            </w:pPr>
            <w:r>
              <w:rPr>
                <w:kern w:val="0"/>
                <w:sz w:val="24"/>
              </w:rPr>
              <w:t>本项目引用《2020年淮南市环境质量状况公</w:t>
            </w:r>
            <w:r>
              <w:rPr>
                <w:rFonts w:hint="eastAsia"/>
                <w:kern w:val="0"/>
                <w:sz w:val="24"/>
              </w:rPr>
              <w:t>报</w:t>
            </w:r>
            <w:r>
              <w:rPr>
                <w:kern w:val="0"/>
                <w:sz w:val="24"/>
              </w:rPr>
              <w:t>》内容</w:t>
            </w:r>
            <w:r>
              <w:rPr>
                <w:rFonts w:hint="eastAsia"/>
                <w:kern w:val="0"/>
                <w:sz w:val="24"/>
              </w:rPr>
              <w:t>。</w:t>
            </w:r>
            <w:r>
              <w:rPr>
                <w:sz w:val="24"/>
              </w:rPr>
              <w:t>2020年，全市地表水21个监测断面(点位)中I〜III类水质比例为76.2%,无劣V类水质，总体水质状况为良好。比上年增加9.2个百分点，水质状况由轻度污染转为良好，水质向好趋势。</w:t>
            </w:r>
          </w:p>
          <w:p>
            <w:pPr>
              <w:pStyle w:val="24"/>
              <w:shd w:val="clear" w:color="auto" w:fill="FFFFFF"/>
              <w:spacing w:before="0" w:beforeAutospacing="0" w:after="0" w:afterAutospacing="0" w:line="360" w:lineRule="auto"/>
              <w:ind w:firstLine="480" w:firstLineChars="200"/>
              <w:jc w:val="both"/>
              <w:rPr>
                <w:rFonts w:ascii="Times New Roman" w:hAnsi="Times New Roman"/>
                <w:kern w:val="2"/>
                <w:szCs w:val="24"/>
                <w:lang w:val="en-US" w:eastAsia="zh-CN"/>
              </w:rPr>
            </w:pPr>
            <w:r>
              <w:rPr>
                <w:rFonts w:hint="eastAsia" w:ascii="Times New Roman" w:hAnsi="Times New Roman"/>
                <w:kern w:val="2"/>
                <w:szCs w:val="24"/>
                <w:lang w:val="en-US" w:eastAsia="zh-CN"/>
              </w:rPr>
              <w:t>（1）河流</w:t>
            </w:r>
          </w:p>
          <w:p>
            <w:pPr>
              <w:widowControl/>
              <w:shd w:val="clear" w:color="auto" w:fill="FFFFFF"/>
              <w:spacing w:line="360" w:lineRule="auto"/>
              <w:ind w:firstLine="480" w:firstLineChars="200"/>
              <w:rPr>
                <w:sz w:val="24"/>
              </w:rPr>
            </w:pPr>
            <w:r>
              <w:rPr>
                <w:sz w:val="24"/>
              </w:rPr>
              <w:t>市辖淮河干流及其支流16个监测断面中I〜III类水质比例81.2%,无劣V类水质，总体水质良好，与2019年相比水质比例增加5.2个百分点。</w:t>
            </w:r>
          </w:p>
          <w:p>
            <w:pPr>
              <w:widowControl/>
              <w:shd w:val="clear" w:color="auto" w:fill="FFFFFF"/>
              <w:spacing w:line="360" w:lineRule="auto"/>
              <w:ind w:firstLine="480" w:firstLineChars="200"/>
              <w:rPr>
                <w:sz w:val="24"/>
              </w:rPr>
            </w:pPr>
            <w:r>
              <w:rPr>
                <w:sz w:val="24"/>
              </w:rPr>
              <w:t>主要超标断面为枣林涵、中心沟和木台沟断面，水质均劣于《地表水环境质量标准》(GB3838-2002)III类水质标准，为V类水质，主要超标因子为高锰酸盐指数、总磷、化学需氧量和氨氮。</w:t>
            </w:r>
          </w:p>
          <w:p>
            <w:pPr>
              <w:pStyle w:val="24"/>
              <w:shd w:val="clear" w:color="auto" w:fill="FFFFFF"/>
              <w:spacing w:before="0" w:beforeAutospacing="0" w:after="0" w:afterAutospacing="0" w:line="360" w:lineRule="auto"/>
              <w:ind w:firstLine="480" w:firstLineChars="200"/>
              <w:jc w:val="both"/>
              <w:rPr>
                <w:rFonts w:ascii="Times New Roman" w:hAnsi="Times New Roman"/>
                <w:kern w:val="2"/>
                <w:szCs w:val="24"/>
                <w:lang w:val="en-US" w:eastAsia="zh-CN"/>
              </w:rPr>
            </w:pPr>
            <w:r>
              <w:rPr>
                <w:rFonts w:hint="eastAsia" w:ascii="Times New Roman" w:hAnsi="Times New Roman"/>
                <w:kern w:val="2"/>
                <w:szCs w:val="24"/>
                <w:lang w:val="en-US" w:eastAsia="zh-CN"/>
              </w:rPr>
              <w:t>（2）湖泊</w:t>
            </w:r>
          </w:p>
          <w:p>
            <w:pPr>
              <w:widowControl/>
              <w:shd w:val="clear" w:color="auto" w:fill="FFFFFF"/>
              <w:spacing w:line="360" w:lineRule="auto"/>
              <w:ind w:firstLine="480" w:firstLineChars="200"/>
              <w:rPr>
                <w:sz w:val="24"/>
              </w:rPr>
            </w:pPr>
            <w:r>
              <w:rPr>
                <w:sz w:val="24"/>
              </w:rPr>
              <w:t>全市湖泊5个监测点位I~III类水质比例60%,无劣V类水质，与2019年相比水质有所好转。</w:t>
            </w:r>
          </w:p>
          <w:p>
            <w:pPr>
              <w:widowControl/>
              <w:shd w:val="clear" w:color="auto" w:fill="FFFFFF"/>
              <w:spacing w:line="360" w:lineRule="auto"/>
              <w:ind w:firstLine="480" w:firstLineChars="200"/>
              <w:rPr>
                <w:sz w:val="24"/>
              </w:rPr>
            </w:pPr>
            <w:r>
              <w:rPr>
                <w:sz w:val="24"/>
              </w:rPr>
              <w:t>2020年，瓦埠湖点位、船墩和陶店渡口点位水质评价指标年平均浓度值均符合《地表水环境质量标准》(GB3838-2002) III类标准，综合营养状态均为轻度富营养。</w:t>
            </w:r>
          </w:p>
          <w:p>
            <w:pPr>
              <w:widowControl/>
              <w:shd w:val="clear" w:color="auto" w:fill="FFFFFF"/>
              <w:spacing w:line="360" w:lineRule="auto"/>
              <w:ind w:firstLine="480" w:firstLineChars="200"/>
              <w:rPr>
                <w:sz w:val="24"/>
              </w:rPr>
            </w:pPr>
            <w:r>
              <w:rPr>
                <w:sz w:val="24"/>
              </w:rPr>
              <w:t>2020年，高塘湖水质评价指标年平均浓度值劣于III类标准，符合IV类标准，综合营养状态为轻度富营养。主要超标因子为化学需氧量、总磷和高锰酸盐指数。</w:t>
            </w:r>
          </w:p>
          <w:p>
            <w:pPr>
              <w:widowControl/>
              <w:shd w:val="clear" w:color="auto" w:fill="FFFFFF"/>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2020年，焦岗湖水质评价指标年平均浓度值劣于III类标准，符合IV类标准，综合营养状态为轻度富营养。主要超标因子为化学需氧量、总磷和高锰酸盐指数。</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lang w:val="en-US" w:eastAsia="zh-TW"/>
              </w:rPr>
              <w:t>根据上述内容，与本项目有关的地表水体</w:t>
            </w:r>
            <w:r>
              <w:rPr>
                <w:rFonts w:hint="eastAsia" w:ascii="Times New Roman" w:hAnsi="Times New Roman" w:eastAsia="宋体" w:cs="Times New Roman"/>
                <w:sz w:val="24"/>
                <w:lang w:val="en-US" w:eastAsia="zh-CN"/>
              </w:rPr>
              <w:t>淮河</w:t>
            </w:r>
            <w:r>
              <w:rPr>
                <w:rFonts w:hint="eastAsia" w:ascii="Times New Roman" w:hAnsi="Times New Roman" w:eastAsia="宋体" w:cs="Times New Roman"/>
                <w:sz w:val="24"/>
                <w:lang w:val="en-US" w:eastAsia="zh-TW"/>
              </w:rPr>
              <w:t>水质</w:t>
            </w:r>
            <w:r>
              <w:rPr>
                <w:rFonts w:hint="eastAsia" w:ascii="Times New Roman" w:hAnsi="Times New Roman" w:eastAsia="宋体" w:cs="Times New Roman"/>
                <w:sz w:val="24"/>
                <w:lang w:val="en-US" w:eastAsia="zh-CN"/>
              </w:rPr>
              <w:t>为</w:t>
            </w:r>
            <w:r>
              <w:rPr>
                <w:rFonts w:hint="eastAsia" w:ascii="Times New Roman" w:hAnsi="Times New Roman" w:eastAsia="宋体" w:cs="Times New Roman"/>
                <w:sz w:val="24"/>
                <w:lang w:val="en-US" w:eastAsia="zh-TW"/>
              </w:rPr>
              <w:t>《地表水环境质量标准》（GB3838-2002）中的Ⅲ水质标准。</w:t>
            </w:r>
          </w:p>
          <w:p>
            <w:pPr>
              <w:spacing w:line="360" w:lineRule="auto"/>
              <w:ind w:firstLine="480" w:firstLineChars="200"/>
              <w:rPr>
                <w:rFonts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3、声环境质量</w:t>
            </w:r>
          </w:p>
          <w:p>
            <w:pPr>
              <w:spacing w:line="360" w:lineRule="auto"/>
              <w:ind w:firstLine="480" w:firstLineChars="200"/>
              <w:rPr>
                <w:sz w:val="24"/>
              </w:rPr>
            </w:pPr>
            <w:r>
              <w:rPr>
                <w:sz w:val="24"/>
              </w:rPr>
              <w:t>根据</w:t>
            </w:r>
            <w:r>
              <w:rPr>
                <w:rFonts w:hint="eastAsia"/>
                <w:sz w:val="24"/>
              </w:rPr>
              <w:t>现场踏勘，项目</w:t>
            </w:r>
            <w:r>
              <w:rPr>
                <w:sz w:val="24"/>
              </w:rPr>
              <w:t>厂界外50米范围内无敏感点声环境保护目标</w:t>
            </w:r>
            <w:r>
              <w:rPr>
                <w:rFonts w:hint="eastAsia"/>
                <w:sz w:val="24"/>
              </w:rPr>
              <w:t>。故本项目无需进行声环境质量现状监测</w:t>
            </w:r>
            <w:r>
              <w:rPr>
                <w:sz w:val="24"/>
              </w:rPr>
              <w:t>。</w:t>
            </w:r>
          </w:p>
          <w:p>
            <w:pPr>
              <w:widowControl/>
              <w:spacing w:line="360" w:lineRule="auto"/>
              <w:ind w:firstLine="480" w:firstLineChars="200"/>
              <w:rPr>
                <w:rFonts w:hint="eastAsia"/>
                <w:sz w:val="24"/>
              </w:rPr>
            </w:pPr>
            <w:r>
              <w:rPr>
                <w:rFonts w:hint="eastAsia"/>
                <w:sz w:val="24"/>
              </w:rPr>
              <w:t>4、生态环境</w:t>
            </w:r>
          </w:p>
          <w:p>
            <w:pPr>
              <w:widowControl/>
              <w:spacing w:line="360" w:lineRule="auto"/>
              <w:ind w:firstLine="420" w:firstLineChars="200"/>
              <w:jc w:val="left"/>
              <w:rPr>
                <w:rFonts w:hint="eastAsia"/>
              </w:rPr>
            </w:pPr>
            <w:r>
              <w:rPr>
                <w:rFonts w:hint="eastAsia"/>
              </w:rPr>
              <w:t>本项目租赁现有工业厂房组织生产，不涉及新增用地，</w:t>
            </w:r>
            <w:r>
              <w:t>无需进行生态现状调查</w:t>
            </w:r>
            <w:r>
              <w:rPr>
                <w:rFonts w:hint="eastAsia"/>
              </w:rPr>
              <w:t>。</w:t>
            </w:r>
          </w:p>
          <w:p>
            <w:pPr>
              <w:widowControl/>
              <w:spacing w:line="360" w:lineRule="auto"/>
              <w:ind w:firstLine="480" w:firstLineChars="200"/>
              <w:jc w:val="left"/>
              <w:rPr>
                <w:rFonts w:hint="eastAsia"/>
                <w:sz w:val="24"/>
              </w:rPr>
            </w:pPr>
            <w:r>
              <w:rPr>
                <w:rFonts w:hint="eastAsia"/>
                <w:sz w:val="24"/>
              </w:rPr>
              <w:t>5、电磁辐射</w:t>
            </w:r>
          </w:p>
          <w:p>
            <w:pPr>
              <w:widowControl/>
              <w:spacing w:line="360" w:lineRule="auto"/>
              <w:ind w:firstLine="480" w:firstLineChars="200"/>
              <w:jc w:val="left"/>
              <w:rPr>
                <w:rFonts w:hint="eastAsia"/>
                <w:sz w:val="24"/>
              </w:rPr>
            </w:pPr>
            <w:r>
              <w:rPr>
                <w:rFonts w:hint="eastAsia"/>
                <w:sz w:val="24"/>
              </w:rPr>
              <w:t>本项目不涉及。</w:t>
            </w:r>
          </w:p>
          <w:p>
            <w:pPr>
              <w:widowControl/>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6、地下水环境</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土壤环境</w:t>
            </w:r>
          </w:p>
          <w:p>
            <w:pPr>
              <w:pStyle w:val="87"/>
              <w:spacing w:line="360" w:lineRule="auto"/>
              <w:rPr>
                <w:rFonts w:hint="eastAsia"/>
                <w:sz w:val="24"/>
              </w:rPr>
            </w:pPr>
            <w:r>
              <w:rPr>
                <w:rFonts w:hint="eastAsia" w:ascii="Times New Roman" w:hAnsi="Times New Roman" w:eastAsia="宋体" w:cs="Times New Roman"/>
                <w:sz w:val="24"/>
                <w:szCs w:val="24"/>
                <w:lang w:val="en-US" w:eastAsia="zh-CN"/>
              </w:rPr>
              <w:t xml:space="preserve">  本项目现场调查厂区地面已硬化，拟进行分区防渗处理，厂区内不存在影响地下水和土壤环境的途径，故不开展地下水、土壤环境现状调查</w:t>
            </w: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29" w:hRule="atLeast"/>
          <w:jc w:val="center"/>
        </w:trPr>
        <w:tc>
          <w:tcPr>
            <w:tcW w:w="676" w:type="dxa"/>
            <w:noWrap w:val="0"/>
            <w:vAlign w:val="center"/>
          </w:tcPr>
          <w:p>
            <w:pPr>
              <w:adjustRightInd w:val="0"/>
              <w:snapToGrid w:val="0"/>
              <w:jc w:val="center"/>
              <w:rPr>
                <w:rFonts w:hint="eastAsia" w:ascii="宋体" w:hAnsi="宋体" w:cs="宋体"/>
                <w:kern w:val="0"/>
                <w:sz w:val="24"/>
              </w:rPr>
            </w:pPr>
            <w:r>
              <w:rPr>
                <w:rFonts w:hint="eastAsia" w:ascii="宋体" w:hAnsi="宋体" w:cs="宋体"/>
                <w:kern w:val="0"/>
                <w:sz w:val="24"/>
              </w:rPr>
              <w:t>环境</w:t>
            </w:r>
          </w:p>
          <w:p>
            <w:pPr>
              <w:adjustRightInd w:val="0"/>
              <w:snapToGrid w:val="0"/>
              <w:jc w:val="center"/>
              <w:rPr>
                <w:rFonts w:hint="eastAsia" w:ascii="宋体" w:hAnsi="宋体" w:cs="宋体"/>
                <w:kern w:val="0"/>
                <w:sz w:val="24"/>
              </w:rPr>
            </w:pPr>
            <w:r>
              <w:rPr>
                <w:rFonts w:hint="eastAsia" w:ascii="宋体" w:hAnsi="宋体" w:cs="宋体"/>
                <w:kern w:val="0"/>
                <w:sz w:val="24"/>
              </w:rPr>
              <w:t>保护</w:t>
            </w:r>
          </w:p>
          <w:p>
            <w:pPr>
              <w:adjustRightInd w:val="0"/>
              <w:snapToGrid w:val="0"/>
              <w:jc w:val="center"/>
              <w:rPr>
                <w:rFonts w:hint="eastAsia" w:ascii="宋体" w:hAnsi="宋体" w:cs="宋体"/>
                <w:kern w:val="0"/>
                <w:sz w:val="24"/>
              </w:rPr>
            </w:pPr>
            <w:r>
              <w:rPr>
                <w:rFonts w:hint="eastAsia" w:ascii="宋体" w:hAnsi="宋体" w:cs="宋体"/>
                <w:kern w:val="0"/>
                <w:sz w:val="24"/>
              </w:rPr>
              <w:t>目标</w:t>
            </w:r>
          </w:p>
        </w:tc>
        <w:tc>
          <w:tcPr>
            <w:tcW w:w="8385" w:type="dxa"/>
            <w:noWrap w:val="0"/>
            <w:vAlign w:val="top"/>
          </w:tcPr>
          <w:p>
            <w:pPr>
              <w:spacing w:line="360" w:lineRule="auto"/>
              <w:ind w:firstLine="480"/>
            </w:pPr>
            <w:r>
              <w:rPr>
                <w:rFonts w:hint="eastAsia"/>
                <w:sz w:val="24"/>
                <w:szCs w:val="24"/>
              </w:rPr>
              <w:t>根据现场踏勘，建设项目厂界外50米范围内无声环境保护目标；厂界外500米范围内无地下水集中式饮用水水源和热水、矿泉水、温泉等特殊地下水资源，无地下水环境保护目标；项目</w:t>
            </w:r>
            <w:r>
              <w:rPr>
                <w:rFonts w:hint="eastAsia"/>
                <w:sz w:val="24"/>
                <w:szCs w:val="24"/>
                <w:lang w:eastAsia="zh-CN"/>
              </w:rPr>
              <w:t>租</w:t>
            </w:r>
            <w:r>
              <w:rPr>
                <w:rFonts w:hint="eastAsia"/>
                <w:sz w:val="24"/>
                <w:szCs w:val="24"/>
              </w:rPr>
              <w:t>用</w:t>
            </w:r>
            <w:r>
              <w:rPr>
                <w:rFonts w:hint="eastAsia"/>
                <w:sz w:val="24"/>
                <w:szCs w:val="24"/>
                <w:lang w:eastAsia="zh-CN"/>
              </w:rPr>
              <w:t>已建</w:t>
            </w:r>
            <w:r>
              <w:rPr>
                <w:rFonts w:hint="eastAsia"/>
                <w:sz w:val="24"/>
                <w:szCs w:val="24"/>
              </w:rPr>
              <w:t>厂房，不新增占地，无生态环境保护目标。项目厂界500m范围内大气环境保护目标如下：</w:t>
            </w:r>
          </w:p>
          <w:p>
            <w:pPr>
              <w:pStyle w:val="98"/>
              <w:snapToGrid/>
              <w:spacing w:before="0" w:after="0" w:line="360" w:lineRule="auto"/>
              <w:rPr>
                <w:rFonts w:hint="eastAsia"/>
                <w:lang w:val="en-US" w:eastAsia="zh-CN"/>
              </w:rPr>
            </w:pPr>
            <w:r>
              <w:rPr>
                <w:rFonts w:hint="eastAsia" w:ascii="宋体" w:hAnsi="宋体" w:eastAsia="宋体" w:cs="宋体"/>
                <w:b/>
                <w:bCs/>
                <w:lang w:val="en-US" w:eastAsia="zh-CN"/>
              </w:rPr>
              <w:t>表3-2  保护目标一览表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84"/>
              <w:gridCol w:w="1217"/>
              <w:gridCol w:w="1082"/>
              <w:gridCol w:w="1005"/>
              <w:gridCol w:w="920"/>
              <w:gridCol w:w="776"/>
              <w:gridCol w:w="715"/>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6" w:hRule="exact"/>
                <w:jc w:val="center"/>
              </w:trPr>
              <w:tc>
                <w:tcPr>
                  <w:tcW w:w="594" w:type="pct"/>
                  <w:vMerge w:val="restart"/>
                  <w:noWrap w:val="0"/>
                  <w:vAlign w:val="center"/>
                </w:tcPr>
                <w:p>
                  <w:pPr>
                    <w:jc w:val="center"/>
                    <w:rPr>
                      <w:rFonts w:hint="eastAsia"/>
                      <w:sz w:val="21"/>
                      <w:szCs w:val="21"/>
                      <w:lang w:eastAsia="zh-CN"/>
                    </w:rPr>
                  </w:pPr>
                  <w:r>
                    <w:rPr>
                      <w:rFonts w:hint="eastAsia"/>
                      <w:sz w:val="21"/>
                      <w:szCs w:val="21"/>
                      <w:lang w:eastAsia="zh-CN"/>
                    </w:rPr>
                    <w:t>环境要素</w:t>
                  </w:r>
                </w:p>
              </w:tc>
              <w:tc>
                <w:tcPr>
                  <w:tcW w:w="1386" w:type="pct"/>
                  <w:gridSpan w:val="2"/>
                  <w:noWrap w:val="0"/>
                  <w:vAlign w:val="center"/>
                </w:tcPr>
                <w:p>
                  <w:pPr>
                    <w:jc w:val="center"/>
                    <w:rPr>
                      <w:sz w:val="21"/>
                      <w:szCs w:val="21"/>
                    </w:rPr>
                  </w:pPr>
                  <w:r>
                    <w:rPr>
                      <w:rFonts w:hint="eastAsia"/>
                      <w:sz w:val="21"/>
                      <w:szCs w:val="21"/>
                    </w:rPr>
                    <w:t>坐标</w:t>
                  </w:r>
                </w:p>
              </w:tc>
              <w:tc>
                <w:tcPr>
                  <w:tcW w:w="606" w:type="pct"/>
                  <w:vMerge w:val="restart"/>
                  <w:noWrap w:val="0"/>
                  <w:vAlign w:val="center"/>
                </w:tcPr>
                <w:p>
                  <w:pPr>
                    <w:jc w:val="center"/>
                    <w:rPr>
                      <w:sz w:val="21"/>
                      <w:szCs w:val="21"/>
                    </w:rPr>
                  </w:pPr>
                  <w:r>
                    <w:rPr>
                      <w:sz w:val="21"/>
                      <w:szCs w:val="21"/>
                    </w:rPr>
                    <w:t>保护目标</w:t>
                  </w:r>
                </w:p>
              </w:tc>
              <w:tc>
                <w:tcPr>
                  <w:tcW w:w="556" w:type="pct"/>
                  <w:vMerge w:val="restart"/>
                  <w:noWrap w:val="0"/>
                  <w:vAlign w:val="center"/>
                </w:tcPr>
                <w:p>
                  <w:pPr>
                    <w:pStyle w:val="60"/>
                    <w:jc w:val="center"/>
                    <w:rPr>
                      <w:rFonts w:hint="eastAsia"/>
                      <w:sz w:val="21"/>
                      <w:szCs w:val="21"/>
                      <w:lang w:val="en-US" w:eastAsia="zh-CN"/>
                    </w:rPr>
                  </w:pPr>
                  <w:r>
                    <w:rPr>
                      <w:rFonts w:hint="eastAsia"/>
                      <w:sz w:val="21"/>
                      <w:szCs w:val="21"/>
                      <w:lang w:val="en-US" w:eastAsia="zh-CN"/>
                    </w:rPr>
                    <w:t>方位</w:t>
                  </w:r>
                </w:p>
              </w:tc>
              <w:tc>
                <w:tcPr>
                  <w:tcW w:w="470" w:type="pct"/>
                  <w:vMerge w:val="restart"/>
                  <w:noWrap w:val="0"/>
                  <w:vAlign w:val="center"/>
                </w:tcPr>
                <w:p>
                  <w:pPr>
                    <w:pStyle w:val="60"/>
                    <w:jc w:val="center"/>
                    <w:rPr>
                      <w:sz w:val="21"/>
                      <w:szCs w:val="21"/>
                    </w:rPr>
                  </w:pPr>
                  <w:r>
                    <w:rPr>
                      <w:rFonts w:hint="eastAsia"/>
                      <w:sz w:val="21"/>
                      <w:szCs w:val="21"/>
                    </w:rPr>
                    <w:t>规模（人）</w:t>
                  </w:r>
                </w:p>
              </w:tc>
              <w:tc>
                <w:tcPr>
                  <w:tcW w:w="433" w:type="pct"/>
                  <w:vMerge w:val="restart"/>
                  <w:noWrap w:val="0"/>
                  <w:vAlign w:val="center"/>
                </w:tcPr>
                <w:p>
                  <w:pPr>
                    <w:pStyle w:val="60"/>
                    <w:jc w:val="center"/>
                    <w:rPr>
                      <w:sz w:val="21"/>
                      <w:szCs w:val="21"/>
                    </w:rPr>
                  </w:pPr>
                  <w:r>
                    <w:rPr>
                      <w:rFonts w:hint="eastAsia"/>
                      <w:sz w:val="21"/>
                      <w:szCs w:val="21"/>
                    </w:rPr>
                    <w:t>最近</w:t>
                  </w:r>
                  <w:r>
                    <w:rPr>
                      <w:sz w:val="21"/>
                      <w:szCs w:val="21"/>
                    </w:rPr>
                    <w:t>距</w:t>
                  </w:r>
                  <w:r>
                    <w:rPr>
                      <w:rFonts w:hint="eastAsia"/>
                      <w:sz w:val="21"/>
                      <w:szCs w:val="21"/>
                    </w:rPr>
                    <w:t>离（</w:t>
                  </w:r>
                  <w:r>
                    <w:rPr>
                      <w:sz w:val="21"/>
                      <w:szCs w:val="21"/>
                    </w:rPr>
                    <w:t>m</w:t>
                  </w:r>
                  <w:r>
                    <w:rPr>
                      <w:rFonts w:hint="eastAsia"/>
                      <w:sz w:val="21"/>
                      <w:szCs w:val="21"/>
                    </w:rPr>
                    <w:t>）</w:t>
                  </w:r>
                </w:p>
              </w:tc>
              <w:tc>
                <w:tcPr>
                  <w:tcW w:w="952" w:type="pct"/>
                  <w:vMerge w:val="restart"/>
                  <w:noWrap w:val="0"/>
                  <w:vAlign w:val="center"/>
                </w:tcPr>
                <w:p>
                  <w:pPr>
                    <w:pStyle w:val="60"/>
                    <w:jc w:val="center"/>
                    <w:rPr>
                      <w:rFonts w:hint="eastAsia"/>
                      <w:sz w:val="21"/>
                      <w:szCs w:val="21"/>
                      <w:lang w:eastAsia="zh-CN"/>
                    </w:rPr>
                  </w:pPr>
                  <w:r>
                    <w:rPr>
                      <w:rFonts w:hint="eastAsia"/>
                      <w:sz w:val="21"/>
                      <w:szCs w:val="21"/>
                      <w:lang w:eastAsia="zh-CN"/>
                    </w:rPr>
                    <w:t>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6" w:hRule="exact"/>
                <w:jc w:val="center"/>
              </w:trPr>
              <w:tc>
                <w:tcPr>
                  <w:tcW w:w="594" w:type="pct"/>
                  <w:vMerge w:val="continue"/>
                  <w:noWrap w:val="0"/>
                  <w:vAlign w:val="center"/>
                </w:tcPr>
                <w:p>
                  <w:pPr>
                    <w:jc w:val="center"/>
                    <w:rPr>
                      <w:rFonts w:hint="eastAsia"/>
                      <w:sz w:val="21"/>
                      <w:szCs w:val="21"/>
                      <w:lang w:val="en-US" w:eastAsia="zh-CN"/>
                    </w:rPr>
                  </w:pPr>
                </w:p>
              </w:tc>
              <w:tc>
                <w:tcPr>
                  <w:tcW w:w="733" w:type="pct"/>
                  <w:noWrap w:val="0"/>
                  <w:vAlign w:val="center"/>
                </w:tcPr>
                <w:p>
                  <w:pPr>
                    <w:jc w:val="center"/>
                    <w:rPr>
                      <w:rFonts w:hint="default"/>
                      <w:sz w:val="21"/>
                      <w:szCs w:val="21"/>
                      <w:lang w:val="en-US" w:eastAsia="zh-CN"/>
                    </w:rPr>
                  </w:pPr>
                  <w:r>
                    <w:rPr>
                      <w:rFonts w:hint="eastAsia"/>
                      <w:sz w:val="21"/>
                      <w:szCs w:val="21"/>
                      <w:lang w:val="en-US" w:eastAsia="zh-CN"/>
                    </w:rPr>
                    <w:t>经度</w:t>
                  </w:r>
                </w:p>
              </w:tc>
              <w:tc>
                <w:tcPr>
                  <w:tcW w:w="652" w:type="pct"/>
                  <w:noWrap w:val="0"/>
                  <w:vAlign w:val="center"/>
                </w:tcPr>
                <w:p>
                  <w:pPr>
                    <w:jc w:val="center"/>
                    <w:rPr>
                      <w:rFonts w:hint="default"/>
                      <w:sz w:val="21"/>
                      <w:szCs w:val="21"/>
                      <w:lang w:val="en-US" w:eastAsia="zh-CN"/>
                    </w:rPr>
                  </w:pPr>
                  <w:r>
                    <w:rPr>
                      <w:rFonts w:hint="eastAsia"/>
                      <w:sz w:val="21"/>
                      <w:szCs w:val="21"/>
                      <w:lang w:val="en-US" w:eastAsia="zh-CN"/>
                    </w:rPr>
                    <w:t>纬度</w:t>
                  </w:r>
                </w:p>
              </w:tc>
              <w:tc>
                <w:tcPr>
                  <w:tcW w:w="606" w:type="pct"/>
                  <w:vMerge w:val="continue"/>
                  <w:noWrap w:val="0"/>
                  <w:vAlign w:val="center"/>
                </w:tcPr>
                <w:p>
                  <w:pPr>
                    <w:jc w:val="center"/>
                    <w:rPr>
                      <w:sz w:val="21"/>
                      <w:szCs w:val="21"/>
                    </w:rPr>
                  </w:pPr>
                </w:p>
              </w:tc>
              <w:tc>
                <w:tcPr>
                  <w:tcW w:w="556" w:type="pct"/>
                  <w:vMerge w:val="continue"/>
                  <w:noWrap w:val="0"/>
                  <w:vAlign w:val="center"/>
                </w:tcPr>
                <w:p>
                  <w:pPr>
                    <w:pStyle w:val="60"/>
                    <w:jc w:val="center"/>
                    <w:rPr>
                      <w:rFonts w:hint="eastAsia"/>
                      <w:sz w:val="21"/>
                      <w:szCs w:val="21"/>
                      <w:lang w:val="en-US" w:eastAsia="zh-CN"/>
                    </w:rPr>
                  </w:pPr>
                </w:p>
              </w:tc>
              <w:tc>
                <w:tcPr>
                  <w:tcW w:w="470" w:type="pct"/>
                  <w:vMerge w:val="continue"/>
                  <w:noWrap w:val="0"/>
                  <w:vAlign w:val="center"/>
                </w:tcPr>
                <w:p>
                  <w:pPr>
                    <w:pStyle w:val="60"/>
                    <w:jc w:val="center"/>
                    <w:rPr>
                      <w:sz w:val="21"/>
                      <w:szCs w:val="21"/>
                    </w:rPr>
                  </w:pPr>
                </w:p>
              </w:tc>
              <w:tc>
                <w:tcPr>
                  <w:tcW w:w="433" w:type="pct"/>
                  <w:vMerge w:val="continue"/>
                  <w:noWrap w:val="0"/>
                  <w:vAlign w:val="center"/>
                </w:tcPr>
                <w:p>
                  <w:pPr>
                    <w:pStyle w:val="60"/>
                    <w:jc w:val="center"/>
                    <w:rPr>
                      <w:sz w:val="21"/>
                      <w:szCs w:val="21"/>
                    </w:rPr>
                  </w:pPr>
                </w:p>
              </w:tc>
              <w:tc>
                <w:tcPr>
                  <w:tcW w:w="952" w:type="pct"/>
                  <w:vMerge w:val="continue"/>
                  <w:noWrap w:val="0"/>
                  <w:vAlign w:val="center"/>
                </w:tcPr>
                <w:p>
                  <w:pPr>
                    <w:pStyle w:val="6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2" w:hRule="exact"/>
                <w:jc w:val="center"/>
              </w:trPr>
              <w:tc>
                <w:tcPr>
                  <w:tcW w:w="594" w:type="pct"/>
                  <w:vMerge w:val="restart"/>
                  <w:noWrap w:val="0"/>
                  <w:vAlign w:val="center"/>
                </w:tcPr>
                <w:p>
                  <w:pPr>
                    <w:pStyle w:val="60"/>
                    <w:jc w:val="center"/>
                    <w:rPr>
                      <w:rFonts w:hint="eastAsia"/>
                      <w:sz w:val="21"/>
                      <w:szCs w:val="21"/>
                      <w:lang w:eastAsia="zh-CN"/>
                    </w:rPr>
                  </w:pPr>
                  <w:r>
                    <w:rPr>
                      <w:rFonts w:hint="eastAsia"/>
                      <w:sz w:val="21"/>
                      <w:szCs w:val="21"/>
                      <w:lang w:eastAsia="zh-CN"/>
                    </w:rPr>
                    <w:t>大气环境</w:t>
                  </w:r>
                </w:p>
              </w:tc>
              <w:tc>
                <w:tcPr>
                  <w:tcW w:w="733" w:type="pct"/>
                  <w:noWrap w:val="0"/>
                  <w:vAlign w:val="center"/>
                </w:tcPr>
                <w:p>
                  <w:pPr>
                    <w:pStyle w:val="60"/>
                    <w:jc w:val="center"/>
                    <w:rPr>
                      <w:rFonts w:hint="default"/>
                      <w:sz w:val="21"/>
                      <w:szCs w:val="21"/>
                      <w:lang w:val="en-US" w:eastAsia="zh-CN"/>
                    </w:rPr>
                  </w:pPr>
                  <w:r>
                    <w:rPr>
                      <w:rFonts w:hint="eastAsia"/>
                      <w:sz w:val="21"/>
                      <w:szCs w:val="21"/>
                    </w:rPr>
                    <w:t>117.</w:t>
                  </w:r>
                  <w:r>
                    <w:rPr>
                      <w:rFonts w:hint="eastAsia"/>
                      <w:sz w:val="21"/>
                      <w:szCs w:val="21"/>
                      <w:lang w:val="en-US" w:eastAsia="zh-CN"/>
                    </w:rPr>
                    <w:t>0499154</w:t>
                  </w:r>
                </w:p>
              </w:tc>
              <w:tc>
                <w:tcPr>
                  <w:tcW w:w="652" w:type="pct"/>
                  <w:noWrap w:val="0"/>
                  <w:vAlign w:val="center"/>
                </w:tcPr>
                <w:p>
                  <w:pPr>
                    <w:pStyle w:val="60"/>
                    <w:jc w:val="center"/>
                    <w:rPr>
                      <w:rFonts w:hint="default"/>
                      <w:sz w:val="21"/>
                      <w:szCs w:val="21"/>
                      <w:lang w:val="en-US" w:eastAsia="zh-CN"/>
                    </w:rPr>
                  </w:pPr>
                  <w:r>
                    <w:rPr>
                      <w:rFonts w:hint="eastAsia"/>
                      <w:sz w:val="21"/>
                      <w:szCs w:val="21"/>
                    </w:rPr>
                    <w:t>32.</w:t>
                  </w:r>
                  <w:r>
                    <w:rPr>
                      <w:rFonts w:hint="eastAsia"/>
                      <w:sz w:val="21"/>
                      <w:szCs w:val="21"/>
                      <w:lang w:val="en-US" w:eastAsia="zh-CN"/>
                    </w:rPr>
                    <w:t>6559053</w:t>
                  </w:r>
                </w:p>
              </w:tc>
              <w:tc>
                <w:tcPr>
                  <w:tcW w:w="606" w:type="pct"/>
                  <w:noWrap w:val="0"/>
                  <w:vAlign w:val="center"/>
                </w:tcPr>
                <w:p>
                  <w:pPr>
                    <w:pStyle w:val="60"/>
                    <w:jc w:val="center"/>
                    <w:rPr>
                      <w:rFonts w:hint="eastAsia"/>
                      <w:sz w:val="21"/>
                      <w:szCs w:val="21"/>
                      <w:lang w:val="en-US" w:eastAsia="zh-CN"/>
                    </w:rPr>
                  </w:pPr>
                  <w:r>
                    <w:rPr>
                      <w:rFonts w:hint="eastAsia"/>
                      <w:sz w:val="21"/>
                      <w:szCs w:val="21"/>
                      <w:lang w:val="en-US" w:eastAsia="zh-CN"/>
                    </w:rPr>
                    <w:t>经开区公租房一期</w:t>
                  </w:r>
                </w:p>
              </w:tc>
              <w:tc>
                <w:tcPr>
                  <w:tcW w:w="556" w:type="pct"/>
                  <w:noWrap w:val="0"/>
                  <w:vAlign w:val="center"/>
                </w:tcPr>
                <w:p>
                  <w:pPr>
                    <w:pStyle w:val="60"/>
                    <w:jc w:val="center"/>
                    <w:rPr>
                      <w:rFonts w:hint="eastAsia"/>
                      <w:sz w:val="21"/>
                      <w:szCs w:val="21"/>
                      <w:lang w:val="en-US" w:eastAsia="zh-CN"/>
                    </w:rPr>
                  </w:pPr>
                  <w:r>
                    <w:rPr>
                      <w:rFonts w:hint="eastAsia"/>
                      <w:sz w:val="21"/>
                      <w:szCs w:val="21"/>
                      <w:lang w:val="en-US" w:eastAsia="zh-CN"/>
                    </w:rPr>
                    <w:t>东北</w:t>
                  </w:r>
                </w:p>
              </w:tc>
              <w:tc>
                <w:tcPr>
                  <w:tcW w:w="470" w:type="pct"/>
                  <w:noWrap w:val="0"/>
                  <w:vAlign w:val="center"/>
                </w:tcPr>
                <w:p>
                  <w:pPr>
                    <w:pStyle w:val="60"/>
                    <w:jc w:val="center"/>
                    <w:rPr>
                      <w:rFonts w:hint="default"/>
                      <w:sz w:val="21"/>
                      <w:szCs w:val="21"/>
                      <w:lang w:val="en-US" w:eastAsia="zh-CN"/>
                    </w:rPr>
                  </w:pPr>
                  <w:r>
                    <w:rPr>
                      <w:rFonts w:hint="eastAsia"/>
                      <w:sz w:val="21"/>
                      <w:szCs w:val="21"/>
                      <w:lang w:val="en-US" w:eastAsia="zh-CN"/>
                    </w:rPr>
                    <w:t>约2000</w:t>
                  </w:r>
                </w:p>
              </w:tc>
              <w:tc>
                <w:tcPr>
                  <w:tcW w:w="433" w:type="pct"/>
                  <w:noWrap w:val="0"/>
                  <w:vAlign w:val="center"/>
                </w:tcPr>
                <w:p>
                  <w:pPr>
                    <w:pStyle w:val="60"/>
                    <w:jc w:val="center"/>
                    <w:rPr>
                      <w:rFonts w:hint="default"/>
                      <w:sz w:val="21"/>
                      <w:szCs w:val="21"/>
                      <w:lang w:val="en-US" w:eastAsia="zh-CN"/>
                    </w:rPr>
                  </w:pPr>
                  <w:r>
                    <w:rPr>
                      <w:rFonts w:hint="eastAsia"/>
                      <w:sz w:val="21"/>
                      <w:szCs w:val="21"/>
                      <w:lang w:val="en-US" w:eastAsia="zh-CN"/>
                    </w:rPr>
                    <w:t>300</w:t>
                  </w:r>
                </w:p>
              </w:tc>
              <w:tc>
                <w:tcPr>
                  <w:tcW w:w="952" w:type="pct"/>
                  <w:vMerge w:val="restart"/>
                  <w:noWrap w:val="0"/>
                  <w:vAlign w:val="center"/>
                </w:tcPr>
                <w:p>
                  <w:pPr>
                    <w:pStyle w:val="60"/>
                    <w:jc w:val="center"/>
                    <w:rPr>
                      <w:rFonts w:hint="eastAsia"/>
                      <w:sz w:val="21"/>
                      <w:szCs w:val="21"/>
                      <w:lang w:val="en-US" w:eastAsia="zh-CN"/>
                    </w:rPr>
                  </w:pPr>
                  <w:r>
                    <w:rPr>
                      <w:rFonts w:hint="default"/>
                      <w:sz w:val="21"/>
                      <w:szCs w:val="21"/>
                    </w:rPr>
                    <w:t>《环境空气质量标准》（GB3095-2012）及其修改单二级标准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exact"/>
                <w:jc w:val="center"/>
              </w:trPr>
              <w:tc>
                <w:tcPr>
                  <w:tcW w:w="594" w:type="pct"/>
                  <w:vMerge w:val="continue"/>
                  <w:noWrap w:val="0"/>
                  <w:vAlign w:val="center"/>
                </w:tcPr>
                <w:p>
                  <w:pPr>
                    <w:pStyle w:val="60"/>
                    <w:jc w:val="center"/>
                    <w:rPr>
                      <w:rFonts w:hint="eastAsia"/>
                      <w:sz w:val="21"/>
                      <w:szCs w:val="21"/>
                    </w:rPr>
                  </w:pPr>
                </w:p>
              </w:tc>
              <w:tc>
                <w:tcPr>
                  <w:tcW w:w="733" w:type="pct"/>
                  <w:noWrap w:val="0"/>
                  <w:vAlign w:val="center"/>
                </w:tcPr>
                <w:p>
                  <w:pPr>
                    <w:pStyle w:val="60"/>
                    <w:jc w:val="center"/>
                    <w:rPr>
                      <w:rFonts w:hint="default"/>
                      <w:sz w:val="21"/>
                      <w:szCs w:val="21"/>
                      <w:lang w:val="en-US" w:eastAsia="zh-CN"/>
                    </w:rPr>
                  </w:pPr>
                  <w:r>
                    <w:rPr>
                      <w:rFonts w:hint="eastAsia"/>
                      <w:sz w:val="21"/>
                      <w:szCs w:val="21"/>
                    </w:rPr>
                    <w:t>117.</w:t>
                  </w:r>
                  <w:r>
                    <w:rPr>
                      <w:rFonts w:hint="eastAsia"/>
                      <w:sz w:val="21"/>
                      <w:szCs w:val="21"/>
                      <w:lang w:val="en-US" w:eastAsia="zh-CN"/>
                    </w:rPr>
                    <w:t>0505162</w:t>
                  </w:r>
                </w:p>
              </w:tc>
              <w:tc>
                <w:tcPr>
                  <w:tcW w:w="652" w:type="pct"/>
                  <w:noWrap w:val="0"/>
                  <w:vAlign w:val="center"/>
                </w:tcPr>
                <w:p>
                  <w:pPr>
                    <w:pStyle w:val="60"/>
                    <w:jc w:val="center"/>
                    <w:rPr>
                      <w:rFonts w:hint="default"/>
                      <w:sz w:val="21"/>
                      <w:szCs w:val="21"/>
                      <w:lang w:val="en-US" w:eastAsia="zh-CN"/>
                    </w:rPr>
                  </w:pPr>
                  <w:r>
                    <w:rPr>
                      <w:rFonts w:hint="eastAsia"/>
                      <w:sz w:val="21"/>
                      <w:szCs w:val="21"/>
                    </w:rPr>
                    <w:t>32.</w:t>
                  </w:r>
                  <w:r>
                    <w:rPr>
                      <w:rFonts w:hint="eastAsia"/>
                      <w:sz w:val="21"/>
                      <w:szCs w:val="21"/>
                      <w:lang w:val="en-US" w:eastAsia="zh-CN"/>
                    </w:rPr>
                    <w:t>6535343</w:t>
                  </w:r>
                </w:p>
              </w:tc>
              <w:tc>
                <w:tcPr>
                  <w:tcW w:w="606" w:type="pct"/>
                  <w:noWrap w:val="0"/>
                  <w:vAlign w:val="center"/>
                </w:tcPr>
                <w:p>
                  <w:pPr>
                    <w:pStyle w:val="60"/>
                    <w:jc w:val="center"/>
                    <w:rPr>
                      <w:rFonts w:hint="eastAsia"/>
                      <w:sz w:val="21"/>
                      <w:szCs w:val="21"/>
                      <w:lang w:val="en-US" w:eastAsia="zh-CN"/>
                    </w:rPr>
                  </w:pPr>
                  <w:r>
                    <w:rPr>
                      <w:rFonts w:hint="eastAsia"/>
                      <w:sz w:val="21"/>
                      <w:szCs w:val="21"/>
                      <w:lang w:val="en-US" w:eastAsia="zh-CN"/>
                    </w:rPr>
                    <w:t>振兴路派出所</w:t>
                  </w:r>
                </w:p>
              </w:tc>
              <w:tc>
                <w:tcPr>
                  <w:tcW w:w="556" w:type="pct"/>
                  <w:noWrap w:val="0"/>
                  <w:vAlign w:val="center"/>
                </w:tcPr>
                <w:p>
                  <w:pPr>
                    <w:pStyle w:val="60"/>
                    <w:jc w:val="center"/>
                    <w:rPr>
                      <w:rFonts w:hint="eastAsia"/>
                      <w:sz w:val="21"/>
                      <w:szCs w:val="21"/>
                      <w:lang w:val="en-US" w:eastAsia="zh-CN"/>
                    </w:rPr>
                  </w:pPr>
                  <w:r>
                    <w:rPr>
                      <w:rFonts w:hint="eastAsia"/>
                      <w:sz w:val="21"/>
                      <w:szCs w:val="21"/>
                      <w:lang w:val="en-US" w:eastAsia="zh-CN"/>
                    </w:rPr>
                    <w:t>东</w:t>
                  </w:r>
                </w:p>
              </w:tc>
              <w:tc>
                <w:tcPr>
                  <w:tcW w:w="470" w:type="pct"/>
                  <w:noWrap w:val="0"/>
                  <w:vAlign w:val="center"/>
                </w:tcPr>
                <w:p>
                  <w:pPr>
                    <w:pStyle w:val="60"/>
                    <w:jc w:val="center"/>
                    <w:rPr>
                      <w:rFonts w:hint="default"/>
                      <w:sz w:val="21"/>
                      <w:szCs w:val="21"/>
                      <w:lang w:val="en-US" w:eastAsia="zh-CN"/>
                    </w:rPr>
                  </w:pPr>
                  <w:r>
                    <w:rPr>
                      <w:rFonts w:hint="eastAsia"/>
                      <w:sz w:val="21"/>
                      <w:szCs w:val="21"/>
                      <w:lang w:val="en-US" w:eastAsia="zh-CN"/>
                    </w:rPr>
                    <w:t>约30</w:t>
                  </w:r>
                </w:p>
              </w:tc>
              <w:tc>
                <w:tcPr>
                  <w:tcW w:w="433" w:type="pct"/>
                  <w:noWrap w:val="0"/>
                  <w:vAlign w:val="center"/>
                </w:tcPr>
                <w:p>
                  <w:pPr>
                    <w:pStyle w:val="60"/>
                    <w:jc w:val="center"/>
                    <w:rPr>
                      <w:rFonts w:hint="default"/>
                      <w:sz w:val="21"/>
                      <w:szCs w:val="21"/>
                      <w:lang w:val="en-US" w:eastAsia="zh-CN"/>
                    </w:rPr>
                  </w:pPr>
                  <w:r>
                    <w:rPr>
                      <w:rFonts w:hint="eastAsia"/>
                      <w:sz w:val="21"/>
                      <w:szCs w:val="21"/>
                      <w:lang w:val="en-US" w:eastAsia="zh-CN"/>
                    </w:rPr>
                    <w:t>280</w:t>
                  </w:r>
                </w:p>
              </w:tc>
              <w:tc>
                <w:tcPr>
                  <w:tcW w:w="952" w:type="pct"/>
                  <w:vMerge w:val="continue"/>
                  <w:noWrap w:val="0"/>
                  <w:vAlign w:val="center"/>
                </w:tcPr>
                <w:p>
                  <w:pPr>
                    <w:pStyle w:val="60"/>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7" w:hRule="exact"/>
                <w:jc w:val="center"/>
              </w:trPr>
              <w:tc>
                <w:tcPr>
                  <w:tcW w:w="594" w:type="pct"/>
                  <w:vMerge w:val="continue"/>
                  <w:noWrap w:val="0"/>
                  <w:vAlign w:val="center"/>
                </w:tcPr>
                <w:p>
                  <w:pPr>
                    <w:pStyle w:val="60"/>
                    <w:jc w:val="center"/>
                    <w:rPr>
                      <w:rFonts w:hint="eastAsia"/>
                      <w:sz w:val="21"/>
                      <w:szCs w:val="21"/>
                    </w:rPr>
                  </w:pPr>
                </w:p>
              </w:tc>
              <w:tc>
                <w:tcPr>
                  <w:tcW w:w="733" w:type="pct"/>
                  <w:noWrap w:val="0"/>
                  <w:vAlign w:val="center"/>
                </w:tcPr>
                <w:p>
                  <w:pPr>
                    <w:pStyle w:val="60"/>
                    <w:jc w:val="center"/>
                    <w:rPr>
                      <w:rFonts w:hint="default"/>
                      <w:sz w:val="21"/>
                      <w:szCs w:val="21"/>
                      <w:lang w:val="en-US" w:eastAsia="zh-CN"/>
                    </w:rPr>
                  </w:pPr>
                  <w:r>
                    <w:rPr>
                      <w:rFonts w:hint="eastAsia"/>
                      <w:sz w:val="21"/>
                      <w:szCs w:val="21"/>
                    </w:rPr>
                    <w:t>117.</w:t>
                  </w:r>
                  <w:r>
                    <w:rPr>
                      <w:rFonts w:hint="eastAsia"/>
                      <w:sz w:val="21"/>
                      <w:szCs w:val="21"/>
                      <w:lang w:val="en-US" w:eastAsia="zh-CN"/>
                    </w:rPr>
                    <w:t>0452162</w:t>
                  </w:r>
                </w:p>
              </w:tc>
              <w:tc>
                <w:tcPr>
                  <w:tcW w:w="652" w:type="pct"/>
                  <w:noWrap w:val="0"/>
                  <w:vAlign w:val="center"/>
                </w:tcPr>
                <w:p>
                  <w:pPr>
                    <w:pStyle w:val="60"/>
                    <w:jc w:val="center"/>
                    <w:rPr>
                      <w:rFonts w:hint="default"/>
                      <w:sz w:val="21"/>
                      <w:szCs w:val="21"/>
                      <w:lang w:val="en-US" w:eastAsia="zh-CN"/>
                    </w:rPr>
                  </w:pPr>
                  <w:r>
                    <w:rPr>
                      <w:rFonts w:hint="eastAsia"/>
                      <w:sz w:val="21"/>
                      <w:szCs w:val="21"/>
                    </w:rPr>
                    <w:t>32.</w:t>
                  </w:r>
                  <w:r>
                    <w:rPr>
                      <w:rFonts w:hint="eastAsia"/>
                      <w:sz w:val="21"/>
                      <w:szCs w:val="21"/>
                      <w:lang w:val="en-US" w:eastAsia="zh-CN"/>
                    </w:rPr>
                    <w:t>6554226</w:t>
                  </w:r>
                </w:p>
              </w:tc>
              <w:tc>
                <w:tcPr>
                  <w:tcW w:w="606" w:type="pct"/>
                  <w:noWrap w:val="0"/>
                  <w:vAlign w:val="center"/>
                </w:tcPr>
                <w:p>
                  <w:pPr>
                    <w:pStyle w:val="60"/>
                    <w:jc w:val="center"/>
                    <w:rPr>
                      <w:rFonts w:hint="eastAsia"/>
                      <w:sz w:val="21"/>
                      <w:szCs w:val="21"/>
                      <w:lang w:val="en-US" w:eastAsia="zh-CN"/>
                    </w:rPr>
                  </w:pPr>
                  <w:r>
                    <w:rPr>
                      <w:rFonts w:hint="eastAsia"/>
                      <w:sz w:val="21"/>
                      <w:szCs w:val="21"/>
                      <w:lang w:val="en-US" w:eastAsia="zh-CN"/>
                    </w:rPr>
                    <w:t>东城国际小区</w:t>
                  </w:r>
                </w:p>
              </w:tc>
              <w:tc>
                <w:tcPr>
                  <w:tcW w:w="556" w:type="pct"/>
                  <w:noWrap w:val="0"/>
                  <w:vAlign w:val="center"/>
                </w:tcPr>
                <w:p>
                  <w:pPr>
                    <w:pStyle w:val="60"/>
                    <w:jc w:val="center"/>
                    <w:rPr>
                      <w:rFonts w:hint="eastAsia"/>
                      <w:sz w:val="21"/>
                      <w:szCs w:val="21"/>
                      <w:lang w:val="en-US" w:eastAsia="zh-CN"/>
                    </w:rPr>
                  </w:pPr>
                  <w:r>
                    <w:rPr>
                      <w:rFonts w:hint="eastAsia"/>
                      <w:sz w:val="21"/>
                      <w:szCs w:val="21"/>
                      <w:lang w:val="en-US" w:eastAsia="zh-CN"/>
                    </w:rPr>
                    <w:t>西北</w:t>
                  </w:r>
                </w:p>
              </w:tc>
              <w:tc>
                <w:tcPr>
                  <w:tcW w:w="470" w:type="pct"/>
                  <w:noWrap w:val="0"/>
                  <w:vAlign w:val="center"/>
                </w:tcPr>
                <w:p>
                  <w:pPr>
                    <w:pStyle w:val="60"/>
                    <w:jc w:val="center"/>
                    <w:rPr>
                      <w:rFonts w:hint="eastAsia"/>
                      <w:sz w:val="21"/>
                      <w:szCs w:val="21"/>
                      <w:lang w:val="en-US" w:eastAsia="zh-CN"/>
                    </w:rPr>
                  </w:pPr>
                  <w:r>
                    <w:rPr>
                      <w:rFonts w:hint="eastAsia"/>
                      <w:sz w:val="21"/>
                      <w:szCs w:val="21"/>
                      <w:lang w:val="en-US" w:eastAsia="zh-CN"/>
                    </w:rPr>
                    <w:t>约2200</w:t>
                  </w:r>
                </w:p>
              </w:tc>
              <w:tc>
                <w:tcPr>
                  <w:tcW w:w="433" w:type="pct"/>
                  <w:noWrap w:val="0"/>
                  <w:vAlign w:val="center"/>
                </w:tcPr>
                <w:p>
                  <w:pPr>
                    <w:pStyle w:val="60"/>
                    <w:jc w:val="center"/>
                    <w:rPr>
                      <w:rFonts w:hint="default"/>
                      <w:sz w:val="21"/>
                      <w:szCs w:val="21"/>
                      <w:lang w:val="en-US" w:eastAsia="zh-CN"/>
                    </w:rPr>
                  </w:pPr>
                  <w:r>
                    <w:rPr>
                      <w:rFonts w:hint="eastAsia"/>
                      <w:sz w:val="21"/>
                      <w:szCs w:val="21"/>
                      <w:lang w:val="en-US" w:eastAsia="zh-CN"/>
                    </w:rPr>
                    <w:t>330</w:t>
                  </w:r>
                </w:p>
              </w:tc>
              <w:tc>
                <w:tcPr>
                  <w:tcW w:w="952" w:type="pct"/>
                  <w:vMerge w:val="continue"/>
                  <w:noWrap w:val="0"/>
                  <w:vAlign w:val="center"/>
                </w:tcPr>
                <w:p>
                  <w:pPr>
                    <w:pStyle w:val="60"/>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7" w:hRule="exact"/>
                <w:jc w:val="center"/>
              </w:trPr>
              <w:tc>
                <w:tcPr>
                  <w:tcW w:w="594" w:type="pct"/>
                  <w:noWrap w:val="0"/>
                  <w:vAlign w:val="center"/>
                </w:tcPr>
                <w:p>
                  <w:pPr>
                    <w:pStyle w:val="60"/>
                    <w:jc w:val="center"/>
                    <w:rPr>
                      <w:sz w:val="21"/>
                      <w:szCs w:val="21"/>
                    </w:rPr>
                  </w:pPr>
                  <w:r>
                    <w:rPr>
                      <w:sz w:val="21"/>
                      <w:szCs w:val="21"/>
                    </w:rPr>
                    <w:t>地表水</w:t>
                  </w:r>
                </w:p>
                <w:p>
                  <w:pPr>
                    <w:jc w:val="center"/>
                    <w:rPr>
                      <w:rFonts w:hint="eastAsia"/>
                      <w:sz w:val="21"/>
                      <w:szCs w:val="21"/>
                    </w:rPr>
                  </w:pPr>
                </w:p>
              </w:tc>
              <w:tc>
                <w:tcPr>
                  <w:tcW w:w="1993" w:type="pct"/>
                  <w:gridSpan w:val="3"/>
                  <w:noWrap w:val="0"/>
                  <w:vAlign w:val="center"/>
                </w:tcPr>
                <w:p>
                  <w:pPr>
                    <w:pStyle w:val="60"/>
                    <w:jc w:val="center"/>
                    <w:rPr>
                      <w:rFonts w:hint="eastAsia"/>
                      <w:sz w:val="21"/>
                      <w:szCs w:val="21"/>
                      <w:lang w:val="en-US" w:eastAsia="zh-CN"/>
                    </w:rPr>
                  </w:pPr>
                  <w:r>
                    <w:rPr>
                      <w:sz w:val="21"/>
                      <w:szCs w:val="21"/>
                    </w:rPr>
                    <w:t>淮河</w:t>
                  </w:r>
                </w:p>
              </w:tc>
              <w:tc>
                <w:tcPr>
                  <w:tcW w:w="556" w:type="pct"/>
                  <w:noWrap w:val="0"/>
                  <w:vAlign w:val="center"/>
                </w:tcPr>
                <w:p>
                  <w:pPr>
                    <w:pStyle w:val="60"/>
                    <w:jc w:val="center"/>
                    <w:rPr>
                      <w:rFonts w:hint="eastAsia"/>
                      <w:sz w:val="21"/>
                      <w:szCs w:val="21"/>
                      <w:lang w:val="en-US" w:eastAsia="zh-CN"/>
                    </w:rPr>
                  </w:pPr>
                  <w:r>
                    <w:rPr>
                      <w:rFonts w:hint="eastAsia"/>
                      <w:sz w:val="21"/>
                      <w:szCs w:val="21"/>
                      <w:lang w:eastAsia="zh-CN"/>
                    </w:rPr>
                    <w:t>北</w:t>
                  </w:r>
                </w:p>
              </w:tc>
              <w:tc>
                <w:tcPr>
                  <w:tcW w:w="470" w:type="pct"/>
                  <w:noWrap w:val="0"/>
                  <w:vAlign w:val="center"/>
                </w:tcPr>
                <w:p>
                  <w:pPr>
                    <w:pStyle w:val="60"/>
                    <w:jc w:val="center"/>
                    <w:rPr>
                      <w:rFonts w:hint="eastAsia"/>
                      <w:sz w:val="21"/>
                      <w:szCs w:val="21"/>
                      <w:lang w:val="en-US" w:eastAsia="zh-CN"/>
                    </w:rPr>
                  </w:pPr>
                  <w:r>
                    <w:rPr>
                      <w:rFonts w:hint="eastAsia"/>
                      <w:sz w:val="21"/>
                      <w:szCs w:val="21"/>
                    </w:rPr>
                    <w:t>大型</w:t>
                  </w:r>
                  <w:r>
                    <w:rPr>
                      <w:sz w:val="21"/>
                      <w:szCs w:val="21"/>
                    </w:rPr>
                    <w:t>河流</w:t>
                  </w:r>
                </w:p>
              </w:tc>
              <w:tc>
                <w:tcPr>
                  <w:tcW w:w="433" w:type="pct"/>
                  <w:noWrap w:val="0"/>
                  <w:vAlign w:val="center"/>
                </w:tcPr>
                <w:p>
                  <w:pPr>
                    <w:pStyle w:val="60"/>
                    <w:jc w:val="center"/>
                    <w:rPr>
                      <w:rFonts w:hint="eastAsia"/>
                      <w:sz w:val="21"/>
                      <w:szCs w:val="21"/>
                      <w:lang w:val="en-US" w:eastAsia="zh-CN"/>
                    </w:rPr>
                  </w:pPr>
                  <w:r>
                    <w:rPr>
                      <w:rFonts w:hint="eastAsia"/>
                      <w:sz w:val="21"/>
                      <w:szCs w:val="21"/>
                      <w:lang w:val="en-US" w:eastAsia="zh-CN"/>
                    </w:rPr>
                    <w:t>42</w:t>
                  </w:r>
                  <w:r>
                    <w:rPr>
                      <w:sz w:val="21"/>
                      <w:szCs w:val="21"/>
                    </w:rPr>
                    <w:t>00</w:t>
                  </w:r>
                </w:p>
              </w:tc>
              <w:tc>
                <w:tcPr>
                  <w:tcW w:w="952" w:type="pct"/>
                  <w:noWrap w:val="0"/>
                  <w:vAlign w:val="center"/>
                </w:tcPr>
                <w:p>
                  <w:pPr>
                    <w:pStyle w:val="60"/>
                    <w:jc w:val="center"/>
                    <w:rPr>
                      <w:rFonts w:hint="eastAsia"/>
                      <w:sz w:val="21"/>
                      <w:szCs w:val="21"/>
                      <w:lang w:val="en-US" w:eastAsia="zh-CN"/>
                    </w:rPr>
                  </w:pPr>
                  <w:r>
                    <w:rPr>
                      <w:sz w:val="21"/>
                      <w:szCs w:val="21"/>
                    </w:rPr>
                    <w:t>《地表水环境质量标准》(GB3838-2002)Ⅲ类标准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2" w:hRule="exact"/>
                <w:jc w:val="center"/>
              </w:trPr>
              <w:tc>
                <w:tcPr>
                  <w:tcW w:w="594" w:type="pct"/>
                  <w:noWrap w:val="0"/>
                  <w:vAlign w:val="center"/>
                </w:tcPr>
                <w:p>
                  <w:pPr>
                    <w:jc w:val="center"/>
                    <w:rPr>
                      <w:rFonts w:hint="eastAsia"/>
                      <w:sz w:val="21"/>
                      <w:szCs w:val="21"/>
                    </w:rPr>
                  </w:pPr>
                  <w:r>
                    <w:rPr>
                      <w:sz w:val="21"/>
                      <w:szCs w:val="21"/>
                    </w:rPr>
                    <w:t>声环境</w:t>
                  </w:r>
                </w:p>
              </w:tc>
              <w:tc>
                <w:tcPr>
                  <w:tcW w:w="3453" w:type="pct"/>
                  <w:gridSpan w:val="6"/>
                  <w:noWrap w:val="0"/>
                  <w:vAlign w:val="center"/>
                </w:tcPr>
                <w:p>
                  <w:pPr>
                    <w:pStyle w:val="60"/>
                    <w:jc w:val="center"/>
                    <w:rPr>
                      <w:rFonts w:hint="eastAsia"/>
                      <w:sz w:val="21"/>
                      <w:szCs w:val="21"/>
                      <w:lang w:val="en-US" w:eastAsia="zh-CN"/>
                    </w:rPr>
                  </w:pPr>
                  <w:r>
                    <w:rPr>
                      <w:sz w:val="21"/>
                      <w:szCs w:val="21"/>
                    </w:rPr>
                    <w:t>厂界外 50 米范围内无声环境保护目标</w:t>
                  </w:r>
                </w:p>
              </w:tc>
              <w:tc>
                <w:tcPr>
                  <w:tcW w:w="952" w:type="pct"/>
                  <w:noWrap w:val="0"/>
                  <w:vAlign w:val="center"/>
                </w:tcPr>
                <w:p>
                  <w:pPr>
                    <w:pStyle w:val="60"/>
                    <w:jc w:val="center"/>
                    <w:rPr>
                      <w:sz w:val="21"/>
                      <w:szCs w:val="21"/>
                    </w:rPr>
                  </w:pPr>
                  <w:r>
                    <w:rPr>
                      <w:sz w:val="21"/>
                      <w:szCs w:val="21"/>
                    </w:rPr>
                    <w:t>《声环境质量标准》(GB3096-2008)3类区标准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2" w:hRule="exact"/>
                <w:jc w:val="center"/>
              </w:trPr>
              <w:tc>
                <w:tcPr>
                  <w:tcW w:w="594" w:type="pct"/>
                  <w:noWrap w:val="0"/>
                  <w:vAlign w:val="center"/>
                </w:tcPr>
                <w:p>
                  <w:pPr>
                    <w:jc w:val="center"/>
                    <w:rPr>
                      <w:sz w:val="21"/>
                      <w:szCs w:val="21"/>
                    </w:rPr>
                  </w:pPr>
                  <w:r>
                    <w:rPr>
                      <w:sz w:val="21"/>
                      <w:szCs w:val="21"/>
                    </w:rPr>
                    <w:t>地下水环境</w:t>
                  </w:r>
                </w:p>
              </w:tc>
              <w:tc>
                <w:tcPr>
                  <w:tcW w:w="4405" w:type="pct"/>
                  <w:gridSpan w:val="7"/>
                  <w:noWrap w:val="0"/>
                  <w:vAlign w:val="center"/>
                </w:tcPr>
                <w:p>
                  <w:pPr>
                    <w:pStyle w:val="60"/>
                    <w:jc w:val="center"/>
                    <w:rPr>
                      <w:sz w:val="21"/>
                      <w:szCs w:val="21"/>
                    </w:rPr>
                  </w:pPr>
                  <w:r>
                    <w:rPr>
                      <w:sz w:val="21"/>
                      <w:szCs w:val="21"/>
                    </w:rPr>
                    <w:t>厂界外 500 米范围内</w:t>
                  </w:r>
                  <w:r>
                    <w:rPr>
                      <w:rFonts w:hint="eastAsia"/>
                      <w:sz w:val="21"/>
                      <w:szCs w:val="21"/>
                    </w:rPr>
                    <w:t>无</w:t>
                  </w:r>
                  <w:r>
                    <w:rPr>
                      <w:sz w:val="21"/>
                      <w:szCs w:val="21"/>
                    </w:rPr>
                    <w:t>地下水集中式饮用水水源和热水、矿泉水、温泉等特殊地下水资源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2" w:hRule="exact"/>
                <w:jc w:val="center"/>
              </w:trPr>
              <w:tc>
                <w:tcPr>
                  <w:tcW w:w="594" w:type="pct"/>
                  <w:noWrap w:val="0"/>
                  <w:vAlign w:val="center"/>
                </w:tcPr>
                <w:p>
                  <w:pPr>
                    <w:pStyle w:val="16"/>
                    <w:jc w:val="center"/>
                    <w:rPr>
                      <w:sz w:val="21"/>
                      <w:szCs w:val="21"/>
                    </w:rPr>
                  </w:pPr>
                  <w:r>
                    <w:rPr>
                      <w:sz w:val="21"/>
                      <w:szCs w:val="21"/>
                    </w:rPr>
                    <w:t>生态环境</w:t>
                  </w:r>
                </w:p>
              </w:tc>
              <w:tc>
                <w:tcPr>
                  <w:tcW w:w="4405" w:type="pct"/>
                  <w:gridSpan w:val="7"/>
                  <w:noWrap w:val="0"/>
                  <w:vAlign w:val="center"/>
                </w:tcPr>
                <w:p>
                  <w:pPr>
                    <w:jc w:val="center"/>
                    <w:rPr>
                      <w:sz w:val="21"/>
                      <w:szCs w:val="21"/>
                    </w:rPr>
                  </w:pPr>
                  <w:r>
                    <w:rPr>
                      <w:sz w:val="21"/>
                      <w:szCs w:val="21"/>
                    </w:rPr>
                    <w:t>项目</w:t>
                  </w:r>
                  <w:r>
                    <w:rPr>
                      <w:rFonts w:hint="eastAsia"/>
                      <w:sz w:val="21"/>
                      <w:szCs w:val="21"/>
                      <w:lang w:eastAsia="zh-CN"/>
                    </w:rPr>
                    <w:t>租</w:t>
                  </w:r>
                  <w:r>
                    <w:rPr>
                      <w:sz w:val="21"/>
                      <w:szCs w:val="21"/>
                    </w:rPr>
                    <w:t>用现有闲置厂房，不新增占地，无生态环境保护目标</w:t>
                  </w:r>
                </w:p>
              </w:tc>
            </w:tr>
          </w:tbl>
          <w:p>
            <w:pPr>
              <w:pStyle w:val="8"/>
              <w:ind w:left="0" w:leftChars="0" w:firstLine="0" w:firstLineChars="0"/>
              <w:jc w:val="center"/>
            </w:pPr>
          </w:p>
          <w:p>
            <w:pPr>
              <w:jc w:val="both"/>
            </w:pPr>
          </w:p>
          <w:p>
            <w:pPr>
              <w:pStyle w:val="6"/>
            </w:pP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676" w:type="dxa"/>
            <w:noWrap w:val="0"/>
            <w:tcMar>
              <w:left w:w="28" w:type="dxa"/>
              <w:right w:w="28" w:type="dxa"/>
            </w:tcMar>
            <w:vAlign w:val="center"/>
          </w:tcPr>
          <w:p>
            <w:pPr>
              <w:adjustRightInd w:val="0"/>
              <w:snapToGrid w:val="0"/>
              <w:jc w:val="center"/>
              <w:rPr>
                <w:rFonts w:hint="eastAsia" w:ascii="宋体" w:hAnsi="宋体" w:cs="宋体"/>
                <w:kern w:val="0"/>
                <w:sz w:val="24"/>
              </w:rPr>
            </w:pPr>
            <w:r>
              <w:rPr>
                <w:rFonts w:hint="eastAsia" w:ascii="宋体" w:hAnsi="宋体" w:cs="宋体"/>
                <w:kern w:val="0"/>
                <w:sz w:val="24"/>
              </w:rPr>
              <w:t>污染</w:t>
            </w:r>
          </w:p>
          <w:p>
            <w:pPr>
              <w:adjustRightInd w:val="0"/>
              <w:snapToGrid w:val="0"/>
              <w:jc w:val="center"/>
              <w:rPr>
                <w:rFonts w:hint="eastAsia" w:ascii="宋体" w:hAnsi="宋体" w:cs="宋体"/>
                <w:kern w:val="0"/>
                <w:sz w:val="24"/>
              </w:rPr>
            </w:pPr>
            <w:r>
              <w:rPr>
                <w:rFonts w:hint="eastAsia" w:ascii="宋体" w:hAnsi="宋体" w:cs="宋体"/>
                <w:kern w:val="0"/>
                <w:sz w:val="24"/>
              </w:rPr>
              <w:t>物排</w:t>
            </w:r>
          </w:p>
          <w:p>
            <w:pPr>
              <w:adjustRightInd w:val="0"/>
              <w:snapToGrid w:val="0"/>
              <w:jc w:val="center"/>
              <w:rPr>
                <w:rFonts w:hint="eastAsia" w:ascii="宋体" w:hAnsi="宋体" w:cs="宋体"/>
                <w:kern w:val="0"/>
                <w:sz w:val="24"/>
              </w:rPr>
            </w:pPr>
            <w:r>
              <w:rPr>
                <w:rFonts w:hint="eastAsia" w:ascii="宋体" w:hAnsi="宋体" w:cs="宋体"/>
                <w:kern w:val="0"/>
                <w:sz w:val="24"/>
              </w:rPr>
              <w:t>放控</w:t>
            </w:r>
          </w:p>
          <w:p>
            <w:pPr>
              <w:adjustRightInd w:val="0"/>
              <w:snapToGrid w:val="0"/>
              <w:jc w:val="center"/>
              <w:rPr>
                <w:rFonts w:hint="eastAsia" w:ascii="宋体" w:hAnsi="宋体" w:cs="宋体"/>
                <w:kern w:val="0"/>
                <w:sz w:val="24"/>
              </w:rPr>
            </w:pPr>
            <w:r>
              <w:rPr>
                <w:rFonts w:hint="eastAsia" w:ascii="宋体" w:hAnsi="宋体" w:cs="宋体"/>
                <w:kern w:val="0"/>
                <w:sz w:val="24"/>
              </w:rPr>
              <w:t>制标</w:t>
            </w:r>
          </w:p>
          <w:p>
            <w:pPr>
              <w:adjustRightInd w:val="0"/>
              <w:snapToGrid w:val="0"/>
              <w:jc w:val="center"/>
              <w:rPr>
                <w:rFonts w:ascii="宋体" w:hAnsi="宋体" w:cs="宋体"/>
                <w:kern w:val="0"/>
                <w:sz w:val="24"/>
              </w:rPr>
            </w:pPr>
            <w:r>
              <w:rPr>
                <w:rFonts w:hint="eastAsia" w:ascii="宋体" w:hAnsi="宋体" w:cs="宋体"/>
                <w:kern w:val="0"/>
                <w:sz w:val="24"/>
              </w:rPr>
              <w:t>准</w:t>
            </w:r>
          </w:p>
        </w:tc>
        <w:tc>
          <w:tcPr>
            <w:tcW w:w="8385" w:type="dxa"/>
            <w:noWrap w:val="0"/>
            <w:vAlign w:val="center"/>
          </w:tcPr>
          <w:p>
            <w:pPr>
              <w:spacing w:line="360" w:lineRule="auto"/>
              <w:ind w:firstLine="480"/>
              <w:rPr>
                <w:rFonts w:hint="eastAsia"/>
                <w:sz w:val="24"/>
                <w:highlight w:val="none"/>
              </w:rPr>
            </w:pPr>
            <w:r>
              <w:rPr>
                <w:rFonts w:hint="eastAsia"/>
                <w:sz w:val="24"/>
                <w:highlight w:val="none"/>
              </w:rPr>
              <w:t>1、</w:t>
            </w:r>
            <w:r>
              <w:rPr>
                <w:rFonts w:hint="eastAsia"/>
                <w:sz w:val="24"/>
                <w:highlight w:val="none"/>
                <w:lang w:eastAsia="zh-CN"/>
              </w:rPr>
              <w:t>废气</w:t>
            </w:r>
            <w:r>
              <w:rPr>
                <w:rFonts w:hint="eastAsia"/>
                <w:sz w:val="24"/>
                <w:highlight w:val="none"/>
              </w:rPr>
              <w:t>排放标准</w:t>
            </w:r>
          </w:p>
          <w:p>
            <w:pPr>
              <w:spacing w:line="360" w:lineRule="auto"/>
              <w:ind w:firstLine="480" w:firstLineChars="200"/>
              <w:rPr>
                <w:rFonts w:hint="eastAsia"/>
                <w:color w:val="auto"/>
              </w:rPr>
            </w:pPr>
            <w:r>
              <w:rPr>
                <w:sz w:val="24"/>
              </w:rPr>
              <w:t>项目生产工艺中</w:t>
            </w:r>
            <w:r>
              <w:rPr>
                <w:rFonts w:hint="eastAsia"/>
                <w:sz w:val="24"/>
                <w:lang w:eastAsia="zh-CN"/>
              </w:rPr>
              <w:t>氯化氢酸雾、颗粒物</w:t>
            </w:r>
            <w:r>
              <w:rPr>
                <w:rFonts w:hint="default" w:ascii="Times New Roman" w:hAnsi="Times New Roman" w:eastAsia="宋体" w:cs="Times New Roman"/>
                <w:sz w:val="24"/>
                <w:lang w:eastAsia="zh-CN"/>
              </w:rPr>
              <w:t>排放执行《大气污染物综合排放标准》（GB16297-1996）</w:t>
            </w:r>
            <w:r>
              <w:rPr>
                <w:rFonts w:hint="eastAsia" w:cs="Times New Roman"/>
                <w:sz w:val="24"/>
                <w:lang w:eastAsia="zh-CN"/>
              </w:rPr>
              <w:t>表</w:t>
            </w:r>
            <w:r>
              <w:rPr>
                <w:rFonts w:hint="eastAsia" w:cs="Times New Roman"/>
                <w:sz w:val="24"/>
                <w:lang w:val="en-US" w:eastAsia="zh-CN"/>
              </w:rPr>
              <w:t>2</w:t>
            </w:r>
            <w:r>
              <w:rPr>
                <w:rFonts w:hint="default" w:ascii="Times New Roman" w:hAnsi="Times New Roman" w:eastAsia="宋体" w:cs="Times New Roman"/>
                <w:sz w:val="24"/>
                <w:lang w:eastAsia="zh-CN"/>
              </w:rPr>
              <w:t>中的二级标准及无组织排放监控浓度限值要求</w:t>
            </w:r>
            <w:r>
              <w:rPr>
                <w:color w:val="auto"/>
                <w:sz w:val="24"/>
              </w:rPr>
              <w:t>。</w:t>
            </w:r>
          </w:p>
          <w:p>
            <w:pPr>
              <w:widowControl/>
              <w:spacing w:line="360" w:lineRule="auto"/>
              <w:jc w:val="center"/>
              <w:rPr>
                <w:rFonts w:ascii="Times New Roman" w:hAnsi="Times New Roman" w:eastAsia="宋体" w:cs="Times New Roman"/>
                <w:b/>
                <w:color w:val="auto"/>
                <w:kern w:val="0"/>
                <w:szCs w:val="21"/>
              </w:rPr>
            </w:pPr>
          </w:p>
          <w:p>
            <w:pPr>
              <w:widowControl/>
              <w:spacing w:line="360" w:lineRule="auto"/>
              <w:jc w:val="center"/>
              <w:rPr>
                <w:b/>
                <w:color w:val="auto"/>
                <w:szCs w:val="21"/>
              </w:rPr>
            </w:pPr>
            <w:r>
              <w:rPr>
                <w:rFonts w:ascii="Times New Roman" w:hAnsi="Times New Roman" w:eastAsia="宋体" w:cs="Times New Roman"/>
                <w:b/>
                <w:color w:val="auto"/>
                <w:kern w:val="0"/>
                <w:szCs w:val="21"/>
              </w:rPr>
              <w:t>表</w:t>
            </w:r>
            <w:r>
              <w:rPr>
                <w:rFonts w:hint="eastAsia" w:ascii="Times New Roman" w:hAnsi="Times New Roman" w:eastAsia="宋体" w:cs="Times New Roman"/>
                <w:b/>
                <w:color w:val="auto"/>
                <w:kern w:val="0"/>
                <w:szCs w:val="21"/>
              </w:rPr>
              <w:t>3-</w:t>
            </w:r>
            <w:r>
              <w:rPr>
                <w:rFonts w:hint="eastAsia" w:cs="Times New Roman"/>
                <w:b/>
                <w:color w:val="auto"/>
                <w:kern w:val="0"/>
                <w:szCs w:val="21"/>
                <w:lang w:val="en-US" w:eastAsia="zh-CN"/>
              </w:rPr>
              <w:t>3</w:t>
            </w:r>
            <w:r>
              <w:rPr>
                <w:rFonts w:hint="eastAsia" w:ascii="Times New Roman" w:hAnsi="Times New Roman" w:eastAsia="宋体" w:cs="Times New Roman"/>
                <w:b/>
                <w:color w:val="auto"/>
                <w:kern w:val="0"/>
                <w:szCs w:val="21"/>
              </w:rPr>
              <w:t xml:space="preserve">   </w:t>
            </w:r>
            <w:r>
              <w:rPr>
                <w:rFonts w:hint="default" w:ascii="Times New Roman" w:hAnsi="Times New Roman" w:eastAsia="宋体" w:cs="Times New Roman"/>
                <w:b/>
                <w:color w:val="auto"/>
                <w:kern w:val="0"/>
                <w:szCs w:val="21"/>
                <w:lang w:eastAsia="zh-CN"/>
              </w:rPr>
              <w:t>《大气污染物综合排放标准》（GB16297-1996）</w:t>
            </w:r>
            <w:r>
              <w:rPr>
                <w:rFonts w:ascii="Times New Roman" w:hAnsi="Times New Roman" w:eastAsia="宋体" w:cs="Times New Roman"/>
                <w:b/>
                <w:color w:val="auto"/>
                <w:kern w:val="0"/>
                <w:szCs w:val="21"/>
              </w:rPr>
              <w:t xml:space="preserve"> 单位</w:t>
            </w:r>
            <w:r>
              <w:rPr>
                <w:b/>
                <w:color w:val="auto"/>
                <w:kern w:val="0"/>
                <w:szCs w:val="21"/>
              </w:rPr>
              <w:t>：mg/m</w:t>
            </w:r>
            <w:r>
              <w:rPr>
                <w:b/>
                <w:color w:val="auto"/>
                <w:kern w:val="0"/>
                <w:szCs w:val="21"/>
                <w:vertAlign w:val="superscript"/>
              </w:rPr>
              <w:t>3</w:t>
            </w:r>
          </w:p>
          <w:tbl>
            <w:tblPr>
              <w:tblStyle w:val="28"/>
              <w:tblW w:w="4973"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57" w:type="dxa"/>
                <w:bottom w:w="0" w:type="dxa"/>
                <w:right w:w="57" w:type="dxa"/>
              </w:tblCellMar>
            </w:tblPr>
            <w:tblGrid>
              <w:gridCol w:w="926"/>
              <w:gridCol w:w="1163"/>
              <w:gridCol w:w="1203"/>
              <w:gridCol w:w="851"/>
              <w:gridCol w:w="1004"/>
              <w:gridCol w:w="1276"/>
              <w:gridCol w:w="19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422" w:hRule="atLeast"/>
                <w:jc w:val="center"/>
              </w:trPr>
              <w:tc>
                <w:tcPr>
                  <w:tcW w:w="555" w:type="pct"/>
                  <w:vMerge w:val="restart"/>
                  <w:noWrap w:val="0"/>
                  <w:vAlign w:val="center"/>
                </w:tcPr>
                <w:p>
                  <w:pPr>
                    <w:pStyle w:val="94"/>
                    <w:rPr>
                      <w:rFonts w:cs="Times New Roman"/>
                      <w:color w:val="auto"/>
                    </w:rPr>
                  </w:pPr>
                  <w:r>
                    <w:rPr>
                      <w:rFonts w:cs="Times New Roman"/>
                      <w:color w:val="auto"/>
                    </w:rPr>
                    <w:t>污染物</w:t>
                  </w:r>
                </w:p>
              </w:tc>
              <w:tc>
                <w:tcPr>
                  <w:tcW w:w="697" w:type="pct"/>
                  <w:vMerge w:val="restart"/>
                  <w:noWrap w:val="0"/>
                  <w:vAlign w:val="center"/>
                </w:tcPr>
                <w:p>
                  <w:pPr>
                    <w:pStyle w:val="94"/>
                    <w:rPr>
                      <w:rFonts w:cs="Times New Roman"/>
                      <w:color w:val="auto"/>
                    </w:rPr>
                  </w:pPr>
                  <w:r>
                    <w:rPr>
                      <w:rFonts w:cs="Times New Roman"/>
                      <w:color w:val="auto"/>
                    </w:rPr>
                    <w:t>最高允许排放浓度（mg/m</w:t>
                  </w:r>
                  <w:r>
                    <w:rPr>
                      <w:rFonts w:cs="Times New Roman"/>
                      <w:color w:val="auto"/>
                      <w:vertAlign w:val="superscript"/>
                    </w:rPr>
                    <w:t>3</w:t>
                  </w:r>
                  <w:r>
                    <w:rPr>
                      <w:rFonts w:cs="Times New Roman"/>
                      <w:color w:val="auto"/>
                    </w:rPr>
                    <w:t>）</w:t>
                  </w:r>
                </w:p>
              </w:tc>
              <w:tc>
                <w:tcPr>
                  <w:tcW w:w="1231" w:type="pct"/>
                  <w:gridSpan w:val="2"/>
                  <w:noWrap w:val="0"/>
                  <w:vAlign w:val="center"/>
                </w:tcPr>
                <w:p>
                  <w:pPr>
                    <w:pStyle w:val="94"/>
                    <w:rPr>
                      <w:rFonts w:cs="Times New Roman"/>
                      <w:color w:val="auto"/>
                    </w:rPr>
                  </w:pPr>
                  <w:r>
                    <w:rPr>
                      <w:rFonts w:cs="Times New Roman"/>
                      <w:color w:val="auto"/>
                    </w:rPr>
                    <w:t>最高允许排放速率（kg/h）</w:t>
                  </w:r>
                </w:p>
              </w:tc>
              <w:tc>
                <w:tcPr>
                  <w:tcW w:w="1367" w:type="pct"/>
                  <w:gridSpan w:val="2"/>
                  <w:noWrap w:val="0"/>
                  <w:vAlign w:val="center"/>
                </w:tcPr>
                <w:p>
                  <w:pPr>
                    <w:pStyle w:val="94"/>
                    <w:rPr>
                      <w:rFonts w:cs="Times New Roman"/>
                      <w:color w:val="auto"/>
                    </w:rPr>
                  </w:pPr>
                  <w:r>
                    <w:rPr>
                      <w:rFonts w:cs="Times New Roman"/>
                      <w:color w:val="auto"/>
                    </w:rPr>
                    <w:t>无组织排放监控浓度限值</w:t>
                  </w:r>
                </w:p>
              </w:tc>
              <w:tc>
                <w:tcPr>
                  <w:tcW w:w="1149" w:type="pct"/>
                  <w:tcBorders>
                    <w:bottom w:val="single" w:color="auto" w:sz="4" w:space="0"/>
                  </w:tcBorders>
                  <w:noWrap w:val="0"/>
                  <w:vAlign w:val="center"/>
                </w:tcPr>
                <w:p>
                  <w:pPr>
                    <w:pStyle w:val="94"/>
                    <w:rPr>
                      <w:rFonts w:cs="Times New Roman"/>
                      <w:color w:val="auto"/>
                    </w:rPr>
                  </w:pPr>
                  <w:r>
                    <w:rPr>
                      <w:rFonts w:cs="Times New Roman"/>
                      <w:color w:val="auto"/>
                    </w:rPr>
                    <w:t>标准</w:t>
                  </w:r>
                </w:p>
                <w:p>
                  <w:pPr>
                    <w:pStyle w:val="94"/>
                    <w:rPr>
                      <w:rFonts w:cs="Times New Roman"/>
                      <w:color w:val="auto"/>
                    </w:rPr>
                  </w:pPr>
                  <w:r>
                    <w:rPr>
                      <w:rFonts w:cs="Times New Roman"/>
                      <w:color w:val="auto"/>
                    </w:rPr>
                    <w:t>来源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481" w:hRule="atLeast"/>
                <w:jc w:val="center"/>
              </w:trPr>
              <w:tc>
                <w:tcPr>
                  <w:tcW w:w="555" w:type="pct"/>
                  <w:vMerge w:val="continue"/>
                  <w:noWrap w:val="0"/>
                  <w:vAlign w:val="center"/>
                </w:tcPr>
                <w:p>
                  <w:pPr>
                    <w:pStyle w:val="94"/>
                    <w:rPr>
                      <w:rFonts w:cs="Times New Roman"/>
                      <w:color w:val="auto"/>
                    </w:rPr>
                  </w:pPr>
                </w:p>
              </w:tc>
              <w:tc>
                <w:tcPr>
                  <w:tcW w:w="697" w:type="pct"/>
                  <w:vMerge w:val="continue"/>
                  <w:noWrap w:val="0"/>
                  <w:vAlign w:val="center"/>
                </w:tcPr>
                <w:p>
                  <w:pPr>
                    <w:pStyle w:val="94"/>
                    <w:rPr>
                      <w:rFonts w:cs="Times New Roman"/>
                      <w:color w:val="auto"/>
                    </w:rPr>
                  </w:pPr>
                </w:p>
              </w:tc>
              <w:tc>
                <w:tcPr>
                  <w:tcW w:w="721" w:type="pct"/>
                  <w:noWrap w:val="0"/>
                  <w:vAlign w:val="center"/>
                </w:tcPr>
                <w:p>
                  <w:pPr>
                    <w:pStyle w:val="94"/>
                    <w:rPr>
                      <w:rFonts w:cs="Times New Roman"/>
                      <w:color w:val="auto"/>
                    </w:rPr>
                  </w:pPr>
                  <w:r>
                    <w:rPr>
                      <w:rFonts w:cs="Times New Roman"/>
                      <w:color w:val="auto"/>
                    </w:rPr>
                    <w:t>排气筒高度（m）</w:t>
                  </w:r>
                </w:p>
              </w:tc>
              <w:tc>
                <w:tcPr>
                  <w:tcW w:w="510" w:type="pct"/>
                  <w:noWrap w:val="0"/>
                  <w:vAlign w:val="center"/>
                </w:tcPr>
                <w:p>
                  <w:pPr>
                    <w:pStyle w:val="94"/>
                    <w:rPr>
                      <w:rFonts w:cs="Times New Roman"/>
                      <w:color w:val="auto"/>
                    </w:rPr>
                  </w:pPr>
                  <w:r>
                    <w:rPr>
                      <w:rFonts w:cs="Times New Roman"/>
                      <w:color w:val="auto"/>
                    </w:rPr>
                    <w:t>二级</w:t>
                  </w:r>
                </w:p>
              </w:tc>
              <w:tc>
                <w:tcPr>
                  <w:tcW w:w="602" w:type="pct"/>
                  <w:noWrap w:val="0"/>
                  <w:vAlign w:val="center"/>
                </w:tcPr>
                <w:p>
                  <w:pPr>
                    <w:pStyle w:val="94"/>
                    <w:rPr>
                      <w:rFonts w:cs="Times New Roman"/>
                      <w:color w:val="auto"/>
                    </w:rPr>
                  </w:pPr>
                  <w:r>
                    <w:rPr>
                      <w:rFonts w:cs="Times New Roman"/>
                      <w:color w:val="auto"/>
                    </w:rPr>
                    <w:t>监控点</w:t>
                  </w:r>
                </w:p>
              </w:tc>
              <w:tc>
                <w:tcPr>
                  <w:tcW w:w="765" w:type="pct"/>
                  <w:noWrap w:val="0"/>
                  <w:vAlign w:val="center"/>
                </w:tcPr>
                <w:p>
                  <w:pPr>
                    <w:pStyle w:val="94"/>
                    <w:rPr>
                      <w:rFonts w:cs="Times New Roman"/>
                      <w:color w:val="auto"/>
                    </w:rPr>
                  </w:pPr>
                  <w:r>
                    <w:rPr>
                      <w:rFonts w:cs="Times New Roman"/>
                      <w:color w:val="auto"/>
                    </w:rPr>
                    <w:t>浓度（mg/m</w:t>
                  </w:r>
                  <w:r>
                    <w:rPr>
                      <w:rFonts w:cs="Times New Roman"/>
                      <w:color w:val="auto"/>
                      <w:vertAlign w:val="superscript"/>
                    </w:rPr>
                    <w:t>3</w:t>
                  </w:r>
                  <w:r>
                    <w:rPr>
                      <w:rFonts w:cs="Times New Roman"/>
                      <w:color w:val="auto"/>
                    </w:rPr>
                    <w:t>）</w:t>
                  </w:r>
                </w:p>
              </w:tc>
              <w:tc>
                <w:tcPr>
                  <w:tcW w:w="1149" w:type="pct"/>
                  <w:vMerge w:val="restart"/>
                  <w:tcBorders>
                    <w:top w:val="single" w:color="auto" w:sz="4" w:space="0"/>
                  </w:tcBorders>
                  <w:noWrap w:val="0"/>
                  <w:vAlign w:val="center"/>
                </w:tcPr>
                <w:p>
                  <w:pPr>
                    <w:pStyle w:val="94"/>
                    <w:rPr>
                      <w:rFonts w:cs="Times New Roman"/>
                      <w:color w:val="auto"/>
                    </w:rPr>
                  </w:pPr>
                  <w:r>
                    <w:rPr>
                      <w:rFonts w:hint="default" w:ascii="Times New Roman" w:hAnsi="Times New Roman" w:eastAsia="宋体" w:cs="Times New Roman"/>
                      <w:color w:val="auto"/>
                      <w:lang w:eastAsia="zh-CN"/>
                    </w:rPr>
                    <w:t>《大气污染物综合排放标准》（GB16297-1996）</w:t>
                  </w:r>
                  <w:r>
                    <w:rPr>
                      <w:rFonts w:hint="eastAsia" w:cs="Times New Roman"/>
                      <w:color w:val="auto"/>
                      <w:lang w:val="en-US" w:eastAsia="zh-CN"/>
                    </w:rPr>
                    <w:t>表2</w:t>
                  </w:r>
                  <w:r>
                    <w:rPr>
                      <w:rFonts w:hint="default" w:ascii="Times New Roman" w:hAnsi="Times New Roman" w:eastAsia="宋体" w:cs="Times New Roman"/>
                      <w:color w:val="auto"/>
                      <w:lang w:eastAsia="zh-CN"/>
                    </w:rPr>
                    <w:t>中的二级标准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436" w:hRule="atLeast"/>
                <w:jc w:val="center"/>
              </w:trPr>
              <w:tc>
                <w:tcPr>
                  <w:tcW w:w="555" w:type="pct"/>
                  <w:noWrap w:val="0"/>
                  <w:vAlign w:val="center"/>
                </w:tcPr>
                <w:p>
                  <w:pPr>
                    <w:adjustRightInd w:val="0"/>
                    <w:snapToGrid w:val="0"/>
                    <w:jc w:val="center"/>
                    <w:rPr>
                      <w:rFonts w:hint="eastAsia" w:eastAsia="宋体"/>
                      <w:color w:val="auto"/>
                      <w:szCs w:val="21"/>
                      <w:lang w:eastAsia="zh-CN"/>
                    </w:rPr>
                  </w:pPr>
                  <w:r>
                    <w:rPr>
                      <w:rFonts w:hint="eastAsia" w:hAnsi="宋体"/>
                      <w:color w:val="auto"/>
                      <w:szCs w:val="21"/>
                      <w:lang w:eastAsia="zh-CN"/>
                    </w:rPr>
                    <w:t>氯化氢</w:t>
                  </w:r>
                </w:p>
              </w:tc>
              <w:tc>
                <w:tcPr>
                  <w:tcW w:w="697"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100</w:t>
                  </w:r>
                </w:p>
              </w:tc>
              <w:tc>
                <w:tcPr>
                  <w:tcW w:w="721" w:type="pct"/>
                  <w:noWrap w:val="0"/>
                  <w:vAlign w:val="center"/>
                </w:tcPr>
                <w:p>
                  <w:pPr>
                    <w:adjustRightInd w:val="0"/>
                    <w:snapToGrid w:val="0"/>
                    <w:jc w:val="center"/>
                    <w:rPr>
                      <w:rFonts w:hint="eastAsia"/>
                      <w:color w:val="auto"/>
                      <w:szCs w:val="21"/>
                    </w:rPr>
                  </w:pPr>
                  <w:r>
                    <w:rPr>
                      <w:rFonts w:hint="eastAsia"/>
                      <w:color w:val="auto"/>
                      <w:szCs w:val="21"/>
                    </w:rPr>
                    <w:t>15</w:t>
                  </w:r>
                </w:p>
              </w:tc>
              <w:tc>
                <w:tcPr>
                  <w:tcW w:w="510"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0.26</w:t>
                  </w:r>
                </w:p>
              </w:tc>
              <w:tc>
                <w:tcPr>
                  <w:tcW w:w="602" w:type="pct"/>
                  <w:vMerge w:val="restart"/>
                  <w:noWrap w:val="0"/>
                  <w:vAlign w:val="center"/>
                </w:tcPr>
                <w:p>
                  <w:pPr>
                    <w:pStyle w:val="94"/>
                    <w:rPr>
                      <w:rFonts w:cs="Times New Roman"/>
                      <w:color w:val="auto"/>
                    </w:rPr>
                  </w:pPr>
                  <w:r>
                    <w:rPr>
                      <w:rFonts w:cs="Times New Roman"/>
                      <w:color w:val="auto"/>
                    </w:rPr>
                    <w:t>周界外浓度最高点</w:t>
                  </w:r>
                </w:p>
              </w:tc>
              <w:tc>
                <w:tcPr>
                  <w:tcW w:w="765" w:type="pct"/>
                  <w:noWrap w:val="0"/>
                  <w:vAlign w:val="center"/>
                </w:tcPr>
                <w:p>
                  <w:pPr>
                    <w:pStyle w:val="94"/>
                    <w:rPr>
                      <w:rFonts w:hint="default" w:eastAsia="宋体" w:cs="Times New Roman"/>
                      <w:color w:val="auto"/>
                      <w:lang w:val="en-US" w:eastAsia="zh-CN"/>
                    </w:rPr>
                  </w:pPr>
                  <w:r>
                    <w:rPr>
                      <w:rFonts w:hint="eastAsia" w:cs="Times New Roman"/>
                      <w:color w:val="auto"/>
                      <w:lang w:val="en-US" w:eastAsia="zh-CN"/>
                    </w:rPr>
                    <w:t>0.2</w:t>
                  </w:r>
                </w:p>
              </w:tc>
              <w:tc>
                <w:tcPr>
                  <w:tcW w:w="1149" w:type="pct"/>
                  <w:vMerge w:val="continue"/>
                  <w:noWrap w:val="0"/>
                  <w:vAlign w:val="center"/>
                </w:tcPr>
                <w:p>
                  <w:pPr>
                    <w:pStyle w:val="94"/>
                    <w:rPr>
                      <w:color w:val="auto"/>
                      <w:spacing w:val="-2"/>
                      <w:kern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436" w:hRule="atLeast"/>
                <w:jc w:val="center"/>
              </w:trPr>
              <w:tc>
                <w:tcPr>
                  <w:tcW w:w="555" w:type="pct"/>
                  <w:noWrap w:val="0"/>
                  <w:vAlign w:val="center"/>
                </w:tcPr>
                <w:p>
                  <w:pPr>
                    <w:adjustRightInd w:val="0"/>
                    <w:snapToGrid w:val="0"/>
                    <w:jc w:val="center"/>
                    <w:rPr>
                      <w:rFonts w:hint="eastAsia" w:hAnsi="宋体" w:eastAsia="宋体"/>
                      <w:color w:val="auto"/>
                      <w:szCs w:val="21"/>
                      <w:lang w:val="en-US" w:eastAsia="zh-CN"/>
                    </w:rPr>
                  </w:pPr>
                  <w:r>
                    <w:rPr>
                      <w:rFonts w:hint="eastAsia" w:hAnsi="宋体"/>
                      <w:color w:val="auto"/>
                      <w:szCs w:val="21"/>
                      <w:lang w:val="en-US" w:eastAsia="zh-CN"/>
                    </w:rPr>
                    <w:t>颗粒物</w:t>
                  </w:r>
                </w:p>
              </w:tc>
              <w:tc>
                <w:tcPr>
                  <w:tcW w:w="697" w:type="pct"/>
                  <w:noWrap w:val="0"/>
                  <w:vAlign w:val="center"/>
                </w:tcPr>
                <w:p>
                  <w:pPr>
                    <w:adjustRightInd w:val="0"/>
                    <w:snapToGrid w:val="0"/>
                    <w:jc w:val="center"/>
                    <w:rPr>
                      <w:rFonts w:hint="default"/>
                      <w:color w:val="auto"/>
                      <w:szCs w:val="21"/>
                      <w:lang w:val="en-US" w:eastAsia="zh-CN"/>
                    </w:rPr>
                  </w:pPr>
                  <w:r>
                    <w:rPr>
                      <w:rFonts w:hint="eastAsia"/>
                      <w:color w:val="auto"/>
                      <w:szCs w:val="21"/>
                      <w:lang w:val="en-US" w:eastAsia="zh-CN"/>
                    </w:rPr>
                    <w:t>/</w:t>
                  </w:r>
                </w:p>
              </w:tc>
              <w:tc>
                <w:tcPr>
                  <w:tcW w:w="721"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w:t>
                  </w:r>
                </w:p>
              </w:tc>
              <w:tc>
                <w:tcPr>
                  <w:tcW w:w="510" w:type="pct"/>
                  <w:noWrap w:val="0"/>
                  <w:vAlign w:val="center"/>
                </w:tcPr>
                <w:p>
                  <w:pPr>
                    <w:adjustRightInd w:val="0"/>
                    <w:snapToGrid w:val="0"/>
                    <w:jc w:val="center"/>
                    <w:rPr>
                      <w:rFonts w:hint="default"/>
                      <w:color w:val="auto"/>
                      <w:szCs w:val="21"/>
                      <w:lang w:val="en-US" w:eastAsia="zh-CN"/>
                    </w:rPr>
                  </w:pPr>
                  <w:r>
                    <w:rPr>
                      <w:rFonts w:hint="eastAsia"/>
                      <w:color w:val="auto"/>
                      <w:szCs w:val="21"/>
                      <w:lang w:val="en-US" w:eastAsia="zh-CN"/>
                    </w:rPr>
                    <w:t>/</w:t>
                  </w:r>
                </w:p>
              </w:tc>
              <w:tc>
                <w:tcPr>
                  <w:tcW w:w="602" w:type="pct"/>
                  <w:vMerge w:val="continue"/>
                  <w:noWrap w:val="0"/>
                  <w:vAlign w:val="center"/>
                </w:tcPr>
                <w:p>
                  <w:pPr>
                    <w:pStyle w:val="94"/>
                    <w:rPr>
                      <w:rFonts w:cs="Times New Roman"/>
                      <w:color w:val="auto"/>
                    </w:rPr>
                  </w:pPr>
                </w:p>
              </w:tc>
              <w:tc>
                <w:tcPr>
                  <w:tcW w:w="765" w:type="pct"/>
                  <w:noWrap w:val="0"/>
                  <w:vAlign w:val="center"/>
                </w:tcPr>
                <w:p>
                  <w:pPr>
                    <w:pStyle w:val="94"/>
                    <w:rPr>
                      <w:rFonts w:hint="default" w:eastAsia="宋体" w:cs="Times New Roman"/>
                      <w:color w:val="auto"/>
                      <w:lang w:val="en-US" w:eastAsia="zh-CN"/>
                    </w:rPr>
                  </w:pPr>
                  <w:r>
                    <w:rPr>
                      <w:rFonts w:hint="eastAsia" w:cs="Times New Roman"/>
                      <w:color w:val="auto"/>
                      <w:lang w:val="en-US" w:eastAsia="zh-CN"/>
                    </w:rPr>
                    <w:t>1.0</w:t>
                  </w:r>
                </w:p>
              </w:tc>
              <w:tc>
                <w:tcPr>
                  <w:tcW w:w="1149" w:type="pct"/>
                  <w:vMerge w:val="continue"/>
                  <w:noWrap w:val="0"/>
                  <w:vAlign w:val="center"/>
                </w:tcPr>
                <w:p>
                  <w:pPr>
                    <w:pStyle w:val="94"/>
                    <w:rPr>
                      <w:color w:val="auto"/>
                      <w:spacing w:val="-2"/>
                      <w:kern w:val="0"/>
                    </w:rPr>
                  </w:pPr>
                </w:p>
              </w:tc>
            </w:tr>
          </w:tbl>
          <w:p>
            <w:pPr>
              <w:pStyle w:val="7"/>
              <w:snapToGrid/>
              <w:spacing w:before="0" w:after="0" w:line="360" w:lineRule="auto"/>
              <w:ind w:left="0" w:leftChars="0" w:firstLine="0" w:firstLineChars="0"/>
              <w:rPr>
                <w:rFonts w:hint="eastAsia"/>
                <w:color w:val="auto"/>
                <w:kern w:val="2"/>
                <w:sz w:val="24"/>
                <w:szCs w:val="24"/>
                <w:highlight w:val="yellow"/>
                <w:lang w:val="en-US" w:eastAsia="zh-CN"/>
              </w:rPr>
            </w:pPr>
          </w:p>
          <w:p>
            <w:pPr>
              <w:pStyle w:val="7"/>
              <w:snapToGrid/>
              <w:spacing w:before="0" w:after="0" w:line="360" w:lineRule="auto"/>
              <w:ind w:firstLine="480"/>
              <w:rPr>
                <w:rFonts w:hint="eastAsia"/>
                <w:color w:val="auto"/>
                <w:kern w:val="2"/>
                <w:sz w:val="24"/>
                <w:szCs w:val="24"/>
                <w:highlight w:val="none"/>
                <w:lang w:val="en-US" w:eastAsia="zh-CN"/>
              </w:rPr>
            </w:pPr>
            <w:r>
              <w:rPr>
                <w:rFonts w:hint="eastAsia"/>
                <w:color w:val="auto"/>
                <w:kern w:val="2"/>
                <w:sz w:val="24"/>
                <w:szCs w:val="24"/>
                <w:highlight w:val="none"/>
                <w:lang w:val="en-US" w:eastAsia="zh-CN"/>
              </w:rPr>
              <w:t>2、废水排放标准</w:t>
            </w:r>
          </w:p>
          <w:p>
            <w:pPr>
              <w:pStyle w:val="7"/>
              <w:shd w:val="clear" w:color="auto" w:fill="FFFFFF"/>
              <w:snapToGrid/>
              <w:spacing w:before="0" w:after="0" w:line="360" w:lineRule="auto"/>
              <w:ind w:firstLine="480"/>
              <w:rPr>
                <w:rFonts w:hint="eastAsia"/>
                <w:color w:val="auto"/>
                <w:kern w:val="2"/>
                <w:sz w:val="24"/>
                <w:szCs w:val="24"/>
                <w:lang w:val="en-US" w:eastAsia="zh-CN"/>
              </w:rPr>
            </w:pPr>
            <w:r>
              <w:rPr>
                <w:rFonts w:hint="eastAsia"/>
                <w:color w:val="auto"/>
                <w:kern w:val="2"/>
                <w:sz w:val="24"/>
                <w:szCs w:val="24"/>
                <w:lang w:val="en-US" w:eastAsia="zh-CN"/>
              </w:rPr>
              <w:t>项目外排的废水满足</w:t>
            </w:r>
            <w:r>
              <w:rPr>
                <w:rFonts w:hint="default" w:ascii="Times New Roman" w:hAnsi="Times New Roman" w:eastAsia="宋体" w:cs="Times New Roman"/>
                <w:sz w:val="24"/>
                <w:szCs w:val="24"/>
              </w:rPr>
              <w:t>《污水排入城镇下水道水质标准》（CB/T31962-2015）中B等级标准</w:t>
            </w:r>
            <w:r>
              <w:rPr>
                <w:rFonts w:hint="eastAsia" w:ascii="Times New Roman" w:hAnsi="Times New Roman" w:cs="Times New Roman"/>
                <w:sz w:val="24"/>
                <w:szCs w:val="24"/>
                <w:lang w:eastAsia="zh-CN"/>
              </w:rPr>
              <w:t>，同时满足</w:t>
            </w:r>
            <w:r>
              <w:rPr>
                <w:rFonts w:hint="eastAsia"/>
                <w:color w:val="auto"/>
                <w:kern w:val="2"/>
                <w:sz w:val="24"/>
                <w:szCs w:val="24"/>
                <w:lang w:val="en-US" w:eastAsia="zh-CN"/>
              </w:rPr>
              <w:t>淮南经济技术开发区工业污水处理厂接管标准要求后，经市政污水管网进入淮南经济技术开发区工业污水处理厂处理，尾水排入淮河，具体标准值</w:t>
            </w:r>
            <w:r>
              <w:rPr>
                <w:rFonts w:hint="eastAsia"/>
                <w:color w:val="auto"/>
                <w:kern w:val="2"/>
                <w:sz w:val="24"/>
                <w:szCs w:val="24"/>
                <w:highlight w:val="none"/>
                <w:lang w:val="en-US" w:eastAsia="zh-CN"/>
              </w:rPr>
              <w:t>详</w:t>
            </w:r>
            <w:r>
              <w:rPr>
                <w:rFonts w:hint="eastAsia"/>
                <w:color w:val="auto"/>
                <w:sz w:val="24"/>
                <w:szCs w:val="24"/>
                <w:highlight w:val="none"/>
                <w:lang w:val="en-US" w:eastAsia="zh-CN"/>
              </w:rPr>
              <w:t>见表3-4。</w:t>
            </w:r>
          </w:p>
          <w:p>
            <w:pPr>
              <w:pStyle w:val="98"/>
              <w:spacing w:before="0" w:after="0" w:line="360" w:lineRule="auto"/>
              <w:rPr>
                <w:rFonts w:eastAsia="宋体"/>
                <w:b/>
                <w:color w:val="auto"/>
                <w:kern w:val="2"/>
                <w:szCs w:val="21"/>
                <w:lang w:val="en-US" w:eastAsia="zh-CN"/>
              </w:rPr>
            </w:pPr>
            <w:r>
              <w:rPr>
                <w:rFonts w:eastAsia="宋体"/>
                <w:b/>
                <w:color w:val="auto"/>
                <w:kern w:val="2"/>
                <w:szCs w:val="21"/>
                <w:lang w:val="en-US" w:eastAsia="zh-CN"/>
              </w:rPr>
              <w:t>表3-</w:t>
            </w:r>
            <w:r>
              <w:rPr>
                <w:rFonts w:hint="eastAsia" w:eastAsia="宋体"/>
                <w:b/>
                <w:color w:val="auto"/>
                <w:kern w:val="2"/>
                <w:szCs w:val="21"/>
                <w:lang w:val="en-US" w:eastAsia="zh-CN"/>
              </w:rPr>
              <w:t>4</w:t>
            </w:r>
            <w:r>
              <w:rPr>
                <w:rFonts w:eastAsia="宋体"/>
                <w:b/>
                <w:color w:val="auto"/>
                <w:kern w:val="2"/>
                <w:szCs w:val="21"/>
                <w:lang w:val="en-US" w:eastAsia="zh-CN"/>
              </w:rPr>
              <w:t xml:space="preserve"> 污水排放标准限值 单位：mg/L，pH值除外</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9"/>
              <w:gridCol w:w="1423"/>
              <w:gridCol w:w="992"/>
              <w:gridCol w:w="942"/>
              <w:gridCol w:w="907"/>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831" w:type="pct"/>
                  <w:noWrap w:val="0"/>
                  <w:vAlign w:val="center"/>
                </w:tcPr>
                <w:p>
                  <w:pPr>
                    <w:tabs>
                      <w:tab w:val="left" w:pos="540"/>
                      <w:tab w:val="left" w:pos="900"/>
                      <w:tab w:val="left" w:pos="3780"/>
                    </w:tabs>
                    <w:adjustRightInd w:val="0"/>
                    <w:snapToGrid w:val="0"/>
                    <w:jc w:val="center"/>
                    <w:rPr>
                      <w:rFonts w:hint="eastAsia"/>
                      <w:color w:val="auto"/>
                      <w:szCs w:val="21"/>
                    </w:rPr>
                  </w:pPr>
                  <w:r>
                    <w:rPr>
                      <w:rFonts w:hint="eastAsia"/>
                      <w:color w:val="auto"/>
                      <w:szCs w:val="21"/>
                    </w:rPr>
                    <w:t>标准</w:t>
                  </w:r>
                </w:p>
              </w:tc>
              <w:tc>
                <w:tcPr>
                  <w:tcW w:w="849" w:type="pct"/>
                  <w:noWrap w:val="0"/>
                  <w:vAlign w:val="center"/>
                </w:tcPr>
                <w:p>
                  <w:pPr>
                    <w:tabs>
                      <w:tab w:val="left" w:pos="540"/>
                      <w:tab w:val="left" w:pos="900"/>
                      <w:tab w:val="left" w:pos="3780"/>
                    </w:tabs>
                    <w:adjustRightInd w:val="0"/>
                    <w:snapToGrid w:val="0"/>
                    <w:jc w:val="center"/>
                    <w:rPr>
                      <w:color w:val="auto"/>
                      <w:szCs w:val="21"/>
                    </w:rPr>
                  </w:pPr>
                  <w:r>
                    <w:rPr>
                      <w:color w:val="auto"/>
                      <w:szCs w:val="21"/>
                    </w:rPr>
                    <w:t>pH</w:t>
                  </w:r>
                </w:p>
              </w:tc>
              <w:tc>
                <w:tcPr>
                  <w:tcW w:w="592" w:type="pct"/>
                  <w:noWrap w:val="0"/>
                  <w:vAlign w:val="center"/>
                </w:tcPr>
                <w:p>
                  <w:pPr>
                    <w:tabs>
                      <w:tab w:val="left" w:pos="540"/>
                      <w:tab w:val="left" w:pos="900"/>
                      <w:tab w:val="left" w:pos="3780"/>
                    </w:tabs>
                    <w:adjustRightInd w:val="0"/>
                    <w:snapToGrid w:val="0"/>
                    <w:jc w:val="center"/>
                    <w:rPr>
                      <w:color w:val="auto"/>
                      <w:szCs w:val="21"/>
                    </w:rPr>
                  </w:pPr>
                  <w:r>
                    <w:rPr>
                      <w:color w:val="auto"/>
                      <w:szCs w:val="21"/>
                    </w:rPr>
                    <w:t>COD</w:t>
                  </w:r>
                  <w:r>
                    <w:rPr>
                      <w:rFonts w:hint="eastAsia"/>
                      <w:color w:val="auto"/>
                      <w:szCs w:val="21"/>
                      <w:vertAlign w:val="subscript"/>
                    </w:rPr>
                    <w:t>Cr</w:t>
                  </w:r>
                </w:p>
              </w:tc>
              <w:tc>
                <w:tcPr>
                  <w:tcW w:w="562" w:type="pct"/>
                  <w:noWrap w:val="0"/>
                  <w:vAlign w:val="center"/>
                </w:tcPr>
                <w:p>
                  <w:pPr>
                    <w:tabs>
                      <w:tab w:val="left" w:pos="540"/>
                      <w:tab w:val="left" w:pos="900"/>
                      <w:tab w:val="left" w:pos="3780"/>
                    </w:tabs>
                    <w:adjustRightInd w:val="0"/>
                    <w:snapToGrid w:val="0"/>
                    <w:jc w:val="center"/>
                    <w:rPr>
                      <w:color w:val="auto"/>
                      <w:szCs w:val="21"/>
                    </w:rPr>
                  </w:pPr>
                  <w:r>
                    <w:rPr>
                      <w:rFonts w:hint="eastAsia"/>
                      <w:color w:val="auto"/>
                      <w:szCs w:val="21"/>
                    </w:rPr>
                    <w:t>BOD</w:t>
                  </w:r>
                  <w:r>
                    <w:rPr>
                      <w:rFonts w:hint="eastAsia"/>
                      <w:color w:val="auto"/>
                      <w:szCs w:val="21"/>
                      <w:vertAlign w:val="subscript"/>
                    </w:rPr>
                    <w:t>5</w:t>
                  </w:r>
                </w:p>
              </w:tc>
              <w:tc>
                <w:tcPr>
                  <w:tcW w:w="541" w:type="pct"/>
                  <w:noWrap w:val="0"/>
                  <w:vAlign w:val="center"/>
                </w:tcPr>
                <w:p>
                  <w:pPr>
                    <w:tabs>
                      <w:tab w:val="left" w:pos="540"/>
                      <w:tab w:val="left" w:pos="900"/>
                      <w:tab w:val="left" w:pos="3780"/>
                    </w:tabs>
                    <w:adjustRightInd w:val="0"/>
                    <w:snapToGrid w:val="0"/>
                    <w:jc w:val="center"/>
                    <w:rPr>
                      <w:color w:val="auto"/>
                      <w:szCs w:val="21"/>
                    </w:rPr>
                  </w:pPr>
                  <w:r>
                    <w:rPr>
                      <w:color w:val="auto"/>
                      <w:szCs w:val="21"/>
                    </w:rPr>
                    <w:t>SS</w:t>
                  </w:r>
                </w:p>
              </w:tc>
              <w:tc>
                <w:tcPr>
                  <w:tcW w:w="623" w:type="pct"/>
                  <w:noWrap w:val="0"/>
                  <w:vAlign w:val="center"/>
                </w:tcPr>
                <w:p>
                  <w:pPr>
                    <w:tabs>
                      <w:tab w:val="left" w:pos="540"/>
                      <w:tab w:val="left" w:pos="900"/>
                      <w:tab w:val="left" w:pos="3780"/>
                    </w:tabs>
                    <w:adjustRightInd w:val="0"/>
                    <w:snapToGrid w:val="0"/>
                    <w:jc w:val="center"/>
                    <w:rPr>
                      <w:color w:val="auto"/>
                      <w:szCs w:val="21"/>
                    </w:rPr>
                  </w:pPr>
                  <w:r>
                    <w:rPr>
                      <w:color w:val="auto"/>
                      <w:szCs w:val="21"/>
                    </w:rPr>
                    <w:t>NH</w:t>
                  </w:r>
                  <w:r>
                    <w:rPr>
                      <w:color w:val="auto"/>
                      <w:szCs w:val="21"/>
                      <w:vertAlign w:val="subscript"/>
                    </w:rPr>
                    <w:t>3</w:t>
                  </w:r>
                  <w:r>
                    <w:rPr>
                      <w:color w:val="auto"/>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831" w:type="pct"/>
                  <w:noWrap w:val="0"/>
                  <w:vAlign w:val="center"/>
                </w:tcPr>
                <w:p>
                  <w:pPr>
                    <w:tabs>
                      <w:tab w:val="left" w:pos="540"/>
                      <w:tab w:val="left" w:pos="900"/>
                      <w:tab w:val="left" w:pos="3780"/>
                    </w:tabs>
                    <w:adjustRightInd w:val="0"/>
                    <w:snapToGrid w:val="0"/>
                    <w:jc w:val="center"/>
                    <w:rPr>
                      <w:color w:val="auto"/>
                      <w:szCs w:val="21"/>
                    </w:rPr>
                  </w:pPr>
                  <w:r>
                    <w:rPr>
                      <w:rFonts w:hint="eastAsia"/>
                      <w:color w:val="auto"/>
                      <w:szCs w:val="21"/>
                    </w:rPr>
                    <w:t>淮南经济技术开发区工业污水处理厂接管标准</w:t>
                  </w:r>
                </w:p>
              </w:tc>
              <w:tc>
                <w:tcPr>
                  <w:tcW w:w="849" w:type="pct"/>
                  <w:noWrap w:val="0"/>
                  <w:vAlign w:val="center"/>
                </w:tcPr>
                <w:p>
                  <w:pPr>
                    <w:tabs>
                      <w:tab w:val="left" w:pos="540"/>
                      <w:tab w:val="left" w:pos="900"/>
                      <w:tab w:val="left" w:pos="3780"/>
                    </w:tabs>
                    <w:adjustRightInd w:val="0"/>
                    <w:snapToGrid w:val="0"/>
                    <w:jc w:val="center"/>
                    <w:rPr>
                      <w:color w:val="auto"/>
                      <w:szCs w:val="21"/>
                    </w:rPr>
                  </w:pPr>
                  <w:r>
                    <w:rPr>
                      <w:rFonts w:hint="eastAsia"/>
                      <w:color w:val="auto"/>
                      <w:szCs w:val="21"/>
                    </w:rPr>
                    <w:t>6～9</w:t>
                  </w:r>
                </w:p>
              </w:tc>
              <w:tc>
                <w:tcPr>
                  <w:tcW w:w="592" w:type="pct"/>
                  <w:noWrap w:val="0"/>
                  <w:vAlign w:val="center"/>
                </w:tcPr>
                <w:p>
                  <w:pPr>
                    <w:tabs>
                      <w:tab w:val="left" w:pos="540"/>
                      <w:tab w:val="left" w:pos="900"/>
                      <w:tab w:val="left" w:pos="3780"/>
                    </w:tabs>
                    <w:adjustRightInd w:val="0"/>
                    <w:snapToGrid w:val="0"/>
                    <w:jc w:val="center"/>
                    <w:rPr>
                      <w:color w:val="auto"/>
                      <w:szCs w:val="21"/>
                    </w:rPr>
                  </w:pPr>
                  <w:r>
                    <w:rPr>
                      <w:rFonts w:hint="eastAsia"/>
                      <w:color w:val="auto"/>
                      <w:szCs w:val="21"/>
                    </w:rPr>
                    <w:t>360</w:t>
                  </w:r>
                </w:p>
              </w:tc>
              <w:tc>
                <w:tcPr>
                  <w:tcW w:w="562" w:type="pct"/>
                  <w:noWrap w:val="0"/>
                  <w:vAlign w:val="center"/>
                </w:tcPr>
                <w:p>
                  <w:pPr>
                    <w:tabs>
                      <w:tab w:val="left" w:pos="540"/>
                      <w:tab w:val="left" w:pos="900"/>
                      <w:tab w:val="left" w:pos="3780"/>
                    </w:tabs>
                    <w:adjustRightInd w:val="0"/>
                    <w:snapToGrid w:val="0"/>
                    <w:jc w:val="center"/>
                    <w:rPr>
                      <w:color w:val="auto"/>
                      <w:szCs w:val="21"/>
                    </w:rPr>
                  </w:pPr>
                  <w:r>
                    <w:rPr>
                      <w:rFonts w:hint="eastAsia"/>
                      <w:color w:val="auto"/>
                      <w:szCs w:val="21"/>
                    </w:rPr>
                    <w:t>80</w:t>
                  </w:r>
                </w:p>
              </w:tc>
              <w:tc>
                <w:tcPr>
                  <w:tcW w:w="541" w:type="pct"/>
                  <w:noWrap w:val="0"/>
                  <w:vAlign w:val="center"/>
                </w:tcPr>
                <w:p>
                  <w:pPr>
                    <w:tabs>
                      <w:tab w:val="left" w:pos="540"/>
                      <w:tab w:val="left" w:pos="900"/>
                      <w:tab w:val="left" w:pos="3780"/>
                    </w:tabs>
                    <w:adjustRightInd w:val="0"/>
                    <w:snapToGrid w:val="0"/>
                    <w:jc w:val="center"/>
                    <w:rPr>
                      <w:color w:val="auto"/>
                      <w:szCs w:val="21"/>
                    </w:rPr>
                  </w:pPr>
                  <w:r>
                    <w:rPr>
                      <w:rFonts w:hint="eastAsia"/>
                      <w:color w:val="auto"/>
                      <w:szCs w:val="21"/>
                    </w:rPr>
                    <w:t>200</w:t>
                  </w:r>
                </w:p>
              </w:tc>
              <w:tc>
                <w:tcPr>
                  <w:tcW w:w="623" w:type="pct"/>
                  <w:noWrap w:val="0"/>
                  <w:vAlign w:val="center"/>
                </w:tcPr>
                <w:p>
                  <w:pPr>
                    <w:tabs>
                      <w:tab w:val="left" w:pos="540"/>
                      <w:tab w:val="left" w:pos="900"/>
                      <w:tab w:val="left" w:pos="3780"/>
                    </w:tabs>
                    <w:adjustRightInd w:val="0"/>
                    <w:snapToGrid w:val="0"/>
                    <w:jc w:val="center"/>
                    <w:rPr>
                      <w:color w:val="auto"/>
                      <w:szCs w:val="21"/>
                    </w:rPr>
                  </w:pPr>
                  <w:r>
                    <w:rPr>
                      <w:rFonts w:hint="eastAsia"/>
                      <w:color w:val="auto"/>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831" w:type="pct"/>
                  <w:noWrap w:val="0"/>
                  <w:vAlign w:val="center"/>
                </w:tcPr>
                <w:p>
                  <w:pPr>
                    <w:tabs>
                      <w:tab w:val="left" w:pos="540"/>
                      <w:tab w:val="left" w:pos="900"/>
                      <w:tab w:val="left" w:pos="3780"/>
                    </w:tabs>
                    <w:adjustRightInd w:val="0"/>
                    <w:snapToGrid w:val="0"/>
                    <w:jc w:val="center"/>
                    <w:rPr>
                      <w:rFonts w:hint="eastAsia"/>
                      <w:color w:val="auto"/>
                      <w:szCs w:val="21"/>
                    </w:rPr>
                  </w:pPr>
                  <w:r>
                    <w:rPr>
                      <w:rFonts w:hint="default" w:ascii="Times New Roman" w:hAnsi="Times New Roman" w:eastAsia="宋体" w:cs="Times New Roman"/>
                      <w:sz w:val="21"/>
                      <w:szCs w:val="21"/>
                    </w:rPr>
                    <w:t>《污水排入城镇下水道水质标准》（CB/T31962-2015）中B等级标准</w:t>
                  </w:r>
                </w:p>
              </w:tc>
              <w:tc>
                <w:tcPr>
                  <w:tcW w:w="849" w:type="pct"/>
                  <w:noWrap w:val="0"/>
                  <w:vAlign w:val="center"/>
                </w:tcPr>
                <w:p>
                  <w:pPr>
                    <w:tabs>
                      <w:tab w:val="left" w:pos="540"/>
                      <w:tab w:val="left" w:pos="900"/>
                      <w:tab w:val="left" w:pos="3780"/>
                    </w:tabs>
                    <w:adjustRightInd w:val="0"/>
                    <w:snapToGrid w:val="0"/>
                    <w:jc w:val="center"/>
                    <w:rPr>
                      <w:rFonts w:hint="eastAsia"/>
                      <w:color w:val="auto"/>
                      <w:szCs w:val="21"/>
                    </w:rPr>
                  </w:pPr>
                  <w:r>
                    <w:rPr>
                      <w:rFonts w:hint="default" w:ascii="Times New Roman" w:hAnsi="Times New Roman" w:eastAsia="宋体" w:cs="Times New Roman"/>
                    </w:rPr>
                    <w:t>6.5～9.5</w:t>
                  </w:r>
                </w:p>
              </w:tc>
              <w:tc>
                <w:tcPr>
                  <w:tcW w:w="592" w:type="pct"/>
                  <w:noWrap w:val="0"/>
                  <w:vAlign w:val="center"/>
                </w:tcPr>
                <w:p>
                  <w:pPr>
                    <w:tabs>
                      <w:tab w:val="left" w:pos="540"/>
                      <w:tab w:val="left" w:pos="900"/>
                      <w:tab w:val="left" w:pos="3780"/>
                    </w:tabs>
                    <w:adjustRightInd w:val="0"/>
                    <w:snapToGrid w:val="0"/>
                    <w:jc w:val="center"/>
                    <w:rPr>
                      <w:rFonts w:hint="default" w:eastAsia="宋体"/>
                      <w:color w:val="auto"/>
                      <w:szCs w:val="21"/>
                      <w:lang w:val="en-US" w:eastAsia="zh-CN"/>
                    </w:rPr>
                  </w:pPr>
                  <w:r>
                    <w:rPr>
                      <w:rFonts w:hint="eastAsia"/>
                      <w:color w:val="auto"/>
                      <w:szCs w:val="21"/>
                      <w:lang w:val="en-US" w:eastAsia="zh-CN"/>
                    </w:rPr>
                    <w:t>500</w:t>
                  </w:r>
                </w:p>
              </w:tc>
              <w:tc>
                <w:tcPr>
                  <w:tcW w:w="562" w:type="pct"/>
                  <w:noWrap w:val="0"/>
                  <w:vAlign w:val="center"/>
                </w:tcPr>
                <w:p>
                  <w:pPr>
                    <w:tabs>
                      <w:tab w:val="left" w:pos="540"/>
                      <w:tab w:val="left" w:pos="900"/>
                      <w:tab w:val="left" w:pos="3780"/>
                    </w:tabs>
                    <w:adjustRightInd w:val="0"/>
                    <w:snapToGrid w:val="0"/>
                    <w:jc w:val="center"/>
                    <w:rPr>
                      <w:rFonts w:hint="default" w:eastAsia="宋体"/>
                      <w:color w:val="auto"/>
                      <w:szCs w:val="21"/>
                      <w:lang w:val="en-US" w:eastAsia="zh-CN"/>
                    </w:rPr>
                  </w:pPr>
                  <w:r>
                    <w:rPr>
                      <w:rFonts w:hint="eastAsia"/>
                      <w:color w:val="auto"/>
                      <w:szCs w:val="21"/>
                      <w:lang w:val="en-US" w:eastAsia="zh-CN"/>
                    </w:rPr>
                    <w:t>350</w:t>
                  </w:r>
                </w:p>
              </w:tc>
              <w:tc>
                <w:tcPr>
                  <w:tcW w:w="541" w:type="pct"/>
                  <w:noWrap w:val="0"/>
                  <w:vAlign w:val="center"/>
                </w:tcPr>
                <w:p>
                  <w:pPr>
                    <w:tabs>
                      <w:tab w:val="left" w:pos="540"/>
                      <w:tab w:val="left" w:pos="900"/>
                      <w:tab w:val="left" w:pos="3780"/>
                    </w:tabs>
                    <w:adjustRightInd w:val="0"/>
                    <w:snapToGrid w:val="0"/>
                    <w:jc w:val="center"/>
                    <w:rPr>
                      <w:rFonts w:hint="default" w:eastAsia="宋体"/>
                      <w:color w:val="auto"/>
                      <w:szCs w:val="21"/>
                      <w:lang w:val="en-US" w:eastAsia="zh-CN"/>
                    </w:rPr>
                  </w:pPr>
                  <w:r>
                    <w:rPr>
                      <w:rFonts w:hint="eastAsia"/>
                      <w:color w:val="auto"/>
                      <w:szCs w:val="21"/>
                      <w:lang w:val="en-US" w:eastAsia="zh-CN"/>
                    </w:rPr>
                    <w:t>400</w:t>
                  </w:r>
                </w:p>
              </w:tc>
              <w:tc>
                <w:tcPr>
                  <w:tcW w:w="623" w:type="pct"/>
                  <w:noWrap w:val="0"/>
                  <w:vAlign w:val="center"/>
                </w:tcPr>
                <w:p>
                  <w:pPr>
                    <w:tabs>
                      <w:tab w:val="left" w:pos="540"/>
                      <w:tab w:val="left" w:pos="900"/>
                      <w:tab w:val="left" w:pos="3780"/>
                    </w:tabs>
                    <w:adjustRightInd w:val="0"/>
                    <w:snapToGrid w:val="0"/>
                    <w:jc w:val="center"/>
                    <w:rPr>
                      <w:rFonts w:hint="default" w:eastAsia="宋体"/>
                      <w:color w:val="auto"/>
                      <w:szCs w:val="21"/>
                      <w:lang w:val="en-US" w:eastAsia="zh-CN"/>
                    </w:rPr>
                  </w:pPr>
                  <w:r>
                    <w:rPr>
                      <w:rFonts w:hint="eastAsia"/>
                      <w:color w:val="auto"/>
                      <w:szCs w:val="21"/>
                      <w:lang w:val="en-US" w:eastAsia="zh-CN"/>
                    </w:rPr>
                    <w:t>45</w:t>
                  </w:r>
                </w:p>
              </w:tc>
            </w:tr>
          </w:tbl>
          <w:p>
            <w:pPr>
              <w:pStyle w:val="7"/>
              <w:snapToGrid/>
              <w:spacing w:before="0" w:after="0" w:line="360" w:lineRule="auto"/>
              <w:ind w:firstLine="480"/>
              <w:rPr>
                <w:color w:val="auto"/>
                <w:kern w:val="2"/>
                <w:sz w:val="24"/>
                <w:szCs w:val="24"/>
                <w:lang w:val="en-US" w:eastAsia="zh-CN"/>
              </w:rPr>
            </w:pPr>
          </w:p>
          <w:p>
            <w:pPr>
              <w:pStyle w:val="7"/>
              <w:snapToGrid/>
              <w:spacing w:before="0" w:after="0" w:line="360" w:lineRule="auto"/>
              <w:ind w:firstLine="480"/>
              <w:rPr>
                <w:color w:val="auto"/>
                <w:kern w:val="2"/>
                <w:sz w:val="24"/>
                <w:szCs w:val="24"/>
                <w:lang w:val="en-US" w:eastAsia="zh-CN"/>
              </w:rPr>
            </w:pPr>
            <w:r>
              <w:rPr>
                <w:color w:val="auto"/>
                <w:kern w:val="2"/>
                <w:sz w:val="24"/>
                <w:szCs w:val="24"/>
                <w:lang w:val="en-US" w:eastAsia="zh-CN"/>
              </w:rPr>
              <w:t>3</w:t>
            </w:r>
            <w:r>
              <w:rPr>
                <w:rFonts w:hint="eastAsia"/>
                <w:color w:val="auto"/>
                <w:kern w:val="2"/>
                <w:sz w:val="24"/>
                <w:szCs w:val="24"/>
                <w:lang w:val="en-US" w:eastAsia="zh-CN"/>
              </w:rPr>
              <w:t>、</w:t>
            </w:r>
            <w:r>
              <w:rPr>
                <w:color w:val="auto"/>
                <w:kern w:val="2"/>
                <w:sz w:val="24"/>
                <w:szCs w:val="24"/>
                <w:lang w:val="en-US" w:eastAsia="zh-CN"/>
              </w:rPr>
              <w:t>噪声排放执行标准</w:t>
            </w:r>
          </w:p>
          <w:p>
            <w:pPr>
              <w:pStyle w:val="15"/>
              <w:snapToGrid/>
              <w:spacing w:line="360" w:lineRule="auto"/>
              <w:ind w:firstLine="480" w:firstLineChars="200"/>
              <w:rPr>
                <w:rFonts w:hint="default"/>
                <w:color w:val="auto"/>
                <w:sz w:val="24"/>
                <w:szCs w:val="24"/>
                <w:lang w:val="en-US" w:eastAsia="zh-CN"/>
              </w:rPr>
            </w:pPr>
            <w:r>
              <w:rPr>
                <w:rFonts w:hint="eastAsia"/>
                <w:color w:val="auto"/>
                <w:sz w:val="24"/>
                <w:szCs w:val="24"/>
                <w:lang w:val="en-US" w:eastAsia="zh-CN"/>
              </w:rPr>
              <w:t>运营期</w:t>
            </w:r>
            <w:r>
              <w:rPr>
                <w:color w:val="auto"/>
                <w:sz w:val="24"/>
                <w:szCs w:val="24"/>
                <w:lang w:val="en-US" w:eastAsia="zh-CN"/>
              </w:rPr>
              <w:t>噪声执行《工业企业厂界环境噪声排放标准》GB12348-2008 中3类标准</w:t>
            </w:r>
            <w:r>
              <w:rPr>
                <w:rFonts w:hint="eastAsia"/>
                <w:color w:val="auto"/>
                <w:sz w:val="24"/>
                <w:szCs w:val="24"/>
                <w:lang w:val="en-US" w:eastAsia="zh-CN"/>
              </w:rPr>
              <w:t>，</w:t>
            </w:r>
            <w:r>
              <w:rPr>
                <w:rFonts w:hint="eastAsia"/>
                <w:color w:val="auto"/>
                <w:sz w:val="24"/>
                <w:szCs w:val="24"/>
                <w:highlight w:val="none"/>
                <w:lang w:val="en-US" w:eastAsia="zh-CN"/>
              </w:rPr>
              <w:t>详见表3-5。</w:t>
            </w:r>
          </w:p>
          <w:p>
            <w:pPr>
              <w:pStyle w:val="98"/>
              <w:snapToGrid/>
              <w:spacing w:before="0" w:after="0" w:line="360" w:lineRule="auto"/>
              <w:rPr>
                <w:rFonts w:hint="default" w:ascii="Times New Roman" w:hAnsi="Times New Roman" w:eastAsia="宋体" w:cs="Times New Roman"/>
                <w:b/>
                <w:color w:val="auto"/>
                <w:kern w:val="2"/>
                <w:szCs w:val="21"/>
                <w:lang w:val="en-US" w:eastAsia="zh-CN"/>
              </w:rPr>
            </w:pPr>
            <w:r>
              <w:rPr>
                <w:rFonts w:hint="default" w:ascii="Times New Roman" w:hAnsi="Times New Roman" w:eastAsia="宋体" w:cs="Times New Roman"/>
                <w:b/>
                <w:color w:val="auto"/>
                <w:kern w:val="2"/>
                <w:szCs w:val="21"/>
                <w:lang w:val="en-US" w:eastAsia="zh-CN"/>
              </w:rPr>
              <w:t>表3-</w:t>
            </w:r>
            <w:r>
              <w:rPr>
                <w:rFonts w:hint="eastAsia" w:eastAsia="宋体" w:cs="Times New Roman"/>
                <w:b/>
                <w:color w:val="auto"/>
                <w:kern w:val="2"/>
                <w:szCs w:val="21"/>
                <w:lang w:val="en-US" w:eastAsia="zh-CN"/>
              </w:rPr>
              <w:t>5</w:t>
            </w:r>
            <w:r>
              <w:rPr>
                <w:rFonts w:hint="default" w:ascii="Times New Roman" w:hAnsi="Times New Roman" w:eastAsia="宋体" w:cs="Times New Roman"/>
                <w:b/>
                <w:color w:val="auto"/>
                <w:kern w:val="2"/>
                <w:szCs w:val="21"/>
                <w:lang w:val="en-US" w:eastAsia="zh-CN"/>
              </w:rPr>
              <w:t xml:space="preserve"> 厂界环境噪声排放标准  单位：Leq[dB(A)]</w:t>
            </w:r>
          </w:p>
          <w:tbl>
            <w:tblPr>
              <w:tblStyle w:val="28"/>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3"/>
              <w:gridCol w:w="654"/>
              <w:gridCol w:w="784"/>
              <w:gridCol w:w="6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539" w:type="pct"/>
                  <w:noWrap w:val="0"/>
                  <w:vAlign w:val="center"/>
                </w:tcPr>
                <w:p>
                  <w:pPr>
                    <w:tabs>
                      <w:tab w:val="left" w:pos="540"/>
                      <w:tab w:val="left" w:pos="900"/>
                      <w:tab w:val="left" w:pos="3780"/>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类别</w:t>
                  </w:r>
                </w:p>
              </w:tc>
              <w:tc>
                <w:tcPr>
                  <w:tcW w:w="390" w:type="pct"/>
                  <w:noWrap w:val="0"/>
                  <w:vAlign w:val="center"/>
                </w:tcPr>
                <w:p>
                  <w:pPr>
                    <w:tabs>
                      <w:tab w:val="left" w:pos="540"/>
                      <w:tab w:val="left" w:pos="900"/>
                      <w:tab w:val="left" w:pos="3780"/>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昼间</w:t>
                  </w:r>
                </w:p>
              </w:tc>
              <w:tc>
                <w:tcPr>
                  <w:tcW w:w="468" w:type="pct"/>
                  <w:noWrap w:val="0"/>
                  <w:vAlign w:val="center"/>
                </w:tcPr>
                <w:p>
                  <w:pPr>
                    <w:tabs>
                      <w:tab w:val="left" w:pos="540"/>
                      <w:tab w:val="left" w:pos="900"/>
                      <w:tab w:val="left" w:pos="3780"/>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夜间</w:t>
                  </w:r>
                </w:p>
              </w:tc>
              <w:tc>
                <w:tcPr>
                  <w:tcW w:w="3601" w:type="pct"/>
                  <w:noWrap w:val="0"/>
                  <w:vAlign w:val="center"/>
                </w:tcPr>
                <w:p>
                  <w:pPr>
                    <w:tabs>
                      <w:tab w:val="left" w:pos="540"/>
                      <w:tab w:val="left" w:pos="900"/>
                      <w:tab w:val="left" w:pos="3780"/>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标准来源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539" w:type="pct"/>
                  <w:noWrap w:val="0"/>
                  <w:vAlign w:val="center"/>
                </w:tcPr>
                <w:p>
                  <w:pPr>
                    <w:tabs>
                      <w:tab w:val="left" w:pos="540"/>
                      <w:tab w:val="left" w:pos="900"/>
                      <w:tab w:val="left" w:pos="3780"/>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运营期</w:t>
                  </w:r>
                </w:p>
              </w:tc>
              <w:tc>
                <w:tcPr>
                  <w:tcW w:w="390" w:type="pct"/>
                  <w:noWrap w:val="0"/>
                  <w:vAlign w:val="center"/>
                </w:tcPr>
                <w:p>
                  <w:pPr>
                    <w:tabs>
                      <w:tab w:val="left" w:pos="540"/>
                      <w:tab w:val="left" w:pos="900"/>
                      <w:tab w:val="left" w:pos="3780"/>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65</w:t>
                  </w:r>
                </w:p>
              </w:tc>
              <w:tc>
                <w:tcPr>
                  <w:tcW w:w="468" w:type="pct"/>
                  <w:noWrap w:val="0"/>
                  <w:vAlign w:val="center"/>
                </w:tcPr>
                <w:p>
                  <w:pPr>
                    <w:tabs>
                      <w:tab w:val="left" w:pos="540"/>
                      <w:tab w:val="left" w:pos="900"/>
                      <w:tab w:val="left" w:pos="3780"/>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55</w:t>
                  </w:r>
                </w:p>
              </w:tc>
              <w:tc>
                <w:tcPr>
                  <w:tcW w:w="3601" w:type="pct"/>
                  <w:noWrap w:val="0"/>
                  <w:vAlign w:val="center"/>
                </w:tcPr>
                <w:p>
                  <w:pPr>
                    <w:tabs>
                      <w:tab w:val="left" w:pos="540"/>
                      <w:tab w:val="left" w:pos="900"/>
                      <w:tab w:val="left" w:pos="3780"/>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《工业企业厂界环境噪声排放标准》（GB12348-2008）3类</w:t>
                  </w:r>
                </w:p>
              </w:tc>
            </w:tr>
          </w:tbl>
          <w:p>
            <w:pPr>
              <w:pStyle w:val="7"/>
              <w:snapToGrid/>
              <w:spacing w:before="0" w:after="0" w:line="360" w:lineRule="auto"/>
              <w:ind w:firstLine="480"/>
              <w:jc w:val="both"/>
              <w:rPr>
                <w:rFonts w:hint="eastAsia"/>
                <w:color w:val="auto"/>
                <w:kern w:val="2"/>
                <w:sz w:val="24"/>
                <w:szCs w:val="24"/>
                <w:lang w:val="en-US" w:eastAsia="zh-CN"/>
              </w:rPr>
            </w:pPr>
          </w:p>
          <w:p>
            <w:pPr>
              <w:pStyle w:val="7"/>
              <w:snapToGrid/>
              <w:spacing w:before="0" w:after="0" w:line="360" w:lineRule="auto"/>
              <w:ind w:firstLine="480"/>
              <w:jc w:val="both"/>
              <w:rPr>
                <w:color w:val="auto"/>
                <w:kern w:val="2"/>
                <w:sz w:val="24"/>
                <w:szCs w:val="24"/>
                <w:highlight w:val="none"/>
                <w:lang w:val="en-US" w:eastAsia="zh-CN"/>
              </w:rPr>
            </w:pPr>
            <w:r>
              <w:rPr>
                <w:rFonts w:hint="eastAsia"/>
                <w:color w:val="auto"/>
                <w:kern w:val="2"/>
                <w:sz w:val="24"/>
                <w:szCs w:val="24"/>
                <w:highlight w:val="none"/>
                <w:lang w:val="en-US" w:eastAsia="zh-CN"/>
              </w:rPr>
              <w:t>4、固体废物控制标准</w:t>
            </w:r>
          </w:p>
          <w:p>
            <w:pPr>
              <w:pStyle w:val="15"/>
              <w:snapToGrid/>
              <w:spacing w:line="360" w:lineRule="auto"/>
              <w:ind w:firstLine="480" w:firstLineChars="200"/>
              <w:jc w:val="both"/>
              <w:rPr>
                <w:rFonts w:hint="eastAsia"/>
                <w:color w:val="auto"/>
                <w:sz w:val="24"/>
                <w:szCs w:val="24"/>
                <w:lang w:val="en-US" w:eastAsia="zh-CN"/>
              </w:rPr>
            </w:pPr>
            <w:r>
              <w:rPr>
                <w:rFonts w:hint="eastAsia"/>
                <w:color w:val="auto"/>
                <w:sz w:val="24"/>
                <w:szCs w:val="24"/>
                <w:lang w:val="en-US" w:eastAsia="zh-CN"/>
              </w:rPr>
              <w:t>一般工业固废执行《一般工业固体废物贮存和填埋污染控制标准》（GB18599－2020）中相关要求。危险废物执行《危险废物贮存污染控制标准》（GB18597－2001）及修改单中相关要求，并按规定与有相应资质的单位签约处置。</w:t>
            </w:r>
          </w:p>
          <w:p>
            <w:pPr>
              <w:pStyle w:val="87"/>
              <w:ind w:firstLine="0" w:firstLineChars="0"/>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676" w:type="dxa"/>
            <w:noWrap w:val="0"/>
            <w:vAlign w:val="center"/>
          </w:tcPr>
          <w:p>
            <w:pPr>
              <w:adjustRightInd w:val="0"/>
              <w:snapToGrid w:val="0"/>
              <w:jc w:val="center"/>
              <w:rPr>
                <w:rFonts w:hint="eastAsia" w:ascii="宋体" w:hAnsi="宋体" w:cs="宋体"/>
                <w:kern w:val="0"/>
                <w:sz w:val="24"/>
              </w:rPr>
            </w:pPr>
            <w:r>
              <w:rPr>
                <w:rFonts w:hint="eastAsia" w:ascii="宋体" w:hAnsi="宋体" w:cs="宋体"/>
                <w:kern w:val="0"/>
                <w:sz w:val="24"/>
              </w:rPr>
              <w:t>总量</w:t>
            </w:r>
          </w:p>
          <w:p>
            <w:pPr>
              <w:adjustRightInd w:val="0"/>
              <w:snapToGrid w:val="0"/>
              <w:jc w:val="center"/>
              <w:rPr>
                <w:rFonts w:hint="eastAsia" w:ascii="宋体" w:hAnsi="宋体" w:cs="宋体"/>
                <w:kern w:val="0"/>
                <w:sz w:val="24"/>
              </w:rPr>
            </w:pPr>
            <w:r>
              <w:rPr>
                <w:rFonts w:hint="eastAsia" w:ascii="宋体" w:hAnsi="宋体" w:cs="宋体"/>
                <w:kern w:val="0"/>
                <w:sz w:val="24"/>
              </w:rPr>
              <w:t>控制</w:t>
            </w:r>
          </w:p>
          <w:p>
            <w:pPr>
              <w:adjustRightInd w:val="0"/>
              <w:snapToGrid w:val="0"/>
              <w:jc w:val="center"/>
              <w:rPr>
                <w:rFonts w:ascii="宋体" w:hAnsi="宋体" w:cs="宋体"/>
                <w:kern w:val="0"/>
                <w:sz w:val="24"/>
              </w:rPr>
            </w:pPr>
            <w:r>
              <w:rPr>
                <w:rFonts w:hint="eastAsia" w:ascii="宋体" w:hAnsi="宋体" w:cs="宋体"/>
                <w:kern w:val="0"/>
                <w:sz w:val="24"/>
              </w:rPr>
              <w:t>指标</w:t>
            </w:r>
          </w:p>
        </w:tc>
        <w:tc>
          <w:tcPr>
            <w:tcW w:w="8385" w:type="dxa"/>
            <w:noWrap w:val="0"/>
            <w:vAlign w:val="center"/>
          </w:tcPr>
          <w:p>
            <w:pPr>
              <w:pStyle w:val="15"/>
              <w:ind w:firstLine="480" w:firstLineChars="200"/>
              <w:rPr>
                <w:sz w:val="24"/>
                <w:szCs w:val="24"/>
                <w:lang w:val="en-US" w:eastAsia="zh-CN"/>
              </w:rPr>
            </w:pPr>
            <w:r>
              <w:rPr>
                <w:sz w:val="24"/>
                <w:szCs w:val="24"/>
                <w:lang w:val="en-US" w:eastAsia="zh-CN"/>
              </w:rPr>
              <w:t>根据《安徽省环保厅关于进一步加强建设项目新增大气主要污染物总量指标管理工作的通知》（皖环发</w:t>
            </w:r>
            <w:r>
              <w:rPr>
                <w:rFonts w:hint="eastAsia"/>
                <w:sz w:val="24"/>
                <w:szCs w:val="24"/>
                <w:lang w:val="en-US" w:eastAsia="zh-CN"/>
              </w:rPr>
              <w:t>[</w:t>
            </w:r>
            <w:r>
              <w:rPr>
                <w:sz w:val="24"/>
                <w:szCs w:val="24"/>
                <w:lang w:val="en-US" w:eastAsia="zh-CN"/>
              </w:rPr>
              <w:t>2017</w:t>
            </w:r>
            <w:r>
              <w:rPr>
                <w:rFonts w:hint="eastAsia"/>
                <w:sz w:val="24"/>
                <w:szCs w:val="24"/>
                <w:lang w:val="en-US" w:eastAsia="zh-CN"/>
              </w:rPr>
              <w:t>]</w:t>
            </w:r>
            <w:r>
              <w:rPr>
                <w:sz w:val="24"/>
                <w:szCs w:val="24"/>
                <w:lang w:val="en-US" w:eastAsia="zh-CN"/>
              </w:rPr>
              <w:t>19号），“十三五”期间废气总量控制污染物共四项：二氧化硫、氮氧化物、烟（粉）尘、VOCs。</w:t>
            </w:r>
          </w:p>
          <w:p>
            <w:pPr>
              <w:pStyle w:val="15"/>
              <w:ind w:firstLine="480" w:firstLineChars="200"/>
              <w:rPr>
                <w:sz w:val="24"/>
                <w:szCs w:val="24"/>
                <w:lang w:val="en-US" w:eastAsia="zh-CN"/>
              </w:rPr>
            </w:pPr>
            <w:r>
              <w:rPr>
                <w:sz w:val="24"/>
                <w:szCs w:val="24"/>
                <w:lang w:val="en-US" w:eastAsia="zh-CN"/>
              </w:rPr>
              <w:t>根据本项目工程分析计算，</w:t>
            </w:r>
            <w:r>
              <w:rPr>
                <w:rFonts w:hint="eastAsia"/>
                <w:sz w:val="24"/>
                <w:szCs w:val="24"/>
                <w:lang w:val="en-US" w:eastAsia="zh-CN"/>
              </w:rPr>
              <w:t>项目废水</w:t>
            </w:r>
            <w:r>
              <w:rPr>
                <w:sz w:val="24"/>
                <w:szCs w:val="24"/>
                <w:lang w:val="en-US" w:eastAsia="zh-CN"/>
              </w:rPr>
              <w:t>通过市政污水管网送至淮南经济技术开发区工业污水处理厂深度处理，在污水处理厂总量调控范围内，无需申请总量指标。</w:t>
            </w:r>
          </w:p>
          <w:p>
            <w:pPr>
              <w:pStyle w:val="15"/>
              <w:ind w:firstLine="480" w:firstLineChars="200"/>
              <w:rPr>
                <w:rFonts w:hint="eastAsia" w:ascii="Times New Roman" w:hAnsi="Times New Roman" w:eastAsia="宋体" w:cs="Times New Roman"/>
                <w:color w:val="auto"/>
                <w:sz w:val="24"/>
                <w:szCs w:val="24"/>
                <w:lang w:val="en-US" w:eastAsia="zh-CN"/>
              </w:rPr>
            </w:pPr>
            <w:r>
              <w:rPr>
                <w:color w:val="auto"/>
                <w:sz w:val="24"/>
                <w:szCs w:val="24"/>
                <w:lang w:val="en-US" w:eastAsia="zh-CN"/>
              </w:rPr>
              <w:t>根据本项目工程分析计算，本项目</w:t>
            </w:r>
            <w:r>
              <w:rPr>
                <w:rFonts w:hint="eastAsia"/>
                <w:color w:val="auto"/>
                <w:sz w:val="24"/>
                <w:szCs w:val="24"/>
                <w:lang w:val="en-US" w:eastAsia="zh-CN"/>
              </w:rPr>
              <w:t>废气排放总</w:t>
            </w:r>
            <w:r>
              <w:rPr>
                <w:rFonts w:hint="eastAsia" w:ascii="Times New Roman" w:hAnsi="Times New Roman" w:eastAsia="宋体" w:cs="Times New Roman"/>
                <w:color w:val="auto"/>
                <w:sz w:val="24"/>
                <w:szCs w:val="24"/>
                <w:lang w:val="en-US" w:eastAsia="zh-CN"/>
              </w:rPr>
              <w:t>量为</w:t>
            </w:r>
            <w:r>
              <w:rPr>
                <w:sz w:val="24"/>
                <w:szCs w:val="24"/>
                <w:lang w:val="en-US" w:eastAsia="zh-CN"/>
              </w:rPr>
              <w:t>烟（粉）</w:t>
            </w:r>
            <w:r>
              <w:rPr>
                <w:sz w:val="24"/>
                <w:szCs w:val="24"/>
                <w:highlight w:val="none"/>
                <w:lang w:val="en-US" w:eastAsia="zh-CN"/>
              </w:rPr>
              <w:t>尘</w:t>
            </w:r>
            <w:r>
              <w:rPr>
                <w:rFonts w:hint="eastAsia"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0.16</w:t>
            </w:r>
            <w:r>
              <w:rPr>
                <w:rFonts w:hint="eastAsia" w:ascii="Times New Roman" w:hAnsi="Times New Roman" w:eastAsia="宋体" w:cs="Times New Roman"/>
                <w:color w:val="auto"/>
                <w:sz w:val="24"/>
                <w:szCs w:val="24"/>
                <w:highlight w:val="none"/>
                <w:lang w:val="en-US" w:eastAsia="zh-CN"/>
              </w:rPr>
              <w:t>t/a(</w:t>
            </w:r>
            <w:r>
              <w:rPr>
                <w:rFonts w:hint="eastAsia" w:ascii="Times New Roman" w:hAnsi="Times New Roman" w:eastAsia="宋体" w:cs="Times New Roman"/>
                <w:color w:val="auto"/>
                <w:sz w:val="24"/>
                <w:szCs w:val="24"/>
                <w:lang w:val="en-US" w:eastAsia="zh-CN"/>
              </w:rPr>
              <w:t>无组织)。</w:t>
            </w:r>
          </w:p>
          <w:p>
            <w:pPr>
              <w:pStyle w:val="15"/>
              <w:ind w:firstLine="480" w:firstLineChars="200"/>
              <w:jc w:val="both"/>
              <w:rPr>
                <w:color w:val="auto"/>
                <w:sz w:val="24"/>
                <w:lang w:val="en-US" w:eastAsia="zh-CN"/>
              </w:rPr>
            </w:pPr>
            <w:r>
              <w:rPr>
                <w:color w:val="auto"/>
                <w:sz w:val="24"/>
                <w:szCs w:val="24"/>
                <w:lang w:val="en-US" w:eastAsia="zh-CN"/>
              </w:rPr>
              <w:t>根据《关于印发&lt;建设项目主要污染物排放总量指标审核及管理暂行办法&gt;的通知》（环发【2014】197号）的规定，“上一年度环境空气质量年平均浓度不达标的城市，相关污染物应按照建设项目所需替代的主要污染物排放总量指标的2倍进行削减替代。根据《安徽省环保厅关于进一步加强建设项目新增大气主要污染物总量指标管理工作的通知》淮南市属于上年度PM</w:t>
            </w:r>
            <w:r>
              <w:rPr>
                <w:color w:val="auto"/>
                <w:sz w:val="24"/>
                <w:szCs w:val="24"/>
                <w:vertAlign w:val="subscript"/>
                <w:lang w:val="en-US" w:eastAsia="zh-CN"/>
              </w:rPr>
              <w:t>2.5</w:t>
            </w:r>
            <w:r>
              <w:rPr>
                <w:color w:val="auto"/>
                <w:sz w:val="24"/>
                <w:szCs w:val="24"/>
                <w:lang w:val="en-US" w:eastAsia="zh-CN"/>
              </w:rPr>
              <w:t>不达标的城市，故该项目需申请总量：</w:t>
            </w:r>
            <w:r>
              <w:rPr>
                <w:sz w:val="24"/>
                <w:szCs w:val="24"/>
                <w:lang w:val="en-US" w:eastAsia="zh-CN"/>
              </w:rPr>
              <w:t>烟（粉）</w:t>
            </w:r>
            <w:r>
              <w:rPr>
                <w:sz w:val="24"/>
                <w:szCs w:val="24"/>
                <w:highlight w:val="none"/>
                <w:lang w:val="en-US" w:eastAsia="zh-CN"/>
              </w:rPr>
              <w:t>尘</w:t>
            </w:r>
            <w:r>
              <w:rPr>
                <w:rFonts w:hint="eastAsia" w:ascii="Times New Roman" w:hAnsi="Times New Roman" w:eastAsia="宋体" w:cs="Times New Roman"/>
                <w:color w:val="auto"/>
                <w:sz w:val="24"/>
                <w:szCs w:val="24"/>
                <w:highlight w:val="none"/>
                <w:lang w:val="en-US" w:eastAsia="zh-CN"/>
              </w:rPr>
              <w:t>约：</w:t>
            </w:r>
            <w:r>
              <w:rPr>
                <w:rFonts w:hint="eastAsia" w:cs="Times New Roman"/>
                <w:color w:val="auto"/>
                <w:sz w:val="24"/>
                <w:szCs w:val="24"/>
                <w:highlight w:val="none"/>
                <w:lang w:val="en-US" w:eastAsia="zh-CN"/>
              </w:rPr>
              <w:t>0.32</w:t>
            </w:r>
            <w:r>
              <w:rPr>
                <w:rFonts w:hint="eastAsia" w:ascii="Times New Roman" w:hAnsi="Times New Roman" w:eastAsia="宋体" w:cs="Times New Roman"/>
                <w:color w:val="auto"/>
                <w:sz w:val="24"/>
                <w:szCs w:val="24"/>
                <w:highlight w:val="none"/>
                <w:lang w:val="en-US" w:eastAsia="zh-CN"/>
              </w:rPr>
              <w:t>t/a</w:t>
            </w:r>
            <w:r>
              <w:rPr>
                <w:rFonts w:hint="eastAsia"/>
                <w:color w:val="auto"/>
                <w:sz w:val="24"/>
                <w:highlight w:val="none"/>
                <w:lang w:val="en-US" w:eastAsia="zh-CN"/>
              </w:rPr>
              <w:t>。</w:t>
            </w:r>
          </w:p>
          <w:p>
            <w:pPr>
              <w:rPr>
                <w:rFonts w:hint="eastAsia"/>
              </w:rPr>
            </w:pPr>
          </w:p>
          <w:p>
            <w:pPr>
              <w:pStyle w:val="16"/>
              <w:rPr>
                <w:rFonts w:hint="eastAsia"/>
              </w:rPr>
            </w:pPr>
          </w:p>
          <w:p>
            <w:pPr>
              <w:pStyle w:val="21"/>
            </w:pPr>
          </w:p>
        </w:tc>
      </w:tr>
    </w:tbl>
    <w:p>
      <w:pPr>
        <w:pStyle w:val="24"/>
        <w:jc w:val="center"/>
        <w:outlineLvl w:val="0"/>
        <w:rPr>
          <w:rFonts w:ascii="黑体" w:hAnsi="黑体" w:eastAsia="黑体"/>
          <w:snapToGrid w:val="0"/>
          <w:sz w:val="30"/>
          <w:szCs w:val="30"/>
        </w:rPr>
      </w:pPr>
      <w:r>
        <w:rPr>
          <w:rFonts w:ascii="黑体" w:hAnsi="黑体" w:eastAsia="黑体"/>
          <w:snapToGrid w:val="0"/>
          <w:sz w:val="36"/>
          <w:szCs w:val="36"/>
        </w:rPr>
        <w:br w:type="page"/>
      </w:r>
      <w:r>
        <w:rPr>
          <w:rStyle w:val="35"/>
          <w:rFonts w:hint="eastAsia"/>
        </w:rPr>
        <w:t>四、主要环境影响和保护措施</w:t>
      </w:r>
    </w:p>
    <w:tbl>
      <w:tblPr>
        <w:tblStyle w:val="28"/>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52"/>
        <w:gridCol w:w="86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352" w:type="dxa"/>
            <w:noWrap w:val="0"/>
            <w:tcMar>
              <w:left w:w="28" w:type="dxa"/>
              <w:right w:w="28" w:type="dxa"/>
            </w:tcMar>
            <w:vAlign w:val="center"/>
          </w:tcPr>
          <w:p>
            <w:pPr>
              <w:pStyle w:val="24"/>
              <w:adjustRightInd w:val="0"/>
              <w:snapToGrid w:val="0"/>
              <w:spacing w:before="0" w:beforeAutospacing="0" w:after="0" w:afterAutospacing="0"/>
              <w:jc w:val="center"/>
              <w:rPr>
                <w:rFonts w:hint="eastAsia" w:cs="宋体"/>
                <w:kern w:val="2"/>
                <w:szCs w:val="24"/>
                <w:lang w:val="en-US" w:eastAsia="zh-CN"/>
              </w:rPr>
            </w:pPr>
            <w:r>
              <w:rPr>
                <w:rFonts w:hint="eastAsia" w:cs="宋体"/>
                <w:kern w:val="2"/>
                <w:szCs w:val="24"/>
                <w:lang w:val="en-US" w:eastAsia="zh-CN"/>
              </w:rPr>
              <w:t>施工</w:t>
            </w:r>
          </w:p>
          <w:p>
            <w:pPr>
              <w:pStyle w:val="24"/>
              <w:adjustRightInd w:val="0"/>
              <w:snapToGrid w:val="0"/>
              <w:spacing w:before="0" w:beforeAutospacing="0" w:after="0" w:afterAutospacing="0"/>
              <w:jc w:val="center"/>
              <w:rPr>
                <w:rFonts w:hint="eastAsia" w:cs="宋体"/>
                <w:kern w:val="2"/>
                <w:szCs w:val="24"/>
                <w:lang w:val="en-US" w:eastAsia="zh-CN"/>
              </w:rPr>
            </w:pPr>
            <w:r>
              <w:rPr>
                <w:rFonts w:hint="eastAsia" w:cs="宋体"/>
                <w:kern w:val="2"/>
                <w:szCs w:val="24"/>
                <w:lang w:val="en-US" w:eastAsia="zh-CN"/>
              </w:rPr>
              <w:t>期环</w:t>
            </w:r>
          </w:p>
          <w:p>
            <w:pPr>
              <w:pStyle w:val="24"/>
              <w:adjustRightInd w:val="0"/>
              <w:snapToGrid w:val="0"/>
              <w:spacing w:before="0" w:beforeAutospacing="0" w:after="0" w:afterAutospacing="0"/>
              <w:jc w:val="center"/>
              <w:rPr>
                <w:rFonts w:hint="eastAsia" w:cs="宋体"/>
                <w:kern w:val="2"/>
                <w:szCs w:val="24"/>
                <w:lang w:val="en-US" w:eastAsia="zh-CN"/>
              </w:rPr>
            </w:pPr>
            <w:r>
              <w:rPr>
                <w:rFonts w:hint="eastAsia" w:cs="宋体"/>
                <w:kern w:val="2"/>
                <w:szCs w:val="24"/>
                <w:lang w:val="en-US" w:eastAsia="zh-CN"/>
              </w:rPr>
              <w:t>境保</w:t>
            </w:r>
          </w:p>
          <w:p>
            <w:pPr>
              <w:pStyle w:val="24"/>
              <w:adjustRightInd w:val="0"/>
              <w:snapToGrid w:val="0"/>
              <w:spacing w:before="0" w:beforeAutospacing="0" w:after="0" w:afterAutospacing="0"/>
              <w:jc w:val="center"/>
              <w:rPr>
                <w:rFonts w:hint="eastAsia" w:cs="宋体"/>
                <w:kern w:val="2"/>
                <w:szCs w:val="24"/>
                <w:lang w:val="en-US" w:eastAsia="zh-CN"/>
              </w:rPr>
            </w:pPr>
            <w:r>
              <w:rPr>
                <w:rFonts w:hint="eastAsia" w:cs="宋体"/>
                <w:kern w:val="2"/>
                <w:szCs w:val="24"/>
                <w:lang w:val="en-US" w:eastAsia="zh-CN"/>
              </w:rPr>
              <w:t>护措</w:t>
            </w:r>
          </w:p>
          <w:p>
            <w:pPr>
              <w:pStyle w:val="24"/>
              <w:adjustRightInd w:val="0"/>
              <w:snapToGrid w:val="0"/>
              <w:spacing w:before="0" w:beforeAutospacing="0" w:after="0" w:afterAutospacing="0"/>
              <w:jc w:val="center"/>
              <w:rPr>
                <w:rFonts w:hint="eastAsia" w:cs="宋体"/>
                <w:bCs/>
                <w:kern w:val="2"/>
                <w:szCs w:val="24"/>
                <w:lang w:val="en-US" w:eastAsia="zh-CN"/>
              </w:rPr>
            </w:pPr>
            <w:r>
              <w:rPr>
                <w:rFonts w:hint="eastAsia" w:cs="宋体"/>
                <w:kern w:val="2"/>
                <w:szCs w:val="24"/>
                <w:lang w:val="en-US" w:eastAsia="zh-CN"/>
              </w:rPr>
              <w:t>施</w:t>
            </w:r>
          </w:p>
        </w:tc>
        <w:tc>
          <w:tcPr>
            <w:tcW w:w="8629" w:type="dxa"/>
            <w:noWrap w:val="0"/>
            <w:vAlign w:val="center"/>
          </w:tcPr>
          <w:p>
            <w:pPr>
              <w:pStyle w:val="15"/>
              <w:ind w:firstLine="480" w:firstLineChars="200"/>
              <w:rPr>
                <w:rFonts w:hint="eastAsia"/>
                <w:color w:val="auto"/>
                <w:sz w:val="24"/>
                <w:szCs w:val="24"/>
                <w:lang w:val="en-US" w:eastAsia="zh-CN"/>
              </w:rPr>
            </w:pPr>
            <w:r>
              <w:rPr>
                <w:rFonts w:hint="eastAsia" w:ascii="Times New Roman" w:hAnsi="宋体" w:eastAsia="宋体" w:cs="Times New Roman"/>
                <w:color w:val="auto"/>
                <w:kern w:val="2"/>
                <w:sz w:val="24"/>
                <w:szCs w:val="24"/>
                <w:lang w:val="en-US" w:eastAsia="zh-CN"/>
              </w:rPr>
              <w:t>本项目位于</w:t>
            </w:r>
            <w:r>
              <w:rPr>
                <w:rFonts w:hint="eastAsia" w:hAnsi="宋体" w:cs="Times New Roman"/>
                <w:color w:val="auto"/>
                <w:kern w:val="2"/>
                <w:sz w:val="24"/>
                <w:szCs w:val="24"/>
                <w:lang w:val="en-US" w:eastAsia="zh-CN"/>
              </w:rPr>
              <w:t>淮南经济技术开发区</w:t>
            </w:r>
            <w:r>
              <w:rPr>
                <w:rFonts w:hint="eastAsia" w:ascii="Times New Roman" w:hAnsi="宋体" w:eastAsia="宋体" w:cs="Times New Roman"/>
                <w:color w:val="auto"/>
                <w:kern w:val="2"/>
                <w:sz w:val="24"/>
                <w:szCs w:val="24"/>
                <w:lang w:val="en-US" w:eastAsia="zh-CN"/>
              </w:rPr>
              <w:t>农科路南侧，淮南群力冶金煤矿机械制造有限公司院内，</w:t>
            </w:r>
            <w:r>
              <w:rPr>
                <w:rFonts w:hint="eastAsia" w:ascii="Times New Roman" w:hAnsi="Times New Roman" w:eastAsia="宋体" w:cs="Times New Roman"/>
                <w:bCs/>
                <w:sz w:val="24"/>
                <w:lang w:val="en-US" w:eastAsia="zh-CN"/>
              </w:rPr>
              <w:t>项目租赁现有厂房</w:t>
            </w:r>
            <w:r>
              <w:rPr>
                <w:rFonts w:hint="eastAsia"/>
                <w:color w:val="auto"/>
                <w:sz w:val="24"/>
                <w:szCs w:val="24"/>
                <w:lang w:val="en-US" w:eastAsia="zh-CN"/>
              </w:rPr>
              <w:t>，土建工程已完成，无土方开挖 、结构等施工期作业。施工期主要为设备安装，工期较短，施工期主要产生的环境影响为：施工人员产生的少量生活废水、生活垃圾，施工过程产生的少量施工废料、施工噪声等。</w:t>
            </w:r>
          </w:p>
          <w:p>
            <w:pPr>
              <w:pStyle w:val="15"/>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施工期环境保护措施如下：</w:t>
            </w:r>
          </w:p>
          <w:p>
            <w:pPr>
              <w:pStyle w:val="15"/>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（1）施工人员生活废水经化粪池预处理后排入市政污水管网。</w:t>
            </w:r>
          </w:p>
          <w:p>
            <w:pPr>
              <w:pStyle w:val="15"/>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（2）施工人员生活垃圾由垃圾桶收集后委托环卫清运。</w:t>
            </w:r>
          </w:p>
          <w:p>
            <w:pPr>
              <w:pStyle w:val="15"/>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（3）施工过程中的少量施工废料外售综合利用，不能利用部分混入生活垃圾。</w:t>
            </w:r>
          </w:p>
          <w:p>
            <w:pPr>
              <w:pStyle w:val="15"/>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（4）通过关闭厂房门窗降低施工噪声，选用低噪声施工机械，并采取减震、隔声等措施对周围环境的影响。</w:t>
            </w:r>
          </w:p>
          <w:p>
            <w:pPr>
              <w:pStyle w:val="15"/>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（5）加强施工现场管理，避免夜间施工。</w:t>
            </w:r>
          </w:p>
          <w:p>
            <w:pPr>
              <w:pStyle w:val="15"/>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通过采取上述措施，可降低对周围环境的不利影响，本项目施工期对环境影响较小。</w:t>
            </w:r>
          </w:p>
          <w:p>
            <w:pPr>
              <w:adjustRightInd w:val="0"/>
              <w:snapToGrid w:val="0"/>
              <w:rPr>
                <w:rFonts w:hint="eastAsia" w:ascii="宋体" w:hAnsi="宋体" w:cs="宋体"/>
                <w:bCs/>
                <w:color w:val="FF0000"/>
                <w:spacing w:val="-10"/>
                <w:sz w:val="24"/>
              </w:rPr>
            </w:pPr>
          </w:p>
          <w:p>
            <w:pPr>
              <w:pStyle w:val="16"/>
              <w:rPr>
                <w:rFonts w:hint="eastAsia"/>
              </w:rPr>
            </w:pPr>
          </w:p>
          <w:p>
            <w:pPr>
              <w:pStyle w:val="21"/>
              <w:rPr>
                <w:rFonts w:hint="eastAsia"/>
              </w:rPr>
            </w:pPr>
          </w:p>
          <w:p>
            <w:pPr>
              <w:rPr>
                <w:rFonts w:hint="eastAsia"/>
              </w:rPr>
            </w:pPr>
          </w:p>
          <w:p>
            <w:pPr>
              <w:pStyle w:val="16"/>
              <w:rPr>
                <w:rFonts w:hint="eastAsia"/>
              </w:rPr>
            </w:pPr>
          </w:p>
          <w:p>
            <w:pPr>
              <w:pStyle w:val="21"/>
              <w:rPr>
                <w:rFonts w:hint="eastAsia"/>
              </w:rPr>
            </w:pPr>
          </w:p>
          <w:p>
            <w:pPr>
              <w:rPr>
                <w:rFonts w:hint="eastAsia"/>
              </w:rPr>
            </w:pPr>
          </w:p>
          <w:p>
            <w:pPr>
              <w:pStyle w:val="16"/>
              <w:rPr>
                <w:rFonts w:hint="eastAsia"/>
              </w:rPr>
            </w:pPr>
          </w:p>
          <w:p>
            <w:pPr>
              <w:pStyle w:val="21"/>
              <w:rPr>
                <w:rFonts w:hint="eastAsia"/>
              </w:rPr>
            </w:pPr>
          </w:p>
          <w:p>
            <w:pPr>
              <w:rPr>
                <w:rFonts w:hint="eastAsia"/>
              </w:rPr>
            </w:pPr>
          </w:p>
          <w:p>
            <w:pPr>
              <w:pStyle w:val="16"/>
              <w:rPr>
                <w:rFonts w:hint="eastAsia"/>
              </w:rPr>
            </w:pPr>
          </w:p>
          <w:p>
            <w:pPr>
              <w:pStyle w:val="21"/>
              <w:rPr>
                <w:rFonts w:hint="eastAsia"/>
              </w:rPr>
            </w:pPr>
          </w:p>
          <w:p>
            <w:pPr>
              <w:rPr>
                <w:rFonts w:hint="eastAsia"/>
              </w:rPr>
            </w:pPr>
          </w:p>
          <w:p>
            <w:pPr>
              <w:pStyle w:val="16"/>
              <w:rPr>
                <w:rFonts w:hint="eastAsia"/>
              </w:rPr>
            </w:pPr>
          </w:p>
          <w:p>
            <w:pPr>
              <w:pStyle w:val="21"/>
              <w:rPr>
                <w:rFonts w:hint="eastAsia"/>
              </w:rPr>
            </w:pPr>
          </w:p>
          <w:p>
            <w:pPr>
              <w:rPr>
                <w:rFonts w:hint="eastAsia"/>
              </w:rPr>
            </w:pPr>
          </w:p>
          <w:p>
            <w:pPr>
              <w:pStyle w:val="16"/>
              <w:rPr>
                <w:rFonts w:hint="eastAsia"/>
              </w:rPr>
            </w:pPr>
          </w:p>
          <w:p>
            <w:pPr>
              <w:pStyle w:val="21"/>
              <w:rPr>
                <w:rFonts w:hint="eastAsia"/>
              </w:rPr>
            </w:pPr>
          </w:p>
          <w:p>
            <w:pPr>
              <w:rPr>
                <w:rFonts w:hint="eastAsia"/>
              </w:rPr>
            </w:pPr>
          </w:p>
          <w:p>
            <w:pPr>
              <w:pStyle w:val="16"/>
              <w:rPr>
                <w:rFonts w:hint="eastAsia"/>
              </w:rPr>
            </w:pPr>
          </w:p>
          <w:p>
            <w:pPr>
              <w:pStyle w:val="2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0" w:hRule="atLeast"/>
          <w:jc w:val="center"/>
        </w:trPr>
        <w:tc>
          <w:tcPr>
            <w:tcW w:w="352" w:type="dxa"/>
            <w:noWrap w:val="0"/>
            <w:tcMar>
              <w:left w:w="28" w:type="dxa"/>
              <w:right w:w="28" w:type="dxa"/>
            </w:tcMar>
            <w:vAlign w:val="center"/>
          </w:tcPr>
          <w:p>
            <w:pPr>
              <w:adjustRightInd w:val="0"/>
              <w:snapToGrid w:val="0"/>
              <w:jc w:val="center"/>
              <w:rPr>
                <w:rFonts w:hint="eastAsia" w:ascii="宋体" w:hAnsi="宋体" w:cs="宋体"/>
                <w:bCs/>
                <w:sz w:val="24"/>
              </w:rPr>
            </w:pPr>
            <w:r>
              <w:rPr>
                <w:rFonts w:hint="eastAsia" w:ascii="宋体" w:hAnsi="宋体" w:cs="宋体"/>
                <w:bCs/>
                <w:sz w:val="24"/>
              </w:rPr>
              <w:t>运营</w:t>
            </w:r>
          </w:p>
          <w:p>
            <w:pPr>
              <w:adjustRightInd w:val="0"/>
              <w:snapToGrid w:val="0"/>
              <w:jc w:val="center"/>
              <w:rPr>
                <w:rFonts w:hint="eastAsia" w:ascii="宋体" w:hAnsi="宋体" w:cs="宋体"/>
                <w:bCs/>
                <w:sz w:val="24"/>
              </w:rPr>
            </w:pPr>
            <w:r>
              <w:rPr>
                <w:rFonts w:hint="eastAsia" w:ascii="宋体" w:hAnsi="宋体" w:cs="宋体"/>
                <w:bCs/>
                <w:sz w:val="24"/>
              </w:rPr>
              <w:t>期环</w:t>
            </w:r>
          </w:p>
          <w:p>
            <w:pPr>
              <w:adjustRightInd w:val="0"/>
              <w:snapToGrid w:val="0"/>
              <w:jc w:val="center"/>
              <w:rPr>
                <w:rFonts w:hint="eastAsia" w:ascii="宋体" w:hAnsi="宋体" w:cs="宋体"/>
                <w:bCs/>
                <w:sz w:val="24"/>
              </w:rPr>
            </w:pPr>
            <w:r>
              <w:rPr>
                <w:rFonts w:hint="eastAsia" w:ascii="宋体" w:hAnsi="宋体" w:cs="宋体"/>
                <w:bCs/>
                <w:sz w:val="24"/>
              </w:rPr>
              <w:t>境影</w:t>
            </w:r>
          </w:p>
          <w:p>
            <w:pPr>
              <w:adjustRightInd w:val="0"/>
              <w:snapToGrid w:val="0"/>
              <w:jc w:val="center"/>
              <w:rPr>
                <w:rFonts w:hint="eastAsia" w:ascii="宋体" w:hAnsi="宋体" w:cs="宋体"/>
                <w:bCs/>
                <w:sz w:val="24"/>
              </w:rPr>
            </w:pPr>
            <w:r>
              <w:rPr>
                <w:rFonts w:hint="eastAsia" w:ascii="宋体" w:hAnsi="宋体" w:cs="宋体"/>
                <w:bCs/>
                <w:sz w:val="24"/>
              </w:rPr>
              <w:t>响和</w:t>
            </w:r>
          </w:p>
          <w:p>
            <w:pPr>
              <w:adjustRightInd w:val="0"/>
              <w:snapToGrid w:val="0"/>
              <w:jc w:val="center"/>
              <w:rPr>
                <w:rFonts w:hint="eastAsia" w:ascii="宋体" w:hAnsi="宋体" w:cs="宋体"/>
                <w:bCs/>
                <w:sz w:val="24"/>
              </w:rPr>
            </w:pPr>
            <w:r>
              <w:rPr>
                <w:rFonts w:hint="eastAsia" w:ascii="宋体" w:hAnsi="宋体" w:cs="宋体"/>
                <w:bCs/>
                <w:sz w:val="24"/>
              </w:rPr>
              <w:t>保护</w:t>
            </w:r>
          </w:p>
          <w:p>
            <w:pPr>
              <w:adjustRightInd w:val="0"/>
              <w:snapToGrid w:val="0"/>
              <w:jc w:val="center"/>
              <w:rPr>
                <w:rFonts w:ascii="宋体" w:hAnsi="宋体" w:cs="宋体"/>
                <w:bCs/>
                <w:sz w:val="24"/>
              </w:rPr>
            </w:pPr>
            <w:r>
              <w:rPr>
                <w:rFonts w:hint="eastAsia" w:ascii="宋体" w:hAnsi="宋体" w:cs="宋体"/>
                <w:bCs/>
                <w:sz w:val="24"/>
              </w:rPr>
              <w:t>措施</w:t>
            </w:r>
          </w:p>
        </w:tc>
        <w:tc>
          <w:tcPr>
            <w:tcW w:w="8629" w:type="dxa"/>
            <w:noWrap w:val="0"/>
            <w:vAlign w:val="top"/>
          </w:tcPr>
          <w:p>
            <w:pPr>
              <w:pStyle w:val="15"/>
              <w:snapToGrid/>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一、废气</w:t>
            </w:r>
          </w:p>
          <w:p>
            <w:pPr>
              <w:pStyle w:val="83"/>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Times New Roman" w:hAnsi="Times New Roman" w:cs="Times New Roman"/>
                <w:sz w:val="24"/>
                <w:lang w:eastAsia="zh-CN"/>
              </w:rPr>
            </w:pPr>
            <w:r>
              <w:rPr>
                <w:rFonts w:hint="eastAsia" w:ascii="Times New Roman" w:hAnsi="Times New Roman" w:cs="Times New Roman"/>
                <w:sz w:val="24"/>
                <w:lang w:val="en-US" w:eastAsia="zh-CN"/>
              </w:rPr>
              <w:t>1、</w:t>
            </w:r>
            <w:r>
              <w:rPr>
                <w:rFonts w:hint="eastAsia" w:ascii="Times New Roman" w:hAnsi="Times New Roman" w:cs="Times New Roman"/>
                <w:sz w:val="24"/>
                <w:lang w:eastAsia="zh-CN"/>
              </w:rPr>
              <w:t>正常工况</w:t>
            </w:r>
          </w:p>
          <w:p>
            <w:pPr>
              <w:pStyle w:val="83"/>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default" w:ascii="Times New Roman" w:hAnsi="Times New Roman" w:eastAsia="宋体" w:cs="Times New Roman"/>
                <w:color w:val="auto"/>
                <w:sz w:val="24"/>
                <w:szCs w:val="24"/>
                <w:lang w:val="en-US" w:eastAsia="zh-CN"/>
              </w:rPr>
            </w:pPr>
            <w:r>
              <w:rPr>
                <w:sz w:val="24"/>
              </w:rPr>
              <w:t>根据对企业的生产工艺流程、生产设备和原辅材料的分析，本项目运营期废气主要来源于酸洗过程中产生的硫酸雾及少量的</w:t>
            </w:r>
            <w:r>
              <w:rPr>
                <w:rFonts w:hint="eastAsia"/>
                <w:sz w:val="24"/>
                <w:lang w:eastAsia="zh-CN"/>
              </w:rPr>
              <w:t>打磨</w:t>
            </w:r>
            <w:r>
              <w:rPr>
                <w:sz w:val="24"/>
              </w:rPr>
              <w:t>粉尘。</w:t>
            </w:r>
          </w:p>
          <w:p>
            <w:pPr>
              <w:spacing w:line="360" w:lineRule="auto"/>
              <w:ind w:firstLine="456" w:firstLineChars="200"/>
              <w:rPr>
                <w:rFonts w:hint="eastAsia" w:ascii="Times New Roman" w:hAnsi="Times New Roman" w:eastAsia="宋体" w:cs="Times New Roman"/>
                <w:color w:val="auto"/>
                <w:sz w:val="24"/>
                <w:szCs w:val="24"/>
                <w:lang w:val="en-US" w:eastAsia="zh-CN"/>
              </w:rPr>
            </w:pPr>
            <w:r>
              <w:rPr>
                <w:spacing w:val="-6"/>
                <w:sz w:val="24"/>
              </w:rPr>
              <w:t xml:space="preserve">根据生态环境部 </w:t>
            </w:r>
            <w:r>
              <w:rPr>
                <w:rFonts w:ascii="Times New Roman" w:hAnsi="Times New Roman" w:eastAsia="Times New Roman"/>
                <w:sz w:val="24"/>
              </w:rPr>
              <w:t>2020</w:t>
            </w:r>
            <w:r>
              <w:rPr>
                <w:rFonts w:ascii="Times New Roman" w:hAnsi="Times New Roman" w:eastAsia="Times New Roman"/>
                <w:spacing w:val="14"/>
                <w:sz w:val="24"/>
              </w:rPr>
              <w:t xml:space="preserve"> </w:t>
            </w:r>
            <w:r>
              <w:rPr>
                <w:spacing w:val="-24"/>
                <w:sz w:val="24"/>
              </w:rPr>
              <w:t xml:space="preserve">年 </w:t>
            </w:r>
            <w:r>
              <w:rPr>
                <w:rFonts w:ascii="Times New Roman" w:hAnsi="Times New Roman" w:eastAsia="Times New Roman"/>
                <w:sz w:val="24"/>
              </w:rPr>
              <w:t>3</w:t>
            </w:r>
            <w:r>
              <w:rPr>
                <w:spacing w:val="-24"/>
                <w:sz w:val="24"/>
              </w:rPr>
              <w:t xml:space="preserve">月 </w:t>
            </w:r>
            <w:r>
              <w:rPr>
                <w:rFonts w:ascii="Times New Roman" w:hAnsi="Times New Roman" w:eastAsia="Times New Roman"/>
                <w:sz w:val="24"/>
              </w:rPr>
              <w:t>1</w:t>
            </w:r>
            <w:r>
              <w:rPr>
                <w:sz w:val="24"/>
              </w:rPr>
              <w:t>日发布的《污染源源强核算技术指南 汽车制</w:t>
            </w:r>
            <w:r>
              <w:rPr>
                <w:spacing w:val="-64"/>
                <w:sz w:val="24"/>
              </w:rPr>
              <w:t>造》</w:t>
            </w:r>
            <w:r>
              <w:rPr>
                <w:sz w:val="24"/>
              </w:rPr>
              <w:t>（</w:t>
            </w:r>
            <w:r>
              <w:rPr>
                <w:rFonts w:ascii="Times New Roman" w:hAnsi="Times New Roman" w:eastAsia="Times New Roman"/>
                <w:sz w:val="24"/>
              </w:rPr>
              <w:t>HJ1097-2020</w:t>
            </w:r>
            <w:r>
              <w:rPr>
                <w:sz w:val="24"/>
              </w:rPr>
              <w:t>）</w:t>
            </w:r>
            <w:r>
              <w:rPr>
                <w:spacing w:val="-21"/>
                <w:sz w:val="24"/>
              </w:rPr>
              <w:t xml:space="preserve">中表 </w:t>
            </w:r>
            <w:r>
              <w:rPr>
                <w:rFonts w:ascii="Times New Roman" w:hAnsi="Times New Roman" w:eastAsia="Times New Roman"/>
                <w:sz w:val="24"/>
              </w:rPr>
              <w:t>1</w:t>
            </w:r>
            <w:r>
              <w:rPr>
                <w:rFonts w:ascii="Times New Roman" w:hAnsi="Times New Roman" w:eastAsia="Times New Roman"/>
                <w:spacing w:val="-2"/>
                <w:sz w:val="24"/>
              </w:rPr>
              <w:t xml:space="preserve"> </w:t>
            </w:r>
            <w:r>
              <w:rPr>
                <w:spacing w:val="-4"/>
                <w:sz w:val="24"/>
              </w:rPr>
              <w:t>可知，酸洗废气可参考《污染源源强核算技术指南 电</w:t>
            </w:r>
            <w:r>
              <w:rPr>
                <w:spacing w:val="-62"/>
                <w:sz w:val="24"/>
              </w:rPr>
              <w:t>镀》</w:t>
            </w:r>
            <w:r>
              <w:rPr>
                <w:sz w:val="24"/>
              </w:rPr>
              <w:t>（</w:t>
            </w:r>
            <w:r>
              <w:rPr>
                <w:rFonts w:ascii="Times New Roman" w:hAnsi="Times New Roman" w:eastAsia="Times New Roman"/>
                <w:sz w:val="24"/>
              </w:rPr>
              <w:t>HJ984-2018</w:t>
            </w:r>
            <w:r>
              <w:rPr>
                <w:sz w:val="24"/>
              </w:rPr>
              <w:t>）中相应污染物的产污系数进行核算</w:t>
            </w:r>
            <w:r>
              <w:rPr>
                <w:rFonts w:ascii="Times New Roman" w:hAnsi="Times New Roman" w:eastAsia="Times New Roman"/>
                <w:sz w:val="24"/>
              </w:rPr>
              <w:t>,</w:t>
            </w:r>
            <w:r>
              <w:rPr>
                <w:spacing w:val="-1"/>
                <w:sz w:val="24"/>
              </w:rPr>
              <w:t xml:space="preserve">根据附录 </w:t>
            </w:r>
            <w:r>
              <w:rPr>
                <w:rFonts w:ascii="Times New Roman" w:hAnsi="Times New Roman" w:eastAsia="Times New Roman"/>
                <w:sz w:val="24"/>
              </w:rPr>
              <w:t>B</w:t>
            </w:r>
            <w:r>
              <w:rPr>
                <w:sz w:val="24"/>
              </w:rPr>
              <w:t>可知：</w:t>
            </w:r>
            <w:r>
              <w:rPr>
                <w:rFonts w:hint="eastAsia"/>
                <w:sz w:val="24"/>
                <w:lang w:eastAsia="zh-CN"/>
              </w:rPr>
              <w:t>根据建设单位提供数据，氯化氢质量百分浓度约为</w:t>
            </w:r>
            <w:r>
              <w:rPr>
                <w:rFonts w:hint="eastAsia"/>
                <w:sz w:val="24"/>
                <w:lang w:val="en-US" w:eastAsia="zh-CN"/>
              </w:rPr>
              <w:t>18%，则</w:t>
            </w:r>
            <w:r>
              <w:rPr>
                <w:rFonts w:hint="eastAsia"/>
                <w:sz w:val="24"/>
                <w:lang w:eastAsia="zh-CN"/>
              </w:rPr>
              <w:t>酸雾</w:t>
            </w:r>
            <w:r>
              <w:rPr>
                <w:spacing w:val="-8"/>
                <w:sz w:val="24"/>
              </w:rPr>
              <w:t>排放系数取</w:t>
            </w:r>
            <w:r>
              <w:rPr>
                <w:rFonts w:hint="eastAsia"/>
                <w:spacing w:val="-8"/>
                <w:sz w:val="24"/>
                <w:lang w:val="en-US" w:eastAsia="zh-CN"/>
              </w:rPr>
              <w:t>220</w:t>
            </w:r>
            <w:r>
              <w:rPr>
                <w:rFonts w:ascii="Times New Roman" w:hAnsi="Times New Roman" w:eastAsia="Times New Roman"/>
                <w:spacing w:val="-9"/>
                <w:sz w:val="24"/>
              </w:rPr>
              <w:t>g/(m</w:t>
            </w:r>
            <w:r>
              <w:rPr>
                <w:rFonts w:ascii="Times New Roman" w:hAnsi="Times New Roman" w:eastAsia="Times New Roman"/>
                <w:spacing w:val="-9"/>
                <w:position w:val="9"/>
                <w:sz w:val="16"/>
              </w:rPr>
              <w:t>2</w:t>
            </w:r>
            <w:r>
              <w:rPr>
                <w:spacing w:val="-9"/>
                <w:sz w:val="24"/>
              </w:rPr>
              <w:t>·</w:t>
            </w:r>
            <w:r>
              <w:rPr>
                <w:rFonts w:ascii="Times New Roman" w:hAnsi="Times New Roman" w:eastAsia="Times New Roman"/>
                <w:spacing w:val="-9"/>
                <w:sz w:val="24"/>
              </w:rPr>
              <w:t>h)</w:t>
            </w:r>
            <w:r>
              <w:rPr>
                <w:spacing w:val="-4"/>
                <w:sz w:val="24"/>
              </w:rPr>
              <w:t>，槽体液面面积为：</w:t>
            </w:r>
            <w:r>
              <w:rPr>
                <w:rFonts w:hint="eastAsia" w:ascii="Times New Roman" w:hAnsi="Times New Roman" w:eastAsia="宋体"/>
                <w:spacing w:val="-8"/>
                <w:sz w:val="24"/>
                <w:lang w:val="en-US" w:eastAsia="zh-CN"/>
              </w:rPr>
              <w:t>3</w:t>
            </w:r>
            <w:r>
              <w:rPr>
                <w:spacing w:val="-8"/>
                <w:sz w:val="24"/>
              </w:rPr>
              <w:t>×</w:t>
            </w:r>
            <w:r>
              <w:rPr>
                <w:rFonts w:hint="eastAsia" w:ascii="Times New Roman" w:hAnsi="Times New Roman" w:eastAsia="宋体"/>
                <w:spacing w:val="-8"/>
                <w:sz w:val="24"/>
                <w:lang w:val="en-US" w:eastAsia="zh-CN"/>
              </w:rPr>
              <w:t>2</w:t>
            </w:r>
            <w:r>
              <w:rPr>
                <w:rFonts w:ascii="Times New Roman" w:hAnsi="Times New Roman" w:eastAsia="Times New Roman"/>
                <w:spacing w:val="-8"/>
                <w:sz w:val="24"/>
              </w:rPr>
              <w:t>=</w:t>
            </w:r>
            <w:r>
              <w:rPr>
                <w:rFonts w:hint="eastAsia" w:ascii="Times New Roman" w:hAnsi="Times New Roman" w:eastAsia="宋体"/>
                <w:spacing w:val="-8"/>
                <w:sz w:val="24"/>
                <w:lang w:val="en-US" w:eastAsia="zh-CN"/>
              </w:rPr>
              <w:t>6</w:t>
            </w:r>
            <w:r>
              <w:rPr>
                <w:rFonts w:ascii="Times New Roman" w:hAnsi="Times New Roman" w:eastAsia="Times New Roman"/>
                <w:spacing w:val="-8"/>
                <w:sz w:val="24"/>
              </w:rPr>
              <w:t>m</w:t>
            </w:r>
            <w:r>
              <w:rPr>
                <w:rFonts w:ascii="Times New Roman" w:hAnsi="Times New Roman" w:eastAsia="Times New Roman"/>
                <w:spacing w:val="-8"/>
                <w:position w:val="9"/>
                <w:sz w:val="16"/>
              </w:rPr>
              <w:t>2</w:t>
            </w:r>
            <w:r>
              <w:rPr>
                <w:spacing w:val="-3"/>
                <w:sz w:val="24"/>
              </w:rPr>
              <w:t>，则酸雾产生量为</w:t>
            </w:r>
            <w:r>
              <w:rPr>
                <w:rFonts w:hint="eastAsia"/>
                <w:spacing w:val="-3"/>
                <w:sz w:val="24"/>
                <w:lang w:eastAsia="zh-CN"/>
              </w:rPr>
              <w:t>：</w:t>
            </w:r>
            <w:r>
              <w:rPr>
                <w:rFonts w:hint="eastAsia"/>
                <w:spacing w:val="-8"/>
                <w:sz w:val="24"/>
                <w:lang w:val="en-US" w:eastAsia="zh-CN"/>
              </w:rPr>
              <w:t>220</w:t>
            </w:r>
            <w:r>
              <w:rPr>
                <w:spacing w:val="-3"/>
                <w:sz w:val="24"/>
              </w:rPr>
              <w:t>×</w:t>
            </w:r>
            <w:r>
              <w:rPr>
                <w:rFonts w:ascii="Times New Roman" w:hAnsi="Times New Roman" w:eastAsia="Times New Roman"/>
                <w:spacing w:val="-3"/>
                <w:sz w:val="24"/>
              </w:rPr>
              <w:t>6m</w:t>
            </w:r>
            <w:r>
              <w:rPr>
                <w:rFonts w:ascii="Times New Roman" w:hAnsi="Times New Roman" w:eastAsia="Times New Roman"/>
                <w:spacing w:val="-3"/>
                <w:position w:val="9"/>
                <w:sz w:val="16"/>
              </w:rPr>
              <w:t>2</w:t>
            </w:r>
            <w:r>
              <w:rPr>
                <w:spacing w:val="-3"/>
                <w:sz w:val="24"/>
              </w:rPr>
              <w:t>×</w:t>
            </w:r>
            <w:r>
              <w:rPr>
                <w:rFonts w:hint="eastAsia" w:ascii="Times New Roman" w:hAnsi="Times New Roman" w:eastAsia="宋体"/>
                <w:spacing w:val="-3"/>
                <w:sz w:val="24"/>
                <w:lang w:val="en-US" w:eastAsia="zh-CN"/>
              </w:rPr>
              <w:t>16</w:t>
            </w:r>
            <w:r>
              <w:rPr>
                <w:rFonts w:ascii="Times New Roman" w:hAnsi="Times New Roman" w:eastAsia="Times New Roman"/>
                <w:spacing w:val="-3"/>
                <w:sz w:val="24"/>
              </w:rPr>
              <w:t>00h</w:t>
            </w:r>
            <w:r>
              <w:rPr>
                <w:spacing w:val="-3"/>
                <w:sz w:val="24"/>
              </w:rPr>
              <w:t>×</w:t>
            </w:r>
            <w:r>
              <w:rPr>
                <w:rFonts w:ascii="Times New Roman" w:hAnsi="Times New Roman" w:eastAsia="Times New Roman"/>
                <w:spacing w:val="-3"/>
                <w:sz w:val="24"/>
              </w:rPr>
              <w:t>10</w:t>
            </w:r>
            <w:r>
              <w:rPr>
                <w:rFonts w:ascii="Times New Roman" w:hAnsi="Times New Roman" w:eastAsia="Times New Roman"/>
                <w:spacing w:val="-3"/>
                <w:position w:val="9"/>
                <w:sz w:val="16"/>
              </w:rPr>
              <w:t>-6</w:t>
            </w:r>
            <w:r>
              <w:rPr>
                <w:rFonts w:ascii="Times New Roman" w:hAnsi="Times New Roman" w:eastAsia="Times New Roman"/>
                <w:spacing w:val="-3"/>
                <w:sz w:val="24"/>
              </w:rPr>
              <w:t>=</w:t>
            </w:r>
            <w:r>
              <w:rPr>
                <w:rFonts w:hint="eastAsia" w:ascii="Times New Roman" w:hAnsi="Times New Roman" w:eastAsia="宋体"/>
                <w:spacing w:val="-3"/>
                <w:sz w:val="24"/>
                <w:lang w:val="en-US" w:eastAsia="zh-CN"/>
              </w:rPr>
              <w:t>2.112</w:t>
            </w:r>
            <w:r>
              <w:rPr>
                <w:rFonts w:ascii="Times New Roman" w:hAnsi="Times New Roman" w:eastAsia="Times New Roman"/>
                <w:spacing w:val="-3"/>
                <w:sz w:val="24"/>
              </w:rPr>
              <w:t>t/a</w:t>
            </w:r>
            <w:r>
              <w:rPr>
                <w:sz w:val="24"/>
              </w:rPr>
              <w:t>。为减轻酸洗废气对环境的影响，建设单位拟</w:t>
            </w:r>
            <w:r>
              <w:rPr>
                <w:spacing w:val="-3"/>
                <w:sz w:val="24"/>
              </w:rPr>
              <w:t>采取“集气罩</w:t>
            </w:r>
            <w:r>
              <w:rPr>
                <w:rFonts w:ascii="Times New Roman" w:hAnsi="Times New Roman" w:eastAsia="Times New Roman"/>
                <w:sz w:val="24"/>
              </w:rPr>
              <w:t>+</w:t>
            </w:r>
            <w:r>
              <w:rPr>
                <w:sz w:val="24"/>
              </w:rPr>
              <w:t>碱液喷淋塔</w:t>
            </w:r>
            <w:r>
              <w:rPr>
                <w:rFonts w:ascii="Times New Roman" w:hAnsi="Times New Roman" w:eastAsia="Times New Roman"/>
                <w:sz w:val="24"/>
              </w:rPr>
              <w:t xml:space="preserve">+15m </w:t>
            </w:r>
            <w:r>
              <w:rPr>
                <w:spacing w:val="-6"/>
                <w:sz w:val="24"/>
              </w:rPr>
              <w:t>排气筒”装置对其进行处理，酸洗池侧边设置</w:t>
            </w:r>
            <w:r>
              <w:rPr>
                <w:spacing w:val="-4"/>
                <w:sz w:val="24"/>
              </w:rPr>
              <w:t xml:space="preserve">集气罩，废气收集效率为 </w:t>
            </w:r>
            <w:r>
              <w:rPr>
                <w:rFonts w:ascii="Times New Roman" w:hAnsi="Times New Roman" w:eastAsia="Times New Roman"/>
                <w:sz w:val="24"/>
              </w:rPr>
              <w:t>90</w:t>
            </w:r>
            <w:r>
              <w:rPr>
                <w:rFonts w:ascii="Times New Roman" w:hAnsi="Times New Roman" w:eastAsia="Times New Roman"/>
                <w:spacing w:val="-1"/>
                <w:sz w:val="24"/>
              </w:rPr>
              <w:t>%</w:t>
            </w:r>
            <w:r>
              <w:rPr>
                <w:sz w:val="24"/>
              </w:rPr>
              <w:t>，</w:t>
            </w:r>
            <w:r>
              <w:rPr>
                <w:spacing w:val="-4"/>
                <w:sz w:val="24"/>
              </w:rPr>
              <w:t xml:space="preserve">处理效率为 </w:t>
            </w:r>
            <w:r>
              <w:rPr>
                <w:rFonts w:ascii="Times New Roman" w:hAnsi="Times New Roman" w:eastAsia="Times New Roman"/>
                <w:sz w:val="24"/>
              </w:rPr>
              <w:t>90%</w:t>
            </w:r>
            <w:r>
              <w:rPr>
                <w:sz w:val="24"/>
              </w:rPr>
              <w:t>（根据《污染源源强核</w:t>
            </w:r>
            <w:r>
              <w:rPr>
                <w:spacing w:val="-11"/>
                <w:sz w:val="24"/>
              </w:rPr>
              <w:t>算技术指南 汽车制造》</w:t>
            </w:r>
            <w:r>
              <w:rPr>
                <w:sz w:val="24"/>
              </w:rPr>
              <w:t>（</w:t>
            </w:r>
            <w:r>
              <w:rPr>
                <w:rFonts w:ascii="Times New Roman" w:hAnsi="Times New Roman" w:eastAsia="Times New Roman"/>
                <w:sz w:val="24"/>
              </w:rPr>
              <w:t>1097</w:t>
            </w:r>
            <w:r>
              <w:rPr>
                <w:rFonts w:ascii="Times New Roman" w:hAnsi="Times New Roman" w:eastAsia="Times New Roman"/>
                <w:spacing w:val="-1"/>
                <w:sz w:val="24"/>
              </w:rPr>
              <w:t>-</w:t>
            </w:r>
            <w:r>
              <w:rPr>
                <w:rFonts w:ascii="Times New Roman" w:hAnsi="Times New Roman" w:eastAsia="Times New Roman"/>
                <w:sz w:val="24"/>
              </w:rPr>
              <w:t>2020</w:t>
            </w:r>
            <w:r>
              <w:rPr>
                <w:sz w:val="24"/>
              </w:rPr>
              <w:t>）</w:t>
            </w:r>
            <w:r>
              <w:rPr>
                <w:spacing w:val="-11"/>
                <w:sz w:val="24"/>
              </w:rPr>
              <w:t xml:space="preserve">附录 </w:t>
            </w:r>
            <w:r>
              <w:rPr>
                <w:rFonts w:ascii="Times New Roman" w:hAnsi="Times New Roman" w:eastAsia="Times New Roman"/>
                <w:sz w:val="24"/>
              </w:rPr>
              <w:t>F</w:t>
            </w:r>
            <w:r>
              <w:rPr>
                <w:sz w:val="24"/>
              </w:rPr>
              <w:t>得</w:t>
            </w:r>
            <w:r>
              <w:rPr>
                <w:spacing w:val="-120"/>
                <w:sz w:val="24"/>
              </w:rPr>
              <w:t>）</w:t>
            </w:r>
            <w:r>
              <w:rPr>
                <w:spacing w:val="-4"/>
                <w:sz w:val="24"/>
              </w:rPr>
              <w:t>，</w:t>
            </w:r>
            <w:r>
              <w:rPr>
                <w:sz w:val="24"/>
              </w:rPr>
              <w:t>风机风</w:t>
            </w:r>
            <w:r>
              <w:rPr>
                <w:spacing w:val="-31"/>
                <w:sz w:val="24"/>
              </w:rPr>
              <w:t xml:space="preserve">量 </w:t>
            </w:r>
            <w:r>
              <w:rPr>
                <w:rFonts w:ascii="Times New Roman" w:hAnsi="Times New Roman" w:eastAsia="Times New Roman"/>
                <w:sz w:val="24"/>
              </w:rPr>
              <w:t>30000m</w:t>
            </w:r>
            <w:r>
              <w:rPr>
                <w:rFonts w:ascii="Times New Roman" w:hAnsi="Times New Roman" w:eastAsia="Times New Roman"/>
                <w:position w:val="9"/>
                <w:sz w:val="16"/>
              </w:rPr>
              <w:t>3</w:t>
            </w:r>
            <w:r>
              <w:rPr>
                <w:rFonts w:ascii="Times New Roman" w:hAnsi="Times New Roman" w:eastAsia="Times New Roman"/>
                <w:sz w:val="24"/>
              </w:rPr>
              <w:t xml:space="preserve">/h </w:t>
            </w:r>
            <w:r>
              <w:rPr>
                <w:spacing w:val="-5"/>
                <w:sz w:val="24"/>
              </w:rPr>
              <w:t xml:space="preserve">计，则酸洗废气无组织排放量为 </w:t>
            </w:r>
            <w:r>
              <w:rPr>
                <w:rFonts w:ascii="Times New Roman" w:hAnsi="Times New Roman" w:eastAsia="Times New Roman"/>
                <w:sz w:val="24"/>
              </w:rPr>
              <w:t>0.</w:t>
            </w:r>
            <w:r>
              <w:rPr>
                <w:rFonts w:hint="eastAsia" w:ascii="Times New Roman" w:hAnsi="Times New Roman" w:eastAsia="宋体"/>
                <w:sz w:val="24"/>
                <w:lang w:val="en-US" w:eastAsia="zh-CN"/>
              </w:rPr>
              <w:t>211</w:t>
            </w:r>
            <w:r>
              <w:rPr>
                <w:rFonts w:ascii="Times New Roman" w:hAnsi="Times New Roman" w:eastAsia="Times New Roman"/>
                <w:sz w:val="24"/>
              </w:rPr>
              <w:t>t/a</w:t>
            </w:r>
            <w:r>
              <w:rPr>
                <w:spacing w:val="-7"/>
                <w:sz w:val="24"/>
              </w:rPr>
              <w:t>，</w:t>
            </w:r>
            <w:r>
              <w:rPr>
                <w:spacing w:val="-5"/>
                <w:sz w:val="24"/>
              </w:rPr>
              <w:t>无组织排放</w:t>
            </w:r>
            <w:r>
              <w:rPr>
                <w:rFonts w:hint="eastAsia"/>
                <w:spacing w:val="-5"/>
                <w:sz w:val="24"/>
                <w:lang w:eastAsia="zh-CN"/>
              </w:rPr>
              <w:t>速率为</w:t>
            </w:r>
            <w:r>
              <w:rPr>
                <w:rFonts w:hint="eastAsia"/>
                <w:spacing w:val="-5"/>
                <w:sz w:val="24"/>
                <w:lang w:val="en-US" w:eastAsia="zh-CN"/>
              </w:rPr>
              <w:t>0.132</w:t>
            </w:r>
            <w:r>
              <w:rPr>
                <w:rFonts w:ascii="Times New Roman" w:hAnsi="Times New Roman" w:eastAsia="Times New Roman"/>
                <w:sz w:val="21"/>
              </w:rPr>
              <w:t>kg/h</w:t>
            </w:r>
            <w:r>
              <w:rPr>
                <w:rFonts w:hint="eastAsia" w:eastAsia="宋体"/>
                <w:sz w:val="21"/>
                <w:lang w:eastAsia="zh-CN"/>
              </w:rPr>
              <w:t>；</w:t>
            </w:r>
            <w:r>
              <w:rPr>
                <w:spacing w:val="-7"/>
                <w:sz w:val="24"/>
              </w:rPr>
              <w:t xml:space="preserve">有组织排放量为 </w:t>
            </w:r>
            <w:r>
              <w:rPr>
                <w:rFonts w:ascii="Times New Roman" w:hAnsi="Times New Roman" w:eastAsia="Times New Roman"/>
                <w:sz w:val="24"/>
              </w:rPr>
              <w:t>0.</w:t>
            </w:r>
            <w:r>
              <w:rPr>
                <w:rFonts w:hint="eastAsia" w:ascii="Times New Roman" w:hAnsi="Times New Roman" w:eastAsia="宋体"/>
                <w:sz w:val="24"/>
                <w:lang w:val="en-US" w:eastAsia="zh-CN"/>
              </w:rPr>
              <w:t>19</w:t>
            </w:r>
            <w:r>
              <w:rPr>
                <w:rFonts w:ascii="Times New Roman" w:hAnsi="Times New Roman" w:eastAsia="Times New Roman"/>
                <w:sz w:val="24"/>
              </w:rPr>
              <w:t>t/a</w:t>
            </w:r>
            <w:r>
              <w:rPr>
                <w:sz w:val="24"/>
              </w:rPr>
              <w:t xml:space="preserve">， </w:t>
            </w:r>
            <w:r>
              <w:rPr>
                <w:spacing w:val="-10"/>
                <w:sz w:val="24"/>
              </w:rPr>
              <w:t>排放浓度为</w:t>
            </w:r>
            <w:r>
              <w:rPr>
                <w:rFonts w:hint="eastAsia"/>
                <w:spacing w:val="-10"/>
                <w:sz w:val="24"/>
                <w:lang w:val="en-US" w:eastAsia="zh-CN"/>
              </w:rPr>
              <w:t>3.96</w:t>
            </w:r>
            <w:r>
              <w:rPr>
                <w:rFonts w:ascii="Times New Roman" w:hAnsi="Times New Roman" w:eastAsia="Times New Roman"/>
                <w:sz w:val="24"/>
              </w:rPr>
              <w:t>mg/m</w:t>
            </w:r>
            <w:r>
              <w:rPr>
                <w:rFonts w:ascii="Times New Roman" w:hAnsi="Times New Roman" w:eastAsia="Times New Roman"/>
                <w:position w:val="9"/>
                <w:sz w:val="16"/>
              </w:rPr>
              <w:t>3</w:t>
            </w:r>
            <w:r>
              <w:rPr>
                <w:spacing w:val="-9"/>
                <w:sz w:val="24"/>
              </w:rPr>
              <w:t xml:space="preserve">，排放速率为 </w:t>
            </w:r>
            <w:r>
              <w:rPr>
                <w:rFonts w:ascii="Times New Roman" w:hAnsi="Times New Roman" w:eastAsia="Times New Roman"/>
                <w:sz w:val="24"/>
              </w:rPr>
              <w:t>0.</w:t>
            </w:r>
            <w:r>
              <w:rPr>
                <w:rFonts w:hint="eastAsia" w:ascii="Times New Roman" w:hAnsi="Times New Roman" w:eastAsia="宋体"/>
                <w:sz w:val="24"/>
                <w:lang w:val="en-US" w:eastAsia="zh-CN"/>
              </w:rPr>
              <w:t>119</w:t>
            </w:r>
            <w:r>
              <w:rPr>
                <w:rFonts w:ascii="Times New Roman" w:hAnsi="Times New Roman" w:eastAsia="Times New Roman"/>
                <w:sz w:val="21"/>
              </w:rPr>
              <w:t>kg/h</w:t>
            </w:r>
            <w:r>
              <w:rPr>
                <w:rFonts w:hint="eastAsia" w:ascii="Times New Roman" w:hAnsi="Times New Roman" w:eastAsia="宋体" w:cs="Times New Roman"/>
                <w:color w:val="auto"/>
                <w:sz w:val="24"/>
                <w:szCs w:val="24"/>
                <w:lang w:val="en-US" w:eastAsia="zh-CN"/>
              </w:rPr>
              <w:t>。</w:t>
            </w:r>
          </w:p>
          <w:p>
            <w:pPr>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sz w:val="24"/>
              </w:rPr>
              <w:t>本项目对一部分酸洗的</w:t>
            </w:r>
            <w:r>
              <w:rPr>
                <w:rFonts w:hint="eastAsia"/>
                <w:sz w:val="24"/>
                <w:lang w:eastAsia="zh-CN"/>
              </w:rPr>
              <w:t>钢件</w:t>
            </w:r>
            <w:r>
              <w:rPr>
                <w:sz w:val="24"/>
              </w:rPr>
              <w:t>进行打磨，</w:t>
            </w:r>
            <w:r>
              <w:rPr>
                <w:spacing w:val="-8"/>
                <w:sz w:val="24"/>
              </w:rPr>
              <w:t xml:space="preserve">根据生态环境部 </w:t>
            </w:r>
            <w:r>
              <w:rPr>
                <w:rFonts w:ascii="Times New Roman" w:hAnsi="Times New Roman" w:eastAsia="Times New Roman"/>
                <w:sz w:val="24"/>
              </w:rPr>
              <w:t xml:space="preserve">2021 </w:t>
            </w:r>
            <w:r>
              <w:rPr>
                <w:spacing w:val="-30"/>
                <w:sz w:val="24"/>
              </w:rPr>
              <w:t xml:space="preserve">年 </w:t>
            </w:r>
            <w:r>
              <w:rPr>
                <w:rFonts w:ascii="Times New Roman" w:hAnsi="Times New Roman" w:eastAsia="Times New Roman"/>
                <w:sz w:val="24"/>
              </w:rPr>
              <w:t xml:space="preserve">6 </w:t>
            </w:r>
            <w:r>
              <w:rPr>
                <w:spacing w:val="-30"/>
                <w:sz w:val="24"/>
              </w:rPr>
              <w:t xml:space="preserve">月 </w:t>
            </w:r>
            <w:r>
              <w:rPr>
                <w:rFonts w:ascii="Times New Roman" w:hAnsi="Times New Roman" w:eastAsia="Times New Roman"/>
                <w:sz w:val="24"/>
              </w:rPr>
              <w:t xml:space="preserve">9 </w:t>
            </w:r>
            <w:r>
              <w:rPr>
                <w:spacing w:val="-7"/>
                <w:sz w:val="24"/>
              </w:rPr>
              <w:t>日发布的《排放源统计调查产排污核算方法和系数</w:t>
            </w:r>
            <w:r>
              <w:rPr>
                <w:spacing w:val="-18"/>
                <w:sz w:val="24"/>
              </w:rPr>
              <w:t xml:space="preserve">手册》中附表 </w:t>
            </w:r>
            <w:r>
              <w:rPr>
                <w:rFonts w:ascii="Times New Roman" w:hAnsi="Times New Roman" w:eastAsia="Times New Roman"/>
                <w:spacing w:val="-22"/>
                <w:sz w:val="24"/>
              </w:rPr>
              <w:t>1</w:t>
            </w:r>
            <w:r>
              <w:rPr>
                <w:spacing w:val="-14"/>
                <w:sz w:val="24"/>
              </w:rPr>
              <w:t>“机械行业系数手册”可知，</w:t>
            </w:r>
            <w:r>
              <w:rPr>
                <w:sz w:val="24"/>
              </w:rPr>
              <w:t xml:space="preserve"> </w:t>
            </w:r>
            <w:r>
              <w:rPr>
                <w:spacing w:val="-5"/>
                <w:sz w:val="24"/>
              </w:rPr>
              <w:t xml:space="preserve">打磨工序颗粒物的产污系数为 </w:t>
            </w:r>
            <w:r>
              <w:rPr>
                <w:rFonts w:ascii="Times New Roman" w:hAnsi="Times New Roman" w:eastAsia="Times New Roman"/>
                <w:sz w:val="24"/>
              </w:rPr>
              <w:t xml:space="preserve">2.19kg/t </w:t>
            </w:r>
            <w:r>
              <w:rPr>
                <w:spacing w:val="-12"/>
                <w:sz w:val="24"/>
              </w:rPr>
              <w:t>原材料；项目只有</w:t>
            </w:r>
            <w:r>
              <w:rPr>
                <w:rFonts w:hint="eastAsia"/>
                <w:spacing w:val="-12"/>
                <w:sz w:val="24"/>
                <w:lang w:eastAsia="zh-CN"/>
              </w:rPr>
              <w:t>少</w:t>
            </w:r>
            <w:r>
              <w:rPr>
                <w:spacing w:val="-12"/>
                <w:sz w:val="24"/>
              </w:rPr>
              <w:t>量</w:t>
            </w:r>
            <w:r>
              <w:rPr>
                <w:rFonts w:hint="eastAsia"/>
                <w:spacing w:val="-12"/>
                <w:sz w:val="24"/>
                <w:lang w:eastAsia="zh-CN"/>
              </w:rPr>
              <w:t>钢件</w:t>
            </w:r>
            <w:r>
              <w:rPr>
                <w:spacing w:val="-12"/>
                <w:sz w:val="24"/>
              </w:rPr>
              <w:t>需要</w:t>
            </w:r>
            <w:r>
              <w:rPr>
                <w:rFonts w:hint="eastAsia"/>
                <w:spacing w:val="-12"/>
                <w:sz w:val="24"/>
                <w:lang w:eastAsia="zh-CN"/>
              </w:rPr>
              <w:t>打磨除锈，约为</w:t>
            </w:r>
            <w:r>
              <w:rPr>
                <w:rFonts w:hint="eastAsia"/>
                <w:spacing w:val="-12"/>
                <w:sz w:val="24"/>
                <w:lang w:val="en-US" w:eastAsia="zh-CN"/>
              </w:rPr>
              <w:t>500t，</w:t>
            </w:r>
            <w:r>
              <w:rPr>
                <w:sz w:val="24"/>
              </w:rPr>
              <w:t>则颗粒物产生量为：</w:t>
            </w:r>
            <w:r>
              <w:rPr>
                <w:rFonts w:hint="eastAsia"/>
                <w:sz w:val="24"/>
                <w:lang w:val="en-US" w:eastAsia="zh-CN"/>
              </w:rPr>
              <w:t>5</w:t>
            </w:r>
            <w:r>
              <w:rPr>
                <w:rFonts w:hint="eastAsia" w:eastAsia="宋体"/>
                <w:sz w:val="24"/>
                <w:lang w:val="en-US" w:eastAsia="zh-CN"/>
              </w:rPr>
              <w:t>0</w:t>
            </w:r>
            <w:r>
              <w:rPr>
                <w:rFonts w:ascii="Times New Roman" w:hAnsi="Times New Roman" w:eastAsia="Times New Roman"/>
                <w:sz w:val="24"/>
              </w:rPr>
              <w:t>0t</w:t>
            </w:r>
            <w:r>
              <w:rPr>
                <w:sz w:val="24"/>
              </w:rPr>
              <w:t>×</w:t>
            </w:r>
            <w:r>
              <w:rPr>
                <w:rFonts w:ascii="Times New Roman" w:hAnsi="Times New Roman" w:eastAsia="Times New Roman"/>
                <w:sz w:val="24"/>
              </w:rPr>
              <w:t>2.19</w:t>
            </w:r>
            <w:r>
              <w:rPr>
                <w:sz w:val="24"/>
              </w:rPr>
              <w:t>×</w:t>
            </w:r>
            <w:r>
              <w:rPr>
                <w:rFonts w:ascii="Times New Roman" w:hAnsi="Times New Roman" w:eastAsia="Times New Roman"/>
                <w:sz w:val="24"/>
              </w:rPr>
              <w:t>10</w:t>
            </w:r>
            <w:r>
              <w:rPr>
                <w:rFonts w:ascii="Times New Roman" w:hAnsi="Times New Roman" w:eastAsia="Times New Roman"/>
                <w:position w:val="9"/>
                <w:sz w:val="16"/>
              </w:rPr>
              <w:t>-3</w:t>
            </w:r>
            <w:r>
              <w:rPr>
                <w:rFonts w:ascii="Times New Roman" w:hAnsi="Times New Roman" w:eastAsia="Times New Roman"/>
                <w:sz w:val="24"/>
              </w:rPr>
              <w:t>=</w:t>
            </w:r>
            <w:r>
              <w:rPr>
                <w:rFonts w:hint="eastAsia" w:eastAsia="宋体"/>
                <w:sz w:val="24"/>
                <w:lang w:val="en-US" w:eastAsia="zh-CN"/>
              </w:rPr>
              <w:t>1.095</w:t>
            </w:r>
            <w:r>
              <w:rPr>
                <w:rFonts w:ascii="Times New Roman" w:hAnsi="Times New Roman" w:eastAsia="Times New Roman"/>
                <w:sz w:val="24"/>
              </w:rPr>
              <w:t>t/a</w:t>
            </w:r>
            <w:r>
              <w:rPr>
                <w:spacing w:val="-3"/>
                <w:sz w:val="24"/>
              </w:rPr>
              <w:t>。建设单位拟</w:t>
            </w:r>
            <w:r>
              <w:rPr>
                <w:spacing w:val="-4"/>
                <w:sz w:val="24"/>
              </w:rPr>
              <w:t>采取</w:t>
            </w:r>
            <w:r>
              <w:rPr>
                <w:rFonts w:hint="eastAsia"/>
                <w:spacing w:val="-4"/>
                <w:sz w:val="24"/>
                <w:lang w:eastAsia="zh-CN"/>
              </w:rPr>
              <w:t>“</w:t>
            </w:r>
            <w:r>
              <w:rPr>
                <w:spacing w:val="-4"/>
                <w:sz w:val="24"/>
              </w:rPr>
              <w:t>布袋除尘器</w:t>
            </w:r>
            <w:r>
              <w:rPr>
                <w:rFonts w:hint="eastAsia"/>
                <w:spacing w:val="-4"/>
                <w:sz w:val="24"/>
                <w:lang w:eastAsia="zh-CN"/>
              </w:rPr>
              <w:t>”</w:t>
            </w:r>
            <w:r>
              <w:rPr>
                <w:spacing w:val="-4"/>
                <w:sz w:val="24"/>
              </w:rPr>
              <w:t xml:space="preserve">装置处理后在车间无组织排放，收集效率为 </w:t>
            </w:r>
            <w:r>
              <w:rPr>
                <w:rFonts w:ascii="Times New Roman" w:hAnsi="Times New Roman" w:eastAsia="Times New Roman"/>
                <w:sz w:val="24"/>
              </w:rPr>
              <w:t>90%</w:t>
            </w:r>
            <w:r>
              <w:rPr>
                <w:sz w:val="24"/>
              </w:rPr>
              <w:t>，处</w:t>
            </w:r>
            <w:r>
              <w:rPr>
                <w:spacing w:val="-12"/>
                <w:sz w:val="24"/>
              </w:rPr>
              <w:t xml:space="preserve">理效率为 </w:t>
            </w:r>
            <w:r>
              <w:rPr>
                <w:rFonts w:ascii="Times New Roman" w:hAnsi="Times New Roman" w:eastAsia="Times New Roman"/>
                <w:sz w:val="24"/>
              </w:rPr>
              <w:t>95</w:t>
            </w:r>
            <w:r>
              <w:rPr>
                <w:rFonts w:ascii="Times New Roman" w:hAnsi="Times New Roman" w:eastAsia="Times New Roman"/>
                <w:spacing w:val="-18"/>
                <w:sz w:val="24"/>
              </w:rPr>
              <w:t>%</w:t>
            </w:r>
            <w:r>
              <w:rPr>
                <w:rFonts w:hint="eastAsia" w:ascii="Times New Roman" w:hAnsi="Times New Roman" w:eastAsia="宋体"/>
                <w:spacing w:val="-18"/>
                <w:sz w:val="24"/>
                <w:lang w:eastAsia="zh-CN"/>
              </w:rPr>
              <w:t>，</w:t>
            </w:r>
            <w:r>
              <w:rPr>
                <w:spacing w:val="-5"/>
                <w:sz w:val="24"/>
              </w:rPr>
              <w:t>则</w:t>
            </w:r>
            <w:r>
              <w:rPr>
                <w:rFonts w:hint="eastAsia"/>
                <w:spacing w:val="-5"/>
                <w:sz w:val="24"/>
                <w:lang w:eastAsia="zh-CN"/>
              </w:rPr>
              <w:t>打磨</w:t>
            </w:r>
            <w:r>
              <w:rPr>
                <w:spacing w:val="-12"/>
                <w:sz w:val="24"/>
              </w:rPr>
              <w:t xml:space="preserve">无组织排放颗粒物 </w:t>
            </w:r>
            <w:r>
              <w:rPr>
                <w:rFonts w:hint="eastAsia"/>
                <w:sz w:val="24"/>
                <w:lang w:val="en-US" w:eastAsia="zh-CN"/>
              </w:rPr>
              <w:t>0.16</w:t>
            </w:r>
            <w:r>
              <w:rPr>
                <w:rFonts w:ascii="Times New Roman" w:hAnsi="Times New Roman" w:eastAsia="Times New Roman"/>
                <w:sz w:val="24"/>
              </w:rPr>
              <w:t>t</w:t>
            </w:r>
            <w:r>
              <w:rPr>
                <w:rFonts w:hint="eastAsia" w:eastAsia="宋体"/>
                <w:sz w:val="24"/>
                <w:lang w:eastAsia="zh-CN"/>
              </w:rPr>
              <w:t>，</w:t>
            </w:r>
            <w:r>
              <w:rPr>
                <w:spacing w:val="-9"/>
                <w:sz w:val="24"/>
              </w:rPr>
              <w:t xml:space="preserve">排放速率为 </w:t>
            </w:r>
            <w:r>
              <w:rPr>
                <w:rFonts w:ascii="Times New Roman" w:hAnsi="Times New Roman" w:eastAsia="Times New Roman"/>
                <w:sz w:val="24"/>
              </w:rPr>
              <w:t>0.</w:t>
            </w:r>
            <w:r>
              <w:rPr>
                <w:rFonts w:hint="eastAsia" w:ascii="Times New Roman" w:hAnsi="Times New Roman" w:eastAsia="宋体"/>
                <w:sz w:val="24"/>
                <w:lang w:val="en-US" w:eastAsia="zh-CN"/>
              </w:rPr>
              <w:t>1</w:t>
            </w:r>
            <w:r>
              <w:rPr>
                <w:rFonts w:ascii="Times New Roman" w:hAnsi="Times New Roman" w:eastAsia="Times New Roman"/>
                <w:sz w:val="21"/>
              </w:rPr>
              <w:t>kg/h</w:t>
            </w:r>
            <w:r>
              <w:rPr>
                <w:rFonts w:hint="default" w:ascii="Times New Roman" w:hAnsi="Times New Roman" w:eastAsia="宋体" w:cs="Times New Roman"/>
                <w:color w:val="auto"/>
                <w:sz w:val="24"/>
                <w:szCs w:val="24"/>
                <w:highlight w:val="none"/>
                <w:lang w:val="en-US" w:eastAsia="zh-CN"/>
              </w:rPr>
              <w:t>。</w:t>
            </w:r>
          </w:p>
          <w:p>
            <w:pPr>
              <w:pStyle w:val="98"/>
              <w:rPr>
                <w:rFonts w:hint="eastAsia" w:ascii="宋体" w:hAnsi="宋体" w:eastAsia="宋体" w:cs="宋体"/>
                <w:b/>
                <w:bCs/>
                <w:sz w:val="21"/>
                <w:szCs w:val="21"/>
                <w:lang w:val="en-US" w:eastAsia="zh-CN"/>
              </w:rPr>
            </w:pPr>
            <w:r>
              <w:rPr>
                <w:rFonts w:hint="eastAsia" w:ascii="宋体" w:hAnsi="宋体" w:eastAsia="宋体" w:cs="宋体"/>
                <w:b/>
                <w:bCs/>
                <w:sz w:val="21"/>
                <w:szCs w:val="21"/>
                <w:highlight w:val="none"/>
                <w:lang w:val="en-US" w:eastAsia="zh-CN"/>
              </w:rPr>
              <w:t>表4-1</w:t>
            </w:r>
            <w:r>
              <w:rPr>
                <w:rFonts w:hint="eastAsia" w:ascii="宋体" w:hAnsi="宋体" w:eastAsia="宋体" w:cs="宋体"/>
                <w:b/>
                <w:bCs/>
                <w:sz w:val="21"/>
                <w:szCs w:val="21"/>
                <w:lang w:val="en-US" w:eastAsia="zh-CN"/>
              </w:rPr>
              <w:t xml:space="preserve"> 项目废气产排情况一览表</w:t>
            </w:r>
          </w:p>
          <w:tbl>
            <w:tblPr>
              <w:tblStyle w:val="29"/>
              <w:tblW w:w="8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15"/>
              <w:gridCol w:w="885"/>
              <w:gridCol w:w="1080"/>
              <w:gridCol w:w="1050"/>
              <w:gridCol w:w="870"/>
              <w:gridCol w:w="1085"/>
              <w:gridCol w:w="103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Merge w:val="restart"/>
                  <w:vAlign w:val="top"/>
                </w:tcPr>
                <w:p>
                  <w:pPr>
                    <w:pStyle w:val="83"/>
                    <w:keepNext w:val="0"/>
                    <w:keepLines w:val="0"/>
                    <w:pageBreakBefore w:val="0"/>
                    <w:widowControl w:val="0"/>
                    <w:kinsoku/>
                    <w:wordWrap/>
                    <w:overflowPunct/>
                    <w:topLinePunct w:val="0"/>
                    <w:autoSpaceDE/>
                    <w:autoSpaceDN/>
                    <w:bidi w:val="0"/>
                    <w:adjustRightInd/>
                    <w:snapToGrid/>
                    <w:ind w:left="0" w:right="0"/>
                    <w:textAlignment w:val="auto"/>
                    <w:rPr>
                      <w:b/>
                      <w:sz w:val="21"/>
                    </w:rPr>
                  </w:pPr>
                </w:p>
                <w:p>
                  <w:pPr>
                    <w:pStyle w:val="83"/>
                    <w:keepNext w:val="0"/>
                    <w:keepLines w:val="0"/>
                    <w:pageBreakBefore w:val="0"/>
                    <w:widowControl w:val="0"/>
                    <w:kinsoku/>
                    <w:wordWrap/>
                    <w:overflowPunct/>
                    <w:topLinePunct w:val="0"/>
                    <w:autoSpaceDE/>
                    <w:autoSpaceDN/>
                    <w:bidi w:val="0"/>
                    <w:adjustRightInd/>
                    <w:snapToGrid/>
                    <w:spacing w:line="244" w:lineRule="auto"/>
                    <w:ind w:left="0" w:leftChars="0" w:right="0" w:rightChars="0"/>
                    <w:textAlignment w:val="auto"/>
                    <w:rPr>
                      <w:rFonts w:hint="eastAsia"/>
                      <w:vertAlign w:val="baseline"/>
                      <w:lang w:val="en-US" w:eastAsia="zh-CN"/>
                    </w:rPr>
                  </w:pPr>
                  <w:r>
                    <w:rPr>
                      <w:sz w:val="21"/>
                    </w:rPr>
                    <w:t>序号</w:t>
                  </w:r>
                </w:p>
              </w:tc>
              <w:tc>
                <w:tcPr>
                  <w:tcW w:w="915" w:type="dxa"/>
                  <w:vMerge w:val="restart"/>
                  <w:vAlign w:val="top"/>
                </w:tcPr>
                <w:p>
                  <w:pPr>
                    <w:pStyle w:val="83"/>
                    <w:keepNext w:val="0"/>
                    <w:keepLines w:val="0"/>
                    <w:pageBreakBefore w:val="0"/>
                    <w:widowControl w:val="0"/>
                    <w:kinsoku/>
                    <w:wordWrap/>
                    <w:overflowPunct/>
                    <w:topLinePunct w:val="0"/>
                    <w:autoSpaceDE/>
                    <w:autoSpaceDN/>
                    <w:bidi w:val="0"/>
                    <w:adjustRightInd/>
                    <w:snapToGrid/>
                    <w:ind w:left="0" w:right="0"/>
                    <w:textAlignment w:val="auto"/>
                    <w:rPr>
                      <w:b/>
                      <w:sz w:val="21"/>
                    </w:rPr>
                  </w:pPr>
                </w:p>
                <w:p>
                  <w:pPr>
                    <w:pStyle w:val="83"/>
                    <w:keepNext w:val="0"/>
                    <w:keepLines w:val="0"/>
                    <w:pageBreakBefore w:val="0"/>
                    <w:widowControl w:val="0"/>
                    <w:kinsoku/>
                    <w:wordWrap/>
                    <w:overflowPunct/>
                    <w:topLinePunct w:val="0"/>
                    <w:autoSpaceDE/>
                    <w:autoSpaceDN/>
                    <w:bidi w:val="0"/>
                    <w:adjustRightInd/>
                    <w:snapToGrid/>
                    <w:spacing w:line="244" w:lineRule="auto"/>
                    <w:ind w:left="0" w:leftChars="0" w:right="0" w:rightChars="0" w:hanging="106" w:firstLineChars="0"/>
                    <w:textAlignment w:val="auto"/>
                    <w:rPr>
                      <w:rFonts w:hint="eastAsia"/>
                      <w:vertAlign w:val="baseline"/>
                      <w:lang w:val="en-US" w:eastAsia="zh-CN"/>
                    </w:rPr>
                  </w:pPr>
                  <w:r>
                    <w:rPr>
                      <w:sz w:val="21"/>
                    </w:rPr>
                    <w:t>污染物名称</w:t>
                  </w:r>
                </w:p>
              </w:tc>
              <w:tc>
                <w:tcPr>
                  <w:tcW w:w="885" w:type="dxa"/>
                  <w:vMerge w:val="restart"/>
                  <w:vAlign w:val="top"/>
                </w:tcPr>
                <w:p>
                  <w:pPr>
                    <w:pStyle w:val="83"/>
                    <w:keepNext w:val="0"/>
                    <w:keepLines w:val="0"/>
                    <w:pageBreakBefore w:val="0"/>
                    <w:widowControl w:val="0"/>
                    <w:kinsoku/>
                    <w:wordWrap/>
                    <w:overflowPunct/>
                    <w:topLinePunct w:val="0"/>
                    <w:autoSpaceDE/>
                    <w:autoSpaceDN/>
                    <w:bidi w:val="0"/>
                    <w:adjustRightInd/>
                    <w:snapToGrid/>
                    <w:ind w:left="0" w:right="0"/>
                    <w:textAlignment w:val="auto"/>
                    <w:rPr>
                      <w:b/>
                      <w:sz w:val="21"/>
                    </w:rPr>
                  </w:pPr>
                </w:p>
                <w:p>
                  <w:pPr>
                    <w:pStyle w:val="83"/>
                    <w:keepNext w:val="0"/>
                    <w:keepLines w:val="0"/>
                    <w:pageBreakBefore w:val="0"/>
                    <w:widowControl w:val="0"/>
                    <w:kinsoku/>
                    <w:wordWrap/>
                    <w:overflowPunct/>
                    <w:topLinePunct w:val="0"/>
                    <w:autoSpaceDE/>
                    <w:autoSpaceDN/>
                    <w:bidi w:val="0"/>
                    <w:adjustRightInd/>
                    <w:snapToGrid/>
                    <w:spacing w:line="244" w:lineRule="auto"/>
                    <w:ind w:left="0" w:leftChars="0" w:right="0" w:rightChars="0" w:firstLine="26" w:firstLineChars="0"/>
                    <w:textAlignment w:val="auto"/>
                    <w:rPr>
                      <w:rFonts w:hint="eastAsia"/>
                      <w:vertAlign w:val="baseline"/>
                      <w:lang w:val="en-US" w:eastAsia="zh-CN"/>
                    </w:rPr>
                  </w:pPr>
                  <w:r>
                    <w:rPr>
                      <w:sz w:val="21"/>
                    </w:rPr>
                    <w:t xml:space="preserve">产生量 </w:t>
                  </w:r>
                  <w:r>
                    <w:rPr>
                      <w:rFonts w:ascii="Times New Roman" w:eastAsia="Times New Roman"/>
                      <w:sz w:val="21"/>
                    </w:rPr>
                    <w:t>t/a</w:t>
                  </w:r>
                </w:p>
              </w:tc>
              <w:tc>
                <w:tcPr>
                  <w:tcW w:w="3000" w:type="dxa"/>
                  <w:gridSpan w:val="3"/>
                </w:tcPr>
                <w:p>
                  <w:pPr>
                    <w:pStyle w:val="15"/>
                    <w:jc w:val="center"/>
                    <w:rPr>
                      <w:rFonts w:hint="eastAsia"/>
                      <w:vertAlign w:val="baseline"/>
                      <w:lang w:val="en-US" w:eastAsia="zh-CN"/>
                    </w:rPr>
                  </w:pPr>
                  <w:r>
                    <w:rPr>
                      <w:sz w:val="21"/>
                    </w:rPr>
                    <w:t>有组织</w:t>
                  </w:r>
                </w:p>
              </w:tc>
              <w:tc>
                <w:tcPr>
                  <w:tcW w:w="2955" w:type="dxa"/>
                  <w:gridSpan w:val="3"/>
                </w:tcPr>
                <w:p>
                  <w:pPr>
                    <w:pStyle w:val="15"/>
                    <w:jc w:val="center"/>
                    <w:rPr>
                      <w:rFonts w:hint="eastAsia"/>
                      <w:vertAlign w:val="baseline"/>
                      <w:lang w:val="en-US" w:eastAsia="zh-CN"/>
                    </w:rPr>
                  </w:pPr>
                  <w:r>
                    <w:rPr>
                      <w:sz w:val="21"/>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Merge w:val="continue"/>
                </w:tcPr>
                <w:p>
                  <w:pPr>
                    <w:pStyle w:val="15"/>
                    <w:rPr>
                      <w:rFonts w:hint="eastAsia"/>
                      <w:vertAlign w:val="baseline"/>
                      <w:lang w:val="en-US" w:eastAsia="zh-CN"/>
                    </w:rPr>
                  </w:pPr>
                </w:p>
              </w:tc>
              <w:tc>
                <w:tcPr>
                  <w:tcW w:w="915" w:type="dxa"/>
                  <w:vMerge w:val="continue"/>
                </w:tcPr>
                <w:p>
                  <w:pPr>
                    <w:pStyle w:val="15"/>
                    <w:rPr>
                      <w:rFonts w:hint="eastAsia"/>
                      <w:vertAlign w:val="baseline"/>
                      <w:lang w:val="en-US" w:eastAsia="zh-CN"/>
                    </w:rPr>
                  </w:pPr>
                </w:p>
              </w:tc>
              <w:tc>
                <w:tcPr>
                  <w:tcW w:w="885" w:type="dxa"/>
                  <w:vMerge w:val="continue"/>
                </w:tcPr>
                <w:p>
                  <w:pPr>
                    <w:pStyle w:val="15"/>
                    <w:rPr>
                      <w:rFonts w:hint="eastAsia"/>
                      <w:vertAlign w:val="baseline"/>
                      <w:lang w:val="en-US" w:eastAsia="zh-CN"/>
                    </w:rPr>
                  </w:pPr>
                </w:p>
              </w:tc>
              <w:tc>
                <w:tcPr>
                  <w:tcW w:w="1080" w:type="dxa"/>
                  <w:vAlign w:val="top"/>
                </w:tcPr>
                <w:p>
                  <w:pPr>
                    <w:pStyle w:val="83"/>
                    <w:keepNext w:val="0"/>
                    <w:keepLines w:val="0"/>
                    <w:pageBreakBefore w:val="0"/>
                    <w:widowControl w:val="0"/>
                    <w:kinsoku/>
                    <w:wordWrap/>
                    <w:overflowPunct/>
                    <w:topLinePunct w:val="0"/>
                    <w:autoSpaceDE/>
                    <w:autoSpaceDN/>
                    <w:bidi w:val="0"/>
                    <w:adjustRightInd/>
                    <w:snapToGrid/>
                    <w:spacing w:line="244" w:lineRule="auto"/>
                    <w:ind w:left="0" w:right="0"/>
                    <w:jc w:val="left"/>
                    <w:textAlignment w:val="auto"/>
                    <w:rPr>
                      <w:sz w:val="21"/>
                    </w:rPr>
                  </w:pPr>
                  <w:r>
                    <w:rPr>
                      <w:sz w:val="21"/>
                    </w:rPr>
                    <w:t>排放浓度</w:t>
                  </w:r>
                </w:p>
                <w:p>
                  <w:pPr>
                    <w:pStyle w:val="83"/>
                    <w:keepNext w:val="0"/>
                    <w:keepLines w:val="0"/>
                    <w:pageBreakBefore w:val="0"/>
                    <w:widowControl w:val="0"/>
                    <w:kinsoku/>
                    <w:wordWrap/>
                    <w:overflowPunct/>
                    <w:topLinePunct w:val="0"/>
                    <w:autoSpaceDE/>
                    <w:autoSpaceDN/>
                    <w:bidi w:val="0"/>
                    <w:adjustRightInd/>
                    <w:snapToGrid/>
                    <w:spacing w:line="212" w:lineRule="exact"/>
                    <w:ind w:left="0" w:leftChars="0" w:right="0" w:rightChars="0"/>
                    <w:jc w:val="left"/>
                    <w:textAlignment w:val="auto"/>
                    <w:rPr>
                      <w:rFonts w:hint="eastAsia"/>
                      <w:vertAlign w:val="baseline"/>
                      <w:lang w:val="en-US" w:eastAsia="zh-CN"/>
                    </w:rPr>
                  </w:pPr>
                  <w:r>
                    <w:rPr>
                      <w:rFonts w:ascii="Times New Roman"/>
                      <w:sz w:val="21"/>
                    </w:rPr>
                    <w:t>mg/m</w:t>
                  </w:r>
                  <w:r>
                    <w:rPr>
                      <w:rFonts w:ascii="Times New Roman"/>
                      <w:position w:val="7"/>
                      <w:sz w:val="14"/>
                    </w:rPr>
                    <w:t>3</w:t>
                  </w:r>
                </w:p>
              </w:tc>
              <w:tc>
                <w:tcPr>
                  <w:tcW w:w="1050" w:type="dxa"/>
                  <w:vAlign w:val="top"/>
                </w:tcPr>
                <w:p>
                  <w:pPr>
                    <w:pStyle w:val="83"/>
                    <w:keepNext w:val="0"/>
                    <w:keepLines w:val="0"/>
                    <w:pageBreakBefore w:val="0"/>
                    <w:widowControl w:val="0"/>
                    <w:kinsoku/>
                    <w:wordWrap/>
                    <w:overflowPunct/>
                    <w:topLinePunct w:val="0"/>
                    <w:autoSpaceDE/>
                    <w:autoSpaceDN/>
                    <w:bidi w:val="0"/>
                    <w:adjustRightInd/>
                    <w:snapToGrid/>
                    <w:spacing w:line="244" w:lineRule="auto"/>
                    <w:ind w:left="0" w:right="0"/>
                    <w:textAlignment w:val="auto"/>
                    <w:rPr>
                      <w:sz w:val="21"/>
                    </w:rPr>
                  </w:pPr>
                  <w:r>
                    <w:rPr>
                      <w:spacing w:val="-10"/>
                      <w:sz w:val="21"/>
                    </w:rPr>
                    <w:t>排放速率</w:t>
                  </w:r>
                </w:p>
                <w:p>
                  <w:pPr>
                    <w:pStyle w:val="83"/>
                    <w:keepNext w:val="0"/>
                    <w:keepLines w:val="0"/>
                    <w:pageBreakBefore w:val="0"/>
                    <w:widowControl w:val="0"/>
                    <w:kinsoku/>
                    <w:wordWrap/>
                    <w:overflowPunct/>
                    <w:topLinePunct w:val="0"/>
                    <w:autoSpaceDE/>
                    <w:autoSpaceDN/>
                    <w:bidi w:val="0"/>
                    <w:adjustRightInd/>
                    <w:snapToGrid/>
                    <w:spacing w:line="212" w:lineRule="exact"/>
                    <w:ind w:left="0" w:leftChars="0" w:right="0"/>
                    <w:textAlignment w:val="auto"/>
                    <w:rPr>
                      <w:rFonts w:hint="eastAsia"/>
                      <w:vertAlign w:val="baseline"/>
                      <w:lang w:val="en-US" w:eastAsia="zh-CN"/>
                    </w:rPr>
                  </w:pPr>
                  <w:r>
                    <w:rPr>
                      <w:rFonts w:ascii="Times New Roman"/>
                      <w:sz w:val="21"/>
                    </w:rPr>
                    <w:t>kg/h</w:t>
                  </w:r>
                </w:p>
              </w:tc>
              <w:tc>
                <w:tcPr>
                  <w:tcW w:w="870" w:type="dxa"/>
                  <w:vAlign w:val="top"/>
                </w:tcPr>
                <w:p>
                  <w:pPr>
                    <w:pStyle w:val="83"/>
                    <w:keepNext w:val="0"/>
                    <w:keepLines w:val="0"/>
                    <w:pageBreakBefore w:val="0"/>
                    <w:widowControl w:val="0"/>
                    <w:kinsoku/>
                    <w:wordWrap/>
                    <w:overflowPunct/>
                    <w:topLinePunct w:val="0"/>
                    <w:autoSpaceDE/>
                    <w:autoSpaceDN/>
                    <w:bidi w:val="0"/>
                    <w:adjustRightInd/>
                    <w:snapToGrid/>
                    <w:spacing w:line="244" w:lineRule="auto"/>
                    <w:ind w:left="0" w:leftChars="0" w:right="0" w:rightChars="0" w:firstLine="26" w:firstLineChars="0"/>
                    <w:textAlignment w:val="auto"/>
                    <w:rPr>
                      <w:rFonts w:hint="eastAsia"/>
                      <w:vertAlign w:val="baseline"/>
                      <w:lang w:val="en-US" w:eastAsia="zh-CN"/>
                    </w:rPr>
                  </w:pPr>
                  <w:r>
                    <w:rPr>
                      <w:sz w:val="21"/>
                    </w:rPr>
                    <w:t xml:space="preserve">排放量 </w:t>
                  </w:r>
                  <w:r>
                    <w:rPr>
                      <w:rFonts w:ascii="Times New Roman" w:eastAsia="Times New Roman"/>
                      <w:sz w:val="21"/>
                    </w:rPr>
                    <w:t>t/a</w:t>
                  </w:r>
                </w:p>
              </w:tc>
              <w:tc>
                <w:tcPr>
                  <w:tcW w:w="1085" w:type="dxa"/>
                  <w:vAlign w:val="top"/>
                </w:tcPr>
                <w:p>
                  <w:pPr>
                    <w:pStyle w:val="83"/>
                    <w:keepNext w:val="0"/>
                    <w:keepLines w:val="0"/>
                    <w:pageBreakBefore w:val="0"/>
                    <w:widowControl w:val="0"/>
                    <w:kinsoku/>
                    <w:wordWrap/>
                    <w:overflowPunct/>
                    <w:topLinePunct w:val="0"/>
                    <w:autoSpaceDE/>
                    <w:autoSpaceDN/>
                    <w:bidi w:val="0"/>
                    <w:adjustRightInd/>
                    <w:snapToGrid/>
                    <w:spacing w:line="244" w:lineRule="auto"/>
                    <w:ind w:left="0" w:right="0"/>
                    <w:jc w:val="center"/>
                    <w:textAlignment w:val="auto"/>
                    <w:rPr>
                      <w:sz w:val="21"/>
                    </w:rPr>
                  </w:pPr>
                  <w:r>
                    <w:rPr>
                      <w:sz w:val="21"/>
                    </w:rPr>
                    <w:t>排放浓度</w:t>
                  </w:r>
                </w:p>
                <w:p>
                  <w:pPr>
                    <w:pStyle w:val="83"/>
                    <w:keepNext w:val="0"/>
                    <w:keepLines w:val="0"/>
                    <w:pageBreakBefore w:val="0"/>
                    <w:widowControl w:val="0"/>
                    <w:kinsoku/>
                    <w:wordWrap/>
                    <w:overflowPunct/>
                    <w:topLinePunct w:val="0"/>
                    <w:autoSpaceDE/>
                    <w:autoSpaceDN/>
                    <w:bidi w:val="0"/>
                    <w:adjustRightInd/>
                    <w:snapToGrid/>
                    <w:spacing w:line="212" w:lineRule="exact"/>
                    <w:ind w:left="0" w:leftChars="0" w:right="0" w:rightChars="0"/>
                    <w:jc w:val="center"/>
                    <w:textAlignment w:val="auto"/>
                    <w:rPr>
                      <w:rFonts w:hint="eastAsia"/>
                      <w:vertAlign w:val="baseline"/>
                      <w:lang w:val="en-US" w:eastAsia="zh-CN"/>
                    </w:rPr>
                  </w:pPr>
                  <w:r>
                    <w:rPr>
                      <w:rFonts w:ascii="Times New Roman"/>
                      <w:sz w:val="21"/>
                    </w:rPr>
                    <w:t>mg/m</w:t>
                  </w:r>
                  <w:r>
                    <w:rPr>
                      <w:rFonts w:ascii="Times New Roman"/>
                      <w:position w:val="7"/>
                      <w:sz w:val="14"/>
                    </w:rPr>
                    <w:t>3</w:t>
                  </w:r>
                </w:p>
              </w:tc>
              <w:tc>
                <w:tcPr>
                  <w:tcW w:w="1030" w:type="dxa"/>
                  <w:vAlign w:val="top"/>
                </w:tcPr>
                <w:p>
                  <w:pPr>
                    <w:pStyle w:val="83"/>
                    <w:keepNext w:val="0"/>
                    <w:keepLines w:val="0"/>
                    <w:pageBreakBefore w:val="0"/>
                    <w:widowControl w:val="0"/>
                    <w:kinsoku/>
                    <w:wordWrap/>
                    <w:overflowPunct/>
                    <w:topLinePunct w:val="0"/>
                    <w:autoSpaceDE/>
                    <w:autoSpaceDN/>
                    <w:bidi w:val="0"/>
                    <w:adjustRightInd/>
                    <w:snapToGrid/>
                    <w:spacing w:line="244" w:lineRule="auto"/>
                    <w:ind w:left="0" w:right="0"/>
                    <w:textAlignment w:val="auto"/>
                    <w:rPr>
                      <w:sz w:val="21"/>
                    </w:rPr>
                  </w:pPr>
                  <w:r>
                    <w:rPr>
                      <w:spacing w:val="-10"/>
                      <w:sz w:val="21"/>
                    </w:rPr>
                    <w:t>排放速率</w:t>
                  </w:r>
                </w:p>
                <w:p>
                  <w:pPr>
                    <w:pStyle w:val="83"/>
                    <w:keepNext w:val="0"/>
                    <w:keepLines w:val="0"/>
                    <w:pageBreakBefore w:val="0"/>
                    <w:widowControl w:val="0"/>
                    <w:kinsoku/>
                    <w:wordWrap/>
                    <w:overflowPunct/>
                    <w:topLinePunct w:val="0"/>
                    <w:autoSpaceDE/>
                    <w:autoSpaceDN/>
                    <w:bidi w:val="0"/>
                    <w:adjustRightInd/>
                    <w:snapToGrid/>
                    <w:spacing w:line="212" w:lineRule="exact"/>
                    <w:ind w:left="0" w:leftChars="0" w:right="0"/>
                    <w:textAlignment w:val="auto"/>
                    <w:rPr>
                      <w:rFonts w:hint="eastAsia"/>
                      <w:vertAlign w:val="baseline"/>
                      <w:lang w:val="en-US" w:eastAsia="zh-CN"/>
                    </w:rPr>
                  </w:pPr>
                  <w:r>
                    <w:rPr>
                      <w:rFonts w:ascii="Times New Roman"/>
                      <w:sz w:val="21"/>
                    </w:rPr>
                    <w:t>kg/h</w:t>
                  </w:r>
                </w:p>
              </w:tc>
              <w:tc>
                <w:tcPr>
                  <w:tcW w:w="840" w:type="dxa"/>
                  <w:vAlign w:val="top"/>
                </w:tcPr>
                <w:p>
                  <w:pPr>
                    <w:pStyle w:val="83"/>
                    <w:keepNext w:val="0"/>
                    <w:keepLines w:val="0"/>
                    <w:pageBreakBefore w:val="0"/>
                    <w:widowControl w:val="0"/>
                    <w:kinsoku/>
                    <w:wordWrap/>
                    <w:overflowPunct/>
                    <w:topLinePunct w:val="0"/>
                    <w:autoSpaceDE/>
                    <w:autoSpaceDN/>
                    <w:bidi w:val="0"/>
                    <w:adjustRightInd/>
                    <w:snapToGrid/>
                    <w:spacing w:line="244" w:lineRule="auto"/>
                    <w:ind w:left="0" w:leftChars="0" w:right="0" w:rightChars="0" w:firstLine="26" w:firstLineChars="0"/>
                    <w:textAlignment w:val="auto"/>
                    <w:rPr>
                      <w:rFonts w:hint="eastAsia"/>
                      <w:vertAlign w:val="baseline"/>
                      <w:lang w:val="en-US" w:eastAsia="zh-CN"/>
                    </w:rPr>
                  </w:pPr>
                  <w:r>
                    <w:rPr>
                      <w:sz w:val="21"/>
                    </w:rPr>
                    <w:t xml:space="preserve">排放量 </w:t>
                  </w:r>
                  <w:r>
                    <w:rPr>
                      <w:rFonts w:ascii="Times New Roman" w:eastAsia="Times New Roman"/>
                      <w:sz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Pr>
                <w:p>
                  <w:pPr>
                    <w:pStyle w:val="15"/>
                    <w:rPr>
                      <w:rFonts w:hint="default"/>
                      <w:vertAlign w:val="baseline"/>
                      <w:lang w:val="en-US" w:eastAsia="zh-CN"/>
                    </w:rPr>
                  </w:pPr>
                  <w:r>
                    <w:rPr>
                      <w:rFonts w:hint="eastAsia"/>
                      <w:vertAlign w:val="baseline"/>
                      <w:lang w:val="en-US" w:eastAsia="zh-CN"/>
                    </w:rPr>
                    <w:t>1</w:t>
                  </w:r>
                </w:p>
              </w:tc>
              <w:tc>
                <w:tcPr>
                  <w:tcW w:w="915" w:type="dxa"/>
                </w:tcPr>
                <w:p>
                  <w:pPr>
                    <w:pStyle w:val="15"/>
                    <w:rPr>
                      <w:rFonts w:hint="eastAsia"/>
                      <w:vertAlign w:val="baseline"/>
                      <w:lang w:val="en-US" w:eastAsia="zh-CN"/>
                    </w:rPr>
                  </w:pPr>
                  <w:r>
                    <w:rPr>
                      <w:rFonts w:hint="eastAsia"/>
                      <w:vertAlign w:val="baseline"/>
                      <w:lang w:val="en-US" w:eastAsia="zh-CN"/>
                    </w:rPr>
                    <w:t>氯化氢</w:t>
                  </w:r>
                </w:p>
              </w:tc>
              <w:tc>
                <w:tcPr>
                  <w:tcW w:w="885" w:type="dxa"/>
                  <w:vAlign w:val="center"/>
                </w:tcPr>
                <w:p>
                  <w:pPr>
                    <w:pStyle w:val="15"/>
                    <w:jc w:val="center"/>
                    <w:rPr>
                      <w:rFonts w:hint="default"/>
                      <w:vertAlign w:val="baseline"/>
                      <w:lang w:val="en-US" w:eastAsia="zh-CN"/>
                    </w:rPr>
                  </w:pPr>
                  <w:r>
                    <w:rPr>
                      <w:rFonts w:hint="eastAsia"/>
                      <w:vertAlign w:val="baseline"/>
                      <w:lang w:val="en-US" w:eastAsia="zh-CN"/>
                    </w:rPr>
                    <w:t>2.112</w:t>
                  </w:r>
                </w:p>
              </w:tc>
              <w:tc>
                <w:tcPr>
                  <w:tcW w:w="1080" w:type="dxa"/>
                  <w:vAlign w:val="center"/>
                </w:tcPr>
                <w:p>
                  <w:pPr>
                    <w:pStyle w:val="15"/>
                    <w:jc w:val="center"/>
                    <w:rPr>
                      <w:rFonts w:hint="default"/>
                      <w:vertAlign w:val="baseline"/>
                      <w:lang w:val="en-US" w:eastAsia="zh-CN"/>
                    </w:rPr>
                  </w:pPr>
                  <w:r>
                    <w:rPr>
                      <w:rFonts w:hint="eastAsia"/>
                      <w:vertAlign w:val="baseline"/>
                      <w:lang w:val="en-US" w:eastAsia="zh-CN"/>
                    </w:rPr>
                    <w:t>3.96</w:t>
                  </w:r>
                </w:p>
              </w:tc>
              <w:tc>
                <w:tcPr>
                  <w:tcW w:w="1050" w:type="dxa"/>
                  <w:vAlign w:val="center"/>
                </w:tcPr>
                <w:p>
                  <w:pPr>
                    <w:pStyle w:val="15"/>
                    <w:jc w:val="center"/>
                    <w:rPr>
                      <w:rFonts w:hint="default"/>
                      <w:vertAlign w:val="baseline"/>
                      <w:lang w:val="en-US" w:eastAsia="zh-CN"/>
                    </w:rPr>
                  </w:pPr>
                  <w:r>
                    <w:rPr>
                      <w:rFonts w:hint="eastAsia"/>
                      <w:vertAlign w:val="baseline"/>
                      <w:lang w:val="en-US" w:eastAsia="zh-CN"/>
                    </w:rPr>
                    <w:t>0.119</w:t>
                  </w:r>
                </w:p>
              </w:tc>
              <w:tc>
                <w:tcPr>
                  <w:tcW w:w="870" w:type="dxa"/>
                  <w:vAlign w:val="center"/>
                </w:tcPr>
                <w:p>
                  <w:pPr>
                    <w:pStyle w:val="15"/>
                    <w:jc w:val="center"/>
                    <w:rPr>
                      <w:rFonts w:hint="default"/>
                      <w:vertAlign w:val="baseline"/>
                      <w:lang w:val="en-US" w:eastAsia="zh-CN"/>
                    </w:rPr>
                  </w:pPr>
                  <w:r>
                    <w:rPr>
                      <w:rFonts w:hint="eastAsia"/>
                      <w:vertAlign w:val="baseline"/>
                      <w:lang w:val="en-US" w:eastAsia="zh-CN"/>
                    </w:rPr>
                    <w:t>0.19</w:t>
                  </w:r>
                </w:p>
              </w:tc>
              <w:tc>
                <w:tcPr>
                  <w:tcW w:w="1085" w:type="dxa"/>
                  <w:vAlign w:val="center"/>
                </w:tcPr>
                <w:p>
                  <w:pPr>
                    <w:pStyle w:val="15"/>
                    <w:jc w:val="center"/>
                    <w:rPr>
                      <w:rFonts w:hint="default"/>
                      <w:vertAlign w:val="baseline"/>
                      <w:lang w:val="en-US" w:eastAsia="zh-CN"/>
                    </w:rPr>
                  </w:pPr>
                  <w:r>
                    <w:rPr>
                      <w:rFonts w:hint="eastAsia"/>
                      <w:vertAlign w:val="baseline"/>
                      <w:lang w:val="en-US" w:eastAsia="zh-CN"/>
                    </w:rPr>
                    <w:t>/</w:t>
                  </w:r>
                </w:p>
              </w:tc>
              <w:tc>
                <w:tcPr>
                  <w:tcW w:w="1030" w:type="dxa"/>
                  <w:vAlign w:val="center"/>
                </w:tcPr>
                <w:p>
                  <w:pPr>
                    <w:pStyle w:val="15"/>
                    <w:jc w:val="center"/>
                    <w:rPr>
                      <w:rFonts w:hint="default"/>
                      <w:vertAlign w:val="baseline"/>
                      <w:lang w:val="en-US" w:eastAsia="zh-CN"/>
                    </w:rPr>
                  </w:pPr>
                  <w:r>
                    <w:rPr>
                      <w:rFonts w:hint="eastAsia"/>
                      <w:vertAlign w:val="baseline"/>
                      <w:lang w:val="en-US" w:eastAsia="zh-CN"/>
                    </w:rPr>
                    <w:t>0.132</w:t>
                  </w:r>
                </w:p>
              </w:tc>
              <w:tc>
                <w:tcPr>
                  <w:tcW w:w="840" w:type="dxa"/>
                  <w:vAlign w:val="center"/>
                </w:tcPr>
                <w:p>
                  <w:pPr>
                    <w:pStyle w:val="15"/>
                    <w:jc w:val="center"/>
                    <w:rPr>
                      <w:rFonts w:hint="default"/>
                      <w:vertAlign w:val="baseline"/>
                      <w:lang w:val="en-US" w:eastAsia="zh-CN"/>
                    </w:rPr>
                  </w:pPr>
                  <w:r>
                    <w:rPr>
                      <w:rFonts w:hint="eastAsia"/>
                      <w:vertAlign w:val="baseline"/>
                      <w:lang w:val="en-US" w:eastAsia="zh-CN"/>
                    </w:rPr>
                    <w:t>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Pr>
                <w:p>
                  <w:pPr>
                    <w:pStyle w:val="15"/>
                    <w:rPr>
                      <w:rFonts w:hint="default"/>
                      <w:vertAlign w:val="baseline"/>
                      <w:lang w:val="en-US" w:eastAsia="zh-CN"/>
                    </w:rPr>
                  </w:pPr>
                  <w:r>
                    <w:rPr>
                      <w:rFonts w:hint="eastAsia"/>
                      <w:vertAlign w:val="baseline"/>
                      <w:lang w:val="en-US" w:eastAsia="zh-CN"/>
                    </w:rPr>
                    <w:t>2</w:t>
                  </w:r>
                </w:p>
              </w:tc>
              <w:tc>
                <w:tcPr>
                  <w:tcW w:w="915" w:type="dxa"/>
                </w:tcPr>
                <w:p>
                  <w:pPr>
                    <w:pStyle w:val="15"/>
                    <w:rPr>
                      <w:rFonts w:hint="eastAsia"/>
                      <w:vertAlign w:val="baseline"/>
                      <w:lang w:val="en-US" w:eastAsia="zh-CN"/>
                    </w:rPr>
                  </w:pPr>
                  <w:r>
                    <w:rPr>
                      <w:rFonts w:hint="eastAsia"/>
                      <w:vertAlign w:val="baseline"/>
                      <w:lang w:val="en-US" w:eastAsia="zh-CN"/>
                    </w:rPr>
                    <w:t>颗粒物</w:t>
                  </w:r>
                </w:p>
              </w:tc>
              <w:tc>
                <w:tcPr>
                  <w:tcW w:w="885" w:type="dxa"/>
                  <w:vAlign w:val="center"/>
                </w:tcPr>
                <w:p>
                  <w:pPr>
                    <w:pStyle w:val="15"/>
                    <w:jc w:val="center"/>
                    <w:rPr>
                      <w:rFonts w:hint="default"/>
                      <w:vertAlign w:val="baseline"/>
                      <w:lang w:val="en-US" w:eastAsia="zh-CN"/>
                    </w:rPr>
                  </w:pPr>
                  <w:r>
                    <w:rPr>
                      <w:rFonts w:hint="eastAsia"/>
                      <w:vertAlign w:val="baseline"/>
                      <w:lang w:val="en-US" w:eastAsia="zh-CN"/>
                    </w:rPr>
                    <w:t>1.095</w:t>
                  </w:r>
                </w:p>
              </w:tc>
              <w:tc>
                <w:tcPr>
                  <w:tcW w:w="1080" w:type="dxa"/>
                  <w:vAlign w:val="center"/>
                </w:tcPr>
                <w:p>
                  <w:pPr>
                    <w:pStyle w:val="15"/>
                    <w:jc w:val="center"/>
                    <w:rPr>
                      <w:rFonts w:hint="default"/>
                      <w:vertAlign w:val="baseline"/>
                      <w:lang w:val="en-US" w:eastAsia="zh-CN"/>
                    </w:rPr>
                  </w:pPr>
                  <w:r>
                    <w:rPr>
                      <w:rFonts w:hint="eastAsia"/>
                      <w:vertAlign w:val="baseline"/>
                      <w:lang w:val="en-US" w:eastAsia="zh-CN"/>
                    </w:rPr>
                    <w:t>/</w:t>
                  </w:r>
                </w:p>
              </w:tc>
              <w:tc>
                <w:tcPr>
                  <w:tcW w:w="1050" w:type="dxa"/>
                  <w:vAlign w:val="center"/>
                </w:tcPr>
                <w:p>
                  <w:pPr>
                    <w:pStyle w:val="15"/>
                    <w:jc w:val="center"/>
                    <w:rPr>
                      <w:rFonts w:hint="default"/>
                      <w:vertAlign w:val="baseline"/>
                      <w:lang w:val="en-US" w:eastAsia="zh-CN"/>
                    </w:rPr>
                  </w:pPr>
                  <w:r>
                    <w:rPr>
                      <w:rFonts w:hint="eastAsia"/>
                      <w:vertAlign w:val="baseline"/>
                      <w:lang w:val="en-US" w:eastAsia="zh-CN"/>
                    </w:rPr>
                    <w:t>/</w:t>
                  </w:r>
                </w:p>
              </w:tc>
              <w:tc>
                <w:tcPr>
                  <w:tcW w:w="870" w:type="dxa"/>
                  <w:vAlign w:val="center"/>
                </w:tcPr>
                <w:p>
                  <w:pPr>
                    <w:pStyle w:val="15"/>
                    <w:jc w:val="center"/>
                    <w:rPr>
                      <w:rFonts w:hint="default"/>
                      <w:vertAlign w:val="baseline"/>
                      <w:lang w:val="en-US" w:eastAsia="zh-CN"/>
                    </w:rPr>
                  </w:pPr>
                  <w:r>
                    <w:rPr>
                      <w:rFonts w:hint="eastAsia"/>
                      <w:vertAlign w:val="baseline"/>
                      <w:lang w:val="en-US" w:eastAsia="zh-CN"/>
                    </w:rPr>
                    <w:t>/</w:t>
                  </w:r>
                </w:p>
              </w:tc>
              <w:tc>
                <w:tcPr>
                  <w:tcW w:w="1085" w:type="dxa"/>
                  <w:vAlign w:val="center"/>
                </w:tcPr>
                <w:p>
                  <w:pPr>
                    <w:pStyle w:val="15"/>
                    <w:jc w:val="center"/>
                    <w:rPr>
                      <w:rFonts w:hint="eastAsia"/>
                      <w:vertAlign w:val="baseline"/>
                      <w:lang w:val="en-US" w:eastAsia="zh-CN"/>
                    </w:rPr>
                  </w:pPr>
                  <w:r>
                    <w:rPr>
                      <w:rFonts w:hint="eastAsia"/>
                      <w:vertAlign w:val="baseline"/>
                      <w:lang w:val="en-US" w:eastAsia="zh-CN"/>
                    </w:rPr>
                    <w:t>/</w:t>
                  </w:r>
                </w:p>
              </w:tc>
              <w:tc>
                <w:tcPr>
                  <w:tcW w:w="1030" w:type="dxa"/>
                  <w:vAlign w:val="center"/>
                </w:tcPr>
                <w:p>
                  <w:pPr>
                    <w:pStyle w:val="15"/>
                    <w:jc w:val="center"/>
                    <w:rPr>
                      <w:rFonts w:hint="default"/>
                      <w:vertAlign w:val="baseline"/>
                      <w:lang w:val="en-US" w:eastAsia="zh-CN"/>
                    </w:rPr>
                  </w:pPr>
                  <w:r>
                    <w:rPr>
                      <w:rFonts w:hint="eastAsia"/>
                      <w:vertAlign w:val="baseline"/>
                      <w:lang w:val="en-US" w:eastAsia="zh-CN"/>
                    </w:rPr>
                    <w:t>0.1</w:t>
                  </w:r>
                </w:p>
              </w:tc>
              <w:tc>
                <w:tcPr>
                  <w:tcW w:w="840" w:type="dxa"/>
                  <w:vAlign w:val="center"/>
                </w:tcPr>
                <w:p>
                  <w:pPr>
                    <w:pStyle w:val="15"/>
                    <w:jc w:val="center"/>
                    <w:rPr>
                      <w:rFonts w:hint="default"/>
                      <w:lang w:val="en-US" w:eastAsia="zh-CN"/>
                    </w:rPr>
                  </w:pPr>
                  <w:r>
                    <w:rPr>
                      <w:rFonts w:hint="eastAsia"/>
                      <w:lang w:val="en-US" w:eastAsia="zh-CN"/>
                    </w:rPr>
                    <w:t>0.16</w:t>
                  </w:r>
                </w:p>
              </w:tc>
            </w:tr>
          </w:tbl>
          <w:p>
            <w:pPr>
              <w:pStyle w:val="15"/>
              <w:ind w:firstLine="420" w:firstLineChars="200"/>
              <w:rPr>
                <w:rFonts w:hint="eastAsia"/>
                <w:lang w:val="en-US" w:eastAsia="zh-CN"/>
              </w:rPr>
            </w:pPr>
          </w:p>
          <w:p>
            <w:pPr>
              <w:pStyle w:val="15"/>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项目废气排放口基本情况见下表</w:t>
            </w:r>
            <w:r>
              <w:rPr>
                <w:rFonts w:hint="eastAsia" w:cs="Times New Roman"/>
                <w:sz w:val="24"/>
                <w:szCs w:val="24"/>
                <w:highlight w:val="none"/>
                <w:lang w:val="en-US" w:eastAsia="zh-CN"/>
              </w:rPr>
              <w:t>：</w:t>
            </w:r>
          </w:p>
          <w:p>
            <w:pPr>
              <w:pStyle w:val="98"/>
              <w:rPr>
                <w:rFonts w:hint="default" w:ascii="Times New Roman" w:hAnsi="Times New Roman" w:eastAsia="宋体" w:cs="Times New Roman"/>
                <w:b/>
                <w:bCs/>
                <w:sz w:val="21"/>
                <w:szCs w:val="21"/>
                <w:highlight w:val="none"/>
                <w:lang w:val="en-US" w:eastAsia="zh-CN"/>
              </w:rPr>
            </w:pPr>
          </w:p>
          <w:p>
            <w:pPr>
              <w:pStyle w:val="98"/>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表4-</w:t>
            </w:r>
            <w:r>
              <w:rPr>
                <w:rFonts w:hint="eastAsia" w:eastAsia="宋体" w:cs="Times New Roman"/>
                <w:b/>
                <w:bCs/>
                <w:sz w:val="21"/>
                <w:szCs w:val="21"/>
                <w:highlight w:val="none"/>
                <w:lang w:val="en-US" w:eastAsia="zh-CN"/>
              </w:rPr>
              <w:t>2</w:t>
            </w:r>
            <w:r>
              <w:rPr>
                <w:rFonts w:hint="default" w:ascii="Times New Roman" w:hAnsi="Times New Roman" w:eastAsia="宋体" w:cs="Times New Roman"/>
                <w:b/>
                <w:bCs/>
                <w:sz w:val="21"/>
                <w:szCs w:val="21"/>
                <w:highlight w:val="none"/>
                <w:lang w:val="en-US" w:eastAsia="zh-CN"/>
              </w:rPr>
              <w:t xml:space="preserve">  项目废气排放筒基本情况表一览表</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574"/>
              <w:gridCol w:w="801"/>
              <w:gridCol w:w="1046"/>
              <w:gridCol w:w="1041"/>
              <w:gridCol w:w="755"/>
              <w:gridCol w:w="755"/>
              <w:gridCol w:w="802"/>
              <w:gridCol w:w="506"/>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242" w:type="pct"/>
                  <w:vMerge w:val="restar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序号</w:t>
                  </w:r>
                </w:p>
              </w:tc>
              <w:tc>
                <w:tcPr>
                  <w:tcW w:w="341" w:type="pct"/>
                  <w:vMerge w:val="restar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排放口编号</w:t>
                  </w:r>
                </w:p>
              </w:tc>
              <w:tc>
                <w:tcPr>
                  <w:tcW w:w="476" w:type="pct"/>
                  <w:vMerge w:val="restar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污染物名称</w:t>
                  </w:r>
                </w:p>
              </w:tc>
              <w:tc>
                <w:tcPr>
                  <w:tcW w:w="1241" w:type="pct"/>
                  <w:gridSpan w:val="2"/>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地理坐标</w:t>
                  </w:r>
                </w:p>
              </w:tc>
              <w:tc>
                <w:tcPr>
                  <w:tcW w:w="1375" w:type="pct"/>
                  <w:gridSpan w:val="3"/>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排放口基本情况</w:t>
                  </w:r>
                </w:p>
              </w:tc>
              <w:tc>
                <w:tcPr>
                  <w:tcW w:w="301" w:type="pct"/>
                  <w:vMerge w:val="restar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类型</w:t>
                  </w:r>
                </w:p>
              </w:tc>
              <w:tc>
                <w:tcPr>
                  <w:tcW w:w="1021" w:type="pct"/>
                  <w:vMerge w:val="restar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 w:type="pct"/>
                  <w:vMerge w:val="continue"/>
                  <w:noWrap w:val="0"/>
                  <w:vAlign w:val="center"/>
                </w:tcPr>
                <w:p>
                  <w:pPr>
                    <w:snapToGrid w:val="0"/>
                    <w:jc w:val="center"/>
                    <w:rPr>
                      <w:rFonts w:hint="default" w:ascii="Times New Roman" w:hAnsi="Times New Roman" w:eastAsia="宋体" w:cs="Times New Roman"/>
                      <w:highlight w:val="none"/>
                      <w:lang w:val="en-US" w:eastAsia="zh-CN"/>
                    </w:rPr>
                  </w:pPr>
                </w:p>
              </w:tc>
              <w:tc>
                <w:tcPr>
                  <w:tcW w:w="341" w:type="pct"/>
                  <w:vMerge w:val="continue"/>
                  <w:noWrap w:val="0"/>
                  <w:vAlign w:val="center"/>
                </w:tcPr>
                <w:p>
                  <w:pPr>
                    <w:snapToGrid w:val="0"/>
                    <w:jc w:val="center"/>
                    <w:rPr>
                      <w:rFonts w:hint="default" w:ascii="Times New Roman" w:hAnsi="Times New Roman" w:eastAsia="宋体" w:cs="Times New Roman"/>
                      <w:highlight w:val="none"/>
                      <w:lang w:val="en-US" w:eastAsia="zh-CN"/>
                    </w:rPr>
                  </w:pPr>
                </w:p>
              </w:tc>
              <w:tc>
                <w:tcPr>
                  <w:tcW w:w="476" w:type="pct"/>
                  <w:vMerge w:val="continue"/>
                  <w:noWrap w:val="0"/>
                  <w:vAlign w:val="center"/>
                </w:tcPr>
                <w:p>
                  <w:pPr>
                    <w:snapToGrid w:val="0"/>
                    <w:jc w:val="center"/>
                    <w:rPr>
                      <w:rFonts w:hint="default" w:ascii="Times New Roman" w:hAnsi="Times New Roman" w:eastAsia="宋体" w:cs="Times New Roman"/>
                      <w:highlight w:val="none"/>
                      <w:lang w:val="en-US" w:eastAsia="zh-CN"/>
                    </w:rPr>
                  </w:pPr>
                </w:p>
              </w:tc>
              <w:tc>
                <w:tcPr>
                  <w:tcW w:w="622" w:type="pc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经度</w:t>
                  </w:r>
                </w:p>
              </w:tc>
              <w:tc>
                <w:tcPr>
                  <w:tcW w:w="619" w:type="pc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纬度</w:t>
                  </w:r>
                </w:p>
              </w:tc>
              <w:tc>
                <w:tcPr>
                  <w:tcW w:w="449" w:type="pc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高度（m）</w:t>
                  </w:r>
                </w:p>
              </w:tc>
              <w:tc>
                <w:tcPr>
                  <w:tcW w:w="449" w:type="pc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内径（m）</w:t>
                  </w:r>
                </w:p>
              </w:tc>
              <w:tc>
                <w:tcPr>
                  <w:tcW w:w="477" w:type="pc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烟气温度（℃）</w:t>
                  </w:r>
                </w:p>
              </w:tc>
              <w:tc>
                <w:tcPr>
                  <w:tcW w:w="301" w:type="pct"/>
                  <w:vMerge w:val="continue"/>
                  <w:noWrap w:val="0"/>
                  <w:vAlign w:val="center"/>
                </w:tcPr>
                <w:p>
                  <w:pPr>
                    <w:snapToGrid w:val="0"/>
                    <w:jc w:val="center"/>
                    <w:rPr>
                      <w:rFonts w:hint="default" w:ascii="Times New Roman" w:hAnsi="Times New Roman" w:eastAsia="宋体" w:cs="Times New Roman"/>
                      <w:highlight w:val="none"/>
                      <w:lang w:val="en-US" w:eastAsia="zh-CN"/>
                    </w:rPr>
                  </w:pPr>
                </w:p>
              </w:tc>
              <w:tc>
                <w:tcPr>
                  <w:tcW w:w="1021" w:type="pct"/>
                  <w:vMerge w:val="continue"/>
                  <w:noWrap w:val="0"/>
                  <w:vAlign w:val="center"/>
                </w:tcPr>
                <w:p>
                  <w:pPr>
                    <w:snapToGrid w:val="0"/>
                    <w:jc w:val="center"/>
                    <w:rPr>
                      <w:rFonts w:hint="default" w:ascii="Times New Roman" w:hAnsi="Times New Roman" w:eastAsia="宋体" w:cs="Times New Roman"/>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2" w:type="pc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w:t>
                  </w:r>
                </w:p>
              </w:tc>
              <w:tc>
                <w:tcPr>
                  <w:tcW w:w="341" w:type="pc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DA001</w:t>
                  </w:r>
                </w:p>
              </w:tc>
              <w:tc>
                <w:tcPr>
                  <w:tcW w:w="476" w:type="pct"/>
                  <w:noWrap w:val="0"/>
                  <w:vAlign w:val="center"/>
                </w:tcPr>
                <w:p>
                  <w:pPr>
                    <w:snapToGrid w:val="0"/>
                    <w:jc w:val="center"/>
                    <w:rPr>
                      <w:rFonts w:hint="default" w:ascii="Times New Roman" w:hAnsi="Times New Roman" w:eastAsia="宋体" w:cs="Times New Roman"/>
                      <w:highlight w:val="none"/>
                      <w:lang w:val="en-US" w:eastAsia="zh-CN"/>
                    </w:rPr>
                  </w:pPr>
                  <w:r>
                    <w:rPr>
                      <w:rFonts w:hint="eastAsia" w:cs="Times New Roman"/>
                      <w:highlight w:val="none"/>
                      <w:lang w:val="en-US" w:eastAsia="zh-CN"/>
                    </w:rPr>
                    <w:t>氯化氢酸雾</w:t>
                  </w:r>
                </w:p>
              </w:tc>
              <w:tc>
                <w:tcPr>
                  <w:tcW w:w="622" w:type="pct"/>
                  <w:noWrap w:val="0"/>
                  <w:vAlign w:val="center"/>
                </w:tcPr>
                <w:p>
                  <w:pPr>
                    <w:snapToGrid w:val="0"/>
                    <w:jc w:val="center"/>
                    <w:rPr>
                      <w:rFonts w:hint="default" w:ascii="Times New Roman" w:hAnsi="Times New Roman" w:eastAsia="宋体" w:cs="Times New Roman"/>
                      <w:highlight w:val="none"/>
                      <w:lang w:val="en-US" w:eastAsia="zh-CN"/>
                    </w:rPr>
                  </w:pPr>
                  <w:r>
                    <w:rPr>
                      <w:rFonts w:hint="eastAsia"/>
                      <w:highlight w:val="none"/>
                    </w:rPr>
                    <w:t>117.</w:t>
                  </w:r>
                  <w:r>
                    <w:rPr>
                      <w:rFonts w:hint="eastAsia"/>
                      <w:highlight w:val="none"/>
                      <w:lang w:val="en-US" w:eastAsia="zh-CN"/>
                    </w:rPr>
                    <w:t>048354</w:t>
                  </w:r>
                </w:p>
              </w:tc>
              <w:tc>
                <w:tcPr>
                  <w:tcW w:w="619" w:type="pct"/>
                  <w:noWrap w:val="0"/>
                  <w:vAlign w:val="center"/>
                </w:tcPr>
                <w:p>
                  <w:pPr>
                    <w:snapToGrid w:val="0"/>
                    <w:jc w:val="center"/>
                    <w:rPr>
                      <w:rFonts w:hint="default" w:ascii="Times New Roman" w:hAnsi="Times New Roman" w:eastAsia="宋体" w:cs="Times New Roman"/>
                      <w:highlight w:val="none"/>
                      <w:lang w:val="en-US" w:eastAsia="zh-CN"/>
                    </w:rPr>
                  </w:pPr>
                  <w:r>
                    <w:rPr>
                      <w:rFonts w:hint="eastAsia"/>
                      <w:highlight w:val="none"/>
                    </w:rPr>
                    <w:t>32.65</w:t>
                  </w:r>
                  <w:r>
                    <w:rPr>
                      <w:rFonts w:hint="eastAsia"/>
                      <w:highlight w:val="none"/>
                      <w:lang w:val="en-US" w:eastAsia="zh-CN"/>
                    </w:rPr>
                    <w:t>3025</w:t>
                  </w:r>
                </w:p>
              </w:tc>
              <w:tc>
                <w:tcPr>
                  <w:tcW w:w="449" w:type="pc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15</w:t>
                  </w:r>
                </w:p>
              </w:tc>
              <w:tc>
                <w:tcPr>
                  <w:tcW w:w="449" w:type="pc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0.</w:t>
                  </w:r>
                  <w:r>
                    <w:rPr>
                      <w:rFonts w:hint="eastAsia" w:ascii="Times New Roman" w:hAnsi="Times New Roman" w:eastAsia="宋体" w:cs="Times New Roman"/>
                      <w:highlight w:val="none"/>
                      <w:lang w:val="en-US" w:eastAsia="zh-CN"/>
                    </w:rPr>
                    <w:t>6</w:t>
                  </w:r>
                </w:p>
              </w:tc>
              <w:tc>
                <w:tcPr>
                  <w:tcW w:w="477" w:type="pc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25</w:t>
                  </w:r>
                </w:p>
              </w:tc>
              <w:tc>
                <w:tcPr>
                  <w:tcW w:w="301" w:type="pc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有组织</w:t>
                  </w:r>
                </w:p>
              </w:tc>
              <w:tc>
                <w:tcPr>
                  <w:tcW w:w="1021" w:type="pct"/>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color w:val="auto"/>
                      <w:lang w:eastAsia="zh-CN"/>
                    </w:rPr>
                    <w:t>《大气污染物综合排放标准》（GB16297-1996）</w:t>
                  </w:r>
                  <w:r>
                    <w:rPr>
                      <w:rFonts w:hint="eastAsia" w:cs="Times New Roman"/>
                      <w:color w:val="auto"/>
                      <w:lang w:val="en-US" w:eastAsia="zh-CN"/>
                    </w:rPr>
                    <w:t>表2</w:t>
                  </w:r>
                  <w:r>
                    <w:rPr>
                      <w:rFonts w:hint="default" w:ascii="Times New Roman" w:hAnsi="Times New Roman" w:eastAsia="宋体" w:cs="Times New Roman"/>
                      <w:color w:val="auto"/>
                      <w:lang w:eastAsia="zh-CN"/>
                    </w:rPr>
                    <w:t>中的二级标准</w:t>
                  </w:r>
                </w:p>
              </w:tc>
            </w:tr>
          </w:tbl>
          <w:p>
            <w:pPr>
              <w:pStyle w:val="15"/>
              <w:ind w:firstLine="420" w:firstLineChars="200"/>
              <w:jc w:val="both"/>
              <w:rPr>
                <w:highlight w:val="none"/>
                <w:lang w:val="en-US" w:eastAsia="zh-CN"/>
              </w:rPr>
            </w:pPr>
          </w:p>
          <w:p>
            <w:pPr>
              <w:spacing w:line="360" w:lineRule="auto"/>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2、</w:t>
            </w:r>
            <w:r>
              <w:rPr>
                <w:rFonts w:hint="eastAsia" w:ascii="Times New Roman" w:hAnsi="Times New Roman" w:eastAsia="宋体" w:cs="Times New Roman"/>
                <w:color w:val="auto"/>
                <w:sz w:val="24"/>
                <w:highlight w:val="none"/>
                <w:lang w:val="en-US" w:eastAsia="zh-CN"/>
              </w:rPr>
              <w:t>在非正常工况下，本项目</w:t>
            </w:r>
            <w:r>
              <w:rPr>
                <w:rFonts w:hint="eastAsia" w:cs="Times New Roman"/>
                <w:color w:val="auto"/>
                <w:sz w:val="24"/>
                <w:highlight w:val="none"/>
                <w:lang w:val="en-US" w:eastAsia="zh-CN"/>
              </w:rPr>
              <w:t>废气排放如下表：</w:t>
            </w:r>
          </w:p>
          <w:p>
            <w:pPr>
              <w:pStyle w:val="9"/>
              <w:spacing w:before="146" w:after="2"/>
              <w:ind w:left="1379" w:right="397"/>
              <w:jc w:val="center"/>
              <w:rPr>
                <w:sz w:val="21"/>
                <w:szCs w:val="21"/>
              </w:rPr>
            </w:pPr>
            <w:r>
              <w:rPr>
                <w:sz w:val="21"/>
                <w:szCs w:val="21"/>
              </w:rPr>
              <w:t xml:space="preserve">表 </w:t>
            </w:r>
            <w:r>
              <w:rPr>
                <w:rFonts w:ascii="Times New Roman" w:eastAsia="Times New Roman"/>
                <w:sz w:val="21"/>
                <w:szCs w:val="21"/>
              </w:rPr>
              <w:t>4-</w:t>
            </w:r>
            <w:r>
              <w:rPr>
                <w:rFonts w:hint="eastAsia" w:ascii="Times New Roman" w:eastAsia="宋体"/>
                <w:sz w:val="21"/>
                <w:szCs w:val="21"/>
                <w:lang w:val="en-US" w:eastAsia="zh-CN"/>
              </w:rPr>
              <w:t>3</w:t>
            </w:r>
            <w:r>
              <w:rPr>
                <w:rFonts w:ascii="Times New Roman" w:eastAsia="Times New Roman"/>
                <w:sz w:val="21"/>
                <w:szCs w:val="21"/>
              </w:rPr>
              <w:t xml:space="preserve">  </w:t>
            </w:r>
            <w:r>
              <w:rPr>
                <w:sz w:val="21"/>
                <w:szCs w:val="21"/>
              </w:rPr>
              <w:t>项目非正常排放参数一览表</w:t>
            </w:r>
          </w:p>
          <w:p>
            <w:pPr>
              <w:pStyle w:val="8"/>
              <w:jc w:val="both"/>
              <w:rPr>
                <w:rFonts w:hint="eastAsia"/>
                <w:lang w:val="en-US"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403"/>
              <w:gridCol w:w="1403"/>
              <w:gridCol w:w="1403"/>
              <w:gridCol w:w="1404"/>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污染物</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Times New Roman" w:hAnsi="Times New Roman" w:eastAsia="宋体" w:cs="Times New Roman"/>
                      <w:color w:val="auto"/>
                      <w:sz w:val="21"/>
                      <w:szCs w:val="21"/>
                      <w:vertAlign w:val="baseline"/>
                      <w:lang w:val="en-US" w:eastAsia="zh-CN"/>
                    </w:rPr>
                  </w:pPr>
                  <w:r>
                    <w:rPr>
                      <w:sz w:val="21"/>
                      <w:szCs w:val="21"/>
                    </w:rPr>
                    <w:t>排放浓度（</w:t>
                  </w:r>
                  <w:r>
                    <w:rPr>
                      <w:rFonts w:ascii="Times New Roman" w:eastAsia="Times New Roman"/>
                      <w:sz w:val="21"/>
                      <w:szCs w:val="21"/>
                    </w:rPr>
                    <w:t>mg/m</w:t>
                  </w:r>
                  <w:r>
                    <w:rPr>
                      <w:rFonts w:ascii="Times New Roman" w:eastAsia="Times New Roman"/>
                      <w:position w:val="7"/>
                      <w:sz w:val="21"/>
                      <w:szCs w:val="21"/>
                    </w:rPr>
                    <w:t>3</w:t>
                  </w:r>
                  <w:r>
                    <w:rPr>
                      <w:sz w:val="21"/>
                      <w:szCs w:val="21"/>
                    </w:rPr>
                    <w:t>）</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Times New Roman" w:hAnsi="Times New Roman" w:eastAsia="宋体" w:cs="Times New Roman"/>
                      <w:color w:val="auto"/>
                      <w:sz w:val="21"/>
                      <w:szCs w:val="21"/>
                      <w:vertAlign w:val="baseline"/>
                      <w:lang w:val="en-US" w:eastAsia="zh-CN"/>
                    </w:rPr>
                  </w:pPr>
                  <w:r>
                    <w:rPr>
                      <w:sz w:val="21"/>
                      <w:szCs w:val="21"/>
                    </w:rPr>
                    <w:t xml:space="preserve">排放量 </w:t>
                  </w:r>
                  <w:r>
                    <w:rPr>
                      <w:rFonts w:ascii="Times New Roman" w:eastAsia="Times New Roman"/>
                      <w:sz w:val="21"/>
                      <w:szCs w:val="21"/>
                    </w:rPr>
                    <w:t>kg</w:t>
                  </w:r>
                </w:p>
              </w:tc>
              <w:tc>
                <w:tcPr>
                  <w:tcW w:w="1403" w:type="dxa"/>
                  <w:vAlign w:val="center"/>
                </w:tcPr>
                <w:p>
                  <w:pPr>
                    <w:pStyle w:val="83"/>
                    <w:keepNext w:val="0"/>
                    <w:keepLines w:val="0"/>
                    <w:pageBreakBefore w:val="0"/>
                    <w:widowControl w:val="0"/>
                    <w:kinsoku/>
                    <w:wordWrap/>
                    <w:overflowPunct/>
                    <w:topLinePunct w:val="0"/>
                    <w:autoSpaceDE/>
                    <w:autoSpaceDN/>
                    <w:bidi w:val="0"/>
                    <w:adjustRightInd/>
                    <w:snapToGrid/>
                    <w:spacing w:line="240" w:lineRule="auto"/>
                    <w:ind w:left="0" w:leftChars="0" w:right="0" w:rightChars="0" w:hanging="128" w:firstLineChars="0"/>
                    <w:jc w:val="center"/>
                    <w:textAlignment w:val="auto"/>
                    <w:rPr>
                      <w:rFonts w:hint="eastAsia" w:ascii="Times New Roman" w:hAnsi="Times New Roman" w:eastAsia="宋体" w:cs="Times New Roman"/>
                      <w:color w:val="auto"/>
                      <w:sz w:val="21"/>
                      <w:szCs w:val="21"/>
                      <w:vertAlign w:val="baseline"/>
                      <w:lang w:val="en-US" w:eastAsia="zh-CN"/>
                    </w:rPr>
                  </w:pPr>
                  <w:r>
                    <w:rPr>
                      <w:sz w:val="21"/>
                      <w:szCs w:val="21"/>
                    </w:rPr>
                    <w:t>单次持续时间</w:t>
                  </w:r>
                  <w:r>
                    <w:rPr>
                      <w:rFonts w:ascii="Times New Roman" w:eastAsia="Times New Roman"/>
                      <w:sz w:val="21"/>
                      <w:szCs w:val="21"/>
                    </w:rPr>
                    <w:t>/h</w:t>
                  </w:r>
                </w:p>
              </w:tc>
              <w:tc>
                <w:tcPr>
                  <w:tcW w:w="1404" w:type="dxa"/>
                  <w:vAlign w:val="center"/>
                </w:tcPr>
                <w:p>
                  <w:pPr>
                    <w:pStyle w:val="8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8" w:firstLineChars="0"/>
                    <w:jc w:val="center"/>
                    <w:textAlignment w:val="auto"/>
                    <w:rPr>
                      <w:rFonts w:hint="eastAsia" w:ascii="Times New Roman" w:hAnsi="Times New Roman" w:eastAsia="宋体" w:cs="Times New Roman"/>
                      <w:color w:val="auto"/>
                      <w:sz w:val="21"/>
                      <w:szCs w:val="21"/>
                      <w:vertAlign w:val="baseline"/>
                      <w:lang w:val="en-US" w:eastAsia="zh-CN"/>
                    </w:rPr>
                  </w:pPr>
                  <w:r>
                    <w:rPr>
                      <w:sz w:val="21"/>
                      <w:szCs w:val="21"/>
                    </w:rPr>
                    <w:t>年发生频次</w:t>
                  </w:r>
                  <w:r>
                    <w:rPr>
                      <w:rFonts w:ascii="Times New Roman" w:eastAsia="Times New Roman"/>
                      <w:sz w:val="21"/>
                      <w:szCs w:val="21"/>
                    </w:rPr>
                    <w:t>/</w:t>
                  </w:r>
                  <w:r>
                    <w:rPr>
                      <w:sz w:val="21"/>
                      <w:szCs w:val="21"/>
                    </w:rPr>
                    <w:t>次</w:t>
                  </w:r>
                </w:p>
              </w:tc>
              <w:tc>
                <w:tcPr>
                  <w:tcW w:w="1404" w:type="dxa"/>
                  <w:vAlign w:val="center"/>
                </w:tcPr>
                <w:p>
                  <w:pPr>
                    <w:pStyle w:val="83"/>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z w:val="21"/>
                      <w:szCs w:val="21"/>
                      <w:vertAlign w:val="baseline"/>
                      <w:lang w:val="en-US" w:eastAsia="zh-CN"/>
                    </w:rPr>
                  </w:pPr>
                  <w:r>
                    <w:rPr>
                      <w:sz w:val="21"/>
                      <w:szCs w:val="21"/>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40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氯化氢</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39.6</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1.188</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1</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1</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left"/>
                    <w:textAlignment w:val="auto"/>
                    <w:rPr>
                      <w:rFonts w:hint="eastAsia" w:ascii="Times New Roman" w:hAnsi="Times New Roman" w:eastAsia="宋体" w:cs="Times New Roman"/>
                      <w:color w:val="auto"/>
                      <w:sz w:val="21"/>
                      <w:szCs w:val="21"/>
                      <w:vertAlign w:val="baseline"/>
                      <w:lang w:val="en-US" w:eastAsia="zh-CN"/>
                    </w:rPr>
                  </w:pPr>
                  <w:r>
                    <w:rPr>
                      <w:sz w:val="21"/>
                    </w:rPr>
                    <w:t>停止生产，检修</w:t>
                  </w:r>
                </w:p>
              </w:tc>
            </w:tr>
          </w:tbl>
          <w:p>
            <w:pPr>
              <w:rPr>
                <w:lang w:val="en-US" w:eastAsia="zh-CN"/>
              </w:rPr>
            </w:pP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为确保</w:t>
            </w:r>
            <w:r>
              <w:rPr>
                <w:rFonts w:hint="eastAsia" w:cs="Times New Roman"/>
                <w:color w:val="auto"/>
                <w:sz w:val="24"/>
                <w:lang w:val="en-US" w:eastAsia="zh-CN"/>
              </w:rPr>
              <w:t>碱液喷淋塔</w:t>
            </w:r>
            <w:r>
              <w:rPr>
                <w:rFonts w:hint="eastAsia" w:ascii="Times New Roman" w:hAnsi="Times New Roman" w:eastAsia="宋体" w:cs="Times New Roman"/>
                <w:color w:val="auto"/>
                <w:sz w:val="24"/>
                <w:lang w:val="en-US" w:eastAsia="zh-CN"/>
              </w:rPr>
              <w:t>装置正常运行，建设方在日常运行过程中，拟采取如下措施：</w:t>
            </w:r>
          </w:p>
          <w:p>
            <w:pPr>
              <w:spacing w:line="360" w:lineRule="auto"/>
              <w:ind w:firstLine="480" w:firstLineChars="200"/>
              <w:rPr>
                <w:rFonts w:hint="eastAsia" w:ascii="Times New Roman" w:hAnsi="Times New Roman" w:eastAsia="宋体" w:cs="Times New Roman"/>
                <w:color w:val="auto"/>
                <w:sz w:val="24"/>
                <w:lang w:val="en-US" w:eastAsia="zh-CN"/>
              </w:rPr>
            </w:pPr>
            <w:bookmarkStart w:id="22" w:name="bookmark0"/>
            <w:bookmarkEnd w:id="22"/>
            <w:r>
              <w:rPr>
                <w:rFonts w:hint="eastAsia" w:ascii="Times New Roman" w:hAnsi="Times New Roman" w:eastAsia="宋体" w:cs="Times New Roman"/>
                <w:color w:val="auto"/>
                <w:sz w:val="24"/>
                <w:lang w:val="en-US" w:eastAsia="zh-CN"/>
              </w:rPr>
              <w:t>由公司委派专人负责每日巡检</w:t>
            </w:r>
            <w:r>
              <w:rPr>
                <w:rFonts w:hint="eastAsia" w:cs="Times New Roman"/>
                <w:color w:val="auto"/>
                <w:sz w:val="24"/>
                <w:lang w:val="en-US" w:eastAsia="zh-CN"/>
              </w:rPr>
              <w:t>碱液喷淋塔</w:t>
            </w:r>
            <w:r>
              <w:rPr>
                <w:rFonts w:hint="eastAsia" w:ascii="Times New Roman" w:hAnsi="Times New Roman" w:eastAsia="宋体" w:cs="Times New Roman"/>
                <w:color w:val="auto"/>
                <w:sz w:val="24"/>
                <w:lang w:val="en-US" w:eastAsia="zh-CN"/>
              </w:rPr>
              <w:t>装置，做好巡检记录。</w:t>
            </w:r>
          </w:p>
          <w:p>
            <w:pPr>
              <w:spacing w:line="360" w:lineRule="auto"/>
              <w:ind w:firstLine="480" w:firstLineChars="200"/>
              <w:rPr>
                <w:rFonts w:hint="eastAsia" w:ascii="Times New Roman" w:hAnsi="Times New Roman" w:eastAsia="宋体" w:cs="Times New Roman"/>
                <w:color w:val="auto"/>
                <w:sz w:val="24"/>
                <w:lang w:val="en-US" w:eastAsia="zh-CN"/>
              </w:rPr>
            </w:pPr>
            <w:bookmarkStart w:id="23" w:name="bookmark1"/>
            <w:bookmarkEnd w:id="23"/>
            <w:r>
              <w:rPr>
                <w:rFonts w:hint="eastAsia" w:ascii="Times New Roman" w:hAnsi="Times New Roman" w:eastAsia="宋体" w:cs="Times New Roman"/>
                <w:color w:val="auto"/>
                <w:sz w:val="24"/>
                <w:lang w:val="en-US" w:eastAsia="zh-CN"/>
              </w:rPr>
              <w:t>当发现</w:t>
            </w:r>
            <w:r>
              <w:rPr>
                <w:rFonts w:hint="eastAsia" w:cs="Times New Roman"/>
                <w:color w:val="auto"/>
                <w:sz w:val="24"/>
                <w:lang w:val="en-US" w:eastAsia="zh-CN"/>
              </w:rPr>
              <w:t>碱液喷淋塔</w:t>
            </w:r>
            <w:r>
              <w:rPr>
                <w:rFonts w:hint="eastAsia" w:ascii="Times New Roman" w:hAnsi="Times New Roman" w:eastAsia="宋体" w:cs="Times New Roman"/>
                <w:color w:val="auto"/>
                <w:sz w:val="24"/>
                <w:lang w:val="en-US" w:eastAsia="zh-CN"/>
              </w:rPr>
              <w:t>处理设施故障并导致</w:t>
            </w:r>
            <w:r>
              <w:rPr>
                <w:rFonts w:hint="eastAsia" w:cs="Times New Roman"/>
                <w:color w:val="auto"/>
                <w:sz w:val="24"/>
                <w:lang w:val="en-US" w:eastAsia="zh-CN"/>
              </w:rPr>
              <w:t>酸雾</w:t>
            </w:r>
            <w:r>
              <w:rPr>
                <w:rFonts w:hint="eastAsia" w:ascii="Times New Roman" w:hAnsi="Times New Roman" w:eastAsia="宋体" w:cs="Times New Roman"/>
                <w:color w:val="auto"/>
                <w:sz w:val="24"/>
                <w:lang w:val="en-US" w:eastAsia="zh-CN"/>
              </w:rPr>
              <w:t>非正常排放时，应立即停止</w:t>
            </w:r>
            <w:r>
              <w:rPr>
                <w:rFonts w:hint="eastAsia" w:cs="Times New Roman"/>
                <w:color w:val="auto"/>
                <w:sz w:val="24"/>
                <w:lang w:val="en-US" w:eastAsia="zh-CN"/>
              </w:rPr>
              <w:t>酸洗</w:t>
            </w:r>
            <w:r>
              <w:rPr>
                <w:rFonts w:hint="eastAsia" w:ascii="Times New Roman" w:hAnsi="Times New Roman" w:eastAsia="宋体" w:cs="Times New Roman"/>
                <w:color w:val="auto"/>
                <w:sz w:val="24"/>
                <w:lang w:val="en-US" w:eastAsia="zh-CN"/>
              </w:rPr>
              <w:t>工序，</w:t>
            </w:r>
            <w:r>
              <w:rPr>
                <w:rFonts w:hint="eastAsia" w:cs="Times New Roman"/>
                <w:color w:val="auto"/>
                <w:sz w:val="24"/>
                <w:lang w:val="en-US" w:eastAsia="zh-CN"/>
              </w:rPr>
              <w:t>将酸洗池密封以减少酸雾挥发，</w:t>
            </w:r>
            <w:r>
              <w:rPr>
                <w:rFonts w:hint="eastAsia" w:ascii="Times New Roman" w:hAnsi="Times New Roman" w:eastAsia="宋体" w:cs="Times New Roman"/>
                <w:color w:val="auto"/>
                <w:sz w:val="24"/>
                <w:lang w:val="en-US" w:eastAsia="zh-CN"/>
              </w:rPr>
              <w:t xml:space="preserve"> 待</w:t>
            </w:r>
            <w:r>
              <w:rPr>
                <w:rFonts w:hint="eastAsia" w:cs="Times New Roman"/>
                <w:color w:val="auto"/>
                <w:sz w:val="24"/>
                <w:lang w:val="en-US" w:eastAsia="zh-CN"/>
              </w:rPr>
              <w:t>碱液喷淋塔</w:t>
            </w:r>
            <w:r>
              <w:rPr>
                <w:rFonts w:hint="eastAsia" w:ascii="Times New Roman" w:hAnsi="Times New Roman" w:eastAsia="宋体" w:cs="Times New Roman"/>
                <w:color w:val="auto"/>
                <w:sz w:val="24"/>
                <w:lang w:val="en-US" w:eastAsia="zh-CN"/>
              </w:rPr>
              <w:t>装置故障排除后并可正常运行时方可恢复相关生产。</w:t>
            </w:r>
          </w:p>
          <w:p>
            <w:pPr>
              <w:spacing w:line="360" w:lineRule="auto"/>
              <w:ind w:firstLine="480" w:firstLineChars="200"/>
              <w:rPr>
                <w:rFonts w:hint="eastAsia" w:ascii="Times New Roman" w:hAnsi="Times New Roman" w:eastAsia="宋体" w:cs="Times New Roman"/>
                <w:color w:val="auto"/>
                <w:sz w:val="24"/>
                <w:lang w:val="en-US" w:eastAsia="zh-CN"/>
              </w:rPr>
            </w:pPr>
            <w:bookmarkStart w:id="24" w:name="bookmark2"/>
            <w:bookmarkEnd w:id="24"/>
            <w:r>
              <w:rPr>
                <w:rFonts w:hint="eastAsia" w:ascii="Times New Roman" w:hAnsi="Times New Roman" w:eastAsia="宋体" w:cs="Times New Roman"/>
                <w:color w:val="auto"/>
                <w:sz w:val="24"/>
                <w:lang w:val="en-US" w:eastAsia="zh-CN"/>
              </w:rPr>
              <w:t>按照环评要求定期对</w:t>
            </w:r>
            <w:r>
              <w:rPr>
                <w:rFonts w:hint="eastAsia" w:cs="Times New Roman"/>
                <w:color w:val="auto"/>
                <w:sz w:val="24"/>
                <w:lang w:val="en-US" w:eastAsia="zh-CN"/>
              </w:rPr>
              <w:t>碱液喷淋塔</w:t>
            </w:r>
            <w:r>
              <w:rPr>
                <w:rFonts w:hint="eastAsia" w:ascii="Times New Roman" w:hAnsi="Times New Roman" w:eastAsia="宋体" w:cs="Times New Roman"/>
                <w:color w:val="auto"/>
                <w:sz w:val="24"/>
                <w:lang w:val="en-US" w:eastAsia="zh-CN"/>
              </w:rPr>
              <w:t>装置进行维护保养</w:t>
            </w:r>
            <w:r>
              <w:rPr>
                <w:rFonts w:hint="eastAsia" w:cs="Times New Roman"/>
                <w:color w:val="auto"/>
                <w:sz w:val="24"/>
                <w:lang w:val="en-US" w:eastAsia="zh-CN"/>
              </w:rPr>
              <w:t>，</w:t>
            </w:r>
            <w:r>
              <w:rPr>
                <w:rFonts w:hint="eastAsia" w:ascii="Times New Roman" w:hAnsi="Times New Roman" w:eastAsia="宋体" w:cs="Times New Roman"/>
                <w:color w:val="auto"/>
                <w:sz w:val="24"/>
                <w:lang w:val="en-US" w:eastAsia="zh-CN"/>
              </w:rPr>
              <w:t>以减少</w:t>
            </w:r>
            <w:r>
              <w:rPr>
                <w:rFonts w:hint="eastAsia" w:cs="Times New Roman"/>
                <w:color w:val="auto"/>
                <w:sz w:val="24"/>
                <w:lang w:val="en-US" w:eastAsia="zh-CN"/>
              </w:rPr>
              <w:t>酸雾</w:t>
            </w:r>
            <w:r>
              <w:rPr>
                <w:rFonts w:hint="eastAsia" w:ascii="Times New Roman" w:hAnsi="Times New Roman" w:eastAsia="宋体" w:cs="Times New Roman"/>
                <w:color w:val="auto"/>
                <w:sz w:val="24"/>
                <w:lang w:val="en-US" w:eastAsia="zh-CN"/>
              </w:rPr>
              <w:t>的非正常排放。</w:t>
            </w:r>
            <w:bookmarkStart w:id="25" w:name="bookmark3"/>
            <w:bookmarkEnd w:id="25"/>
          </w:p>
          <w:p>
            <w:pPr>
              <w:pStyle w:val="50"/>
              <w:rPr>
                <w:lang w:val="en-US" w:eastAsia="zh-CN"/>
              </w:rPr>
            </w:pPr>
          </w:p>
          <w:p>
            <w:pPr>
              <w:pStyle w:val="53"/>
              <w:rPr>
                <w:lang w:val="en-US" w:eastAsia="zh-CN"/>
              </w:rPr>
            </w:pPr>
          </w:p>
          <w:p>
            <w:pPr>
              <w:pStyle w:val="23"/>
              <w:rPr>
                <w:lang w:val="en-US" w:eastAsia="zh-CN"/>
              </w:rPr>
            </w:pPr>
          </w:p>
        </w:tc>
      </w:tr>
    </w:tbl>
    <w:p>
      <w:pPr>
        <w:adjustRightInd w:val="0"/>
        <w:snapToGrid w:val="0"/>
        <w:spacing w:line="360" w:lineRule="auto"/>
        <w:rPr>
          <w:rFonts w:hint="eastAsia" w:ascii="宋体" w:cs="宋体"/>
          <w:b/>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
        <w:gridCol w:w="8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69" w:type="pct"/>
            <w:noWrap w:val="0"/>
            <w:vAlign w:val="center"/>
          </w:tcPr>
          <w:p>
            <w:pPr>
              <w:adjustRightInd w:val="0"/>
              <w:snapToGrid w:val="0"/>
              <w:jc w:val="center"/>
              <w:rPr>
                <w:rFonts w:hint="eastAsia" w:ascii="宋体" w:hAnsi="宋体" w:cs="宋体"/>
                <w:bCs/>
                <w:szCs w:val="21"/>
              </w:rPr>
            </w:pPr>
            <w:r>
              <w:rPr>
                <w:rFonts w:hint="eastAsia" w:ascii="宋体" w:hAnsi="宋体" w:cs="宋体"/>
                <w:bCs/>
                <w:szCs w:val="21"/>
              </w:rPr>
              <w:t>运营</w:t>
            </w:r>
          </w:p>
          <w:p>
            <w:pPr>
              <w:adjustRightInd w:val="0"/>
              <w:snapToGrid w:val="0"/>
              <w:jc w:val="center"/>
              <w:rPr>
                <w:rFonts w:hint="eastAsia" w:ascii="宋体" w:hAnsi="宋体" w:cs="宋体"/>
                <w:bCs/>
                <w:szCs w:val="21"/>
              </w:rPr>
            </w:pPr>
            <w:r>
              <w:rPr>
                <w:rFonts w:hint="eastAsia" w:ascii="宋体" w:hAnsi="宋体" w:cs="宋体"/>
                <w:bCs/>
                <w:szCs w:val="21"/>
              </w:rPr>
              <w:t>期环</w:t>
            </w:r>
          </w:p>
          <w:p>
            <w:pPr>
              <w:adjustRightInd w:val="0"/>
              <w:snapToGrid w:val="0"/>
              <w:jc w:val="center"/>
              <w:rPr>
                <w:rFonts w:hint="eastAsia" w:ascii="宋体" w:hAnsi="宋体" w:cs="宋体"/>
                <w:bCs/>
                <w:szCs w:val="21"/>
              </w:rPr>
            </w:pPr>
            <w:r>
              <w:rPr>
                <w:rFonts w:hint="eastAsia" w:ascii="宋体" w:hAnsi="宋体" w:cs="宋体"/>
                <w:bCs/>
                <w:szCs w:val="21"/>
              </w:rPr>
              <w:t>境影</w:t>
            </w:r>
          </w:p>
          <w:p>
            <w:pPr>
              <w:adjustRightInd w:val="0"/>
              <w:snapToGrid w:val="0"/>
              <w:jc w:val="center"/>
              <w:rPr>
                <w:rFonts w:hint="eastAsia" w:ascii="宋体" w:hAnsi="宋体" w:cs="宋体"/>
                <w:bCs/>
                <w:szCs w:val="21"/>
              </w:rPr>
            </w:pPr>
            <w:r>
              <w:rPr>
                <w:rFonts w:hint="eastAsia" w:ascii="宋体" w:hAnsi="宋体" w:cs="宋体"/>
                <w:bCs/>
                <w:szCs w:val="21"/>
              </w:rPr>
              <w:t>响和</w:t>
            </w:r>
          </w:p>
          <w:p>
            <w:pPr>
              <w:adjustRightInd w:val="0"/>
              <w:snapToGrid w:val="0"/>
              <w:jc w:val="center"/>
              <w:rPr>
                <w:rFonts w:hint="eastAsia" w:ascii="宋体" w:hAnsi="宋体" w:cs="宋体"/>
                <w:bCs/>
                <w:szCs w:val="21"/>
              </w:rPr>
            </w:pPr>
            <w:r>
              <w:rPr>
                <w:rFonts w:hint="eastAsia" w:ascii="宋体" w:hAnsi="宋体" w:cs="宋体"/>
                <w:bCs/>
                <w:szCs w:val="21"/>
              </w:rPr>
              <w:t>保护</w:t>
            </w:r>
          </w:p>
          <w:p>
            <w:pPr>
              <w:adjustRightInd w:val="0"/>
              <w:snapToGrid w:val="0"/>
              <w:jc w:val="center"/>
              <w:rPr>
                <w:rFonts w:hint="eastAsia"/>
              </w:rPr>
            </w:pPr>
            <w:r>
              <w:rPr>
                <w:rFonts w:hint="eastAsia" w:ascii="宋体" w:hAnsi="宋体" w:cs="宋体"/>
                <w:bCs/>
                <w:szCs w:val="21"/>
              </w:rPr>
              <w:t>措施</w:t>
            </w:r>
          </w:p>
        </w:tc>
        <w:tc>
          <w:tcPr>
            <w:tcW w:w="4630" w:type="pct"/>
            <w:noWrap w:val="0"/>
            <w:vAlign w:val="top"/>
          </w:tcPr>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cs="Times New Roman"/>
                <w:color w:val="auto"/>
                <w:sz w:val="24"/>
                <w:lang w:val="en-US" w:eastAsia="zh-CN"/>
              </w:rPr>
              <w:t>3</w:t>
            </w:r>
            <w:r>
              <w:rPr>
                <w:rFonts w:hint="eastAsia" w:ascii="Times New Roman" w:hAnsi="Times New Roman" w:eastAsia="宋体" w:cs="Times New Roman"/>
                <w:color w:val="auto"/>
                <w:sz w:val="24"/>
                <w:lang w:val="en-US" w:eastAsia="zh-CN"/>
              </w:rPr>
              <w:t>、污</w:t>
            </w:r>
            <w:r>
              <w:rPr>
                <w:rFonts w:hint="eastAsia" w:ascii="Times New Roman" w:hAnsi="Times New Roman" w:eastAsia="宋体" w:cs="Times New Roman"/>
                <w:color w:val="auto"/>
                <w:sz w:val="24"/>
                <w:highlight w:val="none"/>
                <w:lang w:val="en-US" w:eastAsia="zh-CN"/>
              </w:rPr>
              <w:t>染防治措施可行</w:t>
            </w:r>
            <w:r>
              <w:rPr>
                <w:rFonts w:hint="eastAsia" w:ascii="Times New Roman" w:hAnsi="Times New Roman" w:eastAsia="宋体" w:cs="Times New Roman"/>
                <w:color w:val="auto"/>
                <w:sz w:val="24"/>
                <w:lang w:val="en-US" w:eastAsia="zh-CN"/>
              </w:rPr>
              <w:t>性</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项目行业类别为</w:t>
            </w:r>
            <w:r>
              <w:rPr>
                <w:rFonts w:hint="eastAsia" w:cs="Times New Roman"/>
                <w:color w:val="auto"/>
                <w:sz w:val="24"/>
                <w:lang w:val="en-US" w:eastAsia="zh-CN"/>
              </w:rPr>
              <w:t>C43金属制品、机械和设备修理业、</w:t>
            </w:r>
            <w:r>
              <w:rPr>
                <w:rFonts w:hint="eastAsia" w:ascii="Times New Roman" w:hAnsi="Times New Roman" w:eastAsia="宋体" w:cs="Times New Roman"/>
                <w:color w:val="auto"/>
                <w:sz w:val="24"/>
                <w:lang w:val="en-US" w:eastAsia="zh-CN"/>
              </w:rPr>
              <w:t>C</w:t>
            </w:r>
            <w:r>
              <w:rPr>
                <w:rFonts w:hint="eastAsia" w:cs="Times New Roman"/>
                <w:color w:val="auto"/>
                <w:sz w:val="24"/>
                <w:lang w:val="en-US" w:eastAsia="zh-CN"/>
              </w:rPr>
              <w:t>33金属制品业</w:t>
            </w:r>
            <w:r>
              <w:rPr>
                <w:rFonts w:hint="eastAsia" w:ascii="Times New Roman" w:hAnsi="Times New Roman" w:eastAsia="宋体" w:cs="Times New Roman"/>
                <w:color w:val="auto"/>
                <w:sz w:val="24"/>
                <w:lang w:val="en-US" w:eastAsia="zh-CN"/>
              </w:rPr>
              <w:t>，该行业尚未有相应的排污许可证申请与核发技术规范，因此参考《排污许可证申请与核发技术规范 电镀工业》</w:t>
            </w:r>
            <w:r>
              <w:rPr>
                <w:rFonts w:hint="default" w:ascii="Times New Roman" w:hAnsi="Times New Roman" w:eastAsia="宋体" w:cs="Times New Roman"/>
                <w:color w:val="auto"/>
                <w:sz w:val="24"/>
                <w:lang w:val="en-US" w:eastAsia="zh-CN"/>
              </w:rPr>
              <w:t>(HJ</w:t>
            </w:r>
            <w:r>
              <w:rPr>
                <w:rFonts w:hint="eastAsia" w:cs="Times New Roman"/>
                <w:color w:val="auto"/>
                <w:sz w:val="24"/>
                <w:lang w:val="en-US" w:eastAsia="zh-CN"/>
              </w:rPr>
              <w:t>855</w:t>
            </w:r>
            <w:r>
              <w:rPr>
                <w:rFonts w:hint="default" w:ascii="Times New Roman" w:hAnsi="Times New Roman" w:eastAsia="宋体" w:cs="Times New Roman"/>
                <w:color w:val="auto"/>
                <w:sz w:val="24"/>
                <w:lang w:val="en-US" w:eastAsia="zh-CN"/>
              </w:rPr>
              <w:t>-2</w:t>
            </w:r>
            <w:r>
              <w:rPr>
                <w:rFonts w:hint="eastAsia" w:cs="Times New Roman"/>
                <w:color w:val="auto"/>
                <w:sz w:val="24"/>
                <w:lang w:val="en-US" w:eastAsia="zh-CN"/>
              </w:rPr>
              <w:t>017</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，项目酸洗废气处理工艺为“喷淋塔中和工艺”，颗粒物处理工艺为“袋式除尘工艺”，各废气处理</w:t>
            </w:r>
            <w:r>
              <w:rPr>
                <w:rFonts w:hint="eastAsia" w:cs="Times New Roman"/>
                <w:color w:val="auto"/>
                <w:sz w:val="24"/>
                <w:lang w:val="en-US" w:eastAsia="zh-CN"/>
              </w:rPr>
              <w:t>工艺均为</w:t>
            </w:r>
            <w:r>
              <w:rPr>
                <w:rFonts w:hint="eastAsia" w:ascii="Times New Roman" w:hAnsi="Times New Roman" w:eastAsia="宋体" w:cs="Times New Roman"/>
                <w:color w:val="auto"/>
                <w:sz w:val="24"/>
                <w:lang w:val="en-US" w:eastAsia="zh-CN"/>
              </w:rPr>
              <w:t>《排污许可证申请与核发技术规范 电镀工业》</w:t>
            </w:r>
            <w:r>
              <w:rPr>
                <w:rFonts w:hint="default" w:ascii="Times New Roman" w:hAnsi="Times New Roman" w:eastAsia="宋体" w:cs="Times New Roman"/>
                <w:color w:val="auto"/>
                <w:sz w:val="24"/>
                <w:lang w:val="en-US" w:eastAsia="zh-CN"/>
              </w:rPr>
              <w:t>(HJ</w:t>
            </w:r>
            <w:r>
              <w:rPr>
                <w:rFonts w:hint="eastAsia" w:cs="Times New Roman"/>
                <w:color w:val="auto"/>
                <w:sz w:val="24"/>
                <w:lang w:val="en-US" w:eastAsia="zh-CN"/>
              </w:rPr>
              <w:t>855</w:t>
            </w:r>
            <w:r>
              <w:rPr>
                <w:rFonts w:hint="default" w:ascii="Times New Roman" w:hAnsi="Times New Roman" w:eastAsia="宋体" w:cs="Times New Roman"/>
                <w:color w:val="auto"/>
                <w:sz w:val="24"/>
                <w:lang w:val="en-US" w:eastAsia="zh-CN"/>
              </w:rPr>
              <w:t>-2</w:t>
            </w:r>
            <w:r>
              <w:rPr>
                <w:rFonts w:hint="eastAsia" w:cs="Times New Roman"/>
                <w:color w:val="auto"/>
                <w:sz w:val="24"/>
                <w:lang w:val="en-US" w:eastAsia="zh-CN"/>
              </w:rPr>
              <w:t>017</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推荐工艺，即废气处理可行。</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cs="Times New Roman"/>
                <w:color w:val="auto"/>
                <w:sz w:val="24"/>
                <w:lang w:val="en-US" w:eastAsia="zh-CN"/>
              </w:rPr>
              <w:t>4</w:t>
            </w:r>
            <w:r>
              <w:rPr>
                <w:rFonts w:hint="eastAsia" w:ascii="Times New Roman" w:hAnsi="Times New Roman" w:eastAsia="宋体" w:cs="Times New Roman"/>
                <w:color w:val="auto"/>
                <w:sz w:val="24"/>
                <w:lang w:val="en-US" w:eastAsia="zh-CN"/>
              </w:rPr>
              <w:t>、废气环境影响分析</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本项目各废气产生源废气污染物排放量均较小，且配备了技术可行的废气</w:t>
            </w:r>
            <w:r>
              <w:rPr>
                <w:rFonts w:hint="eastAsia" w:cs="Times New Roman"/>
                <w:color w:val="auto"/>
                <w:sz w:val="24"/>
                <w:lang w:val="en-US" w:eastAsia="zh-CN"/>
              </w:rPr>
              <w:t>收集及</w:t>
            </w:r>
            <w:r>
              <w:rPr>
                <w:rFonts w:hint="eastAsia" w:ascii="Times New Roman" w:hAnsi="Times New Roman" w:eastAsia="宋体" w:cs="Times New Roman"/>
                <w:color w:val="auto"/>
                <w:sz w:val="24"/>
                <w:lang w:val="en-US" w:eastAsia="zh-CN"/>
              </w:rPr>
              <w:t>处理装置，废气</w:t>
            </w:r>
            <w:r>
              <w:rPr>
                <w:rFonts w:hint="eastAsia" w:cs="Times New Roman"/>
                <w:color w:val="auto"/>
                <w:sz w:val="24"/>
                <w:lang w:val="en-US" w:eastAsia="zh-CN"/>
              </w:rPr>
              <w:t>收</w:t>
            </w:r>
            <w:r>
              <w:rPr>
                <w:rFonts w:hint="eastAsia" w:ascii="Times New Roman" w:hAnsi="Times New Roman" w:eastAsia="宋体" w:cs="Times New Roman"/>
                <w:color w:val="auto"/>
                <w:sz w:val="24"/>
                <w:lang w:val="en-US" w:eastAsia="zh-CN"/>
              </w:rPr>
              <w:t>集效率高，在正常工况下，各废气污染物均可达标排放。</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综上所述，本项目废气在污染防治措施到位的情况下能够达到相应的排放限值要求，做到污染物的达标排放，对环境影响较小。</w:t>
            </w:r>
          </w:p>
          <w:p>
            <w:pPr>
              <w:spacing w:line="360" w:lineRule="auto"/>
              <w:ind w:firstLine="480" w:firstLineChars="200"/>
              <w:rPr>
                <w:rFonts w:hint="eastAsia"/>
                <w:color w:val="auto"/>
                <w:sz w:val="24"/>
              </w:rPr>
            </w:pPr>
            <w:r>
              <w:rPr>
                <w:rFonts w:hint="eastAsia"/>
                <w:color w:val="auto"/>
                <w:sz w:val="24"/>
                <w:lang w:val="en-US" w:eastAsia="zh-CN"/>
              </w:rPr>
              <w:t>5</w:t>
            </w:r>
            <w:r>
              <w:rPr>
                <w:rFonts w:hint="eastAsia"/>
                <w:color w:val="auto"/>
                <w:sz w:val="24"/>
              </w:rPr>
              <w:t>、</w:t>
            </w:r>
            <w:r>
              <w:rPr>
                <w:color w:val="auto"/>
                <w:sz w:val="24"/>
              </w:rPr>
              <w:t>污染物排放量核算</w:t>
            </w:r>
          </w:p>
          <w:p>
            <w:pPr>
              <w:spacing w:line="360" w:lineRule="auto"/>
              <w:jc w:val="center"/>
              <w:rPr>
                <w:b/>
                <w:bCs/>
                <w:color w:val="auto"/>
                <w:szCs w:val="21"/>
              </w:rPr>
            </w:pPr>
            <w:r>
              <w:rPr>
                <w:b/>
                <w:bCs/>
                <w:color w:val="auto"/>
                <w:szCs w:val="21"/>
                <w:highlight w:val="none"/>
              </w:rPr>
              <w:t>表4-</w:t>
            </w:r>
            <w:r>
              <w:rPr>
                <w:rFonts w:hint="eastAsia"/>
                <w:b/>
                <w:bCs/>
                <w:color w:val="auto"/>
                <w:szCs w:val="21"/>
                <w:highlight w:val="none"/>
                <w:lang w:val="en-US" w:eastAsia="zh-CN"/>
              </w:rPr>
              <w:t>4</w:t>
            </w:r>
            <w:r>
              <w:rPr>
                <w:b/>
                <w:bCs/>
                <w:color w:val="auto"/>
                <w:szCs w:val="21"/>
              </w:rPr>
              <w:t xml:space="preserve"> 大气污染物有组织排放量核算表</w:t>
            </w:r>
          </w:p>
          <w:tbl>
            <w:tblPr>
              <w:tblStyle w:val="2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2386"/>
              <w:gridCol w:w="1554"/>
              <w:gridCol w:w="1339"/>
              <w:gridCol w:w="1339"/>
              <w:gridCol w:w="11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45" w:type="pct"/>
                  <w:noWrap w:val="0"/>
                  <w:vAlign w:val="center"/>
                </w:tcPr>
                <w:p>
                  <w:pPr>
                    <w:jc w:val="center"/>
                    <w:rPr>
                      <w:bCs/>
                      <w:color w:val="auto"/>
                      <w:szCs w:val="21"/>
                    </w:rPr>
                  </w:pPr>
                  <w:r>
                    <w:rPr>
                      <w:bCs/>
                      <w:color w:val="auto"/>
                      <w:szCs w:val="21"/>
                    </w:rPr>
                    <w:t>序号</w:t>
                  </w:r>
                </w:p>
              </w:tc>
              <w:tc>
                <w:tcPr>
                  <w:tcW w:w="1422" w:type="pct"/>
                  <w:noWrap w:val="0"/>
                  <w:vAlign w:val="center"/>
                </w:tcPr>
                <w:p>
                  <w:pPr>
                    <w:jc w:val="center"/>
                    <w:rPr>
                      <w:bCs/>
                      <w:color w:val="auto"/>
                      <w:szCs w:val="21"/>
                    </w:rPr>
                  </w:pPr>
                  <w:r>
                    <w:rPr>
                      <w:bCs/>
                      <w:color w:val="auto"/>
                      <w:szCs w:val="21"/>
                    </w:rPr>
                    <w:t>排放口编号</w:t>
                  </w:r>
                </w:p>
              </w:tc>
              <w:tc>
                <w:tcPr>
                  <w:tcW w:w="926" w:type="pct"/>
                  <w:noWrap w:val="0"/>
                  <w:vAlign w:val="center"/>
                </w:tcPr>
                <w:p>
                  <w:pPr>
                    <w:jc w:val="center"/>
                    <w:rPr>
                      <w:bCs/>
                      <w:color w:val="auto"/>
                      <w:szCs w:val="21"/>
                    </w:rPr>
                  </w:pPr>
                  <w:r>
                    <w:rPr>
                      <w:bCs/>
                      <w:color w:val="auto"/>
                      <w:spacing w:val="-10"/>
                      <w:szCs w:val="21"/>
                    </w:rPr>
                    <w:t>污染物</w:t>
                  </w:r>
                </w:p>
              </w:tc>
              <w:tc>
                <w:tcPr>
                  <w:tcW w:w="798" w:type="pct"/>
                  <w:noWrap w:val="0"/>
                  <w:vAlign w:val="center"/>
                </w:tcPr>
                <w:p>
                  <w:pPr>
                    <w:jc w:val="center"/>
                    <w:rPr>
                      <w:bCs/>
                      <w:color w:val="auto"/>
                      <w:szCs w:val="21"/>
                    </w:rPr>
                  </w:pPr>
                  <w:r>
                    <w:rPr>
                      <w:bCs/>
                      <w:color w:val="auto"/>
                      <w:szCs w:val="21"/>
                    </w:rPr>
                    <w:t>核算排放浓度（mg/m</w:t>
                  </w:r>
                  <w:r>
                    <w:rPr>
                      <w:bCs/>
                      <w:color w:val="auto"/>
                      <w:szCs w:val="21"/>
                      <w:vertAlign w:val="superscript"/>
                    </w:rPr>
                    <w:t>3</w:t>
                  </w:r>
                  <w:r>
                    <w:rPr>
                      <w:bCs/>
                      <w:color w:val="auto"/>
                      <w:szCs w:val="21"/>
                    </w:rPr>
                    <w:t>）</w:t>
                  </w:r>
                </w:p>
              </w:tc>
              <w:tc>
                <w:tcPr>
                  <w:tcW w:w="798" w:type="pct"/>
                  <w:noWrap w:val="0"/>
                  <w:vAlign w:val="center"/>
                </w:tcPr>
                <w:p>
                  <w:pPr>
                    <w:jc w:val="center"/>
                    <w:rPr>
                      <w:bCs/>
                      <w:color w:val="auto"/>
                      <w:szCs w:val="21"/>
                    </w:rPr>
                  </w:pPr>
                  <w:r>
                    <w:rPr>
                      <w:bCs/>
                      <w:color w:val="auto"/>
                      <w:szCs w:val="21"/>
                    </w:rPr>
                    <w:t>核算排放速率（kg/h）</w:t>
                  </w:r>
                </w:p>
              </w:tc>
              <w:tc>
                <w:tcPr>
                  <w:tcW w:w="710" w:type="pct"/>
                  <w:noWrap w:val="0"/>
                  <w:vAlign w:val="center"/>
                </w:tcPr>
                <w:p>
                  <w:pPr>
                    <w:jc w:val="center"/>
                    <w:rPr>
                      <w:bCs/>
                      <w:color w:val="auto"/>
                      <w:szCs w:val="21"/>
                    </w:rPr>
                  </w:pPr>
                  <w:r>
                    <w:rPr>
                      <w:bCs/>
                      <w:color w:val="auto"/>
                      <w:szCs w:val="21"/>
                    </w:rPr>
                    <w:t>核算年排放量（t/a）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000" w:type="pct"/>
                  <w:gridSpan w:val="6"/>
                  <w:noWrap w:val="0"/>
                  <w:vAlign w:val="center"/>
                </w:tcPr>
                <w:p>
                  <w:pPr>
                    <w:jc w:val="center"/>
                    <w:rPr>
                      <w:bCs/>
                      <w:color w:val="auto"/>
                      <w:szCs w:val="21"/>
                    </w:rPr>
                  </w:pPr>
                  <w:r>
                    <w:rPr>
                      <w:bCs/>
                      <w:color w:val="auto"/>
                      <w:szCs w:val="21"/>
                    </w:rPr>
                    <w:t>一般排放口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45" w:type="pct"/>
                  <w:noWrap w:val="0"/>
                  <w:vAlign w:val="center"/>
                </w:tcPr>
                <w:p>
                  <w:pPr>
                    <w:jc w:val="center"/>
                    <w:rPr>
                      <w:color w:val="auto"/>
                      <w:szCs w:val="21"/>
                    </w:rPr>
                  </w:pPr>
                  <w:r>
                    <w:rPr>
                      <w:color w:val="auto"/>
                      <w:szCs w:val="21"/>
                    </w:rPr>
                    <w:t>1</w:t>
                  </w:r>
                </w:p>
              </w:tc>
              <w:tc>
                <w:tcPr>
                  <w:tcW w:w="1422" w:type="pct"/>
                  <w:noWrap w:val="0"/>
                  <w:vAlign w:val="center"/>
                </w:tcPr>
                <w:p>
                  <w:pPr>
                    <w:jc w:val="center"/>
                    <w:rPr>
                      <w:color w:val="auto"/>
                      <w:szCs w:val="21"/>
                    </w:rPr>
                  </w:pPr>
                  <w:r>
                    <w:rPr>
                      <w:color w:val="auto"/>
                      <w:szCs w:val="21"/>
                    </w:rPr>
                    <w:t>DA0</w:t>
                  </w:r>
                  <w:r>
                    <w:rPr>
                      <w:rFonts w:hint="eastAsia"/>
                      <w:color w:val="auto"/>
                      <w:szCs w:val="21"/>
                      <w:lang w:val="en-US" w:eastAsia="zh-CN"/>
                    </w:rPr>
                    <w:t>0</w:t>
                  </w:r>
                  <w:r>
                    <w:rPr>
                      <w:color w:val="auto"/>
                      <w:szCs w:val="21"/>
                    </w:rPr>
                    <w:t>1</w:t>
                  </w:r>
                </w:p>
              </w:tc>
              <w:tc>
                <w:tcPr>
                  <w:tcW w:w="926" w:type="pct"/>
                  <w:noWrap w:val="0"/>
                  <w:vAlign w:val="center"/>
                </w:tcPr>
                <w:p>
                  <w:pPr>
                    <w:jc w:val="center"/>
                    <w:rPr>
                      <w:rFonts w:hint="eastAsia" w:eastAsia="宋体"/>
                      <w:color w:val="auto"/>
                      <w:szCs w:val="21"/>
                      <w:lang w:eastAsia="zh-CN"/>
                    </w:rPr>
                  </w:pPr>
                  <w:r>
                    <w:rPr>
                      <w:rFonts w:hint="eastAsia"/>
                      <w:color w:val="auto"/>
                      <w:szCs w:val="21"/>
                      <w:lang w:eastAsia="zh-CN"/>
                    </w:rPr>
                    <w:t>氯化氢酸雾</w:t>
                  </w:r>
                </w:p>
              </w:tc>
              <w:tc>
                <w:tcPr>
                  <w:tcW w:w="798" w:type="pct"/>
                  <w:noWrap w:val="0"/>
                  <w:vAlign w:val="center"/>
                </w:tcPr>
                <w:p>
                  <w:pPr>
                    <w:jc w:val="center"/>
                    <w:rPr>
                      <w:rFonts w:hint="default"/>
                      <w:color w:val="0070C0"/>
                      <w:szCs w:val="21"/>
                      <w:lang w:val="en-US"/>
                    </w:rPr>
                  </w:pPr>
                  <w:r>
                    <w:rPr>
                      <w:rFonts w:hint="eastAsia" w:cs="Times New Roman"/>
                      <w:lang w:val="en-US" w:eastAsia="zh-CN"/>
                    </w:rPr>
                    <w:t>3.96</w:t>
                  </w:r>
                </w:p>
              </w:tc>
              <w:tc>
                <w:tcPr>
                  <w:tcW w:w="798" w:type="pct"/>
                  <w:noWrap w:val="0"/>
                  <w:vAlign w:val="center"/>
                </w:tcPr>
                <w:p>
                  <w:pPr>
                    <w:keepNext w:val="0"/>
                    <w:keepLines w:val="0"/>
                    <w:widowControl/>
                    <w:suppressLineNumbers w:val="0"/>
                    <w:jc w:val="center"/>
                    <w:textAlignment w:val="center"/>
                    <w:rPr>
                      <w:rFonts w:hint="default" w:eastAsia="宋体"/>
                      <w:color w:val="auto"/>
                      <w:szCs w:val="21"/>
                      <w:lang w:val="en-US" w:eastAsia="zh-CN"/>
                    </w:rPr>
                  </w:pPr>
                  <w:r>
                    <w:rPr>
                      <w:rFonts w:hint="eastAsia" w:cs="Times New Roman"/>
                      <w:i w:val="0"/>
                      <w:iCs w:val="0"/>
                      <w:color w:val="000000"/>
                      <w:kern w:val="0"/>
                      <w:sz w:val="21"/>
                      <w:szCs w:val="21"/>
                      <w:u w:val="none"/>
                      <w:lang w:val="en-US" w:eastAsia="zh-CN" w:bidi="ar"/>
                    </w:rPr>
                    <w:t>0.119</w:t>
                  </w:r>
                </w:p>
              </w:tc>
              <w:tc>
                <w:tcPr>
                  <w:tcW w:w="710" w:type="pct"/>
                  <w:noWrap w:val="0"/>
                  <w:vAlign w:val="center"/>
                </w:tcPr>
                <w:p>
                  <w:pPr>
                    <w:jc w:val="center"/>
                    <w:rPr>
                      <w:rFonts w:hint="default" w:eastAsia="宋体"/>
                      <w:color w:val="auto"/>
                      <w:szCs w:val="21"/>
                      <w:lang w:val="en-US" w:eastAsia="zh-CN"/>
                    </w:rPr>
                  </w:pPr>
                  <w:r>
                    <w:rPr>
                      <w:rFonts w:hint="eastAsia" w:cs="Times New Roman"/>
                      <w:lang w:val="en-US" w:eastAsia="zh-CN"/>
                    </w:rPr>
                    <w:t>0.19</w:t>
                  </w:r>
                </w:p>
              </w:tc>
            </w:tr>
          </w:tbl>
          <w:p>
            <w:pPr>
              <w:spacing w:line="360" w:lineRule="auto"/>
              <w:jc w:val="center"/>
              <w:rPr>
                <w:b/>
                <w:bCs/>
                <w:color w:val="auto"/>
                <w:szCs w:val="21"/>
                <w:highlight w:val="none"/>
              </w:rPr>
            </w:pPr>
          </w:p>
          <w:p>
            <w:pPr>
              <w:spacing w:line="360" w:lineRule="auto"/>
              <w:jc w:val="center"/>
              <w:rPr>
                <w:b/>
                <w:bCs/>
                <w:color w:val="auto"/>
                <w:szCs w:val="21"/>
              </w:rPr>
            </w:pPr>
            <w:r>
              <w:rPr>
                <w:b/>
                <w:bCs/>
                <w:color w:val="auto"/>
                <w:szCs w:val="21"/>
                <w:highlight w:val="none"/>
              </w:rPr>
              <w:t>表4-</w:t>
            </w:r>
            <w:r>
              <w:rPr>
                <w:rFonts w:hint="eastAsia"/>
                <w:b/>
                <w:bCs/>
                <w:color w:val="auto"/>
                <w:szCs w:val="21"/>
                <w:highlight w:val="none"/>
                <w:lang w:val="en-US" w:eastAsia="zh-CN"/>
              </w:rPr>
              <w:t>5</w:t>
            </w:r>
            <w:r>
              <w:rPr>
                <w:b/>
                <w:bCs/>
                <w:color w:val="auto"/>
                <w:szCs w:val="21"/>
                <w:highlight w:val="none"/>
              </w:rPr>
              <w:t xml:space="preserve"> </w:t>
            </w:r>
            <w:r>
              <w:rPr>
                <w:b/>
                <w:bCs/>
                <w:color w:val="auto"/>
                <w:szCs w:val="21"/>
              </w:rPr>
              <w:t xml:space="preserve"> 大气污染物无组织排放量核算表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2"/>
              <w:gridCol w:w="1442"/>
              <w:gridCol w:w="1822"/>
              <w:gridCol w:w="1136"/>
              <w:gridCol w:w="1363"/>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858" w:type="pct"/>
                  <w:noWrap w:val="0"/>
                  <w:vAlign w:val="center"/>
                </w:tcPr>
                <w:p>
                  <w:pPr>
                    <w:jc w:val="center"/>
                    <w:rPr>
                      <w:rFonts w:hint="eastAsia" w:eastAsia="宋体"/>
                      <w:color w:val="auto"/>
                      <w:szCs w:val="21"/>
                      <w:lang w:eastAsia="zh-CN"/>
                    </w:rPr>
                  </w:pPr>
                  <w:r>
                    <w:rPr>
                      <w:rFonts w:hint="eastAsia"/>
                      <w:color w:val="auto"/>
                      <w:szCs w:val="21"/>
                      <w:lang w:eastAsia="zh-CN"/>
                    </w:rPr>
                    <w:t>污染源</w:t>
                  </w:r>
                </w:p>
              </w:tc>
              <w:tc>
                <w:tcPr>
                  <w:tcW w:w="858" w:type="pct"/>
                  <w:noWrap w:val="0"/>
                  <w:vAlign w:val="center"/>
                </w:tcPr>
                <w:p>
                  <w:pPr>
                    <w:jc w:val="center"/>
                    <w:rPr>
                      <w:color w:val="auto"/>
                      <w:szCs w:val="21"/>
                    </w:rPr>
                  </w:pPr>
                  <w:r>
                    <w:rPr>
                      <w:color w:val="auto"/>
                      <w:szCs w:val="21"/>
                    </w:rPr>
                    <w:t>面源面积m</w:t>
                  </w:r>
                  <w:r>
                    <w:rPr>
                      <w:color w:val="auto"/>
                      <w:szCs w:val="21"/>
                      <w:vertAlign w:val="superscript"/>
                    </w:rPr>
                    <w:t>2</w:t>
                  </w:r>
                </w:p>
              </w:tc>
              <w:tc>
                <w:tcPr>
                  <w:tcW w:w="1084" w:type="pct"/>
                  <w:noWrap w:val="0"/>
                  <w:vAlign w:val="center"/>
                </w:tcPr>
                <w:p>
                  <w:pPr>
                    <w:jc w:val="center"/>
                    <w:rPr>
                      <w:color w:val="auto"/>
                      <w:szCs w:val="21"/>
                    </w:rPr>
                  </w:pPr>
                  <w:r>
                    <w:rPr>
                      <w:color w:val="auto"/>
                      <w:szCs w:val="21"/>
                    </w:rPr>
                    <w:t>面源有效高度m</w:t>
                  </w:r>
                </w:p>
              </w:tc>
              <w:tc>
                <w:tcPr>
                  <w:tcW w:w="676" w:type="pct"/>
                  <w:noWrap w:val="0"/>
                  <w:vAlign w:val="center"/>
                </w:tcPr>
                <w:p>
                  <w:pPr>
                    <w:jc w:val="center"/>
                    <w:rPr>
                      <w:color w:val="auto"/>
                      <w:szCs w:val="21"/>
                    </w:rPr>
                  </w:pPr>
                  <w:r>
                    <w:rPr>
                      <w:color w:val="auto"/>
                      <w:szCs w:val="21"/>
                    </w:rPr>
                    <w:t>排放工况</w:t>
                  </w:r>
                </w:p>
              </w:tc>
              <w:tc>
                <w:tcPr>
                  <w:tcW w:w="811" w:type="pct"/>
                  <w:noWrap w:val="0"/>
                  <w:vAlign w:val="center"/>
                </w:tcPr>
                <w:p>
                  <w:pPr>
                    <w:jc w:val="center"/>
                    <w:rPr>
                      <w:color w:val="auto"/>
                      <w:szCs w:val="21"/>
                    </w:rPr>
                  </w:pPr>
                  <w:r>
                    <w:rPr>
                      <w:color w:val="auto"/>
                      <w:szCs w:val="21"/>
                    </w:rPr>
                    <w:t>主要污染物</w:t>
                  </w:r>
                </w:p>
              </w:tc>
              <w:tc>
                <w:tcPr>
                  <w:tcW w:w="710" w:type="pct"/>
                  <w:noWrap w:val="0"/>
                  <w:vAlign w:val="center"/>
                </w:tcPr>
                <w:p>
                  <w:pPr>
                    <w:jc w:val="center"/>
                    <w:rPr>
                      <w:color w:val="auto"/>
                      <w:szCs w:val="21"/>
                    </w:rPr>
                  </w:pPr>
                  <w:r>
                    <w:rPr>
                      <w:color w:val="auto"/>
                      <w:szCs w:val="21"/>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58" w:type="pct"/>
                  <w:noWrap w:val="0"/>
                  <w:vAlign w:val="center"/>
                </w:tcPr>
                <w:p>
                  <w:pPr>
                    <w:jc w:val="center"/>
                    <w:rPr>
                      <w:rFonts w:hint="eastAsia"/>
                      <w:color w:val="auto"/>
                      <w:szCs w:val="21"/>
                      <w:lang w:val="en-US" w:eastAsia="zh-CN"/>
                    </w:rPr>
                  </w:pPr>
                  <w:r>
                    <w:rPr>
                      <w:rFonts w:hint="eastAsia"/>
                      <w:color w:val="auto"/>
                      <w:szCs w:val="21"/>
                      <w:lang w:val="en-US" w:eastAsia="zh-CN"/>
                    </w:rPr>
                    <w:t>酸洗池</w:t>
                  </w:r>
                </w:p>
              </w:tc>
              <w:tc>
                <w:tcPr>
                  <w:tcW w:w="858" w:type="pct"/>
                  <w:noWrap w:val="0"/>
                  <w:vAlign w:val="center"/>
                </w:tcPr>
                <w:p>
                  <w:pPr>
                    <w:jc w:val="center"/>
                    <w:rPr>
                      <w:rFonts w:hint="default"/>
                      <w:color w:val="auto"/>
                      <w:szCs w:val="21"/>
                      <w:lang w:val="en-US" w:eastAsia="zh-CN"/>
                    </w:rPr>
                  </w:pPr>
                  <w:r>
                    <w:rPr>
                      <w:rFonts w:hint="eastAsia"/>
                      <w:color w:val="auto"/>
                      <w:szCs w:val="21"/>
                      <w:lang w:val="en-US" w:eastAsia="zh-CN"/>
                    </w:rPr>
                    <w:t>1000</w:t>
                  </w:r>
                </w:p>
              </w:tc>
              <w:tc>
                <w:tcPr>
                  <w:tcW w:w="1084" w:type="pct"/>
                  <w:noWrap w:val="0"/>
                  <w:vAlign w:val="center"/>
                </w:tcPr>
                <w:p>
                  <w:pPr>
                    <w:jc w:val="center"/>
                    <w:rPr>
                      <w:rFonts w:hint="default"/>
                      <w:color w:val="auto"/>
                      <w:szCs w:val="21"/>
                      <w:lang w:val="en-US" w:eastAsia="zh-CN"/>
                    </w:rPr>
                  </w:pPr>
                  <w:r>
                    <w:rPr>
                      <w:rFonts w:hint="eastAsia"/>
                      <w:color w:val="auto"/>
                      <w:szCs w:val="21"/>
                      <w:lang w:val="en-US" w:eastAsia="zh-CN"/>
                    </w:rPr>
                    <w:t>10</w:t>
                  </w:r>
                </w:p>
              </w:tc>
              <w:tc>
                <w:tcPr>
                  <w:tcW w:w="676" w:type="pct"/>
                  <w:noWrap w:val="0"/>
                  <w:vAlign w:val="center"/>
                </w:tcPr>
                <w:p>
                  <w:pPr>
                    <w:jc w:val="center"/>
                    <w:rPr>
                      <w:color w:val="auto"/>
                      <w:szCs w:val="21"/>
                    </w:rPr>
                  </w:pPr>
                  <w:r>
                    <w:rPr>
                      <w:color w:val="auto"/>
                      <w:szCs w:val="21"/>
                    </w:rPr>
                    <w:t>正常排放</w:t>
                  </w:r>
                </w:p>
              </w:tc>
              <w:tc>
                <w:tcPr>
                  <w:tcW w:w="811" w:type="pct"/>
                  <w:noWrap w:val="0"/>
                  <w:vAlign w:val="center"/>
                </w:tcPr>
                <w:p>
                  <w:pPr>
                    <w:jc w:val="center"/>
                    <w:rPr>
                      <w:rFonts w:hint="eastAsia" w:eastAsia="宋体"/>
                      <w:color w:val="auto"/>
                      <w:szCs w:val="21"/>
                      <w:lang w:val="en-US" w:eastAsia="zh-CN"/>
                    </w:rPr>
                  </w:pPr>
                  <w:r>
                    <w:rPr>
                      <w:rFonts w:hint="eastAsia"/>
                      <w:color w:val="auto"/>
                      <w:szCs w:val="21"/>
                      <w:lang w:val="en-US" w:eastAsia="zh-CN"/>
                    </w:rPr>
                    <w:t>氯化氢酸雾</w:t>
                  </w:r>
                </w:p>
              </w:tc>
              <w:tc>
                <w:tcPr>
                  <w:tcW w:w="710" w:type="pct"/>
                  <w:noWrap w:val="0"/>
                  <w:vAlign w:val="center"/>
                </w:tcPr>
                <w:p>
                  <w:pPr>
                    <w:snapToGrid w:val="0"/>
                    <w:jc w:val="center"/>
                    <w:rPr>
                      <w:rFonts w:hint="default" w:ascii="Times New Roman" w:hAnsi="Times New Roman" w:eastAsia="宋体" w:cs="Times New Roman"/>
                      <w:lang w:val="en-US" w:eastAsia="zh-CN"/>
                    </w:rPr>
                  </w:pPr>
                  <w:r>
                    <w:rPr>
                      <w:rFonts w:hint="eastAsia" w:cs="Times New Roman"/>
                      <w:lang w:val="en-US" w:eastAsia="zh-CN"/>
                    </w:rPr>
                    <w:t>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58" w:type="pct"/>
                  <w:noWrap w:val="0"/>
                  <w:vAlign w:val="center"/>
                </w:tcPr>
                <w:p>
                  <w:pPr>
                    <w:jc w:val="center"/>
                    <w:rPr>
                      <w:rFonts w:hint="eastAsia"/>
                      <w:color w:val="auto"/>
                      <w:szCs w:val="21"/>
                      <w:lang w:val="en-US" w:eastAsia="zh-CN"/>
                    </w:rPr>
                  </w:pPr>
                  <w:r>
                    <w:rPr>
                      <w:rFonts w:hint="eastAsia"/>
                      <w:color w:val="auto"/>
                      <w:szCs w:val="21"/>
                      <w:lang w:val="en-US" w:eastAsia="zh-CN"/>
                    </w:rPr>
                    <w:t>打磨机床</w:t>
                  </w:r>
                </w:p>
              </w:tc>
              <w:tc>
                <w:tcPr>
                  <w:tcW w:w="858" w:type="pct"/>
                  <w:noWrap w:val="0"/>
                  <w:vAlign w:val="center"/>
                </w:tcPr>
                <w:p>
                  <w:pPr>
                    <w:jc w:val="center"/>
                    <w:rPr>
                      <w:rFonts w:hint="default"/>
                      <w:color w:val="auto"/>
                      <w:szCs w:val="21"/>
                      <w:lang w:val="en-US" w:eastAsia="zh-CN"/>
                    </w:rPr>
                  </w:pPr>
                  <w:r>
                    <w:rPr>
                      <w:rFonts w:hint="eastAsia"/>
                      <w:color w:val="auto"/>
                      <w:szCs w:val="21"/>
                      <w:lang w:val="en-US" w:eastAsia="zh-CN"/>
                    </w:rPr>
                    <w:t>1000</w:t>
                  </w:r>
                </w:p>
              </w:tc>
              <w:tc>
                <w:tcPr>
                  <w:tcW w:w="1084" w:type="pct"/>
                  <w:noWrap w:val="0"/>
                  <w:vAlign w:val="center"/>
                </w:tcPr>
                <w:p>
                  <w:pPr>
                    <w:jc w:val="center"/>
                    <w:rPr>
                      <w:rFonts w:hint="default"/>
                      <w:color w:val="auto"/>
                      <w:szCs w:val="21"/>
                      <w:lang w:val="en-US" w:eastAsia="zh-CN"/>
                    </w:rPr>
                  </w:pPr>
                  <w:r>
                    <w:rPr>
                      <w:rFonts w:hint="eastAsia"/>
                      <w:color w:val="auto"/>
                      <w:szCs w:val="21"/>
                      <w:lang w:val="en-US" w:eastAsia="zh-CN"/>
                    </w:rPr>
                    <w:t>10</w:t>
                  </w:r>
                </w:p>
              </w:tc>
              <w:tc>
                <w:tcPr>
                  <w:tcW w:w="676" w:type="pct"/>
                  <w:noWrap w:val="0"/>
                  <w:vAlign w:val="center"/>
                </w:tcPr>
                <w:p>
                  <w:pPr>
                    <w:jc w:val="center"/>
                    <w:rPr>
                      <w:color w:val="auto"/>
                      <w:szCs w:val="21"/>
                    </w:rPr>
                  </w:pPr>
                  <w:r>
                    <w:rPr>
                      <w:color w:val="auto"/>
                      <w:szCs w:val="21"/>
                    </w:rPr>
                    <w:t>正常排放</w:t>
                  </w:r>
                </w:p>
              </w:tc>
              <w:tc>
                <w:tcPr>
                  <w:tcW w:w="811" w:type="pct"/>
                  <w:noWrap w:val="0"/>
                  <w:vAlign w:val="center"/>
                </w:tcPr>
                <w:p>
                  <w:pPr>
                    <w:jc w:val="center"/>
                    <w:rPr>
                      <w:rFonts w:hint="eastAsia" w:eastAsia="宋体"/>
                      <w:color w:val="auto"/>
                      <w:szCs w:val="21"/>
                      <w:lang w:val="en-US" w:eastAsia="zh-CN"/>
                    </w:rPr>
                  </w:pPr>
                  <w:r>
                    <w:rPr>
                      <w:rFonts w:hint="eastAsia"/>
                      <w:color w:val="auto"/>
                      <w:szCs w:val="21"/>
                      <w:lang w:val="en-US" w:eastAsia="zh-CN"/>
                    </w:rPr>
                    <w:t>颗粒物</w:t>
                  </w:r>
                </w:p>
              </w:tc>
              <w:tc>
                <w:tcPr>
                  <w:tcW w:w="710" w:type="pct"/>
                  <w:noWrap w:val="0"/>
                  <w:vAlign w:val="center"/>
                </w:tcPr>
                <w:p>
                  <w:pPr>
                    <w:snapToGrid w:val="0"/>
                    <w:jc w:val="center"/>
                    <w:rPr>
                      <w:rFonts w:hint="default" w:ascii="Times New Roman" w:hAnsi="Times New Roman" w:eastAsia="宋体" w:cs="Times New Roman"/>
                      <w:lang w:val="en-US" w:eastAsia="zh-CN"/>
                    </w:rPr>
                  </w:pPr>
                  <w:r>
                    <w:rPr>
                      <w:rFonts w:hint="eastAsia" w:cs="Times New Roman"/>
                      <w:lang w:val="en-US" w:eastAsia="zh-CN"/>
                    </w:rPr>
                    <w:t>0.16</w:t>
                  </w:r>
                </w:p>
              </w:tc>
            </w:tr>
          </w:tbl>
          <w:p>
            <w:pPr>
              <w:spacing w:line="360" w:lineRule="auto"/>
              <w:jc w:val="center"/>
              <w:rPr>
                <w:rFonts w:hint="eastAsia"/>
                <w:b/>
                <w:bCs/>
                <w:color w:val="0070C0"/>
                <w:szCs w:val="21"/>
              </w:rPr>
            </w:pPr>
          </w:p>
          <w:p>
            <w:pPr>
              <w:spacing w:line="360" w:lineRule="auto"/>
              <w:jc w:val="center"/>
              <w:rPr>
                <w:b/>
                <w:bCs/>
                <w:color w:val="auto"/>
                <w:szCs w:val="21"/>
              </w:rPr>
            </w:pPr>
            <w:r>
              <w:rPr>
                <w:b/>
                <w:bCs/>
                <w:color w:val="auto"/>
                <w:szCs w:val="21"/>
                <w:highlight w:val="none"/>
              </w:rPr>
              <w:t>表4-</w:t>
            </w:r>
            <w:r>
              <w:rPr>
                <w:rFonts w:hint="eastAsia"/>
                <w:b/>
                <w:bCs/>
                <w:color w:val="auto"/>
                <w:szCs w:val="21"/>
                <w:highlight w:val="none"/>
                <w:lang w:val="en-US" w:eastAsia="zh-CN"/>
              </w:rPr>
              <w:t>6</w:t>
            </w:r>
            <w:r>
              <w:rPr>
                <w:b/>
                <w:bCs/>
                <w:color w:val="auto"/>
                <w:szCs w:val="21"/>
              </w:rPr>
              <w:t xml:space="preserve">  大气污染物排放量核算表</w:t>
            </w:r>
          </w:p>
          <w:tbl>
            <w:tblPr>
              <w:tblStyle w:val="2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83"/>
              <w:gridCol w:w="3889"/>
              <w:gridCol w:w="27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62" w:type="pct"/>
                  <w:noWrap w:val="0"/>
                  <w:vAlign w:val="center"/>
                </w:tcPr>
                <w:p>
                  <w:pPr>
                    <w:jc w:val="center"/>
                    <w:rPr>
                      <w:b/>
                      <w:bCs/>
                      <w:color w:val="auto"/>
                    </w:rPr>
                  </w:pPr>
                  <w:r>
                    <w:rPr>
                      <w:b/>
                      <w:bCs/>
                      <w:color w:val="auto"/>
                    </w:rPr>
                    <w:t>序号</w:t>
                  </w:r>
                </w:p>
              </w:tc>
              <w:tc>
                <w:tcPr>
                  <w:tcW w:w="2317" w:type="pct"/>
                  <w:noWrap w:val="0"/>
                  <w:vAlign w:val="center"/>
                </w:tcPr>
                <w:p>
                  <w:pPr>
                    <w:jc w:val="center"/>
                    <w:rPr>
                      <w:b/>
                      <w:bCs/>
                      <w:color w:val="auto"/>
                    </w:rPr>
                  </w:pPr>
                  <w:r>
                    <w:rPr>
                      <w:b/>
                      <w:bCs/>
                      <w:color w:val="auto"/>
                      <w:spacing w:val="-10"/>
                    </w:rPr>
                    <w:t>污染物</w:t>
                  </w:r>
                </w:p>
              </w:tc>
              <w:tc>
                <w:tcPr>
                  <w:tcW w:w="1620" w:type="pct"/>
                  <w:noWrap w:val="0"/>
                  <w:vAlign w:val="center"/>
                </w:tcPr>
                <w:p>
                  <w:pPr>
                    <w:jc w:val="center"/>
                    <w:rPr>
                      <w:b/>
                      <w:bCs/>
                      <w:color w:val="auto"/>
                    </w:rPr>
                  </w:pPr>
                  <w:r>
                    <w:rPr>
                      <w:b/>
                      <w:bCs/>
                      <w:color w:val="auto"/>
                    </w:rPr>
                    <w:t>年排放量（t/a）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2" w:type="pct"/>
                  <w:noWrap w:val="0"/>
                  <w:vAlign w:val="center"/>
                </w:tcPr>
                <w:p>
                  <w:pPr>
                    <w:jc w:val="center"/>
                    <w:rPr>
                      <w:color w:val="auto"/>
                    </w:rPr>
                  </w:pPr>
                  <w:r>
                    <w:rPr>
                      <w:color w:val="auto"/>
                    </w:rPr>
                    <w:t>1</w:t>
                  </w:r>
                </w:p>
              </w:tc>
              <w:tc>
                <w:tcPr>
                  <w:tcW w:w="2317" w:type="pct"/>
                  <w:noWrap w:val="0"/>
                  <w:vAlign w:val="center"/>
                </w:tcPr>
                <w:p>
                  <w:pPr>
                    <w:jc w:val="center"/>
                    <w:rPr>
                      <w:rFonts w:hint="eastAsia" w:ascii="Times New Roman" w:hAnsi="Times New Roman" w:eastAsia="宋体" w:cs="Times New Roman"/>
                      <w:color w:val="auto"/>
                      <w:szCs w:val="21"/>
                      <w:lang w:eastAsia="zh-CN"/>
                    </w:rPr>
                  </w:pPr>
                  <w:r>
                    <w:rPr>
                      <w:rFonts w:hint="eastAsia" w:cs="Times New Roman"/>
                      <w:color w:val="auto"/>
                      <w:szCs w:val="21"/>
                      <w:lang w:eastAsia="zh-CN"/>
                    </w:rPr>
                    <w:t>氯化氢酸雾</w:t>
                  </w:r>
                </w:p>
              </w:tc>
              <w:tc>
                <w:tcPr>
                  <w:tcW w:w="1620" w:type="pct"/>
                  <w:noWrap w:val="0"/>
                  <w:vAlign w:val="center"/>
                </w:tcPr>
                <w:p>
                  <w:pPr>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0.401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2" w:type="pct"/>
                  <w:noWrap w:val="0"/>
                  <w:vAlign w:val="center"/>
                </w:tcPr>
                <w:p>
                  <w:pPr>
                    <w:jc w:val="center"/>
                    <w:rPr>
                      <w:rFonts w:hint="eastAsia" w:eastAsia="宋体"/>
                      <w:color w:val="auto"/>
                      <w:lang w:val="en-US" w:eastAsia="zh-CN"/>
                    </w:rPr>
                  </w:pPr>
                  <w:r>
                    <w:rPr>
                      <w:rFonts w:hint="eastAsia"/>
                      <w:color w:val="auto"/>
                      <w:lang w:val="en-US" w:eastAsia="zh-CN"/>
                    </w:rPr>
                    <w:t>2</w:t>
                  </w:r>
                </w:p>
              </w:tc>
              <w:tc>
                <w:tcPr>
                  <w:tcW w:w="2317" w:type="pct"/>
                  <w:noWrap w:val="0"/>
                  <w:vAlign w:val="center"/>
                </w:tcPr>
                <w:p>
                  <w:pPr>
                    <w:jc w:val="center"/>
                    <w:rPr>
                      <w:rFonts w:ascii="Times New Roman" w:hAnsi="Times New Roman" w:eastAsia="宋体" w:cs="Times New Roman"/>
                      <w:color w:val="auto"/>
                      <w:szCs w:val="21"/>
                    </w:rPr>
                  </w:pPr>
                  <w:r>
                    <w:rPr>
                      <w:rFonts w:hint="eastAsia"/>
                      <w:color w:val="auto"/>
                      <w:szCs w:val="21"/>
                      <w:lang w:val="en-US" w:eastAsia="zh-CN"/>
                    </w:rPr>
                    <w:t>颗粒物</w:t>
                  </w:r>
                </w:p>
              </w:tc>
              <w:tc>
                <w:tcPr>
                  <w:tcW w:w="1620" w:type="pct"/>
                  <w:noWrap w:val="0"/>
                  <w:vAlign w:val="center"/>
                </w:tcPr>
                <w:p>
                  <w:pPr>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0.16</w:t>
                  </w:r>
                </w:p>
              </w:tc>
            </w:tr>
          </w:tbl>
          <w:p>
            <w:pPr>
              <w:spacing w:line="360" w:lineRule="auto"/>
              <w:ind w:firstLine="480" w:firstLineChars="200"/>
              <w:rPr>
                <w:rFonts w:hint="eastAsia" w:ascii="Times New Roman" w:hAnsi="Times New Roman" w:eastAsia="宋体" w:cs="Times New Roman"/>
                <w:color w:val="auto"/>
                <w:sz w:val="24"/>
                <w:lang w:val="en-US" w:eastAsia="zh-CN"/>
              </w:rPr>
            </w:pPr>
          </w:p>
          <w:p>
            <w:pPr>
              <w:spacing w:line="360" w:lineRule="auto"/>
              <w:ind w:firstLine="480" w:firstLineChars="200"/>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7</w:t>
            </w:r>
            <w:r>
              <w:rPr>
                <w:rFonts w:hint="eastAsia" w:ascii="Times New Roman" w:hAnsi="Times New Roman" w:eastAsia="宋体" w:cs="Times New Roman"/>
                <w:color w:val="auto"/>
                <w:sz w:val="24"/>
                <w:highlight w:val="none"/>
              </w:rPr>
              <w:t>、废气污染物自行监测计划</w:t>
            </w:r>
          </w:p>
          <w:p>
            <w:pPr>
              <w:spacing w:line="440" w:lineRule="exact"/>
              <w:ind w:firstLine="480" w:firstLineChars="200"/>
              <w:rPr>
                <w:rFonts w:hint="default" w:ascii="Times New Roman" w:hAnsi="Times New Roman" w:cs="Times New Roman"/>
                <w:kern w:val="0"/>
                <w:sz w:val="24"/>
                <w:highlight w:val="none"/>
              </w:rPr>
            </w:pPr>
            <w:r>
              <w:rPr>
                <w:rFonts w:hint="default" w:ascii="Times New Roman" w:hAnsi="Times New Roman" w:cs="Times New Roman"/>
                <w:kern w:val="0"/>
                <w:sz w:val="24"/>
              </w:rPr>
              <w:t>根据《排污单位自行</w:t>
            </w:r>
            <w:r>
              <w:rPr>
                <w:rFonts w:hint="default" w:ascii="Times New Roman" w:hAnsi="Times New Roman" w:cs="Times New Roman"/>
                <w:kern w:val="0"/>
                <w:sz w:val="24"/>
                <w:highlight w:val="none"/>
              </w:rPr>
              <w:t>监测技术指南 涂装》（HJ1086-2020）中5. 2节废气排放监测，具体自行监测计划如下：</w:t>
            </w:r>
          </w:p>
          <w:p>
            <w:pPr>
              <w:spacing w:line="360" w:lineRule="auto"/>
              <w:jc w:val="center"/>
              <w:rPr>
                <w:color w:val="auto"/>
                <w:kern w:val="0"/>
                <w:szCs w:val="21"/>
                <w:highlight w:val="none"/>
              </w:rPr>
            </w:pPr>
            <w:r>
              <w:rPr>
                <w:b/>
                <w:color w:val="auto"/>
                <w:szCs w:val="21"/>
                <w:highlight w:val="none"/>
              </w:rPr>
              <w:t>表</w:t>
            </w:r>
            <w:r>
              <w:rPr>
                <w:rFonts w:hint="eastAsia"/>
                <w:b/>
                <w:color w:val="auto"/>
                <w:szCs w:val="21"/>
                <w:highlight w:val="none"/>
              </w:rPr>
              <w:t>4-</w:t>
            </w:r>
            <w:r>
              <w:rPr>
                <w:rFonts w:hint="eastAsia"/>
                <w:b/>
                <w:color w:val="auto"/>
                <w:szCs w:val="21"/>
                <w:highlight w:val="none"/>
                <w:lang w:val="en-US" w:eastAsia="zh-CN"/>
              </w:rPr>
              <w:t>7</w:t>
            </w:r>
            <w:r>
              <w:rPr>
                <w:b/>
                <w:color w:val="auto"/>
                <w:szCs w:val="21"/>
                <w:highlight w:val="none"/>
              </w:rPr>
              <w:t xml:space="preserve">  污染源监测计划</w:t>
            </w:r>
          </w:p>
          <w:tbl>
            <w:tblPr>
              <w:tblStyle w:val="28"/>
              <w:tblW w:w="4986"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176"/>
              <w:gridCol w:w="854"/>
              <w:gridCol w:w="880"/>
              <w:gridCol w:w="1424"/>
              <w:gridCol w:w="1159"/>
              <w:gridCol w:w="28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5" w:hRule="atLeast"/>
                <w:jc w:val="center"/>
              </w:trPr>
              <w:tc>
                <w:tcPr>
                  <w:tcW w:w="701" w:type="pct"/>
                  <w:noWrap w:val="0"/>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监测项目</w:t>
                  </w:r>
                </w:p>
              </w:tc>
              <w:tc>
                <w:tcPr>
                  <w:tcW w:w="1034" w:type="pct"/>
                  <w:gridSpan w:val="2"/>
                  <w:noWrap w:val="0"/>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监测点设置</w:t>
                  </w:r>
                </w:p>
              </w:tc>
              <w:tc>
                <w:tcPr>
                  <w:tcW w:w="849" w:type="pct"/>
                  <w:noWrap w:val="0"/>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监测内容</w:t>
                  </w:r>
                </w:p>
              </w:tc>
              <w:tc>
                <w:tcPr>
                  <w:tcW w:w="691" w:type="pct"/>
                  <w:noWrap w:val="0"/>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监测频率</w:t>
                  </w:r>
                </w:p>
              </w:tc>
              <w:tc>
                <w:tcPr>
                  <w:tcW w:w="1723" w:type="pct"/>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执行标准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701" w:type="pct"/>
                  <w:vMerge w:val="restart"/>
                  <w:noWrap w:val="0"/>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废气</w:t>
                  </w:r>
                </w:p>
              </w:tc>
              <w:tc>
                <w:tcPr>
                  <w:tcW w:w="509" w:type="pct"/>
                  <w:tcBorders>
                    <w:right w:val="single" w:color="auto" w:sz="4" w:space="0"/>
                  </w:tcBorders>
                  <w:noWrap w:val="0"/>
                  <w:vAlign w:val="center"/>
                </w:tcPr>
                <w:p>
                  <w:pPr>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有组织</w:t>
                  </w:r>
                </w:p>
              </w:tc>
              <w:tc>
                <w:tcPr>
                  <w:tcW w:w="525" w:type="pct"/>
                  <w:tcBorders>
                    <w:left w:val="single" w:color="auto" w:sz="4" w:space="0"/>
                  </w:tcBorders>
                  <w:noWrap w:val="0"/>
                  <w:vAlign w:val="center"/>
                </w:tcPr>
                <w:p>
                  <w:pPr>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排气筒</w:t>
                  </w:r>
                </w:p>
              </w:tc>
              <w:tc>
                <w:tcPr>
                  <w:tcW w:w="849" w:type="pct"/>
                  <w:noWrap w:val="0"/>
                  <w:vAlign w:val="center"/>
                </w:tcPr>
                <w:p>
                  <w:pPr>
                    <w:jc w:val="center"/>
                    <w:rPr>
                      <w:rFonts w:hint="eastAsia" w:ascii="Times New Roman" w:hAnsi="Times New Roman" w:eastAsia="宋体" w:cs="Times New Roman"/>
                      <w:color w:val="auto"/>
                      <w:szCs w:val="21"/>
                      <w:highlight w:val="none"/>
                      <w:lang w:val="en-US" w:eastAsia="zh-CN"/>
                    </w:rPr>
                  </w:pPr>
                  <w:r>
                    <w:rPr>
                      <w:rFonts w:hint="eastAsia" w:cs="Times New Roman"/>
                      <w:kern w:val="0"/>
                      <w:szCs w:val="21"/>
                      <w:highlight w:val="none"/>
                      <w:lang w:eastAsia="zh-CN"/>
                    </w:rPr>
                    <w:t>氯化氢</w:t>
                  </w:r>
                </w:p>
              </w:tc>
              <w:tc>
                <w:tcPr>
                  <w:tcW w:w="691" w:type="pct"/>
                  <w:noWrap w:val="0"/>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1次/</w:t>
                  </w:r>
                  <w:r>
                    <w:rPr>
                      <w:rFonts w:hint="eastAsia" w:ascii="Times New Roman" w:hAnsi="Times New Roman" w:eastAsia="宋体" w:cs="Times New Roman"/>
                      <w:color w:val="auto"/>
                      <w:szCs w:val="21"/>
                      <w:highlight w:val="none"/>
                    </w:rPr>
                    <w:t>年</w:t>
                  </w:r>
                </w:p>
              </w:tc>
              <w:tc>
                <w:tcPr>
                  <w:tcW w:w="1723" w:type="pct"/>
                  <w:vMerge w:val="restart"/>
                  <w:noWrap w:val="0"/>
                  <w:vAlign w:val="center"/>
                </w:tcPr>
                <w:p>
                  <w:pPr>
                    <w:jc w:val="center"/>
                    <w:rPr>
                      <w:rFonts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eastAsia="zh-CN"/>
                    </w:rPr>
                    <w:t>《大气污染物综合排放标准》（GB16297-1996）中的二级标准及无组织排放监控浓度限值要求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01" w:type="pct"/>
                  <w:vMerge w:val="continue"/>
                  <w:noWrap w:val="0"/>
                  <w:vAlign w:val="center"/>
                </w:tcPr>
                <w:p>
                  <w:pPr>
                    <w:jc w:val="center"/>
                    <w:rPr>
                      <w:rFonts w:ascii="Times New Roman" w:hAnsi="Times New Roman" w:eastAsia="宋体" w:cs="Times New Roman"/>
                      <w:color w:val="auto"/>
                      <w:szCs w:val="21"/>
                    </w:rPr>
                  </w:pPr>
                </w:p>
              </w:tc>
              <w:tc>
                <w:tcPr>
                  <w:tcW w:w="509" w:type="pct"/>
                  <w:tcBorders>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无组织</w:t>
                  </w:r>
                </w:p>
              </w:tc>
              <w:tc>
                <w:tcPr>
                  <w:tcW w:w="525" w:type="pct"/>
                  <w:tcBorders>
                    <w:left w:val="single" w:color="auto" w:sz="4" w:space="0"/>
                  </w:tcBorders>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厂界</w:t>
                  </w:r>
                </w:p>
              </w:tc>
              <w:tc>
                <w:tcPr>
                  <w:tcW w:w="849" w:type="pct"/>
                  <w:noWrap w:val="0"/>
                  <w:vAlign w:val="center"/>
                </w:tcPr>
                <w:p>
                  <w:pPr>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kern w:val="0"/>
                      <w:szCs w:val="21"/>
                    </w:rPr>
                    <w:t>颗粒物</w:t>
                  </w:r>
                </w:p>
              </w:tc>
              <w:tc>
                <w:tcPr>
                  <w:tcW w:w="691" w:type="pct"/>
                  <w:noWrap w:val="0"/>
                  <w:vAlign w:val="center"/>
                </w:tcPr>
                <w:p>
                  <w:pPr>
                    <w:jc w:val="center"/>
                    <w:rPr>
                      <w:rFonts w:ascii="Times New Roman" w:hAnsi="Times New Roman" w:eastAsia="宋体" w:cs="Times New Roman"/>
                      <w:color w:val="auto"/>
                      <w:szCs w:val="21"/>
                    </w:rPr>
                  </w:pPr>
                  <w:r>
                    <w:rPr>
                      <w:rFonts w:hint="default" w:ascii="Times New Roman" w:hAnsi="Times New Roman" w:cs="Times New Roman"/>
                      <w:kern w:val="0"/>
                      <w:szCs w:val="21"/>
                    </w:rPr>
                    <w:t>1次/半年</w:t>
                  </w:r>
                </w:p>
              </w:tc>
              <w:tc>
                <w:tcPr>
                  <w:tcW w:w="1723" w:type="pct"/>
                  <w:vMerge w:val="continue"/>
                  <w:noWrap w:val="0"/>
                  <w:vAlign w:val="center"/>
                </w:tcPr>
                <w:p>
                  <w:pPr>
                    <w:jc w:val="center"/>
                    <w:rPr>
                      <w:rFonts w:ascii="Times New Roman" w:hAnsi="Times New Roman" w:eastAsia="宋体" w:cs="Times New Roman"/>
                      <w:color w:val="auto"/>
                      <w:szCs w:val="21"/>
                    </w:rPr>
                  </w:pPr>
                </w:p>
              </w:tc>
            </w:tr>
          </w:tbl>
          <w:p>
            <w:pPr>
              <w:pStyle w:val="7"/>
              <w:snapToGrid/>
              <w:spacing w:before="0" w:after="0" w:line="360" w:lineRule="auto"/>
              <w:ind w:firstLine="480"/>
              <w:rPr>
                <w:rFonts w:hint="eastAsia"/>
                <w:kern w:val="2"/>
                <w:sz w:val="24"/>
                <w:szCs w:val="24"/>
                <w:lang w:val="en-US" w:eastAsia="zh-CN"/>
              </w:rPr>
            </w:pPr>
          </w:p>
          <w:p>
            <w:pPr>
              <w:pStyle w:val="7"/>
              <w:snapToGrid/>
              <w:spacing w:before="0" w:after="0" w:line="360" w:lineRule="auto"/>
              <w:ind w:firstLine="480"/>
              <w:rPr>
                <w:rFonts w:hint="eastAsia"/>
                <w:kern w:val="2"/>
                <w:sz w:val="24"/>
                <w:szCs w:val="24"/>
                <w:lang w:val="en-US" w:eastAsia="zh-CN"/>
              </w:rPr>
            </w:pPr>
            <w:r>
              <w:rPr>
                <w:rFonts w:hint="eastAsia"/>
                <w:kern w:val="2"/>
                <w:sz w:val="24"/>
                <w:szCs w:val="24"/>
                <w:lang w:val="en-US" w:eastAsia="zh-CN"/>
              </w:rPr>
              <w:t>二、废水</w:t>
            </w:r>
          </w:p>
          <w:p>
            <w:pPr>
              <w:widowControl/>
              <w:autoSpaceDN w:val="0"/>
              <w:spacing w:line="360" w:lineRule="auto"/>
              <w:ind w:firstLine="480" w:firstLineChars="200"/>
              <w:jc w:val="left"/>
              <w:rPr>
                <w:rFonts w:hint="eastAsia"/>
                <w:color w:val="auto"/>
                <w:sz w:val="24"/>
              </w:rPr>
            </w:pPr>
            <w:r>
              <w:rPr>
                <w:rFonts w:hint="eastAsia"/>
                <w:bCs/>
                <w:color w:val="auto"/>
                <w:sz w:val="24"/>
              </w:rPr>
              <w:t>1、废水污染物源强分析</w:t>
            </w:r>
          </w:p>
          <w:p>
            <w:pPr>
              <w:spacing w:line="360" w:lineRule="auto"/>
              <w:ind w:firstLine="480" w:firstLineChars="200"/>
              <w:rPr>
                <w:rFonts w:hint="default"/>
                <w:color w:val="auto"/>
                <w:sz w:val="24"/>
                <w:lang w:val="en-US"/>
              </w:rPr>
            </w:pPr>
            <w:r>
              <w:rPr>
                <w:rFonts w:hint="eastAsia"/>
                <w:color w:val="auto"/>
                <w:sz w:val="24"/>
              </w:rPr>
              <w:t>本项目营运期间冲洗废水、喷淋废水进入中和池循环使用， 定期委托</w:t>
            </w:r>
            <w:r>
              <w:rPr>
                <w:rFonts w:hint="eastAsia"/>
                <w:color w:val="auto"/>
                <w:sz w:val="24"/>
                <w:lang w:eastAsia="zh-CN"/>
              </w:rPr>
              <w:t>有资质的</w:t>
            </w:r>
            <w:r>
              <w:rPr>
                <w:rFonts w:hint="eastAsia"/>
                <w:color w:val="auto"/>
                <w:sz w:val="24"/>
              </w:rPr>
              <w:t>公司进行沉渣处置。营运期间产生的外排废水为生活污水</w:t>
            </w:r>
            <w:r>
              <w:rPr>
                <w:rFonts w:hint="eastAsia"/>
                <w:color w:val="auto"/>
                <w:sz w:val="24"/>
                <w:lang w:val="en-US" w:eastAsia="zh-CN"/>
              </w:rPr>
              <w:t>。</w:t>
            </w:r>
          </w:p>
          <w:p>
            <w:pPr>
              <w:spacing w:line="360" w:lineRule="auto"/>
              <w:ind w:firstLine="480" w:firstLine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rPr>
              <w:t>（1）生活用水</w:t>
            </w:r>
          </w:p>
          <w:p>
            <w:pPr>
              <w:spacing w:line="360" w:lineRule="auto"/>
              <w:ind w:firstLine="480" w:firstLineChars="200"/>
              <w:rPr>
                <w:rFonts w:hint="eastAsia"/>
                <w:color w:val="auto"/>
                <w:sz w:val="24"/>
              </w:rPr>
            </w:pPr>
            <w:r>
              <w:rPr>
                <w:rFonts w:hint="eastAsia" w:ascii="Times New Roman" w:hAnsi="Times New Roman" w:eastAsia="宋体" w:cs="Times New Roman"/>
                <w:color w:val="auto"/>
                <w:sz w:val="24"/>
              </w:rPr>
              <w:t>本项目员工</w:t>
            </w:r>
            <w:r>
              <w:rPr>
                <w:rFonts w:hint="eastAsia" w:cs="Times New Roman"/>
                <w:color w:val="auto"/>
                <w:sz w:val="24"/>
                <w:lang w:val="en-US" w:eastAsia="zh-CN"/>
              </w:rPr>
              <w:t>12</w:t>
            </w:r>
            <w:r>
              <w:rPr>
                <w:rFonts w:hint="eastAsia" w:ascii="Times New Roman" w:hAnsi="Times New Roman" w:eastAsia="宋体" w:cs="Times New Roman"/>
                <w:color w:val="auto"/>
                <w:sz w:val="24"/>
              </w:rPr>
              <w:t>人，</w:t>
            </w:r>
            <w:r>
              <w:rPr>
                <w:rFonts w:hint="eastAsia" w:ascii="Times New Roman" w:hAnsi="Times New Roman" w:eastAsia="宋体" w:cs="Times New Roman"/>
                <w:color w:val="auto"/>
                <w:sz w:val="24"/>
                <w:lang w:val="en-US" w:eastAsia="zh-CN"/>
              </w:rPr>
              <w:t>不在厂区食宿，</w:t>
            </w:r>
            <w:r>
              <w:rPr>
                <w:rFonts w:hint="eastAsia" w:ascii="Times New Roman" w:hAnsi="Times New Roman" w:eastAsia="宋体" w:cs="Times New Roman"/>
                <w:color w:val="auto"/>
                <w:sz w:val="24"/>
              </w:rPr>
              <w:t>年工作</w:t>
            </w:r>
            <w:r>
              <w:rPr>
                <w:rFonts w:hint="eastAsia" w:cs="Times New Roman"/>
                <w:color w:val="auto"/>
                <w:sz w:val="24"/>
                <w:lang w:val="en-US" w:eastAsia="zh-CN"/>
              </w:rPr>
              <w:t>200</w:t>
            </w:r>
            <w:r>
              <w:rPr>
                <w:rFonts w:hint="eastAsia" w:ascii="Times New Roman" w:hAnsi="Times New Roman" w:eastAsia="宋体" w:cs="Times New Roman"/>
                <w:color w:val="auto"/>
                <w:sz w:val="24"/>
              </w:rPr>
              <w:t>天，</w:t>
            </w:r>
            <w:r>
              <w:rPr>
                <w:rFonts w:hint="eastAsia" w:ascii="Times New Roman" w:hAnsi="Times New Roman" w:eastAsia="宋体" w:cs="Times New Roman"/>
                <w:color w:val="auto"/>
                <w:sz w:val="24"/>
                <w:lang w:val="en-US" w:eastAsia="zh-CN"/>
              </w:rPr>
              <w:t>根据《建筑给水排水设计标准》（</w:t>
            </w:r>
            <w:r>
              <w:rPr>
                <w:rFonts w:hint="default" w:ascii="Times New Roman" w:hAnsi="Times New Roman" w:eastAsia="宋体" w:cs="Times New Roman"/>
                <w:color w:val="auto"/>
                <w:sz w:val="24"/>
                <w:lang w:val="en-US" w:eastAsia="zh-CN"/>
              </w:rPr>
              <w:t>GB50015-2019</w:t>
            </w:r>
            <w:r>
              <w:rPr>
                <w:rFonts w:hint="eastAsia" w:ascii="Times New Roman" w:hAnsi="Times New Roman" w:eastAsia="宋体" w:cs="Times New Roman"/>
                <w:color w:val="auto"/>
                <w:sz w:val="24"/>
                <w:lang w:val="en-US" w:eastAsia="zh-CN"/>
              </w:rPr>
              <w:t>），生活用水按</w:t>
            </w:r>
            <w:r>
              <w:rPr>
                <w:rFonts w:hint="default" w:ascii="Times New Roman" w:hAnsi="Times New Roman" w:eastAsia="宋体" w:cs="Times New Roman"/>
                <w:color w:val="auto"/>
                <w:sz w:val="24"/>
                <w:lang w:val="en-US" w:eastAsia="zh-CN"/>
              </w:rPr>
              <w:t>50L/</w:t>
            </w:r>
            <w:r>
              <w:rPr>
                <w:rFonts w:hint="eastAsia" w:ascii="Times New Roman" w:hAnsi="Times New Roman" w:eastAsia="宋体" w:cs="Times New Roman"/>
                <w:color w:val="auto"/>
                <w:sz w:val="24"/>
                <w:lang w:val="en-US" w:eastAsia="zh-CN"/>
              </w:rPr>
              <w:t>人</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天计</w:t>
            </w:r>
            <w:r>
              <w:rPr>
                <w:rFonts w:hint="eastAsia" w:ascii="Times New Roman" w:hAnsi="Times New Roman" w:eastAsia="宋体" w:cs="Times New Roman"/>
                <w:color w:val="auto"/>
                <w:sz w:val="24"/>
              </w:rPr>
              <w:t>，则员工生活用水</w:t>
            </w:r>
            <w:r>
              <w:rPr>
                <w:rFonts w:hint="eastAsia"/>
                <w:color w:val="auto"/>
                <w:sz w:val="24"/>
              </w:rPr>
              <w:t>量</w:t>
            </w:r>
            <w:r>
              <w:rPr>
                <w:rFonts w:hint="eastAsia"/>
                <w:color w:val="auto"/>
                <w:sz w:val="24"/>
                <w:lang w:val="en-US" w:eastAsia="zh-CN"/>
              </w:rPr>
              <w:t>0.6</w:t>
            </w:r>
            <w:r>
              <w:rPr>
                <w:rFonts w:hint="eastAsia"/>
                <w:color w:val="auto"/>
                <w:sz w:val="24"/>
              </w:rPr>
              <w:t xml:space="preserve"> m</w:t>
            </w:r>
            <w:r>
              <w:rPr>
                <w:rFonts w:hint="eastAsia"/>
                <w:color w:val="auto"/>
                <w:sz w:val="24"/>
                <w:vertAlign w:val="superscript"/>
              </w:rPr>
              <w:t>3</w:t>
            </w:r>
            <w:r>
              <w:rPr>
                <w:rFonts w:hint="eastAsia"/>
                <w:color w:val="auto"/>
                <w:sz w:val="24"/>
              </w:rPr>
              <w:t>/d（</w:t>
            </w:r>
            <w:r>
              <w:rPr>
                <w:rFonts w:hint="eastAsia"/>
                <w:color w:val="auto"/>
                <w:sz w:val="24"/>
                <w:lang w:val="en-US" w:eastAsia="zh-CN"/>
              </w:rPr>
              <w:t>120</w:t>
            </w:r>
            <w:r>
              <w:rPr>
                <w:rFonts w:hint="eastAsia"/>
                <w:color w:val="auto"/>
                <w:sz w:val="24"/>
              </w:rPr>
              <w:t>m</w:t>
            </w:r>
            <w:r>
              <w:rPr>
                <w:rFonts w:hint="eastAsia"/>
                <w:color w:val="auto"/>
                <w:sz w:val="24"/>
                <w:vertAlign w:val="superscript"/>
              </w:rPr>
              <w:t>3</w:t>
            </w:r>
            <w:r>
              <w:rPr>
                <w:rFonts w:hint="eastAsia"/>
                <w:color w:val="auto"/>
                <w:sz w:val="24"/>
              </w:rPr>
              <w:t>/a）。生活污水按用水量的80%计，则生活污水量为</w:t>
            </w:r>
            <w:r>
              <w:rPr>
                <w:rFonts w:hint="eastAsia"/>
                <w:color w:val="auto"/>
                <w:sz w:val="24"/>
                <w:lang w:val="en-US" w:eastAsia="zh-CN"/>
              </w:rPr>
              <w:t>0.48</w:t>
            </w:r>
            <w:r>
              <w:rPr>
                <w:rFonts w:hint="eastAsia"/>
                <w:color w:val="auto"/>
                <w:sz w:val="24"/>
              </w:rPr>
              <w:t>m</w:t>
            </w:r>
            <w:r>
              <w:rPr>
                <w:rFonts w:hint="eastAsia"/>
                <w:color w:val="auto"/>
                <w:sz w:val="24"/>
                <w:vertAlign w:val="superscript"/>
              </w:rPr>
              <w:t>3</w:t>
            </w:r>
            <w:r>
              <w:rPr>
                <w:rFonts w:hint="eastAsia"/>
                <w:color w:val="auto"/>
                <w:sz w:val="24"/>
              </w:rPr>
              <w:t>/d（</w:t>
            </w:r>
            <w:r>
              <w:rPr>
                <w:rFonts w:hint="eastAsia"/>
                <w:color w:val="auto"/>
                <w:sz w:val="24"/>
                <w:lang w:val="en-US" w:eastAsia="zh-CN"/>
              </w:rPr>
              <w:t>96</w:t>
            </w:r>
            <w:r>
              <w:rPr>
                <w:rFonts w:hint="eastAsia"/>
                <w:color w:val="auto"/>
                <w:sz w:val="24"/>
              </w:rPr>
              <w:t>m</w:t>
            </w:r>
            <w:r>
              <w:rPr>
                <w:rFonts w:hint="eastAsia"/>
                <w:color w:val="auto"/>
                <w:sz w:val="24"/>
                <w:vertAlign w:val="superscript"/>
              </w:rPr>
              <w:t>3</w:t>
            </w:r>
            <w:r>
              <w:rPr>
                <w:rFonts w:hint="eastAsia"/>
                <w:color w:val="auto"/>
                <w:sz w:val="24"/>
              </w:rPr>
              <w:t>/a）。生活污水</w:t>
            </w:r>
            <w:r>
              <w:rPr>
                <w:rFonts w:hint="eastAsia"/>
                <w:color w:val="auto"/>
                <w:sz w:val="24"/>
                <w:lang w:val="en-US" w:eastAsia="zh-CN"/>
              </w:rPr>
              <w:t>经</w:t>
            </w:r>
            <w:r>
              <w:rPr>
                <w:rFonts w:hint="eastAsia"/>
                <w:color w:val="auto"/>
                <w:sz w:val="24"/>
              </w:rPr>
              <w:t>化粪池</w:t>
            </w:r>
            <w:r>
              <w:rPr>
                <w:rFonts w:hint="eastAsia"/>
                <w:color w:val="auto"/>
                <w:sz w:val="24"/>
                <w:lang w:val="en-US" w:eastAsia="zh-CN"/>
              </w:rPr>
              <w:t>预</w:t>
            </w:r>
            <w:r>
              <w:rPr>
                <w:rFonts w:hint="eastAsia"/>
                <w:color w:val="auto"/>
                <w:sz w:val="24"/>
              </w:rPr>
              <w:t>处理后，经污水管网进入淮南经济技术开发区工业污水处理厂处理。</w:t>
            </w:r>
          </w:p>
          <w:p>
            <w:pPr>
              <w:spacing w:line="360" w:lineRule="auto"/>
              <w:ind w:firstLine="480" w:firstLineChars="200"/>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2</w:t>
            </w:r>
            <w:r>
              <w:rPr>
                <w:rFonts w:hint="eastAsia" w:ascii="Times New Roman" w:hAnsi="Times New Roman" w:eastAsia="宋体" w:cs="Times New Roman"/>
                <w:color w:val="auto"/>
                <w:sz w:val="24"/>
                <w:highlight w:val="none"/>
              </w:rPr>
              <w:t>）</w:t>
            </w:r>
            <w:r>
              <w:rPr>
                <w:rFonts w:hint="eastAsia" w:cs="Times New Roman"/>
                <w:color w:val="auto"/>
                <w:sz w:val="24"/>
                <w:highlight w:val="none"/>
                <w:lang w:val="en-US" w:eastAsia="zh-CN"/>
              </w:rPr>
              <w:t>酸洗池补充</w:t>
            </w:r>
            <w:r>
              <w:rPr>
                <w:rFonts w:hint="eastAsia" w:ascii="Times New Roman" w:hAnsi="Times New Roman" w:eastAsia="宋体" w:cs="Times New Roman"/>
                <w:color w:val="auto"/>
                <w:sz w:val="24"/>
                <w:highlight w:val="none"/>
                <w:lang w:val="en-US" w:eastAsia="zh-CN"/>
              </w:rPr>
              <w:t>水</w:t>
            </w:r>
          </w:p>
          <w:p>
            <w:pPr>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rPr>
              <w:t>本项目</w:t>
            </w:r>
            <w:r>
              <w:rPr>
                <w:rFonts w:hint="eastAsia" w:cs="Times New Roman"/>
                <w:color w:val="auto"/>
                <w:sz w:val="24"/>
                <w:highlight w:val="none"/>
                <w:lang w:eastAsia="zh-CN"/>
              </w:rPr>
              <w:t>酸洗池</w:t>
            </w:r>
            <w:r>
              <w:rPr>
                <w:rFonts w:hint="eastAsia" w:ascii="Times New Roman" w:hAnsi="Times New Roman" w:eastAsia="宋体" w:cs="Times New Roman"/>
                <w:color w:val="auto"/>
                <w:sz w:val="24"/>
                <w:highlight w:val="none"/>
                <w:lang w:val="en-US" w:eastAsia="zh-CN"/>
              </w:rPr>
              <w:t>使用过程中会有自然蒸发及产品带走产生的损耗，需要定期补充新鲜水，根据企业提供的资料新鲜水用量为</w:t>
            </w:r>
            <w:r>
              <w:rPr>
                <w:rFonts w:hint="eastAsia" w:cs="Times New Roman"/>
                <w:color w:val="auto"/>
                <w:sz w:val="24"/>
                <w:highlight w:val="none"/>
                <w:lang w:val="en-US" w:eastAsia="zh-CN"/>
              </w:rPr>
              <w:t>2</w:t>
            </w:r>
            <w:r>
              <w:rPr>
                <w:rFonts w:hint="eastAsia" w:ascii="Times New Roman" w:hAnsi="Times New Roman" w:eastAsia="宋体" w:cs="Times New Roman"/>
                <w:color w:val="auto"/>
                <w:sz w:val="24"/>
                <w:highlight w:val="none"/>
                <w:lang w:val="en-US" w:eastAsia="zh-CN"/>
              </w:rPr>
              <w:t>t/a。</w:t>
            </w:r>
          </w:p>
          <w:p>
            <w:pPr>
              <w:pStyle w:val="6"/>
            </w:pPr>
          </w:p>
          <w:p>
            <w:pPr>
              <w:pStyle w:val="52"/>
              <w:ind w:left="0" w:leftChars="0" w:firstLine="0" w:firstLineChars="0"/>
              <w:rPr>
                <w:rFonts w:hint="eastAsia" w:eastAsia="宋体"/>
                <w:lang w:eastAsia="zh-CN"/>
              </w:rPr>
            </w:pPr>
            <w:r>
              <w:rPr>
                <w:rFonts w:hint="eastAsia" w:eastAsia="宋体"/>
                <w:lang w:eastAsia="zh-CN"/>
              </w:rPr>
              <w:drawing>
                <wp:inline distT="0" distB="0" distL="114300" distR="114300">
                  <wp:extent cx="5340985" cy="1704975"/>
                  <wp:effectExtent l="0" t="0" r="0" b="0"/>
                  <wp:docPr id="63" name="ECB019B1-382A-4266-B25C-5B523AA43C14-3"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ECB019B1-382A-4266-B25C-5B523AA43C14-3" descr="wps"/>
                          <pic:cNvPicPr>
                            <a:picLocks noChangeAspect="1"/>
                          </pic:cNvPicPr>
                        </pic:nvPicPr>
                        <pic:blipFill>
                          <a:blip r:embed="rId10"/>
                          <a:stretch>
                            <a:fillRect/>
                          </a:stretch>
                        </pic:blipFill>
                        <pic:spPr>
                          <a:xfrm>
                            <a:off x="0" y="0"/>
                            <a:ext cx="5340985" cy="1704975"/>
                          </a:xfrm>
                          <a:prstGeom prst="rect">
                            <a:avLst/>
                          </a:prstGeom>
                        </pic:spPr>
                      </pic:pic>
                    </a:graphicData>
                  </a:graphic>
                </wp:inline>
              </w:drawing>
            </w:r>
          </w:p>
          <w:p>
            <w:pPr>
              <w:spacing w:line="360" w:lineRule="auto"/>
              <w:jc w:val="center"/>
              <w:rPr>
                <w:rFonts w:hint="eastAsia"/>
                <w:b/>
                <w:color w:val="auto"/>
                <w:szCs w:val="21"/>
              </w:rPr>
            </w:pPr>
            <w:r>
              <w:rPr>
                <w:b/>
                <w:color w:val="auto"/>
                <w:szCs w:val="21"/>
              </w:rPr>
              <w:t>图</w:t>
            </w:r>
            <w:r>
              <w:rPr>
                <w:rFonts w:hint="eastAsia"/>
                <w:b/>
                <w:color w:val="auto"/>
                <w:szCs w:val="21"/>
              </w:rPr>
              <w:t>4-</w:t>
            </w:r>
            <w:r>
              <w:rPr>
                <w:rFonts w:hint="eastAsia"/>
                <w:b/>
                <w:color w:val="auto"/>
                <w:szCs w:val="21"/>
                <w:lang w:val="en-US" w:eastAsia="zh-CN"/>
              </w:rPr>
              <w:t>1</w:t>
            </w:r>
            <w:r>
              <w:rPr>
                <w:b/>
                <w:color w:val="auto"/>
                <w:szCs w:val="21"/>
              </w:rPr>
              <w:t>项目水平衡图（单位：</w:t>
            </w:r>
            <w:r>
              <w:rPr>
                <w:rFonts w:hint="eastAsia"/>
                <w:b/>
                <w:color w:val="auto"/>
                <w:szCs w:val="21"/>
              </w:rPr>
              <w:t>m</w:t>
            </w:r>
            <w:r>
              <w:rPr>
                <w:rFonts w:hint="eastAsia"/>
                <w:b/>
                <w:color w:val="auto"/>
                <w:szCs w:val="21"/>
                <w:vertAlign w:val="superscript"/>
              </w:rPr>
              <w:t>3</w:t>
            </w:r>
            <w:r>
              <w:rPr>
                <w:b/>
                <w:color w:val="auto"/>
                <w:szCs w:val="21"/>
              </w:rPr>
              <w:t>/</w:t>
            </w:r>
            <w:r>
              <w:rPr>
                <w:rFonts w:hint="eastAsia"/>
                <w:b/>
                <w:color w:val="auto"/>
                <w:szCs w:val="21"/>
                <w:lang w:val="en-US" w:eastAsia="zh-CN"/>
              </w:rPr>
              <w:t>a</w:t>
            </w:r>
            <w:r>
              <w:rPr>
                <w:b/>
                <w:color w:val="auto"/>
                <w:szCs w:val="21"/>
              </w:rPr>
              <w:t>）</w:t>
            </w:r>
          </w:p>
          <w:p>
            <w:pPr>
              <w:pStyle w:val="98"/>
              <w:snapToGrid/>
              <w:spacing w:before="0" w:after="0" w:line="360" w:lineRule="auto"/>
              <w:rPr>
                <w:rFonts w:hAnsi="宋体" w:eastAsia="宋体"/>
                <w:b/>
                <w:color w:val="FF0000"/>
                <w:lang w:val="en-US" w:eastAsia="zh-CN"/>
              </w:rPr>
            </w:pPr>
          </w:p>
          <w:p>
            <w:pPr>
              <w:pStyle w:val="98"/>
              <w:snapToGrid/>
              <w:spacing w:before="0" w:after="0" w:line="360" w:lineRule="auto"/>
              <w:rPr>
                <w:rFonts w:eastAsia="宋体"/>
                <w:b/>
                <w:color w:val="auto"/>
                <w:lang w:val="en-US" w:eastAsia="zh-CN"/>
              </w:rPr>
            </w:pPr>
            <w:r>
              <w:rPr>
                <w:rFonts w:hAnsi="宋体" w:eastAsia="宋体"/>
                <w:b/>
                <w:color w:val="auto"/>
                <w:highlight w:val="none"/>
                <w:lang w:val="en-US" w:eastAsia="zh-CN"/>
              </w:rPr>
              <w:t>表</w:t>
            </w:r>
            <w:r>
              <w:rPr>
                <w:rFonts w:eastAsia="宋体"/>
                <w:b/>
                <w:color w:val="auto"/>
                <w:highlight w:val="none"/>
                <w:lang w:val="en-US" w:eastAsia="zh-CN"/>
              </w:rPr>
              <w:t>4-</w:t>
            </w:r>
            <w:r>
              <w:rPr>
                <w:rFonts w:hint="eastAsia" w:eastAsia="宋体"/>
                <w:b/>
                <w:color w:val="auto"/>
                <w:highlight w:val="none"/>
                <w:lang w:val="en-US" w:eastAsia="zh-CN"/>
              </w:rPr>
              <w:t>8</w:t>
            </w:r>
            <w:r>
              <w:rPr>
                <w:rFonts w:hint="eastAsia" w:eastAsia="宋体"/>
                <w:b/>
                <w:color w:val="auto"/>
                <w:lang w:val="en-US" w:eastAsia="zh-CN"/>
              </w:rPr>
              <w:t xml:space="preserve"> </w:t>
            </w:r>
            <w:r>
              <w:rPr>
                <w:rFonts w:hint="eastAsia" w:hAnsi="宋体" w:eastAsia="宋体"/>
                <w:b/>
                <w:color w:val="auto"/>
                <w:lang w:val="en-US" w:eastAsia="zh-CN"/>
              </w:rPr>
              <w:t>项目</w:t>
            </w:r>
            <w:r>
              <w:rPr>
                <w:rFonts w:hAnsi="宋体" w:eastAsia="宋体"/>
                <w:b/>
                <w:color w:val="auto"/>
                <w:lang w:val="en-US" w:eastAsia="zh-CN"/>
              </w:rPr>
              <w:t>废水排放情况表</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9"/>
              <w:gridCol w:w="1142"/>
              <w:gridCol w:w="1169"/>
              <w:gridCol w:w="1142"/>
              <w:gridCol w:w="1078"/>
              <w:gridCol w:w="1170"/>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529" w:type="dxa"/>
                  <w:vMerge w:val="restart"/>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类别</w:t>
                  </w:r>
                </w:p>
              </w:tc>
              <w:tc>
                <w:tcPr>
                  <w:tcW w:w="1142" w:type="dxa"/>
                  <w:vMerge w:val="restart"/>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污染物名称</w:t>
                  </w:r>
                </w:p>
              </w:tc>
              <w:tc>
                <w:tcPr>
                  <w:tcW w:w="2311" w:type="dxa"/>
                  <w:gridSpan w:val="2"/>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产生情况</w:t>
                  </w:r>
                </w:p>
              </w:tc>
              <w:tc>
                <w:tcPr>
                  <w:tcW w:w="1078" w:type="dxa"/>
                  <w:vMerge w:val="restart"/>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处理措施</w:t>
                  </w:r>
                </w:p>
              </w:tc>
              <w:tc>
                <w:tcPr>
                  <w:tcW w:w="2314" w:type="dxa"/>
                  <w:gridSpan w:val="2"/>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529" w:type="dxa"/>
                  <w:vMerge w:val="continue"/>
                  <w:noWrap w:val="0"/>
                  <w:vAlign w:val="center"/>
                </w:tcPr>
                <w:p>
                  <w:pPr>
                    <w:jc w:val="center"/>
                    <w:rPr>
                      <w:rFonts w:hint="eastAsia" w:ascii="Times New Roman" w:hAnsi="Times New Roman" w:eastAsia="宋体" w:cs="Times New Roman"/>
                      <w:color w:val="auto"/>
                      <w:lang w:val="en-US" w:eastAsia="zh-CN"/>
                    </w:rPr>
                  </w:pPr>
                </w:p>
              </w:tc>
              <w:tc>
                <w:tcPr>
                  <w:tcW w:w="1142" w:type="dxa"/>
                  <w:vMerge w:val="continue"/>
                  <w:noWrap w:val="0"/>
                  <w:vAlign w:val="center"/>
                </w:tcPr>
                <w:p>
                  <w:pPr>
                    <w:jc w:val="center"/>
                    <w:rPr>
                      <w:rFonts w:hint="eastAsia" w:ascii="Times New Roman" w:hAnsi="Times New Roman" w:eastAsia="宋体" w:cs="Times New Roman"/>
                      <w:color w:val="auto"/>
                      <w:lang w:val="en-US" w:eastAsia="zh-CN"/>
                    </w:rPr>
                  </w:pPr>
                </w:p>
              </w:tc>
              <w:tc>
                <w:tcPr>
                  <w:tcW w:w="1169" w:type="dxa"/>
                  <w:noWrap w:val="0"/>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rPr>
                    <w:t>产生浓度（mg/l）</w:t>
                  </w:r>
                </w:p>
              </w:tc>
              <w:tc>
                <w:tcPr>
                  <w:tcW w:w="1142"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产生量（t/a）</w:t>
                  </w:r>
                </w:p>
              </w:tc>
              <w:tc>
                <w:tcPr>
                  <w:tcW w:w="1078" w:type="dxa"/>
                  <w:vMerge w:val="continue"/>
                  <w:noWrap w:val="0"/>
                  <w:vAlign w:val="center"/>
                </w:tcPr>
                <w:p>
                  <w:pPr>
                    <w:jc w:val="center"/>
                    <w:rPr>
                      <w:rFonts w:hint="eastAsia" w:ascii="Times New Roman" w:hAnsi="Times New Roman" w:eastAsia="宋体" w:cs="Times New Roman"/>
                      <w:color w:val="auto"/>
                      <w:lang w:val="en-US" w:eastAsia="zh-CN"/>
                    </w:rPr>
                  </w:pPr>
                </w:p>
              </w:tc>
              <w:tc>
                <w:tcPr>
                  <w:tcW w:w="1170" w:type="dxa"/>
                  <w:noWrap w:val="0"/>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rPr>
                    <w:t>排放浓度（mg/l）</w:t>
                  </w:r>
                </w:p>
              </w:tc>
              <w:tc>
                <w:tcPr>
                  <w:tcW w:w="1144" w:type="dxa"/>
                  <w:noWrap w:val="0"/>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529" w:type="dxa"/>
                  <w:vMerge w:val="restart"/>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生活污水（</w:t>
                  </w:r>
                  <w:r>
                    <w:rPr>
                      <w:rFonts w:hint="eastAsia" w:cs="Times New Roman"/>
                      <w:color w:val="auto"/>
                      <w:lang w:val="en-US" w:eastAsia="zh-CN"/>
                    </w:rPr>
                    <w:t>96</w:t>
                  </w:r>
                  <w:r>
                    <w:rPr>
                      <w:rFonts w:hint="eastAsia" w:ascii="Times New Roman" w:hAnsi="Times New Roman" w:eastAsia="宋体" w:cs="Times New Roman"/>
                      <w:color w:val="auto"/>
                      <w:lang w:val="en-US" w:eastAsia="zh-CN"/>
                    </w:rPr>
                    <w:t>t/a）</w:t>
                  </w:r>
                </w:p>
              </w:tc>
              <w:tc>
                <w:tcPr>
                  <w:tcW w:w="1142" w:type="dxa"/>
                  <w:noWrap w:val="0"/>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COD</w:t>
                  </w:r>
                </w:p>
              </w:tc>
              <w:tc>
                <w:tcPr>
                  <w:tcW w:w="1169"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300</w:t>
                  </w:r>
                </w:p>
              </w:tc>
              <w:tc>
                <w:tcPr>
                  <w:tcW w:w="1142"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0.0288</w:t>
                  </w:r>
                </w:p>
              </w:tc>
              <w:tc>
                <w:tcPr>
                  <w:tcW w:w="1078" w:type="dxa"/>
                  <w:vMerge w:val="restart"/>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化粪池</w:t>
                  </w:r>
                </w:p>
              </w:tc>
              <w:tc>
                <w:tcPr>
                  <w:tcW w:w="1170"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250</w:t>
                  </w:r>
                </w:p>
              </w:tc>
              <w:tc>
                <w:tcPr>
                  <w:tcW w:w="1144"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0.024</w:t>
                  </w:r>
                  <w:r>
                    <w:rPr>
                      <w:rFonts w:hint="eastAsia"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29" w:type="dxa"/>
                  <w:vMerge w:val="continue"/>
                  <w:noWrap w:val="0"/>
                  <w:vAlign w:val="center"/>
                </w:tcPr>
                <w:p>
                  <w:pPr>
                    <w:jc w:val="center"/>
                    <w:rPr>
                      <w:rFonts w:hint="eastAsia" w:ascii="Times New Roman" w:hAnsi="Times New Roman" w:eastAsia="宋体" w:cs="Times New Roman"/>
                      <w:color w:val="auto"/>
                      <w:lang w:val="en-US" w:eastAsia="zh-CN"/>
                    </w:rPr>
                  </w:pPr>
                </w:p>
              </w:tc>
              <w:tc>
                <w:tcPr>
                  <w:tcW w:w="1142" w:type="dxa"/>
                  <w:noWrap w:val="0"/>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BOD</w:t>
                  </w:r>
                  <w:r>
                    <w:rPr>
                      <w:rFonts w:hint="eastAsia" w:ascii="Times New Roman" w:hAnsi="Times New Roman" w:eastAsia="宋体" w:cs="Times New Roman"/>
                      <w:color w:val="auto"/>
                      <w:vertAlign w:val="subscript"/>
                      <w:lang w:val="en-US" w:eastAsia="zh-CN"/>
                    </w:rPr>
                    <w:t>5</w:t>
                  </w:r>
                </w:p>
              </w:tc>
              <w:tc>
                <w:tcPr>
                  <w:tcW w:w="1169" w:type="dxa"/>
                  <w:noWrap w:val="0"/>
                  <w:vAlign w:val="center"/>
                </w:tcPr>
                <w:p>
                  <w:pPr>
                    <w:jc w:val="center"/>
                    <w:rPr>
                      <w:rFonts w:hint="default" w:ascii="Times New Roman" w:hAnsi="Times New Roman" w:eastAsia="宋体" w:cs="Times New Roman"/>
                      <w:color w:val="auto"/>
                      <w:lang w:val="en-US" w:eastAsia="zh-CN"/>
                    </w:rPr>
                  </w:pPr>
                  <w:r>
                    <w:rPr>
                      <w:rFonts w:hint="eastAsia" w:cs="Times New Roman"/>
                      <w:color w:val="auto"/>
                      <w:lang w:val="en-US" w:eastAsia="zh-CN"/>
                    </w:rPr>
                    <w:t>130</w:t>
                  </w:r>
                </w:p>
              </w:tc>
              <w:tc>
                <w:tcPr>
                  <w:tcW w:w="1142"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w:t>
                  </w:r>
                  <w:r>
                    <w:rPr>
                      <w:rFonts w:hint="eastAsia" w:cs="Times New Roman"/>
                      <w:color w:val="auto"/>
                      <w:lang w:val="en-US" w:eastAsia="zh-CN"/>
                    </w:rPr>
                    <w:t>125</w:t>
                  </w:r>
                </w:p>
              </w:tc>
              <w:tc>
                <w:tcPr>
                  <w:tcW w:w="1078" w:type="dxa"/>
                  <w:vMerge w:val="continue"/>
                  <w:noWrap w:val="0"/>
                  <w:vAlign w:val="center"/>
                </w:tcPr>
                <w:p>
                  <w:pPr>
                    <w:jc w:val="center"/>
                    <w:rPr>
                      <w:rFonts w:hint="eastAsia" w:ascii="Times New Roman" w:hAnsi="Times New Roman" w:eastAsia="宋体" w:cs="Times New Roman"/>
                      <w:color w:val="auto"/>
                      <w:lang w:val="en-US" w:eastAsia="zh-CN"/>
                    </w:rPr>
                  </w:pPr>
                </w:p>
              </w:tc>
              <w:tc>
                <w:tcPr>
                  <w:tcW w:w="1170" w:type="dxa"/>
                  <w:noWrap w:val="0"/>
                  <w:vAlign w:val="center"/>
                </w:tcPr>
                <w:p>
                  <w:pPr>
                    <w:jc w:val="center"/>
                    <w:rPr>
                      <w:rFonts w:hint="default" w:ascii="Times New Roman" w:hAnsi="Times New Roman" w:eastAsia="宋体" w:cs="Times New Roman"/>
                      <w:color w:val="auto"/>
                      <w:lang w:val="en-US" w:eastAsia="zh-CN"/>
                    </w:rPr>
                  </w:pPr>
                  <w:r>
                    <w:rPr>
                      <w:rFonts w:hint="eastAsia" w:cs="Times New Roman"/>
                      <w:color w:val="auto"/>
                      <w:lang w:val="en-US" w:eastAsia="zh-CN"/>
                    </w:rPr>
                    <w:t>70</w:t>
                  </w:r>
                </w:p>
              </w:tc>
              <w:tc>
                <w:tcPr>
                  <w:tcW w:w="1144"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w:t>
                  </w:r>
                  <w:r>
                    <w:rPr>
                      <w:rFonts w:hint="eastAsia" w:cs="Times New Roman"/>
                      <w:color w:val="auto"/>
                      <w:lang w:val="en-US" w:eastAsia="zh-CN"/>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529" w:type="dxa"/>
                  <w:vMerge w:val="continue"/>
                  <w:noWrap w:val="0"/>
                  <w:vAlign w:val="center"/>
                </w:tcPr>
                <w:p>
                  <w:pPr>
                    <w:jc w:val="center"/>
                    <w:rPr>
                      <w:rFonts w:hint="eastAsia" w:ascii="Times New Roman" w:hAnsi="Times New Roman" w:eastAsia="宋体" w:cs="Times New Roman"/>
                      <w:color w:val="auto"/>
                      <w:lang w:val="en-US" w:eastAsia="zh-CN"/>
                    </w:rPr>
                  </w:pPr>
                </w:p>
              </w:tc>
              <w:tc>
                <w:tcPr>
                  <w:tcW w:w="1142" w:type="dxa"/>
                  <w:noWrap w:val="0"/>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NH</w:t>
                  </w:r>
                  <w:r>
                    <w:rPr>
                      <w:rFonts w:hint="eastAsia" w:ascii="Times New Roman" w:hAnsi="Times New Roman" w:eastAsia="宋体" w:cs="Times New Roman"/>
                      <w:color w:val="auto"/>
                      <w:vertAlign w:val="subscript"/>
                      <w:lang w:val="en-US" w:eastAsia="zh-CN"/>
                    </w:rPr>
                    <w:t>3</w:t>
                  </w:r>
                  <w:r>
                    <w:rPr>
                      <w:rFonts w:hint="eastAsia" w:ascii="Times New Roman" w:hAnsi="Times New Roman" w:eastAsia="宋体" w:cs="Times New Roman"/>
                      <w:color w:val="auto"/>
                      <w:lang w:val="en-US" w:eastAsia="zh-CN"/>
                    </w:rPr>
                    <w:t>-N</w:t>
                  </w:r>
                </w:p>
              </w:tc>
              <w:tc>
                <w:tcPr>
                  <w:tcW w:w="1169"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30</w:t>
                  </w:r>
                </w:p>
              </w:tc>
              <w:tc>
                <w:tcPr>
                  <w:tcW w:w="1142"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0.002</w:t>
                  </w:r>
                  <w:r>
                    <w:rPr>
                      <w:rFonts w:hint="eastAsia" w:cs="Times New Roman"/>
                      <w:color w:val="auto"/>
                      <w:lang w:val="en-US" w:eastAsia="zh-CN"/>
                    </w:rPr>
                    <w:t>9</w:t>
                  </w:r>
                </w:p>
              </w:tc>
              <w:tc>
                <w:tcPr>
                  <w:tcW w:w="1078" w:type="dxa"/>
                  <w:vMerge w:val="continue"/>
                  <w:noWrap w:val="0"/>
                  <w:vAlign w:val="center"/>
                </w:tcPr>
                <w:p>
                  <w:pPr>
                    <w:jc w:val="center"/>
                    <w:rPr>
                      <w:rFonts w:hint="eastAsia" w:ascii="Times New Roman" w:hAnsi="Times New Roman" w:eastAsia="宋体" w:cs="Times New Roman"/>
                      <w:color w:val="auto"/>
                      <w:lang w:val="en-US" w:eastAsia="zh-CN"/>
                    </w:rPr>
                  </w:pPr>
                </w:p>
              </w:tc>
              <w:tc>
                <w:tcPr>
                  <w:tcW w:w="1170"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25</w:t>
                  </w:r>
                </w:p>
              </w:tc>
              <w:tc>
                <w:tcPr>
                  <w:tcW w:w="1144"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529" w:type="dxa"/>
                  <w:vMerge w:val="continue"/>
                  <w:noWrap w:val="0"/>
                  <w:vAlign w:val="center"/>
                </w:tcPr>
                <w:p>
                  <w:pPr>
                    <w:jc w:val="center"/>
                    <w:rPr>
                      <w:rFonts w:hint="eastAsia" w:ascii="Times New Roman" w:hAnsi="Times New Roman" w:eastAsia="宋体" w:cs="Times New Roman"/>
                      <w:color w:val="auto"/>
                      <w:lang w:val="en-US" w:eastAsia="zh-CN"/>
                    </w:rPr>
                  </w:pPr>
                </w:p>
              </w:tc>
              <w:tc>
                <w:tcPr>
                  <w:tcW w:w="1142" w:type="dxa"/>
                  <w:noWrap w:val="0"/>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SS</w:t>
                  </w:r>
                </w:p>
              </w:tc>
              <w:tc>
                <w:tcPr>
                  <w:tcW w:w="1169"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220</w:t>
                  </w:r>
                </w:p>
              </w:tc>
              <w:tc>
                <w:tcPr>
                  <w:tcW w:w="1142"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0.021</w:t>
                  </w:r>
                  <w:r>
                    <w:rPr>
                      <w:rFonts w:hint="eastAsia" w:cs="Times New Roman"/>
                      <w:color w:val="auto"/>
                      <w:lang w:val="en-US" w:eastAsia="zh-CN"/>
                    </w:rPr>
                    <w:t>1</w:t>
                  </w:r>
                </w:p>
              </w:tc>
              <w:tc>
                <w:tcPr>
                  <w:tcW w:w="1078" w:type="dxa"/>
                  <w:vMerge w:val="continue"/>
                  <w:noWrap w:val="0"/>
                  <w:vAlign w:val="center"/>
                </w:tcPr>
                <w:p>
                  <w:pPr>
                    <w:jc w:val="center"/>
                    <w:rPr>
                      <w:rFonts w:hint="eastAsia" w:ascii="Times New Roman" w:hAnsi="Times New Roman" w:eastAsia="宋体" w:cs="Times New Roman"/>
                      <w:color w:val="auto"/>
                      <w:lang w:val="en-US" w:eastAsia="zh-CN"/>
                    </w:rPr>
                  </w:pPr>
                </w:p>
              </w:tc>
              <w:tc>
                <w:tcPr>
                  <w:tcW w:w="1170"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150</w:t>
                  </w:r>
                </w:p>
              </w:tc>
              <w:tc>
                <w:tcPr>
                  <w:tcW w:w="1144"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0.0144</w:t>
                  </w:r>
                </w:p>
              </w:tc>
            </w:tr>
          </w:tbl>
          <w:p>
            <w:pPr>
              <w:pStyle w:val="23"/>
              <w:rPr>
                <w:lang w:val="en-US" w:eastAsia="zh-CN"/>
              </w:rPr>
            </w:pPr>
          </w:p>
          <w:p>
            <w:pPr>
              <w:pStyle w:val="7"/>
              <w:snapToGrid/>
              <w:spacing w:before="0" w:after="0" w:line="360" w:lineRule="auto"/>
              <w:ind w:firstLine="482" w:firstLineChars="0"/>
              <w:jc w:val="both"/>
              <w:rPr>
                <w:rFonts w:hint="eastAsia"/>
                <w:color w:val="auto"/>
                <w:sz w:val="24"/>
                <w:szCs w:val="24"/>
                <w:lang w:val="en-US" w:eastAsia="zh-CN"/>
              </w:rPr>
            </w:pPr>
            <w:r>
              <w:rPr>
                <w:rFonts w:hint="eastAsia"/>
                <w:color w:val="auto"/>
                <w:sz w:val="24"/>
                <w:szCs w:val="24"/>
                <w:lang w:val="en-US" w:eastAsia="zh-CN"/>
              </w:rPr>
              <w:t>项目</w:t>
            </w:r>
            <w:r>
              <w:rPr>
                <w:rFonts w:hAnsi="Arial"/>
                <w:color w:val="auto"/>
                <w:sz w:val="24"/>
                <w:szCs w:val="24"/>
                <w:shd w:val="clear" w:color="auto" w:fill="FFFFFF"/>
                <w:lang w:val="en-US" w:eastAsia="zh-CN"/>
              </w:rPr>
              <w:t>排放</w:t>
            </w:r>
            <w:r>
              <w:rPr>
                <w:rFonts w:hint="eastAsia" w:hAnsi="Arial"/>
                <w:color w:val="auto"/>
                <w:sz w:val="24"/>
                <w:szCs w:val="24"/>
                <w:shd w:val="clear" w:color="auto" w:fill="FFFFFF"/>
                <w:lang w:val="en-US" w:eastAsia="zh-CN"/>
              </w:rPr>
              <w:t>废水</w:t>
            </w:r>
            <w:r>
              <w:rPr>
                <w:rFonts w:hAnsi="Arial"/>
                <w:color w:val="auto"/>
                <w:sz w:val="24"/>
                <w:szCs w:val="24"/>
                <w:shd w:val="clear" w:color="auto" w:fill="FFFFFF"/>
                <w:lang w:val="en-US" w:eastAsia="zh-CN"/>
              </w:rPr>
              <w:t>为生活污水，目前所在经济开发区所已制定严格的接管标准，故项目污水排放</w:t>
            </w:r>
            <w:r>
              <w:rPr>
                <w:rFonts w:hint="eastAsia"/>
                <w:color w:val="auto"/>
                <w:kern w:val="2"/>
                <w:sz w:val="24"/>
                <w:szCs w:val="24"/>
                <w:lang w:val="en-US" w:eastAsia="zh-CN"/>
              </w:rPr>
              <w:t>满足淮南经济技术开发区工业污水处理厂接管标准标准</w:t>
            </w:r>
            <w:r>
              <w:rPr>
                <w:rFonts w:hint="eastAsia"/>
                <w:color w:val="auto"/>
                <w:sz w:val="24"/>
                <w:szCs w:val="24"/>
                <w:lang w:val="en-US" w:eastAsia="zh-CN"/>
              </w:rPr>
              <w:t>要求</w:t>
            </w:r>
            <w:r>
              <w:rPr>
                <w:rFonts w:hint="eastAsia"/>
                <w:color w:val="auto"/>
                <w:sz w:val="24"/>
                <w:szCs w:val="24"/>
                <w:lang w:val="en-GB" w:eastAsia="zh-CN"/>
              </w:rPr>
              <w:t>，排入淮南经济技术开发区工业污水处理厂处理。</w:t>
            </w:r>
            <w:r>
              <w:rPr>
                <w:rFonts w:hint="eastAsia"/>
                <w:color w:val="auto"/>
                <w:sz w:val="24"/>
                <w:szCs w:val="24"/>
                <w:lang w:val="en-US" w:eastAsia="zh-CN"/>
              </w:rPr>
              <w:t>排放口基本情况及下表。</w:t>
            </w:r>
          </w:p>
          <w:p>
            <w:pPr>
              <w:pStyle w:val="98"/>
              <w:snapToGrid/>
              <w:spacing w:before="0" w:after="0" w:line="360" w:lineRule="auto"/>
              <w:rPr>
                <w:rFonts w:eastAsia="宋体"/>
                <w:b/>
                <w:lang w:val="en-US" w:eastAsia="zh-CN"/>
              </w:rPr>
            </w:pPr>
            <w:r>
              <w:rPr>
                <w:rFonts w:hAnsi="宋体" w:eastAsia="宋体"/>
                <w:b/>
                <w:highlight w:val="none"/>
                <w:lang w:val="en-US" w:eastAsia="zh-CN"/>
              </w:rPr>
              <w:t>表</w:t>
            </w:r>
            <w:r>
              <w:rPr>
                <w:rFonts w:eastAsia="宋体"/>
                <w:b/>
                <w:highlight w:val="none"/>
                <w:lang w:val="en-US" w:eastAsia="zh-CN"/>
              </w:rPr>
              <w:t>4-</w:t>
            </w:r>
            <w:r>
              <w:rPr>
                <w:rFonts w:hint="eastAsia" w:eastAsia="宋体"/>
                <w:b/>
                <w:highlight w:val="none"/>
                <w:lang w:val="en-US" w:eastAsia="zh-CN"/>
              </w:rPr>
              <w:t>9</w:t>
            </w:r>
            <w:r>
              <w:rPr>
                <w:rFonts w:eastAsia="宋体"/>
                <w:b/>
                <w:lang w:val="en-US" w:eastAsia="zh-CN"/>
              </w:rPr>
              <w:t xml:space="preserve"> </w:t>
            </w:r>
            <w:r>
              <w:rPr>
                <w:rFonts w:hAnsi="宋体" w:eastAsia="宋体"/>
                <w:b/>
                <w:lang w:val="en-US" w:eastAsia="zh-CN"/>
              </w:rPr>
              <w:t>建设项目废水污染物排放信息表</w:t>
            </w:r>
          </w:p>
          <w:tbl>
            <w:tblPr>
              <w:tblStyle w:val="2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26"/>
              <w:gridCol w:w="881"/>
              <w:gridCol w:w="1206"/>
              <w:gridCol w:w="1109"/>
              <w:gridCol w:w="1130"/>
              <w:gridCol w:w="479"/>
              <w:gridCol w:w="713"/>
              <w:gridCol w:w="434"/>
              <w:gridCol w:w="427"/>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53" w:type="pct"/>
                  <w:vMerge w:val="restart"/>
                  <w:noWrap w:val="0"/>
                  <w:vAlign w:val="center"/>
                </w:tcPr>
                <w:p>
                  <w:pPr>
                    <w:pStyle w:val="60"/>
                    <w:rPr>
                      <w:rFonts w:hint="eastAsia"/>
                      <w:sz w:val="21"/>
                      <w:szCs w:val="21"/>
                    </w:rPr>
                  </w:pPr>
                  <w:r>
                    <w:rPr>
                      <w:rFonts w:hint="eastAsia"/>
                      <w:sz w:val="21"/>
                      <w:szCs w:val="21"/>
                    </w:rPr>
                    <w:t>序号</w:t>
                  </w:r>
                </w:p>
              </w:tc>
              <w:tc>
                <w:tcPr>
                  <w:tcW w:w="253" w:type="pct"/>
                  <w:vMerge w:val="restart"/>
                  <w:noWrap w:val="0"/>
                  <w:vAlign w:val="center"/>
                </w:tcPr>
                <w:p>
                  <w:pPr>
                    <w:pStyle w:val="60"/>
                    <w:rPr>
                      <w:rFonts w:hint="eastAsia"/>
                      <w:sz w:val="21"/>
                      <w:szCs w:val="21"/>
                    </w:rPr>
                  </w:pPr>
                  <w:r>
                    <w:rPr>
                      <w:rFonts w:hint="eastAsia"/>
                      <w:sz w:val="21"/>
                      <w:szCs w:val="21"/>
                    </w:rPr>
                    <w:t>废水类别</w:t>
                  </w:r>
                </w:p>
              </w:tc>
              <w:tc>
                <w:tcPr>
                  <w:tcW w:w="524" w:type="pct"/>
                  <w:vMerge w:val="restart"/>
                  <w:noWrap w:val="0"/>
                  <w:vAlign w:val="center"/>
                </w:tcPr>
                <w:p>
                  <w:pPr>
                    <w:pStyle w:val="60"/>
                    <w:rPr>
                      <w:rFonts w:hint="eastAsia"/>
                      <w:sz w:val="21"/>
                      <w:szCs w:val="21"/>
                    </w:rPr>
                  </w:pPr>
                  <w:r>
                    <w:rPr>
                      <w:rFonts w:hint="eastAsia"/>
                      <w:sz w:val="21"/>
                      <w:szCs w:val="21"/>
                    </w:rPr>
                    <w:t>排放口编号</w:t>
                  </w:r>
                </w:p>
              </w:tc>
              <w:tc>
                <w:tcPr>
                  <w:tcW w:w="1378" w:type="pct"/>
                  <w:gridSpan w:val="2"/>
                  <w:noWrap w:val="0"/>
                  <w:vAlign w:val="center"/>
                </w:tcPr>
                <w:p>
                  <w:pPr>
                    <w:pStyle w:val="60"/>
                    <w:rPr>
                      <w:sz w:val="21"/>
                      <w:szCs w:val="21"/>
                    </w:rPr>
                  </w:pPr>
                  <w:r>
                    <w:rPr>
                      <w:rFonts w:hint="eastAsia"/>
                      <w:sz w:val="21"/>
                      <w:szCs w:val="21"/>
                    </w:rPr>
                    <w:t>排放口坐标</w:t>
                  </w:r>
                </w:p>
              </w:tc>
              <w:tc>
                <w:tcPr>
                  <w:tcW w:w="672" w:type="pct"/>
                  <w:vMerge w:val="restart"/>
                  <w:noWrap w:val="0"/>
                  <w:vAlign w:val="center"/>
                </w:tcPr>
                <w:p>
                  <w:pPr>
                    <w:pStyle w:val="60"/>
                    <w:rPr>
                      <w:rFonts w:hint="eastAsia"/>
                      <w:sz w:val="21"/>
                      <w:szCs w:val="21"/>
                    </w:rPr>
                  </w:pPr>
                  <w:r>
                    <w:rPr>
                      <w:rFonts w:hint="eastAsia"/>
                      <w:sz w:val="21"/>
                      <w:szCs w:val="21"/>
                    </w:rPr>
                    <w:t>废水排放量（万t/a）</w:t>
                  </w:r>
                </w:p>
              </w:tc>
              <w:tc>
                <w:tcPr>
                  <w:tcW w:w="285" w:type="pct"/>
                  <w:vMerge w:val="restart"/>
                  <w:noWrap w:val="0"/>
                  <w:vAlign w:val="center"/>
                </w:tcPr>
                <w:p>
                  <w:pPr>
                    <w:pStyle w:val="60"/>
                    <w:rPr>
                      <w:rFonts w:hint="eastAsia"/>
                      <w:sz w:val="21"/>
                      <w:szCs w:val="21"/>
                    </w:rPr>
                  </w:pPr>
                  <w:r>
                    <w:rPr>
                      <w:rFonts w:hint="eastAsia"/>
                      <w:sz w:val="21"/>
                      <w:szCs w:val="21"/>
                    </w:rPr>
                    <w:t>排放去向</w:t>
                  </w:r>
                </w:p>
              </w:tc>
              <w:tc>
                <w:tcPr>
                  <w:tcW w:w="424" w:type="pct"/>
                  <w:vMerge w:val="restart"/>
                  <w:noWrap w:val="0"/>
                  <w:vAlign w:val="center"/>
                </w:tcPr>
                <w:p>
                  <w:pPr>
                    <w:pStyle w:val="60"/>
                    <w:rPr>
                      <w:rFonts w:hint="eastAsia"/>
                      <w:sz w:val="21"/>
                      <w:szCs w:val="21"/>
                    </w:rPr>
                  </w:pPr>
                  <w:r>
                    <w:rPr>
                      <w:rFonts w:hint="eastAsia"/>
                      <w:sz w:val="21"/>
                      <w:szCs w:val="21"/>
                    </w:rPr>
                    <w:t>排放规律</w:t>
                  </w:r>
                </w:p>
              </w:tc>
              <w:tc>
                <w:tcPr>
                  <w:tcW w:w="258" w:type="pct"/>
                  <w:vMerge w:val="restart"/>
                  <w:noWrap w:val="0"/>
                  <w:vAlign w:val="center"/>
                </w:tcPr>
                <w:p>
                  <w:pPr>
                    <w:pStyle w:val="60"/>
                    <w:rPr>
                      <w:rFonts w:hint="eastAsia"/>
                      <w:sz w:val="21"/>
                      <w:szCs w:val="21"/>
                    </w:rPr>
                  </w:pPr>
                  <w:r>
                    <w:rPr>
                      <w:rFonts w:hint="eastAsia"/>
                      <w:sz w:val="21"/>
                      <w:szCs w:val="21"/>
                    </w:rPr>
                    <w:t>污染治理设施名称</w:t>
                  </w:r>
                </w:p>
              </w:tc>
              <w:tc>
                <w:tcPr>
                  <w:tcW w:w="254" w:type="pct"/>
                  <w:vMerge w:val="restart"/>
                  <w:noWrap w:val="0"/>
                  <w:vAlign w:val="center"/>
                </w:tcPr>
                <w:p>
                  <w:pPr>
                    <w:pStyle w:val="60"/>
                    <w:rPr>
                      <w:rFonts w:hint="eastAsia"/>
                      <w:sz w:val="21"/>
                      <w:szCs w:val="21"/>
                    </w:rPr>
                  </w:pPr>
                  <w:r>
                    <w:rPr>
                      <w:rFonts w:hint="eastAsia"/>
                      <w:sz w:val="21"/>
                      <w:szCs w:val="21"/>
                    </w:rPr>
                    <w:t>排放口类型</w:t>
                  </w:r>
                </w:p>
              </w:tc>
              <w:tc>
                <w:tcPr>
                  <w:tcW w:w="693" w:type="pct"/>
                  <w:vMerge w:val="restart"/>
                  <w:noWrap w:val="0"/>
                  <w:vAlign w:val="center"/>
                </w:tcPr>
                <w:p>
                  <w:pPr>
                    <w:pStyle w:val="60"/>
                    <w:rPr>
                      <w:sz w:val="21"/>
                      <w:szCs w:val="21"/>
                    </w:rPr>
                  </w:pPr>
                  <w:r>
                    <w:rPr>
                      <w:rFonts w:hint="eastAsia"/>
                      <w:sz w:val="21"/>
                      <w:szCs w:val="21"/>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53" w:type="pct"/>
                  <w:vMerge w:val="continue"/>
                  <w:noWrap w:val="0"/>
                  <w:vAlign w:val="center"/>
                </w:tcPr>
                <w:p>
                  <w:pPr>
                    <w:pStyle w:val="60"/>
                    <w:rPr>
                      <w:rFonts w:hint="eastAsia"/>
                      <w:sz w:val="21"/>
                      <w:szCs w:val="21"/>
                    </w:rPr>
                  </w:pPr>
                </w:p>
              </w:tc>
              <w:tc>
                <w:tcPr>
                  <w:tcW w:w="253" w:type="pct"/>
                  <w:vMerge w:val="continue"/>
                  <w:noWrap w:val="0"/>
                  <w:vAlign w:val="center"/>
                </w:tcPr>
                <w:p>
                  <w:pPr>
                    <w:pStyle w:val="60"/>
                    <w:rPr>
                      <w:rFonts w:hint="eastAsia"/>
                      <w:sz w:val="21"/>
                      <w:szCs w:val="21"/>
                    </w:rPr>
                  </w:pPr>
                </w:p>
              </w:tc>
              <w:tc>
                <w:tcPr>
                  <w:tcW w:w="524" w:type="pct"/>
                  <w:vMerge w:val="continue"/>
                  <w:noWrap w:val="0"/>
                  <w:vAlign w:val="center"/>
                </w:tcPr>
                <w:p>
                  <w:pPr>
                    <w:pStyle w:val="60"/>
                    <w:rPr>
                      <w:rFonts w:hint="eastAsia"/>
                      <w:sz w:val="21"/>
                      <w:szCs w:val="21"/>
                    </w:rPr>
                  </w:pPr>
                </w:p>
              </w:tc>
              <w:tc>
                <w:tcPr>
                  <w:tcW w:w="718" w:type="pct"/>
                  <w:noWrap w:val="0"/>
                  <w:vAlign w:val="center"/>
                </w:tcPr>
                <w:p>
                  <w:pPr>
                    <w:pStyle w:val="60"/>
                    <w:rPr>
                      <w:sz w:val="21"/>
                      <w:szCs w:val="21"/>
                    </w:rPr>
                  </w:pPr>
                  <w:r>
                    <w:rPr>
                      <w:rFonts w:hint="eastAsia"/>
                      <w:sz w:val="21"/>
                      <w:szCs w:val="21"/>
                    </w:rPr>
                    <w:t>经度</w:t>
                  </w:r>
                </w:p>
              </w:tc>
              <w:tc>
                <w:tcPr>
                  <w:tcW w:w="660" w:type="pct"/>
                  <w:noWrap w:val="0"/>
                  <w:vAlign w:val="center"/>
                </w:tcPr>
                <w:p>
                  <w:pPr>
                    <w:pStyle w:val="60"/>
                    <w:rPr>
                      <w:sz w:val="21"/>
                      <w:szCs w:val="21"/>
                    </w:rPr>
                  </w:pPr>
                  <w:r>
                    <w:rPr>
                      <w:rFonts w:hint="eastAsia"/>
                      <w:sz w:val="21"/>
                      <w:szCs w:val="21"/>
                    </w:rPr>
                    <w:t>纬度</w:t>
                  </w:r>
                </w:p>
              </w:tc>
              <w:tc>
                <w:tcPr>
                  <w:tcW w:w="672" w:type="pct"/>
                  <w:vMerge w:val="continue"/>
                  <w:noWrap w:val="0"/>
                  <w:vAlign w:val="center"/>
                </w:tcPr>
                <w:p>
                  <w:pPr>
                    <w:pStyle w:val="60"/>
                    <w:rPr>
                      <w:rFonts w:hint="eastAsia"/>
                      <w:sz w:val="21"/>
                      <w:szCs w:val="21"/>
                    </w:rPr>
                  </w:pPr>
                </w:p>
              </w:tc>
              <w:tc>
                <w:tcPr>
                  <w:tcW w:w="285" w:type="pct"/>
                  <w:vMerge w:val="continue"/>
                  <w:noWrap w:val="0"/>
                  <w:vAlign w:val="center"/>
                </w:tcPr>
                <w:p>
                  <w:pPr>
                    <w:pStyle w:val="60"/>
                    <w:rPr>
                      <w:rFonts w:hint="eastAsia"/>
                      <w:sz w:val="21"/>
                      <w:szCs w:val="21"/>
                    </w:rPr>
                  </w:pPr>
                </w:p>
              </w:tc>
              <w:tc>
                <w:tcPr>
                  <w:tcW w:w="424" w:type="pct"/>
                  <w:vMerge w:val="continue"/>
                  <w:noWrap w:val="0"/>
                  <w:vAlign w:val="center"/>
                </w:tcPr>
                <w:p>
                  <w:pPr>
                    <w:pStyle w:val="60"/>
                    <w:rPr>
                      <w:rFonts w:hint="eastAsia"/>
                      <w:sz w:val="21"/>
                      <w:szCs w:val="21"/>
                    </w:rPr>
                  </w:pPr>
                </w:p>
              </w:tc>
              <w:tc>
                <w:tcPr>
                  <w:tcW w:w="258" w:type="pct"/>
                  <w:vMerge w:val="continue"/>
                  <w:noWrap w:val="0"/>
                  <w:vAlign w:val="center"/>
                </w:tcPr>
                <w:p>
                  <w:pPr>
                    <w:pStyle w:val="60"/>
                    <w:rPr>
                      <w:rFonts w:hint="eastAsia"/>
                      <w:sz w:val="21"/>
                      <w:szCs w:val="21"/>
                    </w:rPr>
                  </w:pPr>
                </w:p>
              </w:tc>
              <w:tc>
                <w:tcPr>
                  <w:tcW w:w="254" w:type="pct"/>
                  <w:vMerge w:val="continue"/>
                  <w:noWrap w:val="0"/>
                  <w:vAlign w:val="center"/>
                </w:tcPr>
                <w:p>
                  <w:pPr>
                    <w:pStyle w:val="60"/>
                    <w:rPr>
                      <w:rFonts w:hint="eastAsia"/>
                      <w:sz w:val="21"/>
                      <w:szCs w:val="21"/>
                    </w:rPr>
                  </w:pPr>
                </w:p>
              </w:tc>
              <w:tc>
                <w:tcPr>
                  <w:tcW w:w="693" w:type="pct"/>
                  <w:vMerge w:val="continue"/>
                  <w:noWrap w:val="0"/>
                  <w:vAlign w:val="center"/>
                </w:tcPr>
                <w:p>
                  <w:pPr>
                    <w:pStyle w:val="6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53" w:type="pct"/>
                  <w:noWrap w:val="0"/>
                  <w:vAlign w:val="center"/>
                </w:tcPr>
                <w:p>
                  <w:pPr>
                    <w:pStyle w:val="60"/>
                    <w:rPr>
                      <w:rFonts w:hint="eastAsia"/>
                      <w:sz w:val="21"/>
                      <w:szCs w:val="21"/>
                    </w:rPr>
                  </w:pPr>
                  <w:r>
                    <w:rPr>
                      <w:rFonts w:hint="eastAsia"/>
                      <w:sz w:val="21"/>
                      <w:szCs w:val="21"/>
                    </w:rPr>
                    <w:t>1</w:t>
                  </w:r>
                </w:p>
              </w:tc>
              <w:tc>
                <w:tcPr>
                  <w:tcW w:w="253" w:type="pct"/>
                  <w:noWrap w:val="0"/>
                  <w:vAlign w:val="center"/>
                </w:tcPr>
                <w:p>
                  <w:pPr>
                    <w:pStyle w:val="60"/>
                    <w:rPr>
                      <w:rFonts w:hint="eastAsia"/>
                      <w:sz w:val="21"/>
                      <w:szCs w:val="21"/>
                    </w:rPr>
                  </w:pPr>
                  <w:r>
                    <w:rPr>
                      <w:rFonts w:hint="eastAsia"/>
                      <w:sz w:val="21"/>
                      <w:szCs w:val="21"/>
                      <w:lang w:val="en-US" w:eastAsia="zh-CN"/>
                    </w:rPr>
                    <w:t>生活污水</w:t>
                  </w:r>
                  <w:r>
                    <w:rPr>
                      <w:rFonts w:hint="eastAsia"/>
                      <w:sz w:val="21"/>
                      <w:szCs w:val="21"/>
                    </w:rPr>
                    <w:t xml:space="preserve"> </w:t>
                  </w:r>
                </w:p>
              </w:tc>
              <w:tc>
                <w:tcPr>
                  <w:tcW w:w="524" w:type="pct"/>
                  <w:noWrap w:val="0"/>
                  <w:vAlign w:val="center"/>
                </w:tcPr>
                <w:p>
                  <w:pPr>
                    <w:pStyle w:val="60"/>
                    <w:rPr>
                      <w:rFonts w:hint="eastAsia"/>
                      <w:sz w:val="21"/>
                      <w:szCs w:val="21"/>
                    </w:rPr>
                  </w:pPr>
                  <w:r>
                    <w:rPr>
                      <w:rFonts w:hint="eastAsia"/>
                      <w:sz w:val="21"/>
                      <w:szCs w:val="21"/>
                    </w:rPr>
                    <w:t>DW001</w:t>
                  </w:r>
                </w:p>
              </w:tc>
              <w:tc>
                <w:tcPr>
                  <w:tcW w:w="718" w:type="pct"/>
                  <w:noWrap w:val="0"/>
                  <w:vAlign w:val="center"/>
                </w:tcPr>
                <w:p>
                  <w:pPr>
                    <w:pStyle w:val="6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117.</w:t>
                  </w:r>
                  <w:r>
                    <w:rPr>
                      <w:rFonts w:hint="eastAsia" w:cs="Times New Roman"/>
                      <w:sz w:val="21"/>
                      <w:szCs w:val="21"/>
                      <w:lang w:val="en-US" w:eastAsia="zh-CN"/>
                    </w:rPr>
                    <w:t>047960</w:t>
                  </w:r>
                </w:p>
              </w:tc>
              <w:tc>
                <w:tcPr>
                  <w:tcW w:w="660" w:type="pct"/>
                  <w:noWrap w:val="0"/>
                  <w:vAlign w:val="center"/>
                </w:tcPr>
                <w:p>
                  <w:pPr>
                    <w:pStyle w:val="6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32.</w:t>
                  </w:r>
                  <w:r>
                    <w:rPr>
                      <w:rFonts w:hint="eastAsia" w:cs="Times New Roman"/>
                      <w:sz w:val="21"/>
                      <w:szCs w:val="21"/>
                      <w:lang w:val="en-US" w:eastAsia="zh-CN"/>
                    </w:rPr>
                    <w:t>653604</w:t>
                  </w:r>
                </w:p>
              </w:tc>
              <w:tc>
                <w:tcPr>
                  <w:tcW w:w="672" w:type="pct"/>
                  <w:noWrap w:val="0"/>
                  <w:vAlign w:val="center"/>
                </w:tcPr>
                <w:p>
                  <w:pPr>
                    <w:pStyle w:val="60"/>
                    <w:rPr>
                      <w:rFonts w:hint="default" w:eastAsia="宋体"/>
                      <w:sz w:val="21"/>
                      <w:szCs w:val="21"/>
                      <w:lang w:val="en-US" w:eastAsia="zh-CN"/>
                    </w:rPr>
                  </w:pPr>
                  <w:r>
                    <w:rPr>
                      <w:rFonts w:hint="eastAsia" w:ascii="Times New Roman" w:hAnsi="Times New Roman" w:eastAsia="宋体" w:cs="Times New Roman"/>
                      <w:sz w:val="21"/>
                      <w:szCs w:val="21"/>
                      <w:lang w:val="en-US" w:eastAsia="zh-CN"/>
                    </w:rPr>
                    <w:t>0.0</w:t>
                  </w:r>
                  <w:r>
                    <w:rPr>
                      <w:rFonts w:hint="eastAsia" w:cs="Times New Roman"/>
                      <w:sz w:val="21"/>
                      <w:szCs w:val="21"/>
                      <w:lang w:val="en-US" w:eastAsia="zh-CN"/>
                    </w:rPr>
                    <w:t>096</w:t>
                  </w:r>
                </w:p>
              </w:tc>
              <w:tc>
                <w:tcPr>
                  <w:tcW w:w="285" w:type="pct"/>
                  <w:noWrap w:val="0"/>
                  <w:vAlign w:val="center"/>
                </w:tcPr>
                <w:p>
                  <w:pPr>
                    <w:pStyle w:val="60"/>
                    <w:rPr>
                      <w:rFonts w:hint="eastAsia"/>
                      <w:sz w:val="21"/>
                      <w:szCs w:val="21"/>
                    </w:rPr>
                  </w:pPr>
                  <w:r>
                    <w:rPr>
                      <w:rFonts w:hint="eastAsia"/>
                      <w:sz w:val="21"/>
                      <w:szCs w:val="21"/>
                      <w:lang w:val="en-GB" w:eastAsia="zh-CN"/>
                    </w:rPr>
                    <w:t>经开</w:t>
                  </w:r>
                  <w:r>
                    <w:rPr>
                      <w:rFonts w:hint="eastAsia"/>
                      <w:sz w:val="21"/>
                      <w:szCs w:val="21"/>
                      <w:lang w:val="en-GB"/>
                    </w:rPr>
                    <w:t>区污水处理厂</w:t>
                  </w:r>
                </w:p>
              </w:tc>
              <w:tc>
                <w:tcPr>
                  <w:tcW w:w="424" w:type="pct"/>
                  <w:noWrap w:val="0"/>
                  <w:vAlign w:val="center"/>
                </w:tcPr>
                <w:p>
                  <w:pPr>
                    <w:pStyle w:val="60"/>
                    <w:rPr>
                      <w:rFonts w:hint="eastAsia"/>
                      <w:sz w:val="21"/>
                      <w:szCs w:val="21"/>
                    </w:rPr>
                  </w:pPr>
                  <w:r>
                    <w:rPr>
                      <w:rFonts w:hint="eastAsia"/>
                      <w:sz w:val="21"/>
                      <w:szCs w:val="21"/>
                      <w:lang w:val="en-GB" w:eastAsia="zh-CN"/>
                    </w:rPr>
                    <w:t>间断排放，排放期间流量不稳定，但有规律</w:t>
                  </w:r>
                </w:p>
              </w:tc>
              <w:tc>
                <w:tcPr>
                  <w:tcW w:w="258" w:type="pct"/>
                  <w:noWrap w:val="0"/>
                  <w:vAlign w:val="center"/>
                </w:tcPr>
                <w:p>
                  <w:pPr>
                    <w:pStyle w:val="60"/>
                    <w:rPr>
                      <w:rFonts w:hint="default" w:eastAsia="宋体"/>
                      <w:sz w:val="21"/>
                      <w:szCs w:val="21"/>
                      <w:lang w:val="en-US" w:eastAsia="zh-CN"/>
                    </w:rPr>
                  </w:pPr>
                  <w:r>
                    <w:rPr>
                      <w:rFonts w:hint="eastAsia"/>
                      <w:sz w:val="21"/>
                      <w:szCs w:val="21"/>
                    </w:rPr>
                    <w:t>化粪池</w:t>
                  </w:r>
                </w:p>
              </w:tc>
              <w:tc>
                <w:tcPr>
                  <w:tcW w:w="254" w:type="pct"/>
                  <w:noWrap w:val="0"/>
                  <w:vAlign w:val="center"/>
                </w:tcPr>
                <w:p>
                  <w:pPr>
                    <w:pStyle w:val="60"/>
                    <w:rPr>
                      <w:rFonts w:hint="eastAsia"/>
                      <w:sz w:val="21"/>
                      <w:szCs w:val="21"/>
                    </w:rPr>
                  </w:pPr>
                  <w:r>
                    <w:rPr>
                      <w:rFonts w:hint="eastAsia"/>
                      <w:sz w:val="21"/>
                      <w:szCs w:val="21"/>
                    </w:rPr>
                    <w:t>一般排放口</w:t>
                  </w:r>
                </w:p>
              </w:tc>
              <w:tc>
                <w:tcPr>
                  <w:tcW w:w="693" w:type="pct"/>
                  <w:noWrap w:val="0"/>
                  <w:vAlign w:val="center"/>
                </w:tcPr>
                <w:p>
                  <w:pPr>
                    <w:pStyle w:val="60"/>
                    <w:rPr>
                      <w:rFonts w:hint="eastAsia"/>
                      <w:sz w:val="21"/>
                      <w:szCs w:val="21"/>
                    </w:rPr>
                  </w:pPr>
                  <w:r>
                    <w:rPr>
                      <w:rFonts w:hint="eastAsia"/>
                      <w:sz w:val="21"/>
                      <w:szCs w:val="21"/>
                    </w:rPr>
                    <w:t>淮南经济技术开发区工业污水处理厂接管标准</w:t>
                  </w:r>
                </w:p>
              </w:tc>
            </w:tr>
          </w:tbl>
          <w:p>
            <w:pPr>
              <w:spacing w:line="440" w:lineRule="exact"/>
              <w:ind w:firstLine="480" w:firstLineChars="200"/>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2、废水污染物自行监测计划</w:t>
            </w:r>
          </w:p>
          <w:p>
            <w:pPr>
              <w:spacing w:line="440" w:lineRule="exact"/>
              <w:ind w:firstLine="480" w:firstLineChars="200"/>
              <w:rPr>
                <w:rFonts w:hint="eastAsia"/>
                <w:sz w:val="24"/>
                <w:szCs w:val="24"/>
                <w:lang w:eastAsia="zh-CN"/>
              </w:rPr>
            </w:pPr>
            <w:r>
              <w:rPr>
                <w:rFonts w:hint="eastAsia" w:ascii="Times New Roman" w:hAnsi="Times New Roman" w:eastAsia="宋体" w:cs="Times New Roman"/>
                <w:color w:val="auto"/>
                <w:kern w:val="0"/>
                <w:sz w:val="24"/>
                <w:szCs w:val="24"/>
                <w:lang w:val="en-US" w:eastAsia="zh-CN" w:bidi="ar-SA"/>
              </w:rPr>
              <w:t>本环评参照</w:t>
            </w:r>
            <w:r>
              <w:rPr>
                <w:rFonts w:hint="default" w:ascii="Times New Roman" w:hAnsi="Times New Roman" w:cs="Times New Roman"/>
                <w:kern w:val="0"/>
                <w:sz w:val="24"/>
              </w:rPr>
              <w:t>《排污单位自行监测技术指南 涂装》（HJ1086-2020）》中5.1节废水排放监测，本项目废水</w:t>
            </w:r>
            <w:r>
              <w:rPr>
                <w:rFonts w:hint="eastAsia" w:ascii="Times New Roman" w:hAnsi="Times New Roman" w:cs="Times New Roman"/>
                <w:kern w:val="0"/>
                <w:sz w:val="24"/>
                <w:lang w:val="en-US" w:eastAsia="zh-CN"/>
              </w:rPr>
              <w:t>为生活污水</w:t>
            </w:r>
            <w:r>
              <w:rPr>
                <w:rFonts w:hint="default" w:ascii="Times New Roman" w:hAnsi="Times New Roman" w:cs="Times New Roman"/>
                <w:kern w:val="0"/>
                <w:sz w:val="24"/>
              </w:rPr>
              <w:t>排入市政污水管网，进</w:t>
            </w:r>
            <w:r>
              <w:rPr>
                <w:rFonts w:hint="eastAsia" w:ascii="Times New Roman" w:hAnsi="Times New Roman" w:cs="Times New Roman"/>
                <w:kern w:val="0"/>
                <w:sz w:val="24"/>
                <w:lang w:val="en-US" w:eastAsia="zh-CN"/>
              </w:rPr>
              <w:t>入淮南经济技术开发区</w:t>
            </w:r>
            <w:r>
              <w:rPr>
                <w:rFonts w:hint="default" w:ascii="Times New Roman" w:hAnsi="Times New Roman" w:cs="Times New Roman"/>
                <w:kern w:val="0"/>
                <w:sz w:val="24"/>
              </w:rPr>
              <w:t>污水处理厂进行进一步处理，外排废水属于间接排放；</w:t>
            </w:r>
            <w:r>
              <w:rPr>
                <w:sz w:val="24"/>
                <w:szCs w:val="24"/>
              </w:rPr>
              <w:t>故</w:t>
            </w:r>
            <w:r>
              <w:rPr>
                <w:rFonts w:hint="eastAsia"/>
                <w:sz w:val="24"/>
                <w:szCs w:val="24"/>
                <w:lang w:eastAsia="zh-CN"/>
              </w:rPr>
              <w:t>可</w:t>
            </w:r>
            <w:r>
              <w:rPr>
                <w:sz w:val="24"/>
                <w:szCs w:val="24"/>
              </w:rPr>
              <w:t>不设废水监测计划</w:t>
            </w:r>
            <w:r>
              <w:rPr>
                <w:rFonts w:hint="eastAsia"/>
                <w:sz w:val="24"/>
                <w:szCs w:val="24"/>
                <w:lang w:eastAsia="zh-CN"/>
              </w:rPr>
              <w:t>。</w:t>
            </w:r>
          </w:p>
          <w:p>
            <w:pPr>
              <w:pStyle w:val="8"/>
              <w:rPr>
                <w:rFonts w:hint="eastAsia"/>
                <w:lang w:val="en-US" w:eastAsia="zh-CN"/>
              </w:rPr>
            </w:pPr>
          </w:p>
          <w:p>
            <w:pPr>
              <w:pStyle w:val="15"/>
              <w:spacing w:line="360" w:lineRule="auto"/>
              <w:ind w:firstLine="480" w:firstLineChars="200"/>
              <w:rPr>
                <w:color w:val="auto"/>
                <w:sz w:val="24"/>
                <w:szCs w:val="24"/>
                <w:lang w:val="en-US" w:eastAsia="zh-CN"/>
              </w:rPr>
            </w:pPr>
            <w:r>
              <w:rPr>
                <w:rFonts w:hint="eastAsia"/>
                <w:color w:val="auto"/>
                <w:sz w:val="24"/>
                <w:szCs w:val="24"/>
                <w:lang w:val="en-US" w:eastAsia="zh-CN"/>
              </w:rPr>
              <w:t>3、依托开发区工业污水处理厂可行性分析。</w:t>
            </w:r>
          </w:p>
          <w:p>
            <w:pPr>
              <w:spacing w:line="360" w:lineRule="auto"/>
              <w:ind w:firstLine="482"/>
              <w:rPr>
                <w:color w:val="auto"/>
                <w:sz w:val="24"/>
                <w:lang w:eastAsia="zh-TW"/>
              </w:rPr>
            </w:pPr>
            <w:r>
              <w:rPr>
                <w:rFonts w:hint="eastAsia"/>
                <w:color w:val="auto"/>
                <w:sz w:val="24"/>
              </w:rPr>
              <w:t>（1）</w:t>
            </w:r>
            <w:r>
              <w:rPr>
                <w:color w:val="auto"/>
                <w:sz w:val="24"/>
                <w:lang w:eastAsia="zh-TW"/>
              </w:rPr>
              <w:t>建设项目废水被接纳的可行性分析</w:t>
            </w:r>
          </w:p>
          <w:p>
            <w:pPr>
              <w:spacing w:line="360" w:lineRule="auto"/>
              <w:ind w:firstLine="482"/>
              <w:rPr>
                <w:color w:val="auto"/>
                <w:sz w:val="24"/>
              </w:rPr>
            </w:pPr>
            <w:r>
              <w:rPr>
                <w:rFonts w:hint="eastAsia"/>
                <w:color w:val="auto"/>
                <w:sz w:val="24"/>
              </w:rPr>
              <w:t>淮南经济技术开发区工业污水处理厂</w:t>
            </w:r>
            <w:r>
              <w:rPr>
                <w:color w:val="auto"/>
                <w:sz w:val="24"/>
              </w:rPr>
              <w:t>主要为淮南经济技术开发区配套，2020年建成并投入试运行，该厂目前运行良好，出水可以达到《城镇污水处理厂污染物排放标准》中一级A标准后排放，对淮河淮南段的水环境质量影响较小。</w:t>
            </w:r>
          </w:p>
          <w:p>
            <w:pPr>
              <w:spacing w:line="360" w:lineRule="auto"/>
              <w:ind w:firstLine="482"/>
              <w:rPr>
                <w:snapToGrid w:val="0"/>
                <w:color w:val="auto"/>
                <w:kern w:val="0"/>
                <w:sz w:val="24"/>
              </w:rPr>
            </w:pPr>
            <w:r>
              <w:rPr>
                <w:color w:val="auto"/>
                <w:sz w:val="24"/>
              </w:rPr>
              <w:t>①处理规模的可行性</w:t>
            </w:r>
          </w:p>
          <w:p>
            <w:pPr>
              <w:spacing w:line="360" w:lineRule="auto"/>
              <w:ind w:firstLine="480" w:firstLineChars="200"/>
              <w:rPr>
                <w:color w:val="auto"/>
                <w:sz w:val="24"/>
              </w:rPr>
            </w:pPr>
            <w:r>
              <w:rPr>
                <w:rFonts w:hint="eastAsia"/>
                <w:color w:val="auto"/>
                <w:sz w:val="24"/>
              </w:rPr>
              <w:t>淮南经济技术开发区工业污水处理厂</w:t>
            </w:r>
            <w:r>
              <w:rPr>
                <w:color w:val="auto"/>
                <w:sz w:val="24"/>
              </w:rPr>
              <w:t>收水范围主要包括淮南经济技术开发区的工业废水和生活污水及大通区的工业废水和生活污水，设计处理能力3万t/d。采用“水解酸化+Bardenpho工艺+芬顿氧化+混凝沉淀+复合滤料滤池+次氯酸钠消毒处理工艺”。设计出水水质执行《城镇污水处理厂污染物排放标准》中一级A标准，出水水质达标后通过撇洪沟排入大涧沟排污渠，最终排入淮河。</w:t>
            </w:r>
          </w:p>
          <w:p>
            <w:pPr>
              <w:spacing w:line="360" w:lineRule="auto"/>
              <w:ind w:firstLine="480" w:firstLineChars="200"/>
              <w:jc w:val="left"/>
              <w:rPr>
                <w:color w:val="auto"/>
                <w:sz w:val="24"/>
              </w:rPr>
            </w:pPr>
            <w:r>
              <w:rPr>
                <w:color w:val="auto"/>
                <w:sz w:val="24"/>
              </w:rPr>
              <w:t>本项目所在区域在</w:t>
            </w:r>
            <w:r>
              <w:rPr>
                <w:rFonts w:hint="eastAsia"/>
                <w:color w:val="auto"/>
                <w:sz w:val="24"/>
              </w:rPr>
              <w:t>淮南经济技术开发区工业污水处理厂</w:t>
            </w:r>
            <w:r>
              <w:rPr>
                <w:color w:val="auto"/>
                <w:sz w:val="24"/>
              </w:rPr>
              <w:t>服务范围内，项目废水项目运营期新</w:t>
            </w:r>
            <w:r>
              <w:rPr>
                <w:color w:val="auto"/>
                <w:sz w:val="24"/>
                <w:highlight w:val="none"/>
              </w:rPr>
              <w:t>增污水量为</w:t>
            </w:r>
            <w:r>
              <w:rPr>
                <w:rFonts w:hint="eastAsia"/>
                <w:color w:val="auto"/>
                <w:sz w:val="24"/>
                <w:highlight w:val="none"/>
                <w:lang w:val="en-US" w:eastAsia="zh-CN"/>
              </w:rPr>
              <w:t>0.48</w:t>
            </w:r>
            <w:r>
              <w:rPr>
                <w:color w:val="auto"/>
                <w:sz w:val="24"/>
                <w:highlight w:val="none"/>
              </w:rPr>
              <w:t>m</w:t>
            </w:r>
            <w:r>
              <w:rPr>
                <w:color w:val="auto"/>
                <w:sz w:val="24"/>
                <w:highlight w:val="none"/>
                <w:vertAlign w:val="superscript"/>
              </w:rPr>
              <w:t>3</w:t>
            </w:r>
            <w:r>
              <w:rPr>
                <w:color w:val="auto"/>
                <w:sz w:val="24"/>
                <w:highlight w:val="none"/>
              </w:rPr>
              <w:t>/d，占</w:t>
            </w:r>
            <w:r>
              <w:rPr>
                <w:rFonts w:hint="eastAsia"/>
                <w:color w:val="auto"/>
                <w:sz w:val="24"/>
                <w:highlight w:val="none"/>
              </w:rPr>
              <w:t>淮南经济技术开发区工业污水处理厂</w:t>
            </w:r>
            <w:r>
              <w:rPr>
                <w:color w:val="auto"/>
                <w:sz w:val="24"/>
                <w:highlight w:val="none"/>
              </w:rPr>
              <w:t>设计处理能力3万t/d的0.</w:t>
            </w:r>
            <w:r>
              <w:rPr>
                <w:rFonts w:hint="eastAsia"/>
                <w:color w:val="auto"/>
                <w:sz w:val="24"/>
                <w:highlight w:val="none"/>
                <w:lang w:val="en-US" w:eastAsia="zh-CN"/>
              </w:rPr>
              <w:t>0016</w:t>
            </w:r>
            <w:r>
              <w:rPr>
                <w:color w:val="auto"/>
                <w:sz w:val="24"/>
                <w:highlight w:val="none"/>
              </w:rPr>
              <w:t>%，</w:t>
            </w:r>
            <w:r>
              <w:rPr>
                <w:rFonts w:ascii="Times New Roman" w:hAnsi="Times New Roman" w:eastAsia="宋体" w:cs="Times New Roman"/>
                <w:color w:val="auto"/>
                <w:sz w:val="24"/>
                <w:highlight w:val="none"/>
              </w:rPr>
              <w:t>淮南</w:t>
            </w:r>
            <w:r>
              <w:rPr>
                <w:rFonts w:ascii="Times New Roman" w:hAnsi="Times New Roman" w:eastAsia="宋体" w:cs="Times New Roman"/>
                <w:color w:val="auto"/>
                <w:sz w:val="24"/>
              </w:rPr>
              <w:t>经济技术开发区工业污水处理厂</w:t>
            </w:r>
            <w:r>
              <w:rPr>
                <w:rFonts w:hint="eastAsia" w:ascii="Times New Roman" w:hAnsi="Times New Roman" w:eastAsia="宋体" w:cs="Times New Roman"/>
                <w:color w:val="auto"/>
                <w:sz w:val="24"/>
                <w:lang w:eastAsia="zh-CN"/>
              </w:rPr>
              <w:t>目前接收污水量为</w:t>
            </w:r>
            <w:r>
              <w:rPr>
                <w:rFonts w:hint="eastAsia" w:ascii="Times New Roman" w:hAnsi="Times New Roman" w:eastAsia="宋体" w:cs="Times New Roman"/>
                <w:color w:val="auto"/>
                <w:sz w:val="24"/>
                <w:lang w:val="en-US" w:eastAsia="zh-CN"/>
              </w:rPr>
              <w:t>1.8万</w:t>
            </w:r>
            <w:r>
              <w:rPr>
                <w:rFonts w:ascii="Times New Roman" w:hAnsi="Times New Roman" w:eastAsia="宋体" w:cs="Times New Roman"/>
                <w:color w:val="auto"/>
                <w:sz w:val="24"/>
              </w:rPr>
              <w:t>t</w:t>
            </w:r>
            <w:r>
              <w:rPr>
                <w:rFonts w:hint="eastAsia" w:ascii="Times New Roman" w:hAnsi="Times New Roman" w:eastAsia="宋体" w:cs="Times New Roman"/>
                <w:color w:val="auto"/>
                <w:sz w:val="24"/>
                <w:lang w:val="en-US" w:eastAsia="zh-CN"/>
              </w:rPr>
              <w:t>/d，</w:t>
            </w:r>
            <w:r>
              <w:rPr>
                <w:rFonts w:ascii="Times New Roman" w:hAnsi="Times New Roman" w:eastAsia="宋体" w:cs="Times New Roman"/>
                <w:color w:val="auto"/>
                <w:sz w:val="24"/>
              </w:rPr>
              <w:t>从水量上来讲</w:t>
            </w:r>
            <w:r>
              <w:rPr>
                <w:color w:val="auto"/>
                <w:sz w:val="24"/>
              </w:rPr>
              <w:t>，项目废水接管进入</w:t>
            </w:r>
            <w:r>
              <w:rPr>
                <w:rFonts w:hint="eastAsia"/>
                <w:color w:val="auto"/>
                <w:sz w:val="24"/>
              </w:rPr>
              <w:t>淮南经济技术开发区工业污水处理厂</w:t>
            </w:r>
            <w:r>
              <w:rPr>
                <w:color w:val="auto"/>
                <w:sz w:val="24"/>
              </w:rPr>
              <w:t>可行。污水处理厂的处理能力远远大于污水产生量，因此本项目产生的污水不会对污水处理厂造成较大冲击影响。</w:t>
            </w:r>
          </w:p>
          <w:p>
            <w:pPr>
              <w:spacing w:line="360" w:lineRule="auto"/>
              <w:ind w:firstLine="480"/>
              <w:rPr>
                <w:color w:val="auto"/>
                <w:sz w:val="24"/>
              </w:rPr>
            </w:pPr>
            <w:r>
              <w:rPr>
                <w:color w:val="auto"/>
                <w:sz w:val="24"/>
              </w:rPr>
              <w:t>②工艺及接管标准上的可行性分析</w:t>
            </w:r>
          </w:p>
          <w:p>
            <w:pPr>
              <w:spacing w:line="360" w:lineRule="auto"/>
              <w:ind w:firstLine="480" w:firstLineChars="200"/>
              <w:rPr>
                <w:color w:val="auto"/>
                <w:sz w:val="24"/>
              </w:rPr>
            </w:pPr>
            <w:r>
              <w:rPr>
                <w:color w:val="auto"/>
                <w:sz w:val="24"/>
              </w:rPr>
              <w:t>建设项目产生的污水经预处理后接管浓度均达到</w:t>
            </w:r>
            <w:r>
              <w:rPr>
                <w:rFonts w:hint="eastAsia" w:ascii="Times New Roman" w:hAnsi="Times New Roman" w:eastAsia="宋体" w:cs="Times New Roman"/>
                <w:color w:val="auto"/>
                <w:sz w:val="24"/>
              </w:rPr>
              <w:t>淮南经</w:t>
            </w:r>
            <w:r>
              <w:rPr>
                <w:rFonts w:hint="eastAsia"/>
                <w:color w:val="auto"/>
                <w:sz w:val="24"/>
              </w:rPr>
              <w:t>济技术开发区工业污水处理厂接管标准</w:t>
            </w:r>
            <w:r>
              <w:rPr>
                <w:color w:val="auto"/>
                <w:sz w:val="24"/>
              </w:rPr>
              <w:t>，且项目水质简单，污水中不含有对污水处理工艺造成不良影响的污染物，不会对</w:t>
            </w:r>
            <w:r>
              <w:rPr>
                <w:rFonts w:hint="eastAsia"/>
                <w:color w:val="auto"/>
                <w:sz w:val="24"/>
              </w:rPr>
              <w:t>淮南经济技术开发区工业污水处理厂</w:t>
            </w:r>
            <w:r>
              <w:rPr>
                <w:color w:val="auto"/>
                <w:sz w:val="24"/>
              </w:rPr>
              <w:t>的处理造成冲击，因此项目废水接管排入</w:t>
            </w:r>
            <w:r>
              <w:rPr>
                <w:rFonts w:hint="eastAsia"/>
                <w:color w:val="auto"/>
                <w:sz w:val="24"/>
              </w:rPr>
              <w:t>淮南经济技术开发区工业污水处理厂</w:t>
            </w:r>
            <w:r>
              <w:rPr>
                <w:color w:val="auto"/>
                <w:sz w:val="24"/>
              </w:rPr>
              <w:t>集中处理可行。</w:t>
            </w:r>
          </w:p>
          <w:p>
            <w:pPr>
              <w:spacing w:line="360" w:lineRule="auto"/>
              <w:ind w:firstLine="480" w:firstLineChars="200"/>
              <w:rPr>
                <w:color w:val="auto"/>
                <w:sz w:val="24"/>
                <w:lang w:eastAsia="zh-TW"/>
              </w:rPr>
            </w:pPr>
            <w:r>
              <w:rPr>
                <w:rFonts w:hint="eastAsia"/>
                <w:color w:val="auto"/>
                <w:sz w:val="24"/>
              </w:rPr>
              <w:t>（2）</w:t>
            </w:r>
            <w:r>
              <w:rPr>
                <w:color w:val="auto"/>
                <w:sz w:val="24"/>
              </w:rPr>
              <w:t>管线、位置落实情况及时间对接情况分析</w:t>
            </w:r>
          </w:p>
          <w:p>
            <w:pPr>
              <w:tabs>
                <w:tab w:val="left" w:pos="7230"/>
              </w:tabs>
              <w:spacing w:line="360" w:lineRule="auto"/>
              <w:ind w:firstLine="480"/>
              <w:rPr>
                <w:color w:val="auto"/>
                <w:sz w:val="24"/>
              </w:rPr>
            </w:pPr>
            <w:r>
              <w:rPr>
                <w:color w:val="auto"/>
                <w:sz w:val="24"/>
              </w:rPr>
              <w:t>项目所在地管网已经完成建设，因此，从时间、管线、位置落实情况上分析项目污水接管排入</w:t>
            </w:r>
            <w:r>
              <w:rPr>
                <w:rFonts w:hint="eastAsia"/>
                <w:color w:val="auto"/>
                <w:sz w:val="24"/>
              </w:rPr>
              <w:t>淮南经济技术开发区工业污水处理厂</w:t>
            </w:r>
            <w:r>
              <w:rPr>
                <w:color w:val="auto"/>
                <w:sz w:val="24"/>
              </w:rPr>
              <w:t>是可行的。</w:t>
            </w:r>
          </w:p>
          <w:p>
            <w:pPr>
              <w:pStyle w:val="15"/>
              <w:snapToGrid/>
              <w:spacing w:line="360" w:lineRule="auto"/>
              <w:ind w:firstLine="480" w:firstLineChars="200"/>
              <w:rPr>
                <w:color w:val="FF0000"/>
                <w:sz w:val="24"/>
                <w:szCs w:val="24"/>
                <w:lang w:val="en-US" w:eastAsia="zh-CN"/>
              </w:rPr>
            </w:pPr>
            <w:r>
              <w:rPr>
                <w:color w:val="auto"/>
                <w:sz w:val="24"/>
                <w:szCs w:val="24"/>
                <w:lang w:val="en-US" w:eastAsia="zh-CN"/>
              </w:rPr>
              <w:t>从以上的分析可知，</w:t>
            </w:r>
            <w:r>
              <w:rPr>
                <w:rFonts w:hint="eastAsia"/>
                <w:color w:val="auto"/>
                <w:sz w:val="24"/>
                <w:szCs w:val="24"/>
                <w:lang w:val="en-US" w:eastAsia="zh-CN"/>
              </w:rPr>
              <w:t>淮南经济技术开发区工业污水处理厂</w:t>
            </w:r>
            <w:r>
              <w:rPr>
                <w:color w:val="auto"/>
                <w:sz w:val="24"/>
                <w:szCs w:val="24"/>
                <w:lang w:val="en-US" w:eastAsia="zh-CN"/>
              </w:rPr>
              <w:t>有能力接纳本项目废水，污水处理工艺能够实现建设项目废水达标排放，污水处理方案可行。</w:t>
            </w:r>
          </w:p>
          <w:p>
            <w:pPr>
              <w:spacing w:line="360" w:lineRule="auto"/>
              <w:ind w:firstLine="480" w:firstLineChars="200"/>
              <w:rPr>
                <w:b w:val="0"/>
                <w:bCs w:val="0"/>
                <w:sz w:val="24"/>
              </w:rPr>
            </w:pPr>
            <w:r>
              <w:rPr>
                <w:rFonts w:hint="eastAsia"/>
                <w:b w:val="0"/>
                <w:bCs w:val="0"/>
                <w:sz w:val="24"/>
              </w:rPr>
              <w:t>三</w:t>
            </w:r>
            <w:r>
              <w:rPr>
                <w:b w:val="0"/>
                <w:bCs w:val="0"/>
                <w:sz w:val="24"/>
              </w:rPr>
              <w:t>、噪声</w:t>
            </w:r>
          </w:p>
          <w:p>
            <w:pPr>
              <w:spacing w:line="360" w:lineRule="auto"/>
              <w:ind w:firstLine="480" w:firstLineChars="200"/>
              <w:rPr>
                <w:rFonts w:hint="eastAsia"/>
                <w:bCs/>
                <w:sz w:val="24"/>
                <w:lang w:eastAsia="zh-CN"/>
              </w:rPr>
            </w:pPr>
            <w:r>
              <w:rPr>
                <w:rFonts w:hint="eastAsia"/>
                <w:bCs/>
                <w:sz w:val="24"/>
              </w:rPr>
              <w:t>1、</w:t>
            </w:r>
            <w:r>
              <w:rPr>
                <w:rFonts w:hint="eastAsia"/>
                <w:bCs/>
                <w:sz w:val="24"/>
                <w:lang w:eastAsia="zh-CN"/>
              </w:rPr>
              <w:t>预测参数</w:t>
            </w:r>
          </w:p>
          <w:p>
            <w:pPr>
              <w:spacing w:line="360" w:lineRule="auto"/>
              <w:ind w:firstLine="480" w:firstLineChars="200"/>
              <w:rPr>
                <w:rFonts w:hint="eastAsia"/>
                <w:bCs/>
                <w:sz w:val="24"/>
              </w:rPr>
            </w:pPr>
            <w:r>
              <w:rPr>
                <w:rFonts w:hint="eastAsia"/>
                <w:bCs/>
                <w:sz w:val="24"/>
                <w:lang w:eastAsia="zh-CN"/>
              </w:rPr>
              <w:t>（</w:t>
            </w:r>
            <w:r>
              <w:rPr>
                <w:rFonts w:hint="eastAsia"/>
                <w:bCs/>
                <w:sz w:val="24"/>
                <w:lang w:val="en-US" w:eastAsia="zh-CN"/>
              </w:rPr>
              <w:t>1</w:t>
            </w:r>
            <w:r>
              <w:rPr>
                <w:rFonts w:hint="eastAsia"/>
                <w:bCs/>
                <w:sz w:val="24"/>
                <w:lang w:eastAsia="zh-CN"/>
              </w:rPr>
              <w:t>）</w:t>
            </w:r>
            <w:r>
              <w:rPr>
                <w:rFonts w:hint="eastAsia"/>
                <w:bCs/>
                <w:sz w:val="24"/>
              </w:rPr>
              <w:t>噪声源强及防治措施</w:t>
            </w:r>
          </w:p>
          <w:p>
            <w:pPr>
              <w:spacing w:line="360" w:lineRule="auto"/>
              <w:ind w:firstLine="480" w:firstLineChars="200"/>
              <w:rPr>
                <w:b/>
                <w:smallCaps/>
                <w:sz w:val="24"/>
              </w:rPr>
            </w:pPr>
            <w:r>
              <w:rPr>
                <w:sz w:val="24"/>
              </w:rPr>
              <w:t>项目噪声主要来自于设备运行过程中产生的噪声，因此必须在厂房布局、隔声、减振、降噪、设备维护等方面考虑噪声防治措施。具体噪声源见下表。</w:t>
            </w:r>
          </w:p>
          <w:p>
            <w:pPr>
              <w:spacing w:line="360" w:lineRule="auto"/>
              <w:jc w:val="center"/>
              <w:rPr>
                <w:b/>
                <w:smallCaps/>
                <w:szCs w:val="21"/>
              </w:rPr>
            </w:pPr>
            <w:r>
              <w:rPr>
                <w:b/>
                <w:smallCaps/>
                <w:szCs w:val="21"/>
                <w:highlight w:val="none"/>
              </w:rPr>
              <w:t>表</w:t>
            </w:r>
            <w:r>
              <w:rPr>
                <w:rFonts w:hint="eastAsia"/>
                <w:b/>
                <w:bCs/>
                <w:szCs w:val="21"/>
                <w:highlight w:val="none"/>
              </w:rPr>
              <w:t>4-1</w:t>
            </w:r>
            <w:r>
              <w:rPr>
                <w:rFonts w:hint="eastAsia"/>
                <w:b/>
                <w:bCs/>
                <w:szCs w:val="21"/>
                <w:highlight w:val="none"/>
                <w:lang w:val="en-US" w:eastAsia="zh-CN"/>
              </w:rPr>
              <w:t>0</w:t>
            </w:r>
            <w:r>
              <w:rPr>
                <w:b/>
                <w:smallCaps/>
                <w:szCs w:val="21"/>
              </w:rPr>
              <w:t xml:space="preserve">   项目噪声源的平均声压级</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1721"/>
              <w:gridCol w:w="892"/>
              <w:gridCol w:w="1223"/>
              <w:gridCol w:w="1918"/>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noWrap w:val="0"/>
                  <w:vAlign w:val="center"/>
                </w:tcPr>
                <w:p>
                  <w:pPr>
                    <w:jc w:val="center"/>
                    <w:rPr>
                      <w:rFonts w:hint="eastAsia"/>
                      <w:color w:val="auto"/>
                    </w:rPr>
                  </w:pPr>
                  <w:r>
                    <w:rPr>
                      <w:rFonts w:hint="eastAsia"/>
                      <w:color w:val="auto"/>
                    </w:rPr>
                    <w:t>序号</w:t>
                  </w:r>
                </w:p>
              </w:tc>
              <w:tc>
                <w:tcPr>
                  <w:tcW w:w="1024" w:type="pct"/>
                  <w:noWrap w:val="0"/>
                  <w:vAlign w:val="center"/>
                </w:tcPr>
                <w:p>
                  <w:pPr>
                    <w:jc w:val="center"/>
                    <w:rPr>
                      <w:color w:val="auto"/>
                    </w:rPr>
                  </w:pPr>
                  <w:r>
                    <w:rPr>
                      <w:color w:val="auto"/>
                    </w:rPr>
                    <w:t>设    备</w:t>
                  </w:r>
                </w:p>
              </w:tc>
              <w:tc>
                <w:tcPr>
                  <w:tcW w:w="531" w:type="pct"/>
                  <w:noWrap w:val="0"/>
                  <w:vAlign w:val="center"/>
                </w:tcPr>
                <w:p>
                  <w:pPr>
                    <w:jc w:val="center"/>
                    <w:textAlignment w:val="baseline"/>
                    <w:rPr>
                      <w:rFonts w:hint="eastAsia"/>
                      <w:color w:val="auto"/>
                    </w:rPr>
                  </w:pPr>
                  <w:r>
                    <w:rPr>
                      <w:rFonts w:hint="eastAsia"/>
                      <w:bCs/>
                      <w:color w:val="auto"/>
                      <w:szCs w:val="21"/>
                      <w:lang w:val="en-US" w:eastAsia="zh-CN"/>
                    </w:rPr>
                    <w:t>单位</w:t>
                  </w:r>
                </w:p>
              </w:tc>
              <w:tc>
                <w:tcPr>
                  <w:tcW w:w="728" w:type="pct"/>
                  <w:noWrap w:val="0"/>
                  <w:vAlign w:val="center"/>
                </w:tcPr>
                <w:p>
                  <w:pPr>
                    <w:jc w:val="center"/>
                    <w:rPr>
                      <w:rFonts w:hint="eastAsia"/>
                      <w:color w:val="auto"/>
                    </w:rPr>
                  </w:pPr>
                  <w:r>
                    <w:rPr>
                      <w:rFonts w:hint="eastAsia"/>
                      <w:color w:val="auto"/>
                    </w:rPr>
                    <w:t>数量（台）</w:t>
                  </w:r>
                </w:p>
              </w:tc>
              <w:tc>
                <w:tcPr>
                  <w:tcW w:w="1141" w:type="pct"/>
                  <w:noWrap w:val="0"/>
                  <w:vAlign w:val="center"/>
                </w:tcPr>
                <w:p>
                  <w:pPr>
                    <w:jc w:val="center"/>
                    <w:rPr>
                      <w:color w:val="auto"/>
                    </w:rPr>
                  </w:pPr>
                  <w:r>
                    <w:rPr>
                      <w:color w:val="auto"/>
                    </w:rPr>
                    <w:t>声级范围dB（A）</w:t>
                  </w:r>
                </w:p>
              </w:tc>
              <w:tc>
                <w:tcPr>
                  <w:tcW w:w="1227" w:type="pct"/>
                  <w:noWrap w:val="0"/>
                  <w:vAlign w:val="center"/>
                </w:tcPr>
                <w:p>
                  <w:pPr>
                    <w:jc w:val="center"/>
                    <w:rPr>
                      <w:color w:val="auto"/>
                    </w:rPr>
                  </w:pPr>
                  <w:r>
                    <w:rPr>
                      <w:color w:val="auto"/>
                    </w:rPr>
                    <w:t>防噪措施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46" w:type="pct"/>
                  <w:noWrap w:val="0"/>
                  <w:vAlign w:val="center"/>
                </w:tcPr>
                <w:p>
                  <w:pPr>
                    <w:jc w:val="center"/>
                    <w:textAlignment w:val="baseline"/>
                    <w:rPr>
                      <w:rFonts w:hint="eastAsia"/>
                      <w:color w:val="auto"/>
                    </w:rPr>
                  </w:pPr>
                  <w:r>
                    <w:rPr>
                      <w:rFonts w:hint="eastAsia"/>
                      <w:bCs/>
                      <w:color w:val="auto"/>
                      <w:szCs w:val="21"/>
                    </w:rPr>
                    <w:t>1</w:t>
                  </w:r>
                </w:p>
              </w:tc>
              <w:tc>
                <w:tcPr>
                  <w:tcW w:w="1024" w:type="pct"/>
                  <w:noWrap w:val="0"/>
                  <w:vAlign w:val="center"/>
                </w:tcPr>
                <w:p>
                  <w:pPr>
                    <w:jc w:val="center"/>
                    <w:textAlignment w:val="baseline"/>
                    <w:rPr>
                      <w:rFonts w:hint="eastAsia" w:ascii="Times New Roman" w:hAnsi="Times New Roman" w:eastAsia="宋体" w:cs="Times New Roman"/>
                      <w:color w:val="auto"/>
                    </w:rPr>
                  </w:pPr>
                  <w:r>
                    <w:rPr>
                      <w:rFonts w:hint="eastAsia"/>
                      <w:bCs/>
                      <w:color w:val="auto"/>
                      <w:szCs w:val="21"/>
                      <w:lang w:val="en-US" w:eastAsia="zh-CN"/>
                    </w:rPr>
                    <w:t>碱液喷淋塔</w:t>
                  </w:r>
                </w:p>
              </w:tc>
              <w:tc>
                <w:tcPr>
                  <w:tcW w:w="531" w:type="pct"/>
                  <w:noWrap w:val="0"/>
                  <w:vAlign w:val="center"/>
                </w:tcPr>
                <w:p>
                  <w:pPr>
                    <w:jc w:val="center"/>
                    <w:textAlignment w:val="baseline"/>
                    <w:rPr>
                      <w:rFonts w:hint="eastAsia" w:ascii="Times New Roman" w:hAnsi="Times New Roman" w:eastAsia="宋体" w:cs="Times New Roman"/>
                      <w:color w:val="auto"/>
                      <w:lang w:val="en-US" w:eastAsia="zh-CN"/>
                    </w:rPr>
                  </w:pPr>
                  <w:r>
                    <w:rPr>
                      <w:rFonts w:hint="eastAsia"/>
                      <w:bCs/>
                      <w:color w:val="auto"/>
                      <w:szCs w:val="21"/>
                      <w:lang w:val="en-US" w:eastAsia="zh-CN"/>
                    </w:rPr>
                    <w:t>台</w:t>
                  </w:r>
                </w:p>
              </w:tc>
              <w:tc>
                <w:tcPr>
                  <w:tcW w:w="728" w:type="pct"/>
                  <w:noWrap w:val="0"/>
                  <w:vAlign w:val="center"/>
                </w:tcPr>
                <w:p>
                  <w:pPr>
                    <w:jc w:val="center"/>
                    <w:textAlignment w:val="baseline"/>
                    <w:rPr>
                      <w:rFonts w:hint="eastAsia" w:ascii="Times New Roman" w:hAnsi="Times New Roman" w:eastAsia="宋体" w:cs="Times New Roman"/>
                      <w:color w:val="auto"/>
                    </w:rPr>
                  </w:pPr>
                  <w:r>
                    <w:rPr>
                      <w:rFonts w:hint="eastAsia" w:cs="Times New Roman"/>
                      <w:bCs/>
                      <w:color w:val="auto"/>
                      <w:szCs w:val="21"/>
                      <w:lang w:val="en-US" w:eastAsia="zh-CN"/>
                    </w:rPr>
                    <w:t>1</w:t>
                  </w:r>
                </w:p>
              </w:tc>
              <w:tc>
                <w:tcPr>
                  <w:tcW w:w="1141" w:type="pct"/>
                  <w:noWrap w:val="0"/>
                  <w:vAlign w:val="center"/>
                </w:tcPr>
                <w:p>
                  <w:pPr>
                    <w:jc w:val="center"/>
                    <w:rPr>
                      <w:rFonts w:hint="eastAsia" w:ascii="Times New Roman" w:hAnsi="Times New Roman" w:eastAsia="宋体" w:cs="Times New Roman"/>
                      <w:color w:val="auto"/>
                    </w:rPr>
                  </w:pPr>
                  <w:r>
                    <w:rPr>
                      <w:rFonts w:hint="eastAsia" w:ascii="Times New Roman" w:hAnsi="Times New Roman" w:eastAsia="宋体" w:cs="Times New Roman"/>
                      <w:color w:val="auto"/>
                    </w:rPr>
                    <w:t>7</w:t>
                  </w:r>
                  <w:r>
                    <w:rPr>
                      <w:rFonts w:hint="eastAsia" w:cs="Times New Roman"/>
                      <w:color w:val="auto"/>
                      <w:lang w:val="en-US" w:eastAsia="zh-CN"/>
                    </w:rPr>
                    <w:t>0</w:t>
                  </w:r>
                  <w:r>
                    <w:rPr>
                      <w:rFonts w:hint="eastAsia" w:ascii="Times New Roman" w:hAnsi="Times New Roman" w:eastAsia="宋体" w:cs="Times New Roman"/>
                      <w:color w:val="auto"/>
                    </w:rPr>
                    <w:t>~80</w:t>
                  </w:r>
                </w:p>
              </w:tc>
              <w:tc>
                <w:tcPr>
                  <w:tcW w:w="1227" w:type="pct"/>
                  <w:vMerge w:val="restart"/>
                  <w:noWrap w:val="0"/>
                  <w:vAlign w:val="center"/>
                </w:tcPr>
                <w:p>
                  <w:pPr>
                    <w:jc w:val="center"/>
                    <w:rPr>
                      <w:color w:val="auto"/>
                    </w:rPr>
                  </w:pPr>
                  <w:r>
                    <w:rPr>
                      <w:rFonts w:hint="eastAsia" w:cs="Times New Roman"/>
                      <w:color w:val="auto"/>
                    </w:rPr>
                    <w:t>围墙降噪、</w:t>
                  </w:r>
                  <w:r>
                    <w:rPr>
                      <w:rFonts w:cs="Times New Roman"/>
                      <w:color w:val="auto"/>
                    </w:rPr>
                    <w:t>距离</w:t>
                  </w:r>
                  <w:r>
                    <w:rPr>
                      <w:rFonts w:hint="eastAsia" w:cs="Times New Roman"/>
                      <w:color w:val="auto"/>
                    </w:rPr>
                    <w:t>衰减、</w:t>
                  </w:r>
                  <w:r>
                    <w:rPr>
                      <w:rFonts w:cs="Times New Roman"/>
                      <w:color w:val="auto"/>
                    </w:rPr>
                    <w:t>绿化降噪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46" w:type="pct"/>
                  <w:noWrap w:val="0"/>
                  <w:vAlign w:val="center"/>
                </w:tcPr>
                <w:p>
                  <w:pPr>
                    <w:jc w:val="center"/>
                    <w:textAlignment w:val="baseline"/>
                    <w:rPr>
                      <w:rFonts w:hint="eastAsia"/>
                      <w:color w:val="auto"/>
                    </w:rPr>
                  </w:pPr>
                  <w:r>
                    <w:rPr>
                      <w:rFonts w:hint="eastAsia"/>
                      <w:bCs/>
                      <w:color w:val="auto"/>
                      <w:szCs w:val="21"/>
                    </w:rPr>
                    <w:t>2</w:t>
                  </w:r>
                </w:p>
              </w:tc>
              <w:tc>
                <w:tcPr>
                  <w:tcW w:w="1024" w:type="pct"/>
                  <w:noWrap w:val="0"/>
                  <w:vAlign w:val="center"/>
                </w:tcPr>
                <w:p>
                  <w:pPr>
                    <w:jc w:val="center"/>
                    <w:textAlignment w:val="baseline"/>
                    <w:rPr>
                      <w:rFonts w:hint="eastAsia" w:ascii="Times New Roman" w:hAnsi="Times New Roman" w:eastAsia="宋体" w:cs="Times New Roman"/>
                      <w:color w:val="auto"/>
                    </w:rPr>
                  </w:pPr>
                  <w:r>
                    <w:rPr>
                      <w:rFonts w:hint="eastAsia"/>
                      <w:bCs/>
                      <w:color w:val="auto"/>
                      <w:szCs w:val="21"/>
                      <w:lang w:val="en-US" w:eastAsia="zh-CN"/>
                    </w:rPr>
                    <w:t>袋式除尘器</w:t>
                  </w:r>
                </w:p>
              </w:tc>
              <w:tc>
                <w:tcPr>
                  <w:tcW w:w="531" w:type="pct"/>
                  <w:noWrap w:val="0"/>
                  <w:vAlign w:val="center"/>
                </w:tcPr>
                <w:p>
                  <w:pPr>
                    <w:jc w:val="center"/>
                    <w:textAlignment w:val="baseline"/>
                    <w:rPr>
                      <w:rFonts w:hint="eastAsia" w:ascii="Times New Roman" w:hAnsi="Times New Roman" w:eastAsia="宋体" w:cs="Times New Roman"/>
                      <w:color w:val="auto"/>
                      <w:lang w:val="en-US" w:eastAsia="zh-CN"/>
                    </w:rPr>
                  </w:pPr>
                  <w:r>
                    <w:rPr>
                      <w:rFonts w:hint="eastAsia"/>
                      <w:bCs/>
                      <w:color w:val="auto"/>
                      <w:szCs w:val="21"/>
                      <w:lang w:val="en-US" w:eastAsia="zh-CN"/>
                    </w:rPr>
                    <w:t>台</w:t>
                  </w:r>
                </w:p>
              </w:tc>
              <w:tc>
                <w:tcPr>
                  <w:tcW w:w="728" w:type="pct"/>
                  <w:noWrap w:val="0"/>
                  <w:vAlign w:val="center"/>
                </w:tcPr>
                <w:p>
                  <w:pPr>
                    <w:jc w:val="center"/>
                    <w:textAlignment w:val="baseline"/>
                    <w:rPr>
                      <w:rFonts w:hint="eastAsia" w:ascii="Times New Roman" w:hAnsi="Times New Roman" w:eastAsia="宋体" w:cs="Times New Roman"/>
                      <w:color w:val="auto"/>
                    </w:rPr>
                  </w:pPr>
                  <w:r>
                    <w:rPr>
                      <w:rFonts w:hint="eastAsia"/>
                      <w:bCs/>
                      <w:color w:val="auto"/>
                      <w:szCs w:val="21"/>
                      <w:lang w:val="en-US" w:eastAsia="zh-CN"/>
                    </w:rPr>
                    <w:t>1</w:t>
                  </w:r>
                </w:p>
              </w:tc>
              <w:tc>
                <w:tcPr>
                  <w:tcW w:w="1141" w:type="pct"/>
                  <w:noWrap w:val="0"/>
                  <w:vAlign w:val="center"/>
                </w:tcPr>
                <w:p>
                  <w:pPr>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rPr>
                    <w:t>75~8</w:t>
                  </w:r>
                  <w:r>
                    <w:rPr>
                      <w:rFonts w:hint="eastAsia" w:cs="Times New Roman"/>
                      <w:color w:val="auto"/>
                      <w:lang w:val="en-US" w:eastAsia="zh-CN"/>
                    </w:rPr>
                    <w:t>0</w:t>
                  </w:r>
                </w:p>
              </w:tc>
              <w:tc>
                <w:tcPr>
                  <w:tcW w:w="1227" w:type="pct"/>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46" w:type="pct"/>
                  <w:noWrap w:val="0"/>
                  <w:vAlign w:val="center"/>
                </w:tcPr>
                <w:p>
                  <w:pPr>
                    <w:jc w:val="center"/>
                    <w:textAlignment w:val="baseline"/>
                    <w:rPr>
                      <w:rFonts w:hint="eastAsia"/>
                      <w:color w:val="auto"/>
                    </w:rPr>
                  </w:pPr>
                  <w:r>
                    <w:rPr>
                      <w:rFonts w:hint="eastAsia"/>
                      <w:bCs/>
                      <w:color w:val="auto"/>
                      <w:szCs w:val="21"/>
                    </w:rPr>
                    <w:t>3</w:t>
                  </w:r>
                </w:p>
              </w:tc>
              <w:tc>
                <w:tcPr>
                  <w:tcW w:w="1024" w:type="pct"/>
                  <w:noWrap w:val="0"/>
                  <w:vAlign w:val="center"/>
                </w:tcPr>
                <w:p>
                  <w:pPr>
                    <w:jc w:val="center"/>
                    <w:textAlignment w:val="baseline"/>
                    <w:rPr>
                      <w:rFonts w:hint="eastAsia" w:ascii="Times New Roman" w:hAnsi="Times New Roman" w:eastAsia="宋体" w:cs="Times New Roman"/>
                      <w:color w:val="auto"/>
                    </w:rPr>
                  </w:pPr>
                  <w:r>
                    <w:rPr>
                      <w:rFonts w:hint="eastAsia"/>
                      <w:bCs/>
                      <w:color w:val="auto"/>
                      <w:szCs w:val="21"/>
                      <w:lang w:val="en-US" w:eastAsia="zh-CN"/>
                    </w:rPr>
                    <w:t>磨光机</w:t>
                  </w:r>
                </w:p>
              </w:tc>
              <w:tc>
                <w:tcPr>
                  <w:tcW w:w="531" w:type="pct"/>
                  <w:noWrap w:val="0"/>
                  <w:vAlign w:val="center"/>
                </w:tcPr>
                <w:p>
                  <w:pPr>
                    <w:jc w:val="center"/>
                    <w:textAlignment w:val="baseline"/>
                    <w:rPr>
                      <w:rFonts w:hint="eastAsia" w:ascii="Times New Roman" w:hAnsi="Times New Roman" w:eastAsia="宋体" w:cs="Times New Roman"/>
                      <w:color w:val="auto"/>
                      <w:lang w:val="en-US" w:eastAsia="zh-CN"/>
                    </w:rPr>
                  </w:pPr>
                  <w:r>
                    <w:rPr>
                      <w:rFonts w:hint="eastAsia"/>
                      <w:bCs/>
                      <w:color w:val="auto"/>
                      <w:szCs w:val="21"/>
                      <w:lang w:val="en-US" w:eastAsia="zh-CN"/>
                    </w:rPr>
                    <w:t>台</w:t>
                  </w:r>
                </w:p>
              </w:tc>
              <w:tc>
                <w:tcPr>
                  <w:tcW w:w="728" w:type="pct"/>
                  <w:noWrap w:val="0"/>
                  <w:vAlign w:val="center"/>
                </w:tcPr>
                <w:p>
                  <w:pPr>
                    <w:jc w:val="center"/>
                    <w:textAlignment w:val="baseline"/>
                    <w:rPr>
                      <w:rFonts w:hint="eastAsia" w:ascii="Times New Roman" w:hAnsi="Times New Roman" w:eastAsia="宋体" w:cs="Times New Roman"/>
                      <w:color w:val="auto"/>
                    </w:rPr>
                  </w:pPr>
                  <w:r>
                    <w:rPr>
                      <w:rFonts w:hint="eastAsia"/>
                      <w:bCs/>
                      <w:color w:val="auto"/>
                      <w:szCs w:val="21"/>
                      <w:lang w:val="en-US" w:eastAsia="zh-CN"/>
                    </w:rPr>
                    <w:t>5</w:t>
                  </w:r>
                </w:p>
              </w:tc>
              <w:tc>
                <w:tcPr>
                  <w:tcW w:w="1141" w:type="pct"/>
                  <w:noWrap w:val="0"/>
                  <w:vAlign w:val="center"/>
                </w:tcPr>
                <w:p>
                  <w:pPr>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rPr>
                    <w:t>75~8</w:t>
                  </w:r>
                  <w:r>
                    <w:rPr>
                      <w:rFonts w:hint="eastAsia" w:cs="Times New Roman"/>
                      <w:color w:val="auto"/>
                      <w:lang w:val="en-US" w:eastAsia="zh-CN"/>
                    </w:rPr>
                    <w:t>5</w:t>
                  </w:r>
                </w:p>
              </w:tc>
              <w:tc>
                <w:tcPr>
                  <w:tcW w:w="1227" w:type="pct"/>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46" w:type="pct"/>
                  <w:noWrap w:val="0"/>
                  <w:vAlign w:val="center"/>
                </w:tcPr>
                <w:p>
                  <w:pPr>
                    <w:jc w:val="center"/>
                    <w:textAlignment w:val="baseline"/>
                    <w:rPr>
                      <w:rFonts w:hint="eastAsia"/>
                      <w:color w:val="auto"/>
                    </w:rPr>
                  </w:pPr>
                  <w:r>
                    <w:rPr>
                      <w:rFonts w:hint="eastAsia"/>
                      <w:bCs/>
                      <w:color w:val="auto"/>
                      <w:szCs w:val="21"/>
                    </w:rPr>
                    <w:t>4</w:t>
                  </w:r>
                </w:p>
              </w:tc>
              <w:tc>
                <w:tcPr>
                  <w:tcW w:w="1024" w:type="pct"/>
                  <w:noWrap w:val="0"/>
                  <w:vAlign w:val="center"/>
                </w:tcPr>
                <w:p>
                  <w:pPr>
                    <w:jc w:val="center"/>
                    <w:textAlignment w:val="baseline"/>
                    <w:rPr>
                      <w:rFonts w:hint="eastAsia" w:ascii="Times New Roman" w:hAnsi="Times New Roman" w:eastAsia="宋体" w:cs="Times New Roman"/>
                      <w:color w:val="auto"/>
                    </w:rPr>
                  </w:pPr>
                  <w:r>
                    <w:rPr>
                      <w:rFonts w:hint="eastAsia" w:cs="Times New Roman"/>
                      <w:bCs/>
                      <w:color w:val="auto"/>
                      <w:szCs w:val="21"/>
                      <w:lang w:val="en-US" w:eastAsia="zh-CN"/>
                    </w:rPr>
                    <w:t>内孔除锈机</w:t>
                  </w:r>
                </w:p>
              </w:tc>
              <w:tc>
                <w:tcPr>
                  <w:tcW w:w="531" w:type="pct"/>
                  <w:noWrap w:val="0"/>
                  <w:vAlign w:val="center"/>
                </w:tcPr>
                <w:p>
                  <w:pPr>
                    <w:jc w:val="center"/>
                    <w:textAlignment w:val="baseline"/>
                    <w:rPr>
                      <w:rFonts w:hint="eastAsia" w:ascii="Times New Roman" w:hAnsi="Times New Roman" w:eastAsia="宋体" w:cs="Times New Roman"/>
                      <w:color w:val="auto"/>
                      <w:lang w:val="en-US" w:eastAsia="zh-CN"/>
                    </w:rPr>
                  </w:pPr>
                  <w:r>
                    <w:rPr>
                      <w:rFonts w:hint="eastAsia"/>
                      <w:bCs/>
                      <w:color w:val="auto"/>
                      <w:szCs w:val="21"/>
                      <w:lang w:val="en-US" w:eastAsia="zh-CN"/>
                    </w:rPr>
                    <w:t>台</w:t>
                  </w:r>
                </w:p>
              </w:tc>
              <w:tc>
                <w:tcPr>
                  <w:tcW w:w="728" w:type="pct"/>
                  <w:noWrap w:val="0"/>
                  <w:vAlign w:val="center"/>
                </w:tcPr>
                <w:p>
                  <w:pPr>
                    <w:jc w:val="center"/>
                    <w:textAlignment w:val="baseline"/>
                    <w:rPr>
                      <w:rFonts w:hint="eastAsia" w:ascii="Times New Roman" w:hAnsi="Times New Roman" w:eastAsia="宋体" w:cs="Times New Roman"/>
                      <w:color w:val="auto"/>
                    </w:rPr>
                  </w:pPr>
                  <w:r>
                    <w:rPr>
                      <w:rFonts w:hint="eastAsia" w:eastAsia="宋体"/>
                      <w:bCs/>
                      <w:color w:val="auto"/>
                      <w:szCs w:val="21"/>
                      <w:lang w:val="en-US" w:eastAsia="zh-CN"/>
                    </w:rPr>
                    <w:t>1</w:t>
                  </w:r>
                </w:p>
              </w:tc>
              <w:tc>
                <w:tcPr>
                  <w:tcW w:w="1141" w:type="pct"/>
                  <w:noWrap w:val="0"/>
                  <w:vAlign w:val="center"/>
                </w:tcPr>
                <w:p>
                  <w:pPr>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rPr>
                    <w:t>75~8</w:t>
                  </w:r>
                  <w:r>
                    <w:rPr>
                      <w:rFonts w:hint="eastAsia" w:cs="Times New Roman"/>
                      <w:color w:val="auto"/>
                      <w:lang w:val="en-US" w:eastAsia="zh-CN"/>
                    </w:rPr>
                    <w:t>5</w:t>
                  </w:r>
                </w:p>
              </w:tc>
              <w:tc>
                <w:tcPr>
                  <w:tcW w:w="1227" w:type="pct"/>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346" w:type="pct"/>
                  <w:noWrap w:val="0"/>
                  <w:vAlign w:val="center"/>
                </w:tcPr>
                <w:p>
                  <w:pPr>
                    <w:jc w:val="center"/>
                    <w:textAlignment w:val="baseline"/>
                    <w:rPr>
                      <w:rFonts w:hint="eastAsia"/>
                      <w:color w:val="auto"/>
                    </w:rPr>
                  </w:pPr>
                  <w:r>
                    <w:rPr>
                      <w:rFonts w:hint="eastAsia"/>
                      <w:bCs/>
                      <w:color w:val="auto"/>
                      <w:szCs w:val="21"/>
                    </w:rPr>
                    <w:t>5</w:t>
                  </w:r>
                </w:p>
              </w:tc>
              <w:tc>
                <w:tcPr>
                  <w:tcW w:w="1024" w:type="pct"/>
                  <w:noWrap w:val="0"/>
                  <w:vAlign w:val="center"/>
                </w:tcPr>
                <w:p>
                  <w:pPr>
                    <w:jc w:val="center"/>
                    <w:textAlignment w:val="baseline"/>
                    <w:rPr>
                      <w:rFonts w:hint="eastAsia" w:ascii="Times New Roman" w:hAnsi="Times New Roman" w:eastAsia="宋体" w:cs="Times New Roman"/>
                      <w:color w:val="auto"/>
                    </w:rPr>
                  </w:pPr>
                  <w:r>
                    <w:rPr>
                      <w:rFonts w:hint="eastAsia" w:cs="Times New Roman"/>
                      <w:bCs/>
                      <w:color w:val="auto"/>
                      <w:szCs w:val="21"/>
                      <w:lang w:val="en-US" w:eastAsia="zh-CN"/>
                    </w:rPr>
                    <w:t>推铁环设备</w:t>
                  </w:r>
                </w:p>
              </w:tc>
              <w:tc>
                <w:tcPr>
                  <w:tcW w:w="531" w:type="pct"/>
                  <w:noWrap w:val="0"/>
                  <w:vAlign w:val="center"/>
                </w:tcPr>
                <w:p>
                  <w:pPr>
                    <w:jc w:val="center"/>
                    <w:textAlignment w:val="baseline"/>
                    <w:rPr>
                      <w:rFonts w:hint="eastAsia" w:ascii="Times New Roman" w:hAnsi="Times New Roman" w:eastAsia="宋体" w:cs="Times New Roman"/>
                      <w:color w:val="auto"/>
                      <w:lang w:val="en-US" w:eastAsia="zh-CN"/>
                    </w:rPr>
                  </w:pPr>
                  <w:r>
                    <w:rPr>
                      <w:rFonts w:hint="eastAsia"/>
                      <w:bCs/>
                      <w:color w:val="auto"/>
                      <w:szCs w:val="21"/>
                      <w:lang w:val="en-US" w:eastAsia="zh-CN"/>
                    </w:rPr>
                    <w:t>台</w:t>
                  </w:r>
                </w:p>
              </w:tc>
              <w:tc>
                <w:tcPr>
                  <w:tcW w:w="728" w:type="pct"/>
                  <w:noWrap w:val="0"/>
                  <w:vAlign w:val="center"/>
                </w:tcPr>
                <w:p>
                  <w:pPr>
                    <w:jc w:val="center"/>
                    <w:textAlignment w:val="baseline"/>
                    <w:rPr>
                      <w:rFonts w:hint="eastAsia" w:ascii="Times New Roman" w:hAnsi="Times New Roman" w:eastAsia="宋体" w:cs="Times New Roman"/>
                      <w:color w:val="auto"/>
                    </w:rPr>
                  </w:pPr>
                  <w:r>
                    <w:rPr>
                      <w:rFonts w:hint="eastAsia" w:eastAsia="宋体"/>
                      <w:bCs/>
                      <w:color w:val="auto"/>
                      <w:szCs w:val="21"/>
                      <w:lang w:val="en-US" w:eastAsia="zh-CN"/>
                    </w:rPr>
                    <w:t>1</w:t>
                  </w:r>
                </w:p>
              </w:tc>
              <w:tc>
                <w:tcPr>
                  <w:tcW w:w="1141" w:type="pct"/>
                  <w:noWrap w:val="0"/>
                  <w:vAlign w:val="center"/>
                </w:tcPr>
                <w:p>
                  <w:pPr>
                    <w:jc w:val="center"/>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70~80</w:t>
                  </w:r>
                </w:p>
              </w:tc>
              <w:tc>
                <w:tcPr>
                  <w:tcW w:w="1227" w:type="pct"/>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46" w:type="pct"/>
                  <w:noWrap w:val="0"/>
                  <w:vAlign w:val="center"/>
                </w:tcPr>
                <w:p>
                  <w:pPr>
                    <w:jc w:val="center"/>
                    <w:textAlignment w:val="baseline"/>
                    <w:rPr>
                      <w:rFonts w:hint="eastAsia"/>
                      <w:color w:val="auto"/>
                    </w:rPr>
                  </w:pPr>
                  <w:r>
                    <w:rPr>
                      <w:rFonts w:hint="eastAsia"/>
                      <w:bCs/>
                      <w:color w:val="auto"/>
                      <w:szCs w:val="21"/>
                    </w:rPr>
                    <w:t>6</w:t>
                  </w:r>
                </w:p>
              </w:tc>
              <w:tc>
                <w:tcPr>
                  <w:tcW w:w="1024" w:type="pct"/>
                  <w:noWrap w:val="0"/>
                  <w:vAlign w:val="center"/>
                </w:tcPr>
                <w:p>
                  <w:pPr>
                    <w:jc w:val="center"/>
                    <w:textAlignment w:val="baseline"/>
                    <w:rPr>
                      <w:rFonts w:hint="eastAsia" w:ascii="Times New Roman" w:hAnsi="Times New Roman" w:eastAsia="宋体" w:cs="Times New Roman"/>
                      <w:color w:val="auto"/>
                    </w:rPr>
                  </w:pPr>
                  <w:r>
                    <w:rPr>
                      <w:rFonts w:hint="eastAsia" w:cs="Times New Roman"/>
                      <w:bCs/>
                      <w:color w:val="auto"/>
                      <w:szCs w:val="21"/>
                      <w:lang w:val="en-US" w:eastAsia="zh-CN"/>
                    </w:rPr>
                    <w:t>车床改造磨床</w:t>
                  </w:r>
                </w:p>
              </w:tc>
              <w:tc>
                <w:tcPr>
                  <w:tcW w:w="531" w:type="pct"/>
                  <w:noWrap w:val="0"/>
                  <w:vAlign w:val="center"/>
                </w:tcPr>
                <w:p>
                  <w:pPr>
                    <w:jc w:val="center"/>
                    <w:textAlignment w:val="baseline"/>
                    <w:rPr>
                      <w:rFonts w:hint="eastAsia" w:ascii="Times New Roman" w:hAnsi="Times New Roman" w:eastAsia="宋体" w:cs="Times New Roman"/>
                      <w:color w:val="auto"/>
                      <w:lang w:val="en-US" w:eastAsia="zh-CN"/>
                    </w:rPr>
                  </w:pPr>
                  <w:r>
                    <w:rPr>
                      <w:rFonts w:hint="eastAsia"/>
                      <w:bCs/>
                      <w:color w:val="auto"/>
                      <w:szCs w:val="21"/>
                      <w:lang w:val="en-US" w:eastAsia="zh-CN"/>
                    </w:rPr>
                    <w:t>台</w:t>
                  </w:r>
                </w:p>
              </w:tc>
              <w:tc>
                <w:tcPr>
                  <w:tcW w:w="728" w:type="pct"/>
                  <w:noWrap w:val="0"/>
                  <w:vAlign w:val="center"/>
                </w:tcPr>
                <w:p>
                  <w:pPr>
                    <w:jc w:val="center"/>
                    <w:textAlignment w:val="baseline"/>
                    <w:rPr>
                      <w:rFonts w:hint="eastAsia" w:ascii="Times New Roman" w:hAnsi="Times New Roman" w:eastAsia="宋体" w:cs="Times New Roman"/>
                      <w:color w:val="auto"/>
                    </w:rPr>
                  </w:pPr>
                  <w:r>
                    <w:rPr>
                      <w:rFonts w:hint="eastAsia"/>
                      <w:bCs/>
                      <w:color w:val="auto"/>
                      <w:szCs w:val="21"/>
                      <w:lang w:val="en-US" w:eastAsia="zh-CN"/>
                    </w:rPr>
                    <w:t>5</w:t>
                  </w:r>
                </w:p>
              </w:tc>
              <w:tc>
                <w:tcPr>
                  <w:tcW w:w="1141" w:type="pct"/>
                  <w:noWrap w:val="0"/>
                  <w:vAlign w:val="center"/>
                </w:tcPr>
                <w:p>
                  <w:pPr>
                    <w:jc w:val="center"/>
                    <w:rPr>
                      <w:rFonts w:hint="eastAsia" w:ascii="Times New Roman" w:hAnsi="Times New Roman" w:eastAsia="宋体" w:cs="Times New Roman"/>
                      <w:color w:val="auto"/>
                    </w:rPr>
                  </w:pPr>
                  <w:r>
                    <w:rPr>
                      <w:rFonts w:hint="eastAsia" w:ascii="Times New Roman" w:hAnsi="Times New Roman" w:eastAsia="宋体" w:cs="Times New Roman"/>
                      <w:color w:val="auto"/>
                    </w:rPr>
                    <w:t>75~85</w:t>
                  </w:r>
                </w:p>
              </w:tc>
              <w:tc>
                <w:tcPr>
                  <w:tcW w:w="1227" w:type="pct"/>
                  <w:vMerge w:val="continue"/>
                  <w:noWrap w:val="0"/>
                  <w:vAlign w:val="center"/>
                </w:tcPr>
                <w:p>
                  <w:pPr>
                    <w:jc w:val="center"/>
                    <w:rPr>
                      <w:color w:val="auto"/>
                    </w:rPr>
                  </w:pPr>
                </w:p>
              </w:tc>
            </w:tr>
          </w:tbl>
          <w:p>
            <w:pPr>
              <w:pageBreakBefore w:val="0"/>
              <w:kinsoku/>
              <w:wordWrap/>
              <w:overflowPunct/>
              <w:topLinePunct w:val="0"/>
              <w:autoSpaceDE/>
              <w:autoSpaceDN/>
              <w:bidi w:val="0"/>
              <w:adjustRightInd/>
              <w:spacing w:line="360" w:lineRule="auto"/>
              <w:textAlignment w:val="auto"/>
              <w:rPr>
                <w:rFonts w:hint="eastAsia" w:ascii="Times New Roman" w:hAnsi="Times New Roman" w:eastAsia="宋体" w:cs="Times New Roman"/>
                <w:bCs/>
                <w:color w:val="FF0000"/>
                <w:sz w:val="24"/>
              </w:rPr>
            </w:pPr>
          </w:p>
          <w:p>
            <w:pPr>
              <w:pageBreakBefore w:val="0"/>
              <w:numPr>
                <w:ilvl w:val="0"/>
                <w:numId w:val="2"/>
              </w:numPr>
              <w:kinsoku/>
              <w:wordWrap/>
              <w:overflowPunct/>
              <w:topLinePunct w:val="0"/>
              <w:autoSpaceDE/>
              <w:autoSpaceDN/>
              <w:bidi w:val="0"/>
              <w:adjustRightInd/>
              <w:spacing w:line="360" w:lineRule="auto"/>
              <w:ind w:firstLine="480" w:firstLineChars="200"/>
              <w:textAlignment w:val="auto"/>
              <w:rPr>
                <w:rFonts w:hint="eastAsia"/>
                <w:color w:val="auto"/>
                <w:sz w:val="24"/>
                <w:lang w:eastAsia="zh-CN"/>
              </w:rPr>
            </w:pPr>
            <w:r>
              <w:rPr>
                <w:rFonts w:hint="eastAsia"/>
                <w:color w:val="auto"/>
                <w:sz w:val="24"/>
                <w:lang w:eastAsia="zh-CN"/>
              </w:rPr>
              <w:t>基础数据</w:t>
            </w:r>
          </w:p>
          <w:p>
            <w:pPr>
              <w:pStyle w:val="6"/>
              <w:pageBreakBefore w:val="0"/>
              <w:numPr>
                <w:ilvl w:val="0"/>
                <w:numId w:val="0"/>
              </w:numPr>
              <w:kinsoku/>
              <w:wordWrap/>
              <w:overflowPunct/>
              <w:topLinePunct w:val="0"/>
              <w:autoSpaceDE/>
              <w:autoSpaceDN/>
              <w:bidi w:val="0"/>
              <w:adjustRightInd/>
              <w:spacing w:line="360" w:lineRule="auto"/>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项目噪声环境影响预测基础数据见表</w:t>
            </w:r>
          </w:p>
          <w:p>
            <w:pPr>
              <w:pStyle w:val="27"/>
              <w:pageBreakBefore w:val="0"/>
              <w:kinsoku/>
              <w:wordWrap/>
              <w:overflowPunct/>
              <w:topLinePunct w:val="0"/>
              <w:autoSpaceDE/>
              <w:autoSpaceDN/>
              <w:bidi w:val="0"/>
              <w:adjustRightInd/>
              <w:spacing w:line="360" w:lineRule="auto"/>
              <w:ind w:firstLine="0" w:firstLineChars="0"/>
              <w:jc w:val="center"/>
              <w:textAlignment w:val="auto"/>
              <w:rPr>
                <w:rFonts w:cs="Times New Roman" w:asciiTheme="minorEastAsia" w:hAnsiTheme="minorEastAsia" w:eastAsiaTheme="minorEastAsia"/>
                <w:b/>
                <w:bCs/>
                <w:lang w:eastAsia="zh-CN"/>
              </w:rPr>
            </w:pPr>
            <w:r>
              <w:rPr>
                <w:rFonts w:cs="Times New Roman" w:asciiTheme="minorEastAsia" w:hAnsiTheme="minorEastAsia" w:eastAsiaTheme="minorEastAsia"/>
                <w:b/>
                <w:bCs/>
                <w:lang w:eastAsia="zh-CN"/>
              </w:rPr>
              <w:t>表</w:t>
            </w:r>
            <w:r>
              <w:rPr>
                <w:rFonts w:hint="eastAsia" w:cs="Times New Roman" w:asciiTheme="minorEastAsia" w:hAnsiTheme="minorEastAsia" w:eastAsiaTheme="minorEastAsia"/>
                <w:b/>
                <w:bCs/>
                <w:lang w:val="en-US" w:eastAsia="zh-CN"/>
              </w:rPr>
              <w:t>4-11</w:t>
            </w:r>
            <w:r>
              <w:rPr>
                <w:rFonts w:cs="Times New Roman" w:asciiTheme="minorEastAsia" w:hAnsiTheme="minorEastAsia" w:eastAsiaTheme="minorEastAsia"/>
                <w:b/>
                <w:bCs/>
                <w:lang w:eastAsia="zh-CN"/>
              </w:rPr>
              <w:t xml:space="preserve"> 项目噪声环境影响预测基础数据表</w:t>
            </w:r>
          </w:p>
          <w:p>
            <w:pPr>
              <w:rPr>
                <w:rFonts w:ascii="Times New Roman" w:hAnsi="Times New Roman" w:cs="Times New Roman"/>
                <w:lang w:eastAsia="zh-CN"/>
              </w:rPr>
            </w:pPr>
            <w:r>
              <w:rPr>
                <w:rFonts w:ascii="Times New Roman" w:hAnsi="Times New Roman" w:cs="Times New Roman"/>
                <w:b/>
                <w:bCs/>
                <w:lang w:eastAsia="zh-CN"/>
              </w:rPr>
              <w:t xml:space="preserve"> </w:t>
            </w:r>
            <w:bookmarkStart w:id="26" w:name="PT_4"/>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2752"/>
              <w:gridCol w:w="210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861" w:type="pct"/>
                  <w:vAlign w:val="center"/>
                </w:tcPr>
                <w:p>
                  <w:pPr>
                    <w:jc w:val="center"/>
                    <w:rPr>
                      <w:rFonts w:ascii="Times New Roman" w:hAnsi="Times New Roman" w:cs="Times New Roman"/>
                      <w:sz w:val="21"/>
                      <w:szCs w:val="21"/>
                    </w:rPr>
                  </w:pPr>
                  <w:r>
                    <w:rPr>
                      <w:rFonts w:ascii="Times New Roman" w:hAnsi="Times New Roman" w:cs="Times New Roman"/>
                      <w:b/>
                      <w:sz w:val="21"/>
                      <w:szCs w:val="21"/>
                    </w:rPr>
                    <w:t>序号</w:t>
                  </w:r>
                </w:p>
              </w:tc>
              <w:tc>
                <w:tcPr>
                  <w:tcW w:w="1638" w:type="pct"/>
                  <w:vAlign w:val="center"/>
                </w:tcPr>
                <w:p>
                  <w:pPr>
                    <w:jc w:val="center"/>
                    <w:rPr>
                      <w:rFonts w:ascii="Times New Roman" w:hAnsi="Times New Roman" w:cs="Times New Roman"/>
                      <w:sz w:val="21"/>
                      <w:szCs w:val="21"/>
                    </w:rPr>
                  </w:pPr>
                  <w:r>
                    <w:rPr>
                      <w:rFonts w:ascii="Times New Roman" w:hAnsi="Times New Roman" w:cs="Times New Roman"/>
                      <w:b/>
                      <w:sz w:val="21"/>
                      <w:szCs w:val="21"/>
                    </w:rPr>
                    <w:t>名称</w:t>
                  </w:r>
                </w:p>
              </w:tc>
              <w:tc>
                <w:tcPr>
                  <w:tcW w:w="1250" w:type="pct"/>
                  <w:vAlign w:val="center"/>
                </w:tcPr>
                <w:p>
                  <w:pPr>
                    <w:jc w:val="center"/>
                    <w:rPr>
                      <w:rFonts w:ascii="Times New Roman" w:hAnsi="Times New Roman" w:cs="Times New Roman"/>
                      <w:sz w:val="21"/>
                      <w:szCs w:val="21"/>
                    </w:rPr>
                  </w:pPr>
                  <w:r>
                    <w:rPr>
                      <w:rFonts w:ascii="Times New Roman" w:hAnsi="Times New Roman" w:cs="Times New Roman"/>
                      <w:b/>
                      <w:sz w:val="21"/>
                      <w:szCs w:val="21"/>
                    </w:rPr>
                    <w:t>单位</w:t>
                  </w:r>
                </w:p>
              </w:tc>
              <w:tc>
                <w:tcPr>
                  <w:tcW w:w="1250" w:type="pct"/>
                  <w:vAlign w:val="center"/>
                </w:tcPr>
                <w:p>
                  <w:pPr>
                    <w:jc w:val="center"/>
                    <w:rPr>
                      <w:rFonts w:ascii="Times New Roman" w:hAnsi="Times New Roman" w:cs="Times New Roman"/>
                      <w:sz w:val="21"/>
                      <w:szCs w:val="21"/>
                    </w:rPr>
                  </w:pPr>
                  <w:r>
                    <w:rPr>
                      <w:rFonts w:ascii="Times New Roman" w:hAnsi="Times New Roman" w:cs="Times New Roman"/>
                      <w:b/>
                      <w:sz w:val="21"/>
                      <w:szCs w:val="21"/>
                    </w:rPr>
                    <w:t>数据</w:t>
                  </w:r>
                </w:p>
                <w:bookmarkEnd w:id="26"/>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86" w:hRule="exact"/>
                <w:jc w:val="center"/>
              </w:trPr>
              <w:tc>
                <w:tcPr>
                  <w:tcW w:w="861" w:type="pct"/>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w:t>
                  </w:r>
                </w:p>
              </w:tc>
              <w:tc>
                <w:tcPr>
                  <w:tcW w:w="1638" w:type="pct"/>
                  <w:shd w:val="clear" w:color="auto" w:fill="FFFFFF"/>
                  <w:vAlign w:val="center"/>
                </w:tcPr>
                <w:p>
                  <w:pPr>
                    <w:jc w:val="center"/>
                    <w:rPr>
                      <w:sz w:val="21"/>
                      <w:szCs w:val="21"/>
                    </w:rPr>
                  </w:pPr>
                  <w:r>
                    <w:rPr>
                      <w:rFonts w:ascii="Arial" w:hAnsi="Arial" w:eastAsia="Arial" w:cs="Arial"/>
                      <w:sz w:val="21"/>
                      <w:szCs w:val="21"/>
                    </w:rPr>
                    <w:t>年平均风速</w:t>
                  </w:r>
                </w:p>
              </w:tc>
              <w:tc>
                <w:tcPr>
                  <w:tcW w:w="1250" w:type="pct"/>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m/s</w:t>
                  </w:r>
                </w:p>
              </w:tc>
              <w:tc>
                <w:tcPr>
                  <w:tcW w:w="1250" w:type="pct"/>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486" w:hRule="exact"/>
                <w:jc w:val="center"/>
              </w:trPr>
              <w:tc>
                <w:tcPr>
                  <w:tcW w:w="861" w:type="pct"/>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w:t>
                  </w:r>
                </w:p>
              </w:tc>
              <w:tc>
                <w:tcPr>
                  <w:tcW w:w="1638" w:type="pct"/>
                  <w:shd w:val="clear" w:color="auto" w:fill="FFFFFF"/>
                  <w:vAlign w:val="center"/>
                </w:tcPr>
                <w:p>
                  <w:pPr>
                    <w:jc w:val="center"/>
                    <w:rPr>
                      <w:sz w:val="21"/>
                      <w:szCs w:val="21"/>
                    </w:rPr>
                  </w:pPr>
                  <w:r>
                    <w:rPr>
                      <w:rFonts w:ascii="Arial" w:hAnsi="Arial" w:eastAsia="Arial" w:cs="Arial"/>
                      <w:sz w:val="21"/>
                      <w:szCs w:val="21"/>
                    </w:rPr>
                    <w:t>主导风向</w:t>
                  </w:r>
                </w:p>
              </w:tc>
              <w:tc>
                <w:tcPr>
                  <w:tcW w:w="1250" w:type="pct"/>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w:t>
                  </w:r>
                </w:p>
              </w:tc>
              <w:tc>
                <w:tcPr>
                  <w:tcW w:w="1250" w:type="pct"/>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东北风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86" w:hRule="exact"/>
                <w:jc w:val="center"/>
              </w:trPr>
              <w:tc>
                <w:tcPr>
                  <w:tcW w:w="861" w:type="pct"/>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w:t>
                  </w:r>
                </w:p>
              </w:tc>
              <w:tc>
                <w:tcPr>
                  <w:tcW w:w="1638" w:type="pct"/>
                  <w:shd w:val="clear" w:color="auto" w:fill="FFFFFF"/>
                  <w:vAlign w:val="center"/>
                </w:tcPr>
                <w:p>
                  <w:pPr>
                    <w:jc w:val="center"/>
                    <w:rPr>
                      <w:sz w:val="21"/>
                      <w:szCs w:val="21"/>
                    </w:rPr>
                  </w:pPr>
                  <w:r>
                    <w:rPr>
                      <w:rFonts w:ascii="Arial" w:hAnsi="Arial" w:eastAsia="Arial" w:cs="Arial"/>
                      <w:sz w:val="21"/>
                      <w:szCs w:val="21"/>
                    </w:rPr>
                    <w:t>年平均气温</w:t>
                  </w:r>
                </w:p>
              </w:tc>
              <w:tc>
                <w:tcPr>
                  <w:tcW w:w="1250" w:type="pct"/>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w:t>
                  </w:r>
                </w:p>
              </w:tc>
              <w:tc>
                <w:tcPr>
                  <w:tcW w:w="1250" w:type="pct"/>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486" w:hRule="exact"/>
                <w:jc w:val="center"/>
              </w:trPr>
              <w:tc>
                <w:tcPr>
                  <w:tcW w:w="861" w:type="pct"/>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w:t>
                  </w:r>
                </w:p>
              </w:tc>
              <w:tc>
                <w:tcPr>
                  <w:tcW w:w="1638" w:type="pct"/>
                  <w:shd w:val="clear" w:color="auto" w:fill="FFFFFF"/>
                  <w:vAlign w:val="center"/>
                </w:tcPr>
                <w:p>
                  <w:pPr>
                    <w:jc w:val="center"/>
                    <w:rPr>
                      <w:sz w:val="21"/>
                      <w:szCs w:val="21"/>
                    </w:rPr>
                  </w:pPr>
                  <w:r>
                    <w:rPr>
                      <w:rFonts w:ascii="Arial" w:hAnsi="Arial" w:eastAsia="Arial" w:cs="Arial"/>
                      <w:sz w:val="21"/>
                      <w:szCs w:val="21"/>
                    </w:rPr>
                    <w:t>年平均相对湿度</w:t>
                  </w:r>
                </w:p>
              </w:tc>
              <w:tc>
                <w:tcPr>
                  <w:tcW w:w="1250" w:type="pct"/>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w:t>
                  </w:r>
                </w:p>
              </w:tc>
              <w:tc>
                <w:tcPr>
                  <w:tcW w:w="1250" w:type="pct"/>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86" w:hRule="exact"/>
                <w:jc w:val="center"/>
              </w:trPr>
              <w:tc>
                <w:tcPr>
                  <w:tcW w:w="861" w:type="pct"/>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w:t>
                  </w:r>
                </w:p>
              </w:tc>
              <w:tc>
                <w:tcPr>
                  <w:tcW w:w="1638" w:type="pct"/>
                  <w:shd w:val="clear" w:color="auto" w:fill="FFFFFF"/>
                  <w:vAlign w:val="center"/>
                </w:tcPr>
                <w:p>
                  <w:pPr>
                    <w:jc w:val="center"/>
                    <w:rPr>
                      <w:sz w:val="21"/>
                      <w:szCs w:val="21"/>
                    </w:rPr>
                  </w:pPr>
                  <w:r>
                    <w:rPr>
                      <w:rFonts w:ascii="Arial" w:hAnsi="Arial" w:eastAsia="Arial" w:cs="Arial"/>
                      <w:sz w:val="21"/>
                      <w:szCs w:val="21"/>
                    </w:rPr>
                    <w:t>大气压强</w:t>
                  </w:r>
                </w:p>
              </w:tc>
              <w:tc>
                <w:tcPr>
                  <w:tcW w:w="1250" w:type="pct"/>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atm</w:t>
                  </w:r>
                </w:p>
              </w:tc>
              <w:tc>
                <w:tcPr>
                  <w:tcW w:w="1250" w:type="pct"/>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w:t>
                  </w:r>
                </w:p>
              </w:tc>
            </w:tr>
          </w:tbl>
          <w:p>
            <w:pPr>
              <w:rPr>
                <w:rFonts w:hint="eastAsia"/>
                <w:lang w:eastAsia="zh-CN"/>
              </w:rPr>
            </w:pPr>
          </w:p>
          <w:p>
            <w:pPr>
              <w:snapToGrid w:val="0"/>
              <w:spacing w:line="360" w:lineRule="auto"/>
              <w:ind w:firstLine="480" w:firstLineChars="200"/>
              <w:rPr>
                <w:rFonts w:hint="eastAsia"/>
                <w:color w:val="auto"/>
                <w:sz w:val="24"/>
              </w:rPr>
            </w:pPr>
            <w:r>
              <w:rPr>
                <w:rFonts w:ascii="Times New Roman" w:hAnsi="Times New Roman" w:cs="Times New Roman" w:eastAsiaTheme="minorEastAsia"/>
                <w:color w:val="302116"/>
                <w:sz w:val="24"/>
                <w:szCs w:val="24"/>
                <w:lang w:eastAsia="zh-CN"/>
              </w:rPr>
              <w:t>声源和预测点间的地形、高差、障碍物、树林、灌木等的分布情况以及地面覆盖情况（如草地、水面、水泥地面、土质地面等）根据现场踏勘、项目总平图等，并结合卫星图片地理信息数据确定，数据精度为10m。</w:t>
            </w:r>
          </w:p>
          <w:p>
            <w:pPr>
              <w:spacing w:line="360" w:lineRule="auto"/>
              <w:ind w:firstLine="480" w:firstLineChars="200"/>
              <w:rPr>
                <w:color w:val="auto"/>
              </w:rPr>
            </w:pPr>
            <w:r>
              <w:rPr>
                <w:rFonts w:hint="eastAsia"/>
                <w:color w:val="auto"/>
                <w:sz w:val="24"/>
              </w:rPr>
              <w:t>2</w:t>
            </w:r>
            <w:r>
              <w:rPr>
                <w:color w:val="auto"/>
                <w:sz w:val="24"/>
              </w:rPr>
              <w:t>、</w:t>
            </w:r>
            <w:r>
              <w:rPr>
                <w:rFonts w:hint="eastAsia"/>
                <w:bCs/>
                <w:sz w:val="24"/>
              </w:rPr>
              <w:t>预测模型</w:t>
            </w:r>
            <w:r>
              <w:rPr>
                <w:color w:val="auto"/>
                <w:sz w:val="24"/>
              </w:rPr>
              <w:t xml:space="preserve"> </w:t>
            </w:r>
          </w:p>
          <w:p>
            <w:pPr>
              <w:pStyle w:val="120"/>
              <w:ind w:firstLine="480"/>
              <w:rPr>
                <w:rFonts w:hint="eastAsia" w:ascii="Times New Roman" w:hAnsi="Times New Roman" w:eastAsia="宋体" w:cs="Times New Roman"/>
                <w:sz w:val="24"/>
                <w:szCs w:val="24"/>
                <w:lang w:val="en-US" w:eastAsia="zh-CN"/>
              </w:rPr>
            </w:pPr>
            <w:r>
              <w:rPr>
                <w:sz w:val="24"/>
                <w:szCs w:val="24"/>
              </w:rPr>
              <w:t>根据项目建设内容及《环境影响评价技术导则—声环境》（HJ2.4-2021）的要求，项目环评采用的模型为《环境影响评价技术导则 声环境》(HJ2.4.2021)附录A（规范性附录）户外声传播的衰减和附录B（规范性附录）中“B.1工业噪声预测计算模型”</w:t>
            </w:r>
            <w:r>
              <w:rPr>
                <w:rFonts w:hint="eastAsia"/>
                <w:sz w:val="24"/>
                <w:szCs w:val="24"/>
                <w:lang w:eastAsia="zh-CN"/>
              </w:rPr>
              <w:t>。</w:t>
            </w:r>
          </w:p>
          <w:p>
            <w:pPr>
              <w:pStyle w:val="27"/>
              <w:ind w:firstLine="0" w:firstLineChars="0"/>
              <w:jc w:val="center"/>
              <w:rPr>
                <w:rFonts w:cs="Times New Roman" w:asciiTheme="minorEastAsia" w:hAnsiTheme="minorEastAsia" w:eastAsiaTheme="minorEastAsia"/>
                <w:b/>
                <w:bCs/>
                <w:lang w:eastAsia="zh-CN"/>
              </w:rPr>
            </w:pPr>
          </w:p>
          <w:p>
            <w:pPr>
              <w:pStyle w:val="27"/>
              <w:ind w:firstLine="0" w:firstLineChars="0"/>
              <w:jc w:val="center"/>
              <w:rPr>
                <w:rFonts w:cs="Times New Roman" w:asciiTheme="minorEastAsia" w:hAnsiTheme="minorEastAsia" w:eastAsiaTheme="minorEastAsia"/>
                <w:b/>
                <w:bCs/>
                <w:lang w:eastAsia="zh-CN"/>
              </w:rPr>
            </w:pPr>
          </w:p>
          <w:p>
            <w:pPr>
              <w:pStyle w:val="27"/>
              <w:ind w:firstLine="0" w:firstLineChars="0"/>
              <w:jc w:val="center"/>
              <w:rPr>
                <w:rFonts w:cs="Times New Roman" w:asciiTheme="minorEastAsia" w:hAnsiTheme="minorEastAsia" w:eastAsiaTheme="minorEastAsia"/>
                <w:b/>
                <w:bCs/>
                <w:lang w:eastAsia="zh-CN"/>
              </w:rPr>
            </w:pPr>
          </w:p>
          <w:p>
            <w:pPr>
              <w:pStyle w:val="27"/>
              <w:ind w:firstLine="0" w:firstLineChars="0"/>
              <w:jc w:val="center"/>
              <w:rPr>
                <w:rFonts w:cs="Times New Roman" w:asciiTheme="minorEastAsia" w:hAnsiTheme="minorEastAsia" w:eastAsiaTheme="minorEastAsia"/>
                <w:b/>
                <w:bCs/>
                <w:lang w:eastAsia="zh-CN"/>
              </w:rPr>
            </w:pPr>
          </w:p>
          <w:p>
            <w:pPr>
              <w:pStyle w:val="27"/>
              <w:ind w:firstLine="0" w:firstLineChars="0"/>
              <w:jc w:val="center"/>
              <w:rPr>
                <w:rFonts w:cs="Times New Roman" w:asciiTheme="minorEastAsia" w:hAnsiTheme="minorEastAsia" w:eastAsiaTheme="minorEastAsia"/>
                <w:b/>
                <w:bCs/>
                <w:lang w:eastAsia="zh-CN"/>
              </w:rPr>
            </w:pPr>
          </w:p>
          <w:p>
            <w:pPr>
              <w:widowControl/>
              <w:spacing w:line="360" w:lineRule="auto"/>
              <w:jc w:val="left"/>
              <w:rPr>
                <w:rFonts w:hint="eastAsia" w:eastAsia="宋体"/>
                <w:lang w:val="en-US" w:eastAsia="zh-CN"/>
              </w:rPr>
            </w:pPr>
          </w:p>
        </w:tc>
      </w:tr>
    </w:tbl>
    <w:p>
      <w:pPr>
        <w:pStyle w:val="87"/>
        <w:widowControl w:val="0"/>
        <w:numPr>
          <w:ilvl w:val="0"/>
          <w:numId w:val="0"/>
        </w:numPr>
        <w:jc w:val="both"/>
        <w:rPr>
          <w:rFonts w:hint="eastAsia"/>
          <w:sz w:val="24"/>
          <w:lang w:eastAsia="zh-CN"/>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
        <w:gridCol w:w="1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dxa"/>
          </w:tcPr>
          <w:p>
            <w:pPr>
              <w:pStyle w:val="87"/>
              <w:widowControl w:val="0"/>
              <w:numPr>
                <w:ilvl w:val="0"/>
                <w:numId w:val="0"/>
              </w:numPr>
              <w:jc w:val="both"/>
              <w:rPr>
                <w:rFonts w:hint="eastAsia"/>
                <w:sz w:val="24"/>
                <w:vertAlign w:val="baseline"/>
                <w:lang w:eastAsia="zh-CN"/>
              </w:rPr>
            </w:pPr>
          </w:p>
        </w:tc>
        <w:tc>
          <w:tcPr>
            <w:tcW w:w="12869" w:type="dxa"/>
          </w:tcPr>
          <w:p>
            <w:pPr>
              <w:pStyle w:val="27"/>
              <w:ind w:firstLine="0" w:firstLineChars="0"/>
              <w:jc w:val="center"/>
              <w:rPr>
                <w:rFonts w:cs="Times New Roman" w:asciiTheme="minorEastAsia" w:hAnsiTheme="minorEastAsia" w:eastAsiaTheme="minorEastAsia"/>
                <w:b/>
                <w:bCs/>
                <w:lang w:eastAsia="zh-CN"/>
              </w:rPr>
            </w:pPr>
            <w:r>
              <w:rPr>
                <w:rFonts w:cs="Times New Roman" w:asciiTheme="minorEastAsia" w:hAnsiTheme="minorEastAsia" w:eastAsiaTheme="minorEastAsia"/>
                <w:b/>
                <w:bCs/>
                <w:lang w:eastAsia="zh-CN"/>
              </w:rPr>
              <w:t xml:space="preserve">表 </w:t>
            </w:r>
            <w:r>
              <w:rPr>
                <w:rFonts w:hint="eastAsia" w:cs="Times New Roman" w:asciiTheme="minorEastAsia" w:hAnsiTheme="minorEastAsia" w:eastAsiaTheme="minorEastAsia"/>
                <w:b/>
                <w:bCs/>
                <w:lang w:val="en-US" w:eastAsia="zh-CN"/>
              </w:rPr>
              <w:t>4-12</w:t>
            </w:r>
            <w:r>
              <w:rPr>
                <w:rFonts w:cs="Times New Roman" w:asciiTheme="minorEastAsia" w:hAnsiTheme="minorEastAsia" w:eastAsiaTheme="minorEastAsia"/>
                <w:b/>
                <w:bCs/>
                <w:lang w:eastAsia="zh-CN"/>
              </w:rPr>
              <w:tab/>
            </w:r>
            <w:r>
              <w:rPr>
                <w:rFonts w:cs="Times New Roman" w:asciiTheme="minorEastAsia" w:hAnsiTheme="minorEastAsia" w:eastAsiaTheme="minorEastAsia"/>
                <w:b/>
                <w:bCs/>
                <w:lang w:eastAsia="zh-CN"/>
              </w:rPr>
              <w:t>工业企业噪声源强调查清单（室内声源）</w:t>
            </w:r>
          </w:p>
          <w:tbl>
            <w:tblPr>
              <w:tblStyle w:val="28"/>
              <w:tblpPr w:leftFromText="180" w:rightFromText="180" w:vertAnchor="text" w:horzAnchor="page" w:tblpXSpec="center" w:tblpY="32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
              <w:gridCol w:w="361"/>
              <w:gridCol w:w="361"/>
              <w:gridCol w:w="361"/>
              <w:gridCol w:w="624"/>
              <w:gridCol w:w="504"/>
              <w:gridCol w:w="516"/>
              <w:gridCol w:w="444"/>
              <w:gridCol w:w="468"/>
              <w:gridCol w:w="468"/>
              <w:gridCol w:w="468"/>
              <w:gridCol w:w="468"/>
              <w:gridCol w:w="468"/>
              <w:gridCol w:w="468"/>
              <w:gridCol w:w="468"/>
              <w:gridCol w:w="468"/>
              <w:gridCol w:w="468"/>
              <w:gridCol w:w="920"/>
              <w:gridCol w:w="468"/>
              <w:gridCol w:w="468"/>
              <w:gridCol w:w="468"/>
              <w:gridCol w:w="468"/>
              <w:gridCol w:w="469"/>
              <w:gridCol w:w="469"/>
              <w:gridCol w:w="469"/>
              <w:gridCol w:w="469"/>
              <w:gridCol w:w="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0" w:type="auto"/>
                  <w:vMerge w:val="restart"/>
                  <w:vAlign w:val="center"/>
                </w:tcPr>
                <w:p>
                  <w:pPr>
                    <w:jc w:val="center"/>
                    <w:rPr>
                      <w:rFonts w:ascii="Times New Roman" w:hAnsi="Times New Roman" w:cs="Times New Roman" w:eastAsiaTheme="minorEastAsia"/>
                      <w:sz w:val="21"/>
                      <w:szCs w:val="21"/>
                    </w:rPr>
                  </w:pPr>
                  <w:bookmarkStart w:id="27" w:name="PT_6"/>
                  <w:r>
                    <w:rPr>
                      <w:rFonts w:ascii="Times New Roman" w:hAnsi="Times New Roman" w:cs="Times New Roman" w:eastAsiaTheme="minorEastAsia"/>
                      <w:b/>
                      <w:sz w:val="21"/>
                      <w:szCs w:val="21"/>
                    </w:rPr>
                    <w:t>序号</w:t>
                  </w:r>
                </w:p>
              </w:tc>
              <w:tc>
                <w:tcPr>
                  <w:tcW w:w="0" w:type="auto"/>
                  <w:vMerge w:val="restar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建筑物名称</w:t>
                  </w:r>
                </w:p>
              </w:tc>
              <w:tc>
                <w:tcPr>
                  <w:tcW w:w="0" w:type="auto"/>
                  <w:vMerge w:val="restar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声源名称</w:t>
                  </w:r>
                </w:p>
              </w:tc>
              <w:tc>
                <w:tcPr>
                  <w:tcW w:w="0" w:type="auto"/>
                  <w:vMerge w:val="restar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型号</w:t>
                  </w:r>
                </w:p>
              </w:tc>
              <w:tc>
                <w:tcPr>
                  <w:tcW w:w="0" w:type="auto"/>
                  <w:vAlign w:val="center"/>
                </w:tcPr>
                <w:p>
                  <w:pPr>
                    <w:jc w:val="center"/>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声源源强</w:t>
                  </w:r>
                </w:p>
              </w:tc>
              <w:tc>
                <w:tcPr>
                  <w:tcW w:w="0" w:type="auto"/>
                  <w:vMerge w:val="restar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声源控制措施</w:t>
                  </w:r>
                </w:p>
              </w:tc>
              <w:tc>
                <w:tcPr>
                  <w:tcW w:w="0" w:type="auto"/>
                  <w:gridSpan w:val="3"/>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空间相对位置/m</w:t>
                  </w:r>
                </w:p>
              </w:tc>
              <w:tc>
                <w:tcPr>
                  <w:tcW w:w="0" w:type="auto"/>
                  <w:gridSpan w:val="4"/>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距室内边界距离/m</w:t>
                  </w:r>
                </w:p>
              </w:tc>
              <w:tc>
                <w:tcPr>
                  <w:tcW w:w="0" w:type="auto"/>
                  <w:gridSpan w:val="4"/>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室内边界声级/dB(A)</w:t>
                  </w:r>
                </w:p>
              </w:tc>
              <w:tc>
                <w:tcPr>
                  <w:tcW w:w="0" w:type="auto"/>
                  <w:vMerge w:val="restar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运行时段</w:t>
                  </w:r>
                </w:p>
              </w:tc>
              <w:tc>
                <w:tcPr>
                  <w:tcW w:w="0" w:type="auto"/>
                  <w:gridSpan w:val="4"/>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建筑物插入损失 / dB(A)</w:t>
                  </w:r>
                </w:p>
              </w:tc>
              <w:tc>
                <w:tcPr>
                  <w:tcW w:w="0" w:type="auto"/>
                  <w:gridSpan w:val="5"/>
                  <w:vAlign w:val="center"/>
                </w:tcPr>
                <w:p>
                  <w:pPr>
                    <w:jc w:val="center"/>
                    <w:rPr>
                      <w:rFonts w:ascii="Times New Roman" w:hAnsi="Times New Roman" w:cs="Times New Roman" w:eastAsiaTheme="minorEastAsia"/>
                      <w:b/>
                      <w:bCs w:val="0"/>
                      <w:sz w:val="21"/>
                      <w:szCs w:val="21"/>
                    </w:rPr>
                  </w:pPr>
                  <w:r>
                    <w:rPr>
                      <w:rFonts w:ascii="Times New Roman" w:hAnsi="Times New Roman" w:cs="Times New Roman" w:eastAsiaTheme="minorEastAsia"/>
                      <w:b/>
                      <w:bCs w:val="0"/>
                      <w:sz w:val="21"/>
                      <w:szCs w:val="21"/>
                    </w:rPr>
                    <w:t>建筑物外噪声声压级/dB(A)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0" w:type="auto"/>
                  <w:vMerge w:val="continue"/>
                  <w:shd w:val="clear" w:color="auto" w:fill="FFFFFF"/>
                  <w:vAlign w:val="center"/>
                </w:tcPr>
                <w:p>
                  <w:pPr>
                    <w:jc w:val="center"/>
                    <w:rPr>
                      <w:rFonts w:hint="default" w:ascii="Times New Roman" w:hAnsi="Times New Roman" w:cs="Times New Roman" w:eastAsiaTheme="minorEastAsia"/>
                      <w:sz w:val="21"/>
                      <w:szCs w:val="21"/>
                      <w:lang w:val="en-US" w:eastAsia="zh-CN"/>
                    </w:rPr>
                  </w:pPr>
                </w:p>
              </w:tc>
              <w:tc>
                <w:tcPr>
                  <w:tcW w:w="0" w:type="auto"/>
                  <w:vMerge w:val="continue"/>
                  <w:shd w:val="clear" w:color="auto" w:fill="FFFFFF"/>
                  <w:vAlign w:val="center"/>
                </w:tcPr>
                <w:p>
                  <w:pPr>
                    <w:jc w:val="center"/>
                    <w:rPr>
                      <w:rFonts w:ascii="Times New Roman" w:hAnsi="Times New Roman" w:cs="Times New Roman" w:eastAsiaTheme="minorEastAsia"/>
                      <w:sz w:val="21"/>
                      <w:szCs w:val="21"/>
                    </w:rPr>
                  </w:pPr>
                </w:p>
              </w:tc>
              <w:tc>
                <w:tcPr>
                  <w:tcW w:w="0" w:type="auto"/>
                  <w:vMerge w:val="continue"/>
                  <w:shd w:val="clear" w:color="auto" w:fill="FFFFFF"/>
                  <w:vAlign w:val="center"/>
                </w:tcPr>
                <w:p>
                  <w:pPr>
                    <w:jc w:val="center"/>
                    <w:rPr>
                      <w:rFonts w:ascii="Times New Roman" w:hAnsi="Times New Roman" w:cs="Times New Roman" w:eastAsiaTheme="minorEastAsia"/>
                      <w:sz w:val="21"/>
                      <w:szCs w:val="21"/>
                    </w:rPr>
                  </w:pPr>
                </w:p>
              </w:tc>
              <w:tc>
                <w:tcPr>
                  <w:tcW w:w="0" w:type="auto"/>
                  <w:vMerge w:val="continue"/>
                  <w:shd w:val="clear" w:color="auto" w:fill="FFFFFF"/>
                  <w:vAlign w:val="center"/>
                </w:tcPr>
                <w:p>
                  <w:pPr>
                    <w:jc w:val="center"/>
                    <w:rPr>
                      <w:rFonts w:ascii="Times New Roman" w:hAnsi="Times New Roman" w:cs="Times New Roman" w:eastAsiaTheme="minorEastAsia"/>
                      <w:sz w:val="21"/>
                      <w:szCs w:val="21"/>
                    </w:rPr>
                  </w:pPr>
                </w:p>
              </w:tc>
              <w:tc>
                <w:tcPr>
                  <w:tcW w:w="0" w:type="auto"/>
                  <w:shd w:val="clear" w:color="auto" w:fill="FFFFFF"/>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声功率级/dB(A)</w:t>
                  </w:r>
                </w:p>
              </w:tc>
              <w:tc>
                <w:tcPr>
                  <w:tcW w:w="0" w:type="auto"/>
                  <w:vMerge w:val="continue"/>
                  <w:shd w:val="clear" w:color="auto" w:fill="FFFFFF"/>
                  <w:vAlign w:val="center"/>
                </w:tcPr>
                <w:p>
                  <w:pPr>
                    <w:jc w:val="center"/>
                    <w:rPr>
                      <w:rFonts w:ascii="Times New Roman" w:hAnsi="Times New Roman" w:cs="Times New Roman" w:eastAsiaTheme="minorEastAsia"/>
                      <w:sz w:val="21"/>
                      <w:szCs w:val="21"/>
                    </w:rPr>
                  </w:pPr>
                </w:p>
              </w:tc>
              <w:tc>
                <w:tcPr>
                  <w:tcW w:w="0" w:type="auto"/>
                  <w:shd w:val="clear" w:color="auto" w:fill="FFFFFF"/>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X</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Y</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Z</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东</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南</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西</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北</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东</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南</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西</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北</w:t>
                  </w:r>
                </w:p>
              </w:tc>
              <w:tc>
                <w:tcPr>
                  <w:tcW w:w="0" w:type="auto"/>
                  <w:vMerge w:val="continue"/>
                  <w:shd w:val="clear" w:color="auto" w:fill="FFFFFF"/>
                  <w:vAlign w:val="center"/>
                </w:tcPr>
                <w:p>
                  <w:pPr>
                    <w:jc w:val="center"/>
                    <w:rPr>
                      <w:rFonts w:ascii="Times New Roman" w:hAnsi="Times New Roman" w:cs="Times New Roman" w:eastAsiaTheme="minorEastAsia"/>
                      <w:sz w:val="21"/>
                      <w:szCs w:val="21"/>
                    </w:rPr>
                  </w:pPr>
                </w:p>
              </w:tc>
              <w:tc>
                <w:tcPr>
                  <w:tcW w:w="0" w:type="auto"/>
                  <w:shd w:val="clear" w:color="auto" w:fill="FFFFFF"/>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东</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南</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西</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北</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东</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南</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西</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北</w:t>
                  </w:r>
                </w:p>
              </w:tc>
              <w:tc>
                <w:tcPr>
                  <w:tcW w:w="0" w:type="auto"/>
                  <w:shd w:val="clear" w:color="auto" w:fill="FFFFFF"/>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建筑物外距离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0" w:type="auto"/>
                  <w:shd w:val="clear" w:color="auto" w:fill="FFFFFF"/>
                  <w:vAlign w:val="center"/>
                </w:tcPr>
                <w:p>
                  <w:pPr>
                    <w:jc w:val="center"/>
                  </w:pPr>
                  <w:r>
                    <w:rPr>
                      <w:rFonts w:ascii="Arial" w:hAnsi="Arial" w:eastAsia="Arial" w:cs="Arial"/>
                      <w:sz w:val="20"/>
                    </w:rPr>
                    <w:t>1</w:t>
                  </w:r>
                </w:p>
              </w:tc>
              <w:tc>
                <w:tcPr>
                  <w:tcW w:w="0" w:type="auto"/>
                  <w:shd w:val="clear" w:color="auto" w:fill="FFFFFF"/>
                  <w:vAlign w:val="center"/>
                </w:tcPr>
                <w:p>
                  <w:pPr>
                    <w:jc w:val="center"/>
                  </w:pPr>
                  <w:r>
                    <w:rPr>
                      <w:rFonts w:ascii="Arial" w:hAnsi="Arial" w:eastAsia="Arial" w:cs="Arial"/>
                      <w:sz w:val="20"/>
                    </w:rPr>
                    <w:t>淮南茂本商贸-声屏障</w:t>
                  </w:r>
                </w:p>
              </w:tc>
              <w:tc>
                <w:tcPr>
                  <w:tcW w:w="0" w:type="auto"/>
                  <w:shd w:val="clear" w:color="auto" w:fill="FFFFFF"/>
                  <w:vAlign w:val="center"/>
                </w:tcPr>
                <w:p>
                  <w:pPr>
                    <w:jc w:val="center"/>
                  </w:pPr>
                  <w:r>
                    <w:rPr>
                      <w:rFonts w:ascii="Arial" w:hAnsi="Arial" w:eastAsia="Arial" w:cs="Arial"/>
                      <w:sz w:val="20"/>
                    </w:rPr>
                    <w:t>喷淋塔</w:t>
                  </w:r>
                </w:p>
              </w:tc>
              <w:tc>
                <w:tcPr>
                  <w:tcW w:w="0" w:type="auto"/>
                  <w:shd w:val="clear" w:color="auto" w:fill="FFFFFF"/>
                  <w:vAlign w:val="center"/>
                </w:tcPr>
                <w:p>
                  <w:pPr>
                    <w:jc w:val="center"/>
                    <w:rPr>
                      <w:rFonts w:hint="eastAsia" w:eastAsia="宋体"/>
                      <w:lang w:val="en-US" w:eastAsia="zh-CN"/>
                    </w:rPr>
                  </w:pPr>
                  <w:r>
                    <w:rPr>
                      <w:rFonts w:hint="eastAsia"/>
                      <w:lang w:val="en-US" w:eastAsia="zh-CN"/>
                    </w:rPr>
                    <w:t>/</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70</w:t>
                  </w:r>
                </w:p>
              </w:tc>
              <w:tc>
                <w:tcPr>
                  <w:tcW w:w="0" w:type="auto"/>
                  <w:vMerge w:val="restart"/>
                  <w:shd w:val="clear" w:color="auto" w:fill="FFFFFF"/>
                  <w:vAlign w:val="center"/>
                </w:tcPr>
                <w:p>
                  <w:pPr>
                    <w:jc w:val="center"/>
                  </w:pPr>
                  <w:r>
                    <w:rPr>
                      <w:rFonts w:hint="eastAsia" w:ascii="宋体" w:hAnsi="宋体" w:cs="宋体"/>
                      <w:color w:val="auto"/>
                      <w:szCs w:val="21"/>
                      <w:highlight w:val="none"/>
                    </w:rPr>
                    <w:t>合理选型合理空间布局、基础减振、加强日常维护、厂房隔声</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-8.3</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4.4</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28.7</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43.2</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25.6</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2.5</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55.8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55.9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55.8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57.1</w:t>
                  </w:r>
                </w:p>
              </w:tc>
              <w:tc>
                <w:tcPr>
                  <w:tcW w:w="0" w:type="auto"/>
                  <w:shd w:val="clear" w:color="auto" w:fill="FFFFFF"/>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09:00-17:00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14.8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14.9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14.8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16.1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0" w:type="auto"/>
                  <w:shd w:val="clear" w:color="auto" w:fill="FFFFFF"/>
                  <w:vAlign w:val="center"/>
                </w:tcPr>
                <w:p>
                  <w:pPr>
                    <w:jc w:val="center"/>
                  </w:pPr>
                  <w:r>
                    <w:rPr>
                      <w:rFonts w:ascii="Arial" w:hAnsi="Arial" w:eastAsia="Arial" w:cs="Arial"/>
                      <w:sz w:val="20"/>
                    </w:rPr>
                    <w:t>2</w:t>
                  </w:r>
                </w:p>
              </w:tc>
              <w:tc>
                <w:tcPr>
                  <w:tcW w:w="0" w:type="auto"/>
                  <w:shd w:val="clear" w:color="auto" w:fill="FFFFFF"/>
                  <w:vAlign w:val="center"/>
                </w:tcPr>
                <w:p>
                  <w:pPr>
                    <w:jc w:val="center"/>
                  </w:pPr>
                  <w:r>
                    <w:rPr>
                      <w:rFonts w:ascii="Arial" w:hAnsi="Arial" w:eastAsia="Arial" w:cs="Arial"/>
                      <w:sz w:val="20"/>
                    </w:rPr>
                    <w:t>淮南茂本商贸-声屏障</w:t>
                  </w:r>
                </w:p>
              </w:tc>
              <w:tc>
                <w:tcPr>
                  <w:tcW w:w="0" w:type="auto"/>
                  <w:shd w:val="clear" w:color="auto" w:fill="FFFFFF"/>
                  <w:vAlign w:val="center"/>
                </w:tcPr>
                <w:p>
                  <w:pPr>
                    <w:jc w:val="center"/>
                  </w:pPr>
                  <w:r>
                    <w:rPr>
                      <w:rFonts w:ascii="Arial" w:hAnsi="Arial" w:eastAsia="Arial" w:cs="Arial"/>
                      <w:sz w:val="20"/>
                    </w:rPr>
                    <w:t>袋式除尘器</w:t>
                  </w:r>
                </w:p>
              </w:tc>
              <w:tc>
                <w:tcPr>
                  <w:tcW w:w="0" w:type="auto"/>
                  <w:shd w:val="clear" w:color="auto" w:fill="FFFFFF"/>
                  <w:vAlign w:val="center"/>
                </w:tcPr>
                <w:p>
                  <w:pPr>
                    <w:jc w:val="center"/>
                  </w:pPr>
                  <w:r>
                    <w:rPr>
                      <w:rFonts w:hint="eastAsia"/>
                      <w:lang w:val="en-US" w:eastAsia="zh-CN"/>
                    </w:rPr>
                    <w:t>/</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75</w:t>
                  </w:r>
                </w:p>
              </w:tc>
              <w:tc>
                <w:tcPr>
                  <w:tcW w:w="0" w:type="auto"/>
                  <w:vMerge w:val="continue"/>
                  <w:shd w:val="clear" w:color="auto" w:fill="FFFFFF"/>
                  <w:vAlign w:val="center"/>
                </w:tcPr>
                <w:p>
                  <w:pPr>
                    <w:jc w:val="center"/>
                  </w:pP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27.9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-2.6</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29.1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9.5</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61.4</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09:00-17:00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20.4</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0" w:type="auto"/>
                  <w:shd w:val="clear" w:color="auto" w:fill="FFFFFF"/>
                  <w:vAlign w:val="center"/>
                </w:tcPr>
                <w:p>
                  <w:pPr>
                    <w:jc w:val="center"/>
                  </w:pPr>
                  <w:r>
                    <w:rPr>
                      <w:rFonts w:ascii="Arial" w:hAnsi="Arial" w:eastAsia="Arial" w:cs="Arial"/>
                      <w:sz w:val="20"/>
                    </w:rPr>
                    <w:t>3</w:t>
                  </w:r>
                </w:p>
              </w:tc>
              <w:tc>
                <w:tcPr>
                  <w:tcW w:w="0" w:type="auto"/>
                  <w:shd w:val="clear" w:color="auto" w:fill="FFFFFF"/>
                  <w:vAlign w:val="center"/>
                </w:tcPr>
                <w:p>
                  <w:pPr>
                    <w:jc w:val="center"/>
                  </w:pPr>
                  <w:r>
                    <w:rPr>
                      <w:rFonts w:ascii="Arial" w:hAnsi="Arial" w:eastAsia="Arial" w:cs="Arial"/>
                      <w:sz w:val="20"/>
                    </w:rPr>
                    <w:t>淮南茂本商贸-声屏障</w:t>
                  </w:r>
                </w:p>
              </w:tc>
              <w:tc>
                <w:tcPr>
                  <w:tcW w:w="0" w:type="auto"/>
                  <w:shd w:val="clear" w:color="auto" w:fill="FFFFFF"/>
                  <w:vAlign w:val="center"/>
                </w:tcPr>
                <w:p>
                  <w:pPr>
                    <w:jc w:val="center"/>
                  </w:pPr>
                  <w:r>
                    <w:rPr>
                      <w:rFonts w:ascii="Arial" w:hAnsi="Arial" w:eastAsia="Arial" w:cs="Arial"/>
                      <w:sz w:val="20"/>
                    </w:rPr>
                    <w:t>磨光机1</w:t>
                  </w:r>
                </w:p>
              </w:tc>
              <w:tc>
                <w:tcPr>
                  <w:tcW w:w="0" w:type="auto"/>
                  <w:shd w:val="clear" w:color="auto" w:fill="FFFFFF"/>
                  <w:vAlign w:val="center"/>
                </w:tcPr>
                <w:p>
                  <w:pPr>
                    <w:jc w:val="center"/>
                  </w:pPr>
                  <w:r>
                    <w:rPr>
                      <w:rFonts w:hint="eastAsia"/>
                      <w:lang w:val="en-US" w:eastAsia="zh-CN"/>
                    </w:rPr>
                    <w:t>/</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75</w:t>
                  </w:r>
                </w:p>
              </w:tc>
              <w:tc>
                <w:tcPr>
                  <w:tcW w:w="0" w:type="auto"/>
                  <w:vMerge w:val="continue"/>
                  <w:shd w:val="clear" w:color="auto" w:fill="FFFFFF"/>
                  <w:vAlign w:val="center"/>
                </w:tcPr>
                <w:p>
                  <w:pPr>
                    <w:jc w:val="center"/>
                  </w:pP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27.4</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4.4</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29.0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7.5</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61.3</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2.5</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62.1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09:00-17:00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21.1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0" w:type="auto"/>
                  <w:shd w:val="clear" w:color="auto" w:fill="FFFFFF"/>
                  <w:vAlign w:val="center"/>
                </w:tcPr>
                <w:p>
                  <w:pPr>
                    <w:jc w:val="center"/>
                  </w:pPr>
                  <w:r>
                    <w:rPr>
                      <w:rFonts w:ascii="Arial" w:hAnsi="Arial" w:eastAsia="Arial" w:cs="Arial"/>
                      <w:sz w:val="20"/>
                    </w:rPr>
                    <w:t>4</w:t>
                  </w:r>
                </w:p>
              </w:tc>
              <w:tc>
                <w:tcPr>
                  <w:tcW w:w="0" w:type="auto"/>
                  <w:shd w:val="clear" w:color="auto" w:fill="FFFFFF"/>
                  <w:vAlign w:val="center"/>
                </w:tcPr>
                <w:p>
                  <w:pPr>
                    <w:jc w:val="center"/>
                  </w:pPr>
                  <w:r>
                    <w:rPr>
                      <w:rFonts w:ascii="Arial" w:hAnsi="Arial" w:eastAsia="Arial" w:cs="Arial"/>
                      <w:sz w:val="20"/>
                    </w:rPr>
                    <w:t>淮南茂本商贸-声屏障</w:t>
                  </w:r>
                </w:p>
              </w:tc>
              <w:tc>
                <w:tcPr>
                  <w:tcW w:w="0" w:type="auto"/>
                  <w:shd w:val="clear" w:color="auto" w:fill="FFFFFF"/>
                  <w:vAlign w:val="center"/>
                </w:tcPr>
                <w:p>
                  <w:pPr>
                    <w:jc w:val="center"/>
                  </w:pPr>
                  <w:r>
                    <w:rPr>
                      <w:rFonts w:ascii="Arial" w:hAnsi="Arial" w:eastAsia="Arial" w:cs="Arial"/>
                      <w:sz w:val="20"/>
                    </w:rPr>
                    <w:t>磨光机2</w:t>
                  </w:r>
                </w:p>
              </w:tc>
              <w:tc>
                <w:tcPr>
                  <w:tcW w:w="0" w:type="auto"/>
                  <w:shd w:val="clear" w:color="auto" w:fill="FFFFFF"/>
                  <w:vAlign w:val="center"/>
                </w:tcPr>
                <w:p>
                  <w:pPr>
                    <w:jc w:val="center"/>
                  </w:pPr>
                  <w:r>
                    <w:rPr>
                      <w:rFonts w:hint="eastAsia"/>
                      <w:lang w:val="en-US" w:eastAsia="zh-CN"/>
                    </w:rPr>
                    <w:t>/</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75</w:t>
                  </w:r>
                </w:p>
              </w:tc>
              <w:tc>
                <w:tcPr>
                  <w:tcW w:w="0" w:type="auto"/>
                  <w:vMerge w:val="continue"/>
                  <w:shd w:val="clear" w:color="auto" w:fill="FFFFFF"/>
                  <w:vAlign w:val="center"/>
                </w:tcPr>
                <w:p>
                  <w:pPr>
                    <w:jc w:val="center"/>
                  </w:pP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27.9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29.0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8.5</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61.2</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09:00-17:00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20.2</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0" w:type="auto"/>
                  <w:shd w:val="clear" w:color="auto" w:fill="FFFFFF"/>
                  <w:vAlign w:val="center"/>
                </w:tcPr>
                <w:p>
                  <w:pPr>
                    <w:jc w:val="center"/>
                  </w:pPr>
                  <w:r>
                    <w:rPr>
                      <w:rFonts w:ascii="Arial" w:hAnsi="Arial" w:eastAsia="Arial" w:cs="Arial"/>
                      <w:sz w:val="20"/>
                    </w:rPr>
                    <w:t>5</w:t>
                  </w:r>
                </w:p>
              </w:tc>
              <w:tc>
                <w:tcPr>
                  <w:tcW w:w="0" w:type="auto"/>
                  <w:shd w:val="clear" w:color="auto" w:fill="FFFFFF"/>
                  <w:vAlign w:val="center"/>
                </w:tcPr>
                <w:p>
                  <w:pPr>
                    <w:jc w:val="center"/>
                  </w:pPr>
                  <w:r>
                    <w:rPr>
                      <w:rFonts w:ascii="Arial" w:hAnsi="Arial" w:eastAsia="Arial" w:cs="Arial"/>
                      <w:sz w:val="20"/>
                    </w:rPr>
                    <w:t>淮南茂本商贸-声屏障</w:t>
                  </w:r>
                </w:p>
              </w:tc>
              <w:tc>
                <w:tcPr>
                  <w:tcW w:w="0" w:type="auto"/>
                  <w:shd w:val="clear" w:color="auto" w:fill="FFFFFF"/>
                  <w:vAlign w:val="center"/>
                </w:tcPr>
                <w:p>
                  <w:pPr>
                    <w:jc w:val="center"/>
                  </w:pPr>
                  <w:r>
                    <w:rPr>
                      <w:rFonts w:ascii="Arial" w:hAnsi="Arial" w:eastAsia="Arial" w:cs="Arial"/>
                      <w:sz w:val="20"/>
                    </w:rPr>
                    <w:t>磨光机3</w:t>
                  </w:r>
                </w:p>
              </w:tc>
              <w:tc>
                <w:tcPr>
                  <w:tcW w:w="0" w:type="auto"/>
                  <w:shd w:val="clear" w:color="auto" w:fill="FFFFFF"/>
                  <w:vAlign w:val="center"/>
                </w:tcPr>
                <w:p>
                  <w:pPr>
                    <w:jc w:val="center"/>
                  </w:pPr>
                  <w:r>
                    <w:rPr>
                      <w:rFonts w:hint="eastAsia"/>
                      <w:lang w:val="en-US" w:eastAsia="zh-CN"/>
                    </w:rPr>
                    <w:t>/</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75</w:t>
                  </w:r>
                </w:p>
              </w:tc>
              <w:tc>
                <w:tcPr>
                  <w:tcW w:w="0" w:type="auto"/>
                  <w:vMerge w:val="continue"/>
                  <w:shd w:val="clear" w:color="auto" w:fill="FFFFFF"/>
                  <w:vAlign w:val="center"/>
                </w:tcPr>
                <w:p>
                  <w:pPr>
                    <w:jc w:val="center"/>
                  </w:pP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28.2</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-0.1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29.1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6.7</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6.3</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62.1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09:00-17:00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0" w:type="auto"/>
                  <w:shd w:val="clear" w:color="auto" w:fill="FFFFFF"/>
                  <w:vAlign w:val="center"/>
                </w:tcPr>
                <w:p>
                  <w:pPr>
                    <w:jc w:val="center"/>
                  </w:pPr>
                  <w:r>
                    <w:rPr>
                      <w:rFonts w:ascii="Arial" w:hAnsi="Arial" w:eastAsia="Arial" w:cs="Arial"/>
                      <w:sz w:val="20"/>
                    </w:rPr>
                    <w:t>6</w:t>
                  </w:r>
                </w:p>
              </w:tc>
              <w:tc>
                <w:tcPr>
                  <w:tcW w:w="0" w:type="auto"/>
                  <w:shd w:val="clear" w:color="auto" w:fill="FFFFFF"/>
                  <w:vAlign w:val="center"/>
                </w:tcPr>
                <w:p>
                  <w:pPr>
                    <w:jc w:val="center"/>
                  </w:pPr>
                  <w:r>
                    <w:rPr>
                      <w:rFonts w:ascii="Arial" w:hAnsi="Arial" w:eastAsia="Arial" w:cs="Arial"/>
                      <w:sz w:val="20"/>
                    </w:rPr>
                    <w:t>淮南茂本商贸-声屏障</w:t>
                  </w:r>
                </w:p>
              </w:tc>
              <w:tc>
                <w:tcPr>
                  <w:tcW w:w="0" w:type="auto"/>
                  <w:shd w:val="clear" w:color="auto" w:fill="FFFFFF"/>
                  <w:vAlign w:val="center"/>
                </w:tcPr>
                <w:p>
                  <w:pPr>
                    <w:jc w:val="center"/>
                  </w:pPr>
                  <w:r>
                    <w:rPr>
                      <w:rFonts w:ascii="Arial" w:hAnsi="Arial" w:eastAsia="Arial" w:cs="Arial"/>
                      <w:sz w:val="20"/>
                    </w:rPr>
                    <w:t>磨光机4</w:t>
                  </w:r>
                </w:p>
              </w:tc>
              <w:tc>
                <w:tcPr>
                  <w:tcW w:w="0" w:type="auto"/>
                  <w:shd w:val="clear" w:color="auto" w:fill="FFFFFF"/>
                  <w:vAlign w:val="center"/>
                </w:tcPr>
                <w:p>
                  <w:pPr>
                    <w:jc w:val="center"/>
                  </w:pPr>
                  <w:r>
                    <w:rPr>
                      <w:rFonts w:hint="eastAsia"/>
                      <w:lang w:val="en-US" w:eastAsia="zh-CN"/>
                    </w:rPr>
                    <w:t>/</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75</w:t>
                  </w:r>
                </w:p>
              </w:tc>
              <w:tc>
                <w:tcPr>
                  <w:tcW w:w="0" w:type="auto"/>
                  <w:vMerge w:val="continue"/>
                  <w:shd w:val="clear" w:color="auto" w:fill="FFFFFF"/>
                  <w:vAlign w:val="center"/>
                </w:tcPr>
                <w:p>
                  <w:pPr>
                    <w:jc w:val="center"/>
                  </w:pP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25.1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29.1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3.3</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59.0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61.6</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09:00-17:00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20.6</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0" w:type="auto"/>
                  <w:shd w:val="clear" w:color="auto" w:fill="FFFFFF"/>
                  <w:vAlign w:val="center"/>
                </w:tcPr>
                <w:p>
                  <w:pPr>
                    <w:jc w:val="center"/>
                  </w:pPr>
                  <w:r>
                    <w:rPr>
                      <w:rFonts w:ascii="Arial" w:hAnsi="Arial" w:eastAsia="Arial" w:cs="Arial"/>
                      <w:sz w:val="20"/>
                    </w:rPr>
                    <w:t>7</w:t>
                  </w:r>
                </w:p>
              </w:tc>
              <w:tc>
                <w:tcPr>
                  <w:tcW w:w="0" w:type="auto"/>
                  <w:shd w:val="clear" w:color="auto" w:fill="FFFFFF"/>
                  <w:vAlign w:val="center"/>
                </w:tcPr>
                <w:p>
                  <w:pPr>
                    <w:jc w:val="center"/>
                  </w:pPr>
                  <w:r>
                    <w:rPr>
                      <w:rFonts w:ascii="Arial" w:hAnsi="Arial" w:eastAsia="Arial" w:cs="Arial"/>
                      <w:sz w:val="20"/>
                    </w:rPr>
                    <w:t>淮南茂本商贸-声屏障</w:t>
                  </w:r>
                </w:p>
              </w:tc>
              <w:tc>
                <w:tcPr>
                  <w:tcW w:w="0" w:type="auto"/>
                  <w:shd w:val="clear" w:color="auto" w:fill="FFFFFF"/>
                  <w:vAlign w:val="center"/>
                </w:tcPr>
                <w:p>
                  <w:pPr>
                    <w:jc w:val="center"/>
                  </w:pPr>
                  <w:r>
                    <w:rPr>
                      <w:rFonts w:ascii="Arial" w:hAnsi="Arial" w:eastAsia="Arial" w:cs="Arial"/>
                      <w:sz w:val="20"/>
                    </w:rPr>
                    <w:t>磨光机5</w:t>
                  </w:r>
                </w:p>
              </w:tc>
              <w:tc>
                <w:tcPr>
                  <w:tcW w:w="0" w:type="auto"/>
                  <w:shd w:val="clear" w:color="auto" w:fill="FFFFFF"/>
                  <w:vAlign w:val="center"/>
                </w:tcPr>
                <w:p>
                  <w:pPr>
                    <w:jc w:val="center"/>
                  </w:pPr>
                  <w:r>
                    <w:rPr>
                      <w:rFonts w:hint="eastAsia"/>
                      <w:lang w:val="en-US" w:eastAsia="zh-CN"/>
                    </w:rPr>
                    <w:t>/</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75</w:t>
                  </w:r>
                </w:p>
              </w:tc>
              <w:tc>
                <w:tcPr>
                  <w:tcW w:w="0" w:type="auto"/>
                  <w:vMerge w:val="continue"/>
                  <w:shd w:val="clear" w:color="auto" w:fill="FFFFFF"/>
                  <w:vAlign w:val="center"/>
                </w:tcPr>
                <w:p>
                  <w:pPr>
                    <w:jc w:val="center"/>
                  </w:pP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-2.4</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29.1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14.0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54.8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9.3</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61.3</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09:00-17:00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20.3</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0" w:type="auto"/>
                  <w:shd w:val="clear" w:color="auto" w:fill="FFFFFF"/>
                  <w:vAlign w:val="center"/>
                </w:tcPr>
                <w:p>
                  <w:pPr>
                    <w:jc w:val="center"/>
                  </w:pPr>
                  <w:r>
                    <w:rPr>
                      <w:rFonts w:ascii="Arial" w:hAnsi="Arial" w:eastAsia="Arial" w:cs="Arial"/>
                      <w:sz w:val="20"/>
                    </w:rPr>
                    <w:t>8</w:t>
                  </w:r>
                </w:p>
              </w:tc>
              <w:tc>
                <w:tcPr>
                  <w:tcW w:w="0" w:type="auto"/>
                  <w:shd w:val="clear" w:color="auto" w:fill="FFFFFF"/>
                  <w:vAlign w:val="center"/>
                </w:tcPr>
                <w:p>
                  <w:pPr>
                    <w:jc w:val="center"/>
                  </w:pPr>
                  <w:r>
                    <w:rPr>
                      <w:rFonts w:ascii="Arial" w:hAnsi="Arial" w:eastAsia="Arial" w:cs="Arial"/>
                      <w:sz w:val="20"/>
                    </w:rPr>
                    <w:t>淮南茂本商贸-声屏障</w:t>
                  </w:r>
                </w:p>
              </w:tc>
              <w:tc>
                <w:tcPr>
                  <w:tcW w:w="0" w:type="auto"/>
                  <w:shd w:val="clear" w:color="auto" w:fill="FFFFFF"/>
                  <w:vAlign w:val="center"/>
                </w:tcPr>
                <w:p>
                  <w:pPr>
                    <w:jc w:val="center"/>
                  </w:pPr>
                  <w:r>
                    <w:rPr>
                      <w:rFonts w:ascii="Arial" w:hAnsi="Arial" w:eastAsia="Arial" w:cs="Arial"/>
                      <w:sz w:val="20"/>
                    </w:rPr>
                    <w:t>除锈机</w:t>
                  </w:r>
                </w:p>
              </w:tc>
              <w:tc>
                <w:tcPr>
                  <w:tcW w:w="0" w:type="auto"/>
                  <w:shd w:val="clear" w:color="auto" w:fill="FFFFFF"/>
                  <w:vAlign w:val="center"/>
                </w:tcPr>
                <w:p>
                  <w:pPr>
                    <w:jc w:val="center"/>
                  </w:pPr>
                  <w:r>
                    <w:rPr>
                      <w:rFonts w:hint="eastAsia"/>
                      <w:lang w:val="en-US" w:eastAsia="zh-CN"/>
                    </w:rPr>
                    <w:t>/</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75</w:t>
                  </w:r>
                </w:p>
              </w:tc>
              <w:tc>
                <w:tcPr>
                  <w:tcW w:w="0" w:type="auto"/>
                  <w:vMerge w:val="continue"/>
                  <w:shd w:val="clear" w:color="auto" w:fill="FFFFFF"/>
                  <w:vAlign w:val="center"/>
                </w:tcPr>
                <w:p>
                  <w:pPr>
                    <w:jc w:val="center"/>
                  </w:pP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13.1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-3.4</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29.0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21.8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47.0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10.3</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61.7</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09:00-17:00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20.7</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0" w:type="auto"/>
                  <w:shd w:val="clear" w:color="auto" w:fill="FFFFFF"/>
                  <w:vAlign w:val="center"/>
                </w:tcPr>
                <w:p>
                  <w:pPr>
                    <w:jc w:val="center"/>
                  </w:pPr>
                  <w:r>
                    <w:rPr>
                      <w:rFonts w:ascii="Arial" w:hAnsi="Arial" w:eastAsia="Arial" w:cs="Arial"/>
                      <w:sz w:val="20"/>
                    </w:rPr>
                    <w:t>9</w:t>
                  </w:r>
                </w:p>
              </w:tc>
              <w:tc>
                <w:tcPr>
                  <w:tcW w:w="0" w:type="auto"/>
                  <w:shd w:val="clear" w:color="auto" w:fill="FFFFFF"/>
                  <w:vAlign w:val="center"/>
                </w:tcPr>
                <w:p>
                  <w:pPr>
                    <w:jc w:val="center"/>
                  </w:pPr>
                  <w:r>
                    <w:rPr>
                      <w:rFonts w:ascii="Arial" w:hAnsi="Arial" w:eastAsia="Arial" w:cs="Arial"/>
                      <w:sz w:val="20"/>
                    </w:rPr>
                    <w:t>淮南茂本商贸-声屏障</w:t>
                  </w:r>
                </w:p>
              </w:tc>
              <w:tc>
                <w:tcPr>
                  <w:tcW w:w="0" w:type="auto"/>
                  <w:shd w:val="clear" w:color="auto" w:fill="FFFFFF"/>
                  <w:vAlign w:val="center"/>
                </w:tcPr>
                <w:p>
                  <w:pPr>
                    <w:jc w:val="center"/>
                  </w:pPr>
                  <w:r>
                    <w:rPr>
                      <w:rFonts w:ascii="Arial" w:hAnsi="Arial" w:eastAsia="Arial" w:cs="Arial"/>
                      <w:sz w:val="20"/>
                    </w:rPr>
                    <w:t>推铁环机</w:t>
                  </w:r>
                </w:p>
              </w:tc>
              <w:tc>
                <w:tcPr>
                  <w:tcW w:w="0" w:type="auto"/>
                  <w:shd w:val="clear" w:color="auto" w:fill="FFFFFF"/>
                  <w:vAlign w:val="center"/>
                </w:tcPr>
                <w:p>
                  <w:pPr>
                    <w:jc w:val="center"/>
                  </w:pPr>
                  <w:r>
                    <w:rPr>
                      <w:rFonts w:hint="eastAsia"/>
                      <w:lang w:val="en-US" w:eastAsia="zh-CN"/>
                    </w:rPr>
                    <w:t>/</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70</w:t>
                  </w:r>
                </w:p>
              </w:tc>
              <w:tc>
                <w:tcPr>
                  <w:tcW w:w="0" w:type="auto"/>
                  <w:vMerge w:val="continue"/>
                  <w:shd w:val="clear" w:color="auto" w:fill="FFFFFF"/>
                  <w:vAlign w:val="center"/>
                </w:tcPr>
                <w:p>
                  <w:pPr>
                    <w:jc w:val="center"/>
                  </w:pP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29.0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27.9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3.3</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40.9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55.8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56.6</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55.8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55.9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09:00-17:00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14.8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15.6</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14.8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14.9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0" w:type="auto"/>
                  <w:shd w:val="clear" w:color="auto" w:fill="FFFFFF"/>
                  <w:vAlign w:val="center"/>
                </w:tcPr>
                <w:p>
                  <w:pPr>
                    <w:jc w:val="center"/>
                  </w:pPr>
                  <w:r>
                    <w:rPr>
                      <w:rFonts w:ascii="Arial" w:hAnsi="Arial" w:eastAsia="Arial" w:cs="Arial"/>
                      <w:sz w:val="20"/>
                    </w:rPr>
                    <w:t>10</w:t>
                  </w:r>
                </w:p>
              </w:tc>
              <w:tc>
                <w:tcPr>
                  <w:tcW w:w="0" w:type="auto"/>
                  <w:shd w:val="clear" w:color="auto" w:fill="FFFFFF"/>
                  <w:vAlign w:val="center"/>
                </w:tcPr>
                <w:p>
                  <w:pPr>
                    <w:jc w:val="center"/>
                  </w:pPr>
                  <w:r>
                    <w:rPr>
                      <w:rFonts w:ascii="Arial" w:hAnsi="Arial" w:eastAsia="Arial" w:cs="Arial"/>
                      <w:sz w:val="20"/>
                    </w:rPr>
                    <w:t>淮南茂本商贸-声屏障</w:t>
                  </w:r>
                </w:p>
              </w:tc>
              <w:tc>
                <w:tcPr>
                  <w:tcW w:w="0" w:type="auto"/>
                  <w:shd w:val="clear" w:color="auto" w:fill="FFFFFF"/>
                  <w:vAlign w:val="center"/>
                </w:tcPr>
                <w:p>
                  <w:pPr>
                    <w:jc w:val="center"/>
                  </w:pPr>
                  <w:r>
                    <w:rPr>
                      <w:rFonts w:ascii="Arial" w:hAnsi="Arial" w:eastAsia="Arial" w:cs="Arial"/>
                      <w:sz w:val="20"/>
                    </w:rPr>
                    <w:t>车床1</w:t>
                  </w:r>
                </w:p>
              </w:tc>
              <w:tc>
                <w:tcPr>
                  <w:tcW w:w="0" w:type="auto"/>
                  <w:shd w:val="clear" w:color="auto" w:fill="FFFFFF"/>
                  <w:vAlign w:val="center"/>
                </w:tcPr>
                <w:p>
                  <w:pPr>
                    <w:jc w:val="center"/>
                  </w:pPr>
                  <w:r>
                    <w:rPr>
                      <w:rFonts w:hint="eastAsia"/>
                      <w:lang w:val="en-US" w:eastAsia="zh-CN"/>
                    </w:rPr>
                    <w:t>/</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75</w:t>
                  </w:r>
                </w:p>
              </w:tc>
              <w:tc>
                <w:tcPr>
                  <w:tcW w:w="0" w:type="auto"/>
                  <w:vMerge w:val="continue"/>
                  <w:shd w:val="clear" w:color="auto" w:fill="FFFFFF"/>
                  <w:vAlign w:val="center"/>
                </w:tcPr>
                <w:p>
                  <w:pPr>
                    <w:jc w:val="center"/>
                  </w:pP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-3.5</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28.8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38.4</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3.3</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30.4</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61.6</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09:00-17:00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20.6</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0" w:type="auto"/>
                  <w:shd w:val="clear" w:color="auto" w:fill="FFFFFF"/>
                  <w:vAlign w:val="center"/>
                </w:tcPr>
                <w:p>
                  <w:pPr>
                    <w:jc w:val="center"/>
                  </w:pPr>
                  <w:r>
                    <w:rPr>
                      <w:rFonts w:ascii="Arial" w:hAnsi="Arial" w:eastAsia="Arial" w:cs="Arial"/>
                      <w:sz w:val="20"/>
                    </w:rPr>
                    <w:t>11</w:t>
                  </w:r>
                </w:p>
              </w:tc>
              <w:tc>
                <w:tcPr>
                  <w:tcW w:w="0" w:type="auto"/>
                  <w:shd w:val="clear" w:color="auto" w:fill="FFFFFF"/>
                  <w:vAlign w:val="center"/>
                </w:tcPr>
                <w:p>
                  <w:pPr>
                    <w:jc w:val="center"/>
                  </w:pPr>
                  <w:r>
                    <w:rPr>
                      <w:rFonts w:ascii="Arial" w:hAnsi="Arial" w:eastAsia="Arial" w:cs="Arial"/>
                      <w:sz w:val="20"/>
                    </w:rPr>
                    <w:t>淮南茂本商贸-声屏障</w:t>
                  </w:r>
                </w:p>
              </w:tc>
              <w:tc>
                <w:tcPr>
                  <w:tcW w:w="0" w:type="auto"/>
                  <w:shd w:val="clear" w:color="auto" w:fill="FFFFFF"/>
                  <w:vAlign w:val="center"/>
                </w:tcPr>
                <w:p>
                  <w:pPr>
                    <w:jc w:val="center"/>
                  </w:pPr>
                  <w:r>
                    <w:rPr>
                      <w:rFonts w:ascii="Arial" w:hAnsi="Arial" w:eastAsia="Arial" w:cs="Arial"/>
                      <w:sz w:val="20"/>
                    </w:rPr>
                    <w:t>车床2</w:t>
                  </w:r>
                </w:p>
              </w:tc>
              <w:tc>
                <w:tcPr>
                  <w:tcW w:w="0" w:type="auto"/>
                  <w:shd w:val="clear" w:color="auto" w:fill="FFFFFF"/>
                  <w:vAlign w:val="center"/>
                </w:tcPr>
                <w:p>
                  <w:pPr>
                    <w:jc w:val="center"/>
                  </w:pPr>
                  <w:r>
                    <w:rPr>
                      <w:rFonts w:hint="eastAsia"/>
                      <w:lang w:val="en-US" w:eastAsia="zh-CN"/>
                    </w:rPr>
                    <w:t>/</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75</w:t>
                  </w:r>
                </w:p>
              </w:tc>
              <w:tc>
                <w:tcPr>
                  <w:tcW w:w="0" w:type="auto"/>
                  <w:vMerge w:val="continue"/>
                  <w:shd w:val="clear" w:color="auto" w:fill="FFFFFF"/>
                  <w:vAlign w:val="center"/>
                </w:tcPr>
                <w:p>
                  <w:pPr>
                    <w:jc w:val="center"/>
                  </w:pP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-3.4</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28.8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41.7</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27.1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10.3</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61.7</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09:00-17:00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20.7</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0" w:type="auto"/>
                  <w:shd w:val="clear" w:color="auto" w:fill="FFFFFF"/>
                  <w:vAlign w:val="center"/>
                </w:tcPr>
                <w:p>
                  <w:pPr>
                    <w:jc w:val="center"/>
                  </w:pPr>
                  <w:r>
                    <w:rPr>
                      <w:rFonts w:ascii="Arial" w:hAnsi="Arial" w:eastAsia="Arial" w:cs="Arial"/>
                      <w:sz w:val="20"/>
                    </w:rPr>
                    <w:t>12</w:t>
                  </w:r>
                </w:p>
              </w:tc>
              <w:tc>
                <w:tcPr>
                  <w:tcW w:w="0" w:type="auto"/>
                  <w:shd w:val="clear" w:color="auto" w:fill="FFFFFF"/>
                  <w:vAlign w:val="center"/>
                </w:tcPr>
                <w:p>
                  <w:pPr>
                    <w:jc w:val="center"/>
                  </w:pPr>
                  <w:r>
                    <w:rPr>
                      <w:rFonts w:ascii="Arial" w:hAnsi="Arial" w:eastAsia="Arial" w:cs="Arial"/>
                      <w:sz w:val="20"/>
                    </w:rPr>
                    <w:t>淮南茂本商贸-声屏障</w:t>
                  </w:r>
                </w:p>
              </w:tc>
              <w:tc>
                <w:tcPr>
                  <w:tcW w:w="0" w:type="auto"/>
                  <w:shd w:val="clear" w:color="auto" w:fill="FFFFFF"/>
                  <w:vAlign w:val="center"/>
                </w:tcPr>
                <w:p>
                  <w:pPr>
                    <w:jc w:val="center"/>
                  </w:pPr>
                  <w:r>
                    <w:rPr>
                      <w:rFonts w:ascii="Arial" w:hAnsi="Arial" w:eastAsia="Arial" w:cs="Arial"/>
                      <w:sz w:val="20"/>
                    </w:rPr>
                    <w:t>车床3</w:t>
                  </w:r>
                </w:p>
              </w:tc>
              <w:tc>
                <w:tcPr>
                  <w:tcW w:w="0" w:type="auto"/>
                  <w:shd w:val="clear" w:color="auto" w:fill="FFFFFF"/>
                  <w:vAlign w:val="center"/>
                </w:tcPr>
                <w:p>
                  <w:pPr>
                    <w:jc w:val="center"/>
                  </w:pPr>
                  <w:r>
                    <w:rPr>
                      <w:rFonts w:hint="eastAsia"/>
                      <w:lang w:val="en-US" w:eastAsia="zh-CN"/>
                    </w:rPr>
                    <w:t>/</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75</w:t>
                  </w:r>
                </w:p>
              </w:tc>
              <w:tc>
                <w:tcPr>
                  <w:tcW w:w="0" w:type="auto"/>
                  <w:vMerge w:val="continue"/>
                  <w:shd w:val="clear" w:color="auto" w:fill="FFFFFF"/>
                  <w:vAlign w:val="center"/>
                </w:tcPr>
                <w:p>
                  <w:pPr>
                    <w:jc w:val="center"/>
                  </w:pP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-10.3</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-3.6</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28.7</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45.2</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23.6</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10.5</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09:00-17:00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0" w:type="auto"/>
                  <w:shd w:val="clear" w:color="auto" w:fill="FFFFFF"/>
                  <w:vAlign w:val="center"/>
                </w:tcPr>
                <w:p>
                  <w:pPr>
                    <w:jc w:val="center"/>
                  </w:pPr>
                  <w:r>
                    <w:rPr>
                      <w:rFonts w:ascii="Arial" w:hAnsi="Arial" w:eastAsia="Arial" w:cs="Arial"/>
                      <w:sz w:val="20"/>
                    </w:rPr>
                    <w:t>13</w:t>
                  </w:r>
                </w:p>
              </w:tc>
              <w:tc>
                <w:tcPr>
                  <w:tcW w:w="0" w:type="auto"/>
                  <w:shd w:val="clear" w:color="auto" w:fill="FFFFFF"/>
                  <w:vAlign w:val="center"/>
                </w:tcPr>
                <w:p>
                  <w:pPr>
                    <w:jc w:val="center"/>
                  </w:pPr>
                  <w:r>
                    <w:rPr>
                      <w:rFonts w:ascii="Arial" w:hAnsi="Arial" w:eastAsia="Arial" w:cs="Arial"/>
                      <w:sz w:val="20"/>
                    </w:rPr>
                    <w:t>淮南茂本商贸-声屏障</w:t>
                  </w:r>
                </w:p>
              </w:tc>
              <w:tc>
                <w:tcPr>
                  <w:tcW w:w="0" w:type="auto"/>
                  <w:shd w:val="clear" w:color="auto" w:fill="FFFFFF"/>
                  <w:vAlign w:val="center"/>
                </w:tcPr>
                <w:p>
                  <w:pPr>
                    <w:jc w:val="center"/>
                  </w:pPr>
                  <w:r>
                    <w:rPr>
                      <w:rFonts w:ascii="Arial" w:hAnsi="Arial" w:eastAsia="Arial" w:cs="Arial"/>
                      <w:sz w:val="20"/>
                    </w:rPr>
                    <w:t>车床4</w:t>
                  </w:r>
                </w:p>
              </w:tc>
              <w:tc>
                <w:tcPr>
                  <w:tcW w:w="0" w:type="auto"/>
                  <w:shd w:val="clear" w:color="auto" w:fill="FFFFFF"/>
                  <w:vAlign w:val="center"/>
                </w:tcPr>
                <w:p>
                  <w:pPr>
                    <w:jc w:val="center"/>
                  </w:pPr>
                  <w:r>
                    <w:rPr>
                      <w:rFonts w:hint="eastAsia"/>
                      <w:lang w:val="en-US" w:eastAsia="zh-CN"/>
                    </w:rPr>
                    <w:t>/</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75</w:t>
                  </w:r>
                </w:p>
              </w:tc>
              <w:tc>
                <w:tcPr>
                  <w:tcW w:w="0" w:type="auto"/>
                  <w:vMerge w:val="continue"/>
                  <w:shd w:val="clear" w:color="auto" w:fill="FFFFFF"/>
                  <w:vAlign w:val="center"/>
                </w:tcPr>
                <w:p>
                  <w:pPr>
                    <w:jc w:val="center"/>
                  </w:pP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-14.3</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28.6</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49.2</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3.5</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19.6</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61.5</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09:00-17:00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20.5</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0" w:type="auto"/>
                  <w:shd w:val="clear" w:color="auto" w:fill="FFFFFF"/>
                  <w:vAlign w:val="center"/>
                </w:tcPr>
                <w:p>
                  <w:pPr>
                    <w:jc w:val="center"/>
                  </w:pPr>
                  <w:r>
                    <w:rPr>
                      <w:rFonts w:ascii="Arial" w:hAnsi="Arial" w:eastAsia="Arial" w:cs="Arial"/>
                      <w:sz w:val="20"/>
                    </w:rPr>
                    <w:t>14</w:t>
                  </w:r>
                </w:p>
              </w:tc>
              <w:tc>
                <w:tcPr>
                  <w:tcW w:w="0" w:type="auto"/>
                  <w:shd w:val="clear" w:color="auto" w:fill="FFFFFF"/>
                  <w:vAlign w:val="center"/>
                </w:tcPr>
                <w:p>
                  <w:pPr>
                    <w:jc w:val="center"/>
                  </w:pPr>
                  <w:r>
                    <w:rPr>
                      <w:rFonts w:ascii="Arial" w:hAnsi="Arial" w:eastAsia="Arial" w:cs="Arial"/>
                      <w:sz w:val="20"/>
                    </w:rPr>
                    <w:t>淮南茂本商贸-声屏障</w:t>
                  </w:r>
                </w:p>
              </w:tc>
              <w:tc>
                <w:tcPr>
                  <w:tcW w:w="0" w:type="auto"/>
                  <w:shd w:val="clear" w:color="auto" w:fill="FFFFFF"/>
                  <w:vAlign w:val="center"/>
                </w:tcPr>
                <w:p>
                  <w:pPr>
                    <w:jc w:val="center"/>
                  </w:pPr>
                  <w:r>
                    <w:rPr>
                      <w:rFonts w:ascii="Arial" w:hAnsi="Arial" w:eastAsia="Arial" w:cs="Arial"/>
                      <w:sz w:val="20"/>
                    </w:rPr>
                    <w:t>车床5</w:t>
                  </w:r>
                </w:p>
              </w:tc>
              <w:tc>
                <w:tcPr>
                  <w:tcW w:w="0" w:type="auto"/>
                  <w:shd w:val="clear" w:color="auto" w:fill="FFFFFF"/>
                  <w:vAlign w:val="center"/>
                </w:tcPr>
                <w:p>
                  <w:pPr>
                    <w:jc w:val="center"/>
                  </w:pPr>
                  <w:r>
                    <w:rPr>
                      <w:rFonts w:hint="eastAsia"/>
                      <w:lang w:val="en-US" w:eastAsia="zh-CN"/>
                    </w:rPr>
                    <w:t>/</w:t>
                  </w:r>
                </w:p>
              </w:tc>
              <w:tc>
                <w:tcPr>
                  <w:tcW w:w="0" w:type="auto"/>
                  <w:shd w:val="clear" w:color="auto" w:fill="FFFFFF"/>
                  <w:vAlign w:val="center"/>
                </w:tcPr>
                <w:p>
                  <w:pPr>
                    <w:jc w:val="center"/>
                  </w:pPr>
                  <w:r>
                    <w:rPr>
                      <w:rFonts w:hint="default" w:ascii="Times New Roman" w:hAnsi="Times New Roman" w:eastAsia="Arial" w:cs="Times New Roman"/>
                      <w:sz w:val="21"/>
                      <w:szCs w:val="21"/>
                    </w:rPr>
                    <w:t>75</w:t>
                  </w:r>
                </w:p>
              </w:tc>
              <w:tc>
                <w:tcPr>
                  <w:tcW w:w="0" w:type="auto"/>
                  <w:shd w:val="clear" w:color="auto" w:fill="FFFFFF"/>
                  <w:vAlign w:val="center"/>
                </w:tcPr>
                <w:p>
                  <w:pPr>
                    <w:jc w:val="center"/>
                  </w:pP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-17.8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28.6</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52.7</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4.3</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16.1</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9.0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61.3</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60.9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09:00-17:00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41.0</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20.3</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19.8</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19.9</w:t>
                  </w:r>
                </w:p>
              </w:tc>
              <w:tc>
                <w:tcPr>
                  <w:tcW w:w="0" w:type="auto"/>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1</w:t>
                  </w:r>
                </w:p>
              </w:tc>
            </w:tr>
            <w:bookmarkEnd w:id="27"/>
          </w:tbl>
          <w:p>
            <w:pPr>
              <w:rPr>
                <w:rFonts w:hint="default" w:ascii="Times New Roman" w:hAnsi="Times New Roman" w:cs="Times New Roman" w:eastAsiaTheme="minorEastAsia"/>
                <w:b w:val="0"/>
                <w:bCs/>
                <w:sz w:val="21"/>
                <w:szCs w:val="21"/>
                <w:lang w:val="en-US" w:eastAsia="zh-CN"/>
              </w:rPr>
            </w:pPr>
          </w:p>
          <w:p>
            <w:pPr>
              <w:rPr>
                <w:rFonts w:ascii="Times New Roman" w:hAnsi="Times New Roman" w:cs="Times New Roman"/>
              </w:rPr>
            </w:pPr>
            <w:r>
              <w:rPr>
                <w:rFonts w:hint="default" w:ascii="Times New Roman" w:hAnsi="Times New Roman" w:cs="Times New Roman" w:eastAsiaTheme="minorEastAsia"/>
                <w:b w:val="0"/>
                <w:bCs/>
                <w:sz w:val="21"/>
                <w:szCs w:val="21"/>
                <w:lang w:val="en-US" w:eastAsia="zh-CN"/>
              </w:rPr>
              <w:t>表中坐标以厂界中心（</w:t>
            </w:r>
            <w:bookmarkStart w:id="28" w:name="PO_7"/>
            <w:r>
              <w:rPr>
                <w:rFonts w:hint="eastAsia" w:ascii="Times New Roman" w:hAnsi="Times New Roman" w:eastAsia="宋体" w:cs="Times New Roman"/>
                <w:sz w:val="21"/>
                <w:szCs w:val="21"/>
                <w:lang w:val="en-US" w:eastAsia="zh-CN"/>
              </w:rPr>
              <w:t>117.</w:t>
            </w:r>
            <w:r>
              <w:rPr>
                <w:rFonts w:hint="eastAsia" w:cs="Times New Roman"/>
                <w:sz w:val="21"/>
                <w:szCs w:val="21"/>
                <w:lang w:val="en-US" w:eastAsia="zh-CN"/>
              </w:rPr>
              <w:t>048217657</w:t>
            </w:r>
            <w:r>
              <w:rPr>
                <w:rFonts w:hint="eastAsia" w:ascii="Times New Roman" w:hAnsi="Times New Roman" w:cs="Times New Roman" w:eastAsiaTheme="minorEastAsia"/>
                <w:b w:val="0"/>
                <w:bCs/>
                <w:sz w:val="21"/>
                <w:szCs w:val="21"/>
                <w:lang w:val="en-US" w:eastAsia="zh-CN"/>
              </w:rPr>
              <w:t>，</w:t>
            </w:r>
            <w:bookmarkEnd w:id="28"/>
            <w:r>
              <w:rPr>
                <w:rFonts w:hint="eastAsia" w:ascii="Times New Roman" w:hAnsi="Times New Roman" w:eastAsia="宋体" w:cs="Times New Roman"/>
                <w:sz w:val="21"/>
                <w:szCs w:val="21"/>
                <w:lang w:val="en-US" w:eastAsia="zh-CN"/>
              </w:rPr>
              <w:t>32.</w:t>
            </w:r>
            <w:r>
              <w:rPr>
                <w:rFonts w:hint="eastAsia" w:cs="Times New Roman"/>
                <w:sz w:val="21"/>
                <w:szCs w:val="21"/>
                <w:lang w:val="en-US" w:eastAsia="zh-CN"/>
              </w:rPr>
              <w:t>652973546</w:t>
            </w:r>
            <w:r>
              <w:rPr>
                <w:rFonts w:hint="default" w:ascii="Times New Roman" w:hAnsi="Times New Roman" w:cs="Times New Roman" w:eastAsiaTheme="minorEastAsia"/>
                <w:b w:val="0"/>
                <w:bCs/>
                <w:sz w:val="21"/>
                <w:szCs w:val="21"/>
                <w:lang w:val="en-US" w:eastAsia="zh-CN"/>
              </w:rPr>
              <w:t>）为坐标原点，正东向为X轴正方向，正北向为Y轴正方向</w:t>
            </w:r>
          </w:p>
          <w:p>
            <w:pPr>
              <w:pStyle w:val="87"/>
              <w:widowControl w:val="0"/>
              <w:numPr>
                <w:ilvl w:val="0"/>
                <w:numId w:val="0"/>
              </w:numPr>
              <w:jc w:val="both"/>
              <w:rPr>
                <w:rFonts w:hint="eastAsia"/>
                <w:sz w:val="24"/>
                <w:vertAlign w:val="baseline"/>
                <w:lang w:eastAsia="zh-CN"/>
              </w:rPr>
            </w:pPr>
          </w:p>
        </w:tc>
      </w:tr>
    </w:tbl>
    <w:p>
      <w:pPr>
        <w:pStyle w:val="87"/>
        <w:widowControl w:val="0"/>
        <w:numPr>
          <w:ilvl w:val="0"/>
          <w:numId w:val="0"/>
        </w:numPr>
        <w:jc w:val="both"/>
        <w:rPr>
          <w:rFonts w:hint="eastAsia"/>
          <w:sz w:val="24"/>
          <w:lang w:eastAsia="zh-CN"/>
        </w:rPr>
        <w:sectPr>
          <w:pgSz w:w="16840" w:h="11907" w:orient="landscape"/>
          <w:pgMar w:top="1531" w:right="1701" w:bottom="1531" w:left="2127" w:header="851" w:footer="851" w:gutter="0"/>
          <w:pgBorders>
            <w:top w:val="none" w:sz="0" w:space="0"/>
            <w:left w:val="none" w:sz="0" w:space="0"/>
            <w:bottom w:val="none" w:sz="0" w:space="0"/>
            <w:right w:val="none" w:sz="0" w:space="0"/>
          </w:pgBorders>
          <w:cols w:space="720" w:num="1"/>
          <w:docGrid w:linePitch="312" w:charSpace="0"/>
        </w:sect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
        <w:gridCol w:w="8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pStyle w:val="87"/>
              <w:widowControl w:val="0"/>
              <w:numPr>
                <w:ilvl w:val="0"/>
                <w:numId w:val="0"/>
              </w:numPr>
              <w:jc w:val="both"/>
              <w:rPr>
                <w:rFonts w:hint="eastAsia"/>
                <w:sz w:val="24"/>
                <w:vertAlign w:val="baseline"/>
                <w:lang w:eastAsia="zh-CN"/>
              </w:rPr>
            </w:pPr>
          </w:p>
        </w:tc>
        <w:tc>
          <w:tcPr>
            <w:tcW w:w="8605" w:type="dxa"/>
          </w:tcPr>
          <w:p>
            <w:pPr>
              <w:pStyle w:val="11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r>
              <w:rPr>
                <w:rFonts w:hint="eastAsia" w:cs="Times New Roman"/>
                <w:sz w:val="24"/>
                <w:szCs w:val="24"/>
                <w:lang w:val="en-US" w:eastAsia="zh-CN"/>
              </w:rPr>
              <w:t>3、预测结果</w:t>
            </w:r>
          </w:p>
          <w:p>
            <w:pPr>
              <w:snapToGrid w:val="0"/>
              <w:spacing w:line="360" w:lineRule="auto"/>
              <w:ind w:firstLine="480" w:firstLineChars="200"/>
              <w:rPr>
                <w:rFonts w:ascii="Times New Roman" w:hAnsi="Times New Roman" w:cs="Times New Roman" w:eastAsiaTheme="minorEastAsia"/>
                <w:color w:val="302116"/>
                <w:sz w:val="24"/>
                <w:szCs w:val="24"/>
                <w:lang w:eastAsia="zh-CN"/>
              </w:rPr>
            </w:pPr>
            <w:r>
              <w:rPr>
                <w:rFonts w:ascii="Times New Roman" w:hAnsi="Times New Roman" w:cs="Times New Roman" w:eastAsiaTheme="minorEastAsia"/>
                <w:color w:val="302116"/>
                <w:sz w:val="24"/>
                <w:szCs w:val="24"/>
                <w:lang w:eastAsia="zh-CN"/>
              </w:rPr>
              <w:t>通过预测模型计算，项目厂界噪声预测结果与达标分析见表</w:t>
            </w:r>
            <w:r>
              <w:rPr>
                <w:rFonts w:hint="eastAsia" w:ascii="Times New Roman" w:hAnsi="Times New Roman" w:cs="Times New Roman" w:eastAsiaTheme="minorEastAsia"/>
                <w:color w:val="302116"/>
                <w:sz w:val="24"/>
                <w:szCs w:val="24"/>
                <w:lang w:val="en-US" w:eastAsia="zh-CN"/>
              </w:rPr>
              <w:t>4-13</w:t>
            </w:r>
            <w:r>
              <w:rPr>
                <w:rFonts w:ascii="Times New Roman" w:hAnsi="Times New Roman" w:cs="Times New Roman" w:eastAsiaTheme="minorEastAsia"/>
                <w:color w:val="302116"/>
                <w:sz w:val="24"/>
                <w:szCs w:val="24"/>
                <w:lang w:eastAsia="zh-CN"/>
              </w:rPr>
              <w:t>。</w:t>
            </w:r>
          </w:p>
          <w:p>
            <w:pPr>
              <w:adjustRightInd w:val="0"/>
              <w:snapToGrid w:val="0"/>
              <w:jc w:val="center"/>
              <w:rPr>
                <w:rFonts w:cs="Times New Roman" w:asciiTheme="minorEastAsia" w:hAnsiTheme="minorEastAsia" w:eastAsiaTheme="minorEastAsia"/>
                <w:b/>
                <w:sz w:val="21"/>
                <w:szCs w:val="21"/>
                <w:lang w:eastAsia="zh-CN"/>
              </w:rPr>
            </w:pPr>
            <w:r>
              <w:rPr>
                <w:rFonts w:cs="Times New Roman" w:asciiTheme="minorEastAsia" w:hAnsiTheme="minorEastAsia" w:eastAsiaTheme="minorEastAsia"/>
                <w:b/>
                <w:sz w:val="21"/>
                <w:szCs w:val="21"/>
                <w:lang w:eastAsia="zh-CN"/>
              </w:rPr>
              <w:t>表</w:t>
            </w:r>
            <w:r>
              <w:rPr>
                <w:rFonts w:hint="eastAsia" w:ascii="Times New Roman" w:hAnsi="Times New Roman" w:cs="Times New Roman" w:eastAsiaTheme="minorEastAsia"/>
                <w:b/>
                <w:sz w:val="21"/>
                <w:szCs w:val="21"/>
                <w:lang w:val="en-US" w:eastAsia="zh-CN"/>
              </w:rPr>
              <w:t>4-13</w:t>
            </w:r>
            <w:r>
              <w:rPr>
                <w:rFonts w:ascii="Times New Roman" w:hAnsi="Times New Roman" w:cs="Times New Roman" w:eastAsiaTheme="minorEastAsia"/>
                <w:b/>
                <w:sz w:val="21"/>
                <w:szCs w:val="21"/>
                <w:lang w:eastAsia="zh-CN"/>
              </w:rPr>
              <w:t xml:space="preserve"> </w:t>
            </w:r>
            <w:r>
              <w:rPr>
                <w:rFonts w:cs="Times New Roman" w:asciiTheme="minorEastAsia" w:hAnsiTheme="minorEastAsia" w:eastAsiaTheme="minorEastAsia"/>
                <w:b/>
                <w:sz w:val="21"/>
                <w:szCs w:val="21"/>
                <w:lang w:eastAsia="zh-CN"/>
              </w:rPr>
              <w:t xml:space="preserve"> 厂界噪声预测结果与达标分析表</w:t>
            </w:r>
            <w:bookmarkStart w:id="29" w:name="PT_7"/>
          </w:p>
          <w:p>
            <w:pPr>
              <w:adjustRightInd w:val="0"/>
              <w:snapToGrid w:val="0"/>
              <w:jc w:val="center"/>
              <w:rPr>
                <w:rFonts w:ascii="Times New Roman" w:hAnsi="Times New Roman" w:cs="Times New Roman"/>
                <w:b/>
                <w:sz w:val="21"/>
                <w:szCs w:val="21"/>
                <w:lang w:eastAsia="zh-CN"/>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8"/>
              <w:gridCol w:w="798"/>
              <w:gridCol w:w="795"/>
              <w:gridCol w:w="798"/>
              <w:gridCol w:w="982"/>
              <w:gridCol w:w="1412"/>
              <w:gridCol w:w="1413"/>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exact"/>
                <w:jc w:val="center"/>
              </w:trPr>
              <w:tc>
                <w:tcPr>
                  <w:tcW w:w="1099" w:type="dxa"/>
                  <w:vMerge w:val="restar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预测方位</w:t>
                  </w:r>
                </w:p>
              </w:tc>
              <w:tc>
                <w:tcPr>
                  <w:tcW w:w="2406" w:type="dxa"/>
                  <w:gridSpan w:val="3"/>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b/>
                      <w:sz w:val="21"/>
                      <w:szCs w:val="21"/>
                      <w:lang w:val="en-US" w:eastAsia="zh-CN"/>
                    </w:rPr>
                    <w:t>最大值点</w:t>
                  </w:r>
                  <w:r>
                    <w:rPr>
                      <w:rFonts w:ascii="Times New Roman" w:hAnsi="Times New Roman" w:cs="Times New Roman" w:eastAsiaTheme="minorEastAsia"/>
                      <w:b/>
                      <w:sz w:val="21"/>
                      <w:szCs w:val="21"/>
                    </w:rPr>
                    <w:t>空间相对位置/m</w:t>
                  </w:r>
                </w:p>
              </w:tc>
              <w:tc>
                <w:tcPr>
                  <w:tcW w:w="991" w:type="dxa"/>
                  <w:vMerge w:val="restar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时段</w:t>
                  </w:r>
                </w:p>
              </w:tc>
              <w:tc>
                <w:tcPr>
                  <w:tcW w:w="1416" w:type="dxa"/>
                  <w:vMerge w:val="restart"/>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b/>
                      <w:sz w:val="21"/>
                      <w:szCs w:val="21"/>
                    </w:rPr>
                    <w:t>贡献值</w:t>
                  </w:r>
                  <w:r>
                    <w:rPr>
                      <w:rFonts w:ascii="Times New Roman" w:hAnsi="Times New Roman" w:cs="Times New Roman" w:eastAsiaTheme="minorEastAsia"/>
                      <w:b/>
                      <w:sz w:val="21"/>
                      <w:szCs w:val="21"/>
                    </w:rPr>
                    <w:t>（dB(A)）</w:t>
                  </w:r>
                </w:p>
              </w:tc>
              <w:tc>
                <w:tcPr>
                  <w:tcW w:w="1417" w:type="dxa"/>
                  <w:vMerge w:val="restar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标准限值（dB(A)）</w:t>
                  </w:r>
                </w:p>
              </w:tc>
              <w:tc>
                <w:tcPr>
                  <w:tcW w:w="1185" w:type="dxa"/>
                  <w:vMerge w:val="restar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99" w:type="dxa"/>
                  <w:vMerge w:val="continue"/>
                  <w:shd w:val="clear" w:color="auto" w:fill="FFFFFF"/>
                  <w:vAlign w:val="center"/>
                </w:tcPr>
                <w:p>
                  <w:pPr>
                    <w:jc w:val="center"/>
                    <w:rPr>
                      <w:rFonts w:ascii="Times New Roman" w:hAnsi="Times New Roman" w:cs="Times New Roman" w:eastAsiaTheme="minorEastAsia"/>
                      <w:sz w:val="21"/>
                      <w:szCs w:val="21"/>
                    </w:rPr>
                  </w:pPr>
                </w:p>
              </w:tc>
              <w:tc>
                <w:tcPr>
                  <w:tcW w:w="802" w:type="dxa"/>
                  <w:shd w:val="clear" w:color="auto" w:fill="FFFFFF"/>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X</w:t>
                  </w:r>
                </w:p>
              </w:tc>
              <w:tc>
                <w:tcPr>
                  <w:tcW w:w="802" w:type="dxa"/>
                  <w:shd w:val="clear" w:color="auto" w:fill="FFFFFF"/>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Y</w:t>
                  </w:r>
                </w:p>
              </w:tc>
              <w:tc>
                <w:tcPr>
                  <w:tcW w:w="802" w:type="dxa"/>
                  <w:shd w:val="clear" w:color="auto" w:fill="FFFFFF"/>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Z</w:t>
                  </w:r>
                </w:p>
              </w:tc>
              <w:tc>
                <w:tcPr>
                  <w:tcW w:w="991" w:type="dxa"/>
                  <w:vMerge w:val="continue"/>
                  <w:shd w:val="clear" w:color="auto" w:fill="FFFFFF"/>
                  <w:vAlign w:val="center"/>
                </w:tcPr>
                <w:p>
                  <w:pPr>
                    <w:jc w:val="center"/>
                    <w:rPr>
                      <w:rFonts w:ascii="Times New Roman" w:hAnsi="Times New Roman" w:cs="Times New Roman" w:eastAsiaTheme="minorEastAsia"/>
                      <w:sz w:val="21"/>
                      <w:szCs w:val="21"/>
                    </w:rPr>
                  </w:pPr>
                </w:p>
              </w:tc>
              <w:tc>
                <w:tcPr>
                  <w:tcW w:w="1416" w:type="dxa"/>
                  <w:vMerge w:val="continue"/>
                  <w:shd w:val="clear" w:color="auto" w:fill="FFFFFF"/>
                  <w:vAlign w:val="center"/>
                </w:tcPr>
                <w:p>
                  <w:pPr>
                    <w:jc w:val="center"/>
                    <w:rPr>
                      <w:rFonts w:ascii="Times New Roman" w:hAnsi="Times New Roman" w:cs="Times New Roman" w:eastAsiaTheme="minorEastAsia"/>
                      <w:sz w:val="21"/>
                      <w:szCs w:val="21"/>
                    </w:rPr>
                  </w:pPr>
                </w:p>
              </w:tc>
              <w:tc>
                <w:tcPr>
                  <w:tcW w:w="1417" w:type="dxa"/>
                  <w:vMerge w:val="continue"/>
                  <w:shd w:val="clear" w:color="auto" w:fill="FFFFFF"/>
                  <w:vAlign w:val="center"/>
                </w:tcPr>
                <w:p>
                  <w:pPr>
                    <w:jc w:val="center"/>
                    <w:rPr>
                      <w:rFonts w:ascii="Times New Roman" w:hAnsi="Times New Roman" w:cs="Times New Roman" w:eastAsiaTheme="minorEastAsia"/>
                      <w:sz w:val="21"/>
                      <w:szCs w:val="21"/>
                    </w:rPr>
                  </w:pPr>
                </w:p>
                <w:bookmarkEnd w:id="29"/>
              </w:tc>
              <w:tc>
                <w:tcPr>
                  <w:tcW w:w="1185" w:type="dxa"/>
                  <w:vMerge w:val="continue"/>
                  <w:shd w:val="clear" w:color="auto" w:fill="FFFFFF"/>
                  <w:vAlign w:val="center"/>
                </w:tcPr>
                <w:p>
                  <w:pPr>
                    <w:jc w:val="center"/>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408" w:hRule="exact"/>
                <w:jc w:val="center"/>
              </w:trPr>
              <w:tc>
                <w:tcPr>
                  <w:tcW w:w="1099" w:type="dxa"/>
                  <w:vMerge w:val="restart"/>
                  <w:shd w:val="clear" w:color="auto" w:fill="FFFFFF"/>
                  <w:vAlign w:val="center"/>
                </w:tcPr>
                <w:p>
                  <w:pPr>
                    <w:jc w:val="center"/>
                  </w:pPr>
                  <w:r>
                    <w:rPr>
                      <w:rFonts w:ascii="Arial" w:hAnsi="Arial" w:eastAsia="Arial" w:cs="Arial"/>
                      <w:sz w:val="20"/>
                    </w:rPr>
                    <w:t>东侧</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8.4</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-8</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29</w:t>
                  </w:r>
                </w:p>
              </w:tc>
              <w:tc>
                <w:tcPr>
                  <w:tcW w:w="991" w:type="dxa"/>
                  <w:shd w:val="clear" w:color="auto" w:fill="FFFFFF"/>
                  <w:vAlign w:val="center"/>
                </w:tcPr>
                <w:p>
                  <w:pPr>
                    <w:jc w:val="center"/>
                  </w:pPr>
                  <w:r>
                    <w:rPr>
                      <w:rFonts w:ascii="Arial" w:hAnsi="Arial" w:eastAsia="Arial" w:cs="Arial"/>
                      <w:sz w:val="20"/>
                    </w:rPr>
                    <w:t>昼间</w:t>
                  </w:r>
                </w:p>
              </w:tc>
              <w:tc>
                <w:tcPr>
                  <w:tcW w:w="1416"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37.1</w:t>
                  </w:r>
                </w:p>
              </w:tc>
              <w:tc>
                <w:tcPr>
                  <w:tcW w:w="1417"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65</w:t>
                  </w:r>
                </w:p>
              </w:tc>
              <w:tc>
                <w:tcPr>
                  <w:tcW w:w="1185" w:type="dxa"/>
                  <w:shd w:val="clear" w:color="auto" w:fill="FFFFFF"/>
                  <w:vAlign w:val="center"/>
                </w:tcPr>
                <w:p>
                  <w:pPr>
                    <w:jc w:val="center"/>
                  </w:pPr>
                  <w:r>
                    <w:rPr>
                      <w:rFonts w:ascii="Arial" w:hAnsi="Arial" w:eastAsia="Arial" w:cs="Arial"/>
                      <w:sz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1099" w:type="dxa"/>
                  <w:vMerge w:val="continue"/>
                  <w:shd w:val="clear" w:color="auto" w:fill="FFFFFF"/>
                  <w:vAlign w:val="center"/>
                </w:tcPr>
                <w:p>
                  <w:pPr>
                    <w:jc w:val="center"/>
                  </w:pPr>
                  <w:r>
                    <w:rPr>
                      <w:rFonts w:ascii="Arial" w:hAnsi="Arial" w:eastAsia="Arial" w:cs="Arial"/>
                      <w:sz w:val="20"/>
                    </w:rPr>
                    <w:t>东侧</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8.4</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-8</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29</w:t>
                  </w:r>
                </w:p>
              </w:tc>
              <w:tc>
                <w:tcPr>
                  <w:tcW w:w="991" w:type="dxa"/>
                  <w:shd w:val="clear" w:color="auto" w:fill="FFFFFF"/>
                  <w:vAlign w:val="center"/>
                </w:tcPr>
                <w:p>
                  <w:pPr>
                    <w:jc w:val="center"/>
                  </w:pPr>
                  <w:r>
                    <w:rPr>
                      <w:rFonts w:ascii="Arial" w:hAnsi="Arial" w:eastAsia="Arial" w:cs="Arial"/>
                      <w:sz w:val="20"/>
                    </w:rPr>
                    <w:t>夜间</w:t>
                  </w:r>
                </w:p>
              </w:tc>
              <w:tc>
                <w:tcPr>
                  <w:tcW w:w="1416"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37.1</w:t>
                  </w:r>
                </w:p>
              </w:tc>
              <w:tc>
                <w:tcPr>
                  <w:tcW w:w="1417"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55</w:t>
                  </w:r>
                </w:p>
              </w:tc>
              <w:tc>
                <w:tcPr>
                  <w:tcW w:w="1185" w:type="dxa"/>
                  <w:shd w:val="clear" w:color="auto" w:fill="FFFFFF"/>
                  <w:vAlign w:val="center"/>
                </w:tcPr>
                <w:p>
                  <w:pPr>
                    <w:jc w:val="center"/>
                  </w:pPr>
                  <w:r>
                    <w:rPr>
                      <w:rFonts w:ascii="Arial" w:hAnsi="Arial" w:eastAsia="Arial" w:cs="Arial"/>
                      <w:sz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408" w:hRule="exact"/>
                <w:jc w:val="center"/>
              </w:trPr>
              <w:tc>
                <w:tcPr>
                  <w:tcW w:w="1099" w:type="dxa"/>
                  <w:vMerge w:val="restart"/>
                  <w:shd w:val="clear" w:color="auto" w:fill="FFFFFF"/>
                  <w:vAlign w:val="center"/>
                </w:tcPr>
                <w:p>
                  <w:pPr>
                    <w:jc w:val="center"/>
                  </w:pPr>
                  <w:r>
                    <w:rPr>
                      <w:rFonts w:ascii="Arial" w:hAnsi="Arial" w:eastAsia="Arial" w:cs="Arial"/>
                      <w:sz w:val="20"/>
                    </w:rPr>
                    <w:t>南侧</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-3.6</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-8</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28.9</w:t>
                  </w:r>
                </w:p>
              </w:tc>
              <w:tc>
                <w:tcPr>
                  <w:tcW w:w="991" w:type="dxa"/>
                  <w:shd w:val="clear" w:color="auto" w:fill="FFFFFF"/>
                  <w:vAlign w:val="center"/>
                </w:tcPr>
                <w:p>
                  <w:pPr>
                    <w:jc w:val="center"/>
                  </w:pPr>
                  <w:r>
                    <w:rPr>
                      <w:rFonts w:ascii="Arial" w:hAnsi="Arial" w:eastAsia="Arial" w:cs="Arial"/>
                      <w:sz w:val="20"/>
                    </w:rPr>
                    <w:t>昼间</w:t>
                  </w:r>
                </w:p>
              </w:tc>
              <w:tc>
                <w:tcPr>
                  <w:tcW w:w="1416"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37.2</w:t>
                  </w:r>
                </w:p>
              </w:tc>
              <w:tc>
                <w:tcPr>
                  <w:tcW w:w="1417"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65</w:t>
                  </w:r>
                </w:p>
              </w:tc>
              <w:tc>
                <w:tcPr>
                  <w:tcW w:w="1185" w:type="dxa"/>
                  <w:shd w:val="clear" w:color="auto" w:fill="FFFFFF"/>
                  <w:vAlign w:val="center"/>
                </w:tcPr>
                <w:p>
                  <w:pPr>
                    <w:jc w:val="center"/>
                  </w:pPr>
                  <w:r>
                    <w:rPr>
                      <w:rFonts w:ascii="Arial" w:hAnsi="Arial" w:eastAsia="Arial" w:cs="Arial"/>
                      <w:sz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408" w:hRule="exact"/>
                <w:jc w:val="center"/>
              </w:trPr>
              <w:tc>
                <w:tcPr>
                  <w:tcW w:w="1099" w:type="dxa"/>
                  <w:vMerge w:val="continue"/>
                  <w:shd w:val="clear" w:color="auto" w:fill="FFFFFF"/>
                  <w:vAlign w:val="center"/>
                </w:tcPr>
                <w:p>
                  <w:pPr>
                    <w:jc w:val="center"/>
                  </w:pPr>
                  <w:r>
                    <w:rPr>
                      <w:rFonts w:ascii="Arial" w:hAnsi="Arial" w:eastAsia="Arial" w:cs="Arial"/>
                      <w:sz w:val="20"/>
                    </w:rPr>
                    <w:t>南侧</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-3.6</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-8</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28.9</w:t>
                  </w:r>
                </w:p>
              </w:tc>
              <w:tc>
                <w:tcPr>
                  <w:tcW w:w="991" w:type="dxa"/>
                  <w:shd w:val="clear" w:color="auto" w:fill="FFFFFF"/>
                  <w:vAlign w:val="center"/>
                </w:tcPr>
                <w:p>
                  <w:pPr>
                    <w:jc w:val="center"/>
                  </w:pPr>
                  <w:r>
                    <w:rPr>
                      <w:rFonts w:ascii="Arial" w:hAnsi="Arial" w:eastAsia="Arial" w:cs="Arial"/>
                      <w:sz w:val="20"/>
                    </w:rPr>
                    <w:t>夜间</w:t>
                  </w:r>
                </w:p>
              </w:tc>
              <w:tc>
                <w:tcPr>
                  <w:tcW w:w="1416"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37.2</w:t>
                  </w:r>
                </w:p>
              </w:tc>
              <w:tc>
                <w:tcPr>
                  <w:tcW w:w="1417"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55</w:t>
                  </w:r>
                </w:p>
              </w:tc>
              <w:tc>
                <w:tcPr>
                  <w:tcW w:w="1185" w:type="dxa"/>
                  <w:shd w:val="clear" w:color="auto" w:fill="FFFFFF"/>
                  <w:vAlign w:val="center"/>
                </w:tcPr>
                <w:p>
                  <w:pPr>
                    <w:jc w:val="center"/>
                  </w:pPr>
                  <w:r>
                    <w:rPr>
                      <w:rFonts w:ascii="Arial" w:hAnsi="Arial" w:eastAsia="Arial" w:cs="Arial"/>
                      <w:sz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1099" w:type="dxa"/>
                  <w:vMerge w:val="restart"/>
                  <w:shd w:val="clear" w:color="auto" w:fill="FFFFFF"/>
                  <w:vAlign w:val="center"/>
                </w:tcPr>
                <w:p>
                  <w:pPr>
                    <w:jc w:val="center"/>
                  </w:pPr>
                  <w:r>
                    <w:rPr>
                      <w:rFonts w:ascii="Arial" w:hAnsi="Arial" w:eastAsia="Arial" w:cs="Arial"/>
                      <w:sz w:val="20"/>
                    </w:rPr>
                    <w:t>西侧</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-9.6</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-8</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28.8</w:t>
                  </w:r>
                </w:p>
              </w:tc>
              <w:tc>
                <w:tcPr>
                  <w:tcW w:w="991" w:type="dxa"/>
                  <w:shd w:val="clear" w:color="auto" w:fill="FFFFFF"/>
                  <w:vAlign w:val="center"/>
                </w:tcPr>
                <w:p>
                  <w:pPr>
                    <w:jc w:val="center"/>
                  </w:pPr>
                  <w:r>
                    <w:rPr>
                      <w:rFonts w:ascii="Arial" w:hAnsi="Arial" w:eastAsia="Arial" w:cs="Arial"/>
                      <w:sz w:val="20"/>
                    </w:rPr>
                    <w:t>昼间</w:t>
                  </w:r>
                </w:p>
              </w:tc>
              <w:tc>
                <w:tcPr>
                  <w:tcW w:w="1416"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37.1</w:t>
                  </w:r>
                </w:p>
              </w:tc>
              <w:tc>
                <w:tcPr>
                  <w:tcW w:w="1417"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65</w:t>
                  </w:r>
                </w:p>
              </w:tc>
              <w:tc>
                <w:tcPr>
                  <w:tcW w:w="1185" w:type="dxa"/>
                  <w:shd w:val="clear" w:color="auto" w:fill="FFFFFF"/>
                  <w:vAlign w:val="center"/>
                </w:tcPr>
                <w:p>
                  <w:pPr>
                    <w:jc w:val="center"/>
                  </w:pPr>
                  <w:r>
                    <w:rPr>
                      <w:rFonts w:ascii="Arial" w:hAnsi="Arial" w:eastAsia="Arial" w:cs="Arial"/>
                      <w:sz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408" w:hRule="exact"/>
                <w:jc w:val="center"/>
              </w:trPr>
              <w:tc>
                <w:tcPr>
                  <w:tcW w:w="1099" w:type="dxa"/>
                  <w:vMerge w:val="continue"/>
                  <w:shd w:val="clear" w:color="auto" w:fill="FFFFFF"/>
                  <w:vAlign w:val="center"/>
                </w:tcPr>
                <w:p>
                  <w:pPr>
                    <w:jc w:val="center"/>
                  </w:pPr>
                  <w:r>
                    <w:rPr>
                      <w:rFonts w:ascii="Arial" w:hAnsi="Arial" w:eastAsia="Arial" w:cs="Arial"/>
                      <w:sz w:val="20"/>
                    </w:rPr>
                    <w:t>西侧</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-9.6</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-8</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28.8</w:t>
                  </w:r>
                </w:p>
              </w:tc>
              <w:tc>
                <w:tcPr>
                  <w:tcW w:w="991" w:type="dxa"/>
                  <w:shd w:val="clear" w:color="auto" w:fill="FFFFFF"/>
                  <w:vAlign w:val="center"/>
                </w:tcPr>
                <w:p>
                  <w:pPr>
                    <w:jc w:val="center"/>
                  </w:pPr>
                  <w:r>
                    <w:rPr>
                      <w:rFonts w:ascii="Arial" w:hAnsi="Arial" w:eastAsia="Arial" w:cs="Arial"/>
                      <w:sz w:val="20"/>
                    </w:rPr>
                    <w:t>夜间</w:t>
                  </w:r>
                </w:p>
              </w:tc>
              <w:tc>
                <w:tcPr>
                  <w:tcW w:w="1416"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37.1</w:t>
                  </w:r>
                </w:p>
              </w:tc>
              <w:tc>
                <w:tcPr>
                  <w:tcW w:w="1417"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55</w:t>
                  </w:r>
                </w:p>
              </w:tc>
              <w:tc>
                <w:tcPr>
                  <w:tcW w:w="1185" w:type="dxa"/>
                  <w:shd w:val="clear" w:color="auto" w:fill="FFFFFF"/>
                  <w:vAlign w:val="center"/>
                </w:tcPr>
                <w:p>
                  <w:pPr>
                    <w:jc w:val="center"/>
                  </w:pPr>
                  <w:r>
                    <w:rPr>
                      <w:rFonts w:ascii="Arial" w:hAnsi="Arial" w:eastAsia="Arial" w:cs="Arial"/>
                      <w:sz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1099" w:type="dxa"/>
                  <w:vMerge w:val="restart"/>
                  <w:shd w:val="clear" w:color="auto" w:fill="FFFFFF"/>
                  <w:vAlign w:val="center"/>
                </w:tcPr>
                <w:p>
                  <w:pPr>
                    <w:jc w:val="center"/>
                  </w:pPr>
                  <w:r>
                    <w:rPr>
                      <w:rFonts w:ascii="Arial" w:hAnsi="Arial" w:eastAsia="Arial" w:cs="Arial"/>
                      <w:sz w:val="20"/>
                    </w:rPr>
                    <w:t>北侧</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6.6</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8</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28.9</w:t>
                  </w:r>
                </w:p>
              </w:tc>
              <w:tc>
                <w:tcPr>
                  <w:tcW w:w="991" w:type="dxa"/>
                  <w:shd w:val="clear" w:color="auto" w:fill="FFFFFF"/>
                  <w:vAlign w:val="center"/>
                </w:tcPr>
                <w:p>
                  <w:pPr>
                    <w:jc w:val="center"/>
                  </w:pPr>
                  <w:r>
                    <w:rPr>
                      <w:rFonts w:ascii="Arial" w:hAnsi="Arial" w:eastAsia="Arial" w:cs="Arial"/>
                      <w:sz w:val="20"/>
                    </w:rPr>
                    <w:t>昼间</w:t>
                  </w:r>
                </w:p>
              </w:tc>
              <w:tc>
                <w:tcPr>
                  <w:tcW w:w="1416"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34.3</w:t>
                  </w:r>
                </w:p>
              </w:tc>
              <w:tc>
                <w:tcPr>
                  <w:tcW w:w="1417"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65</w:t>
                  </w:r>
                </w:p>
              </w:tc>
              <w:tc>
                <w:tcPr>
                  <w:tcW w:w="1185" w:type="dxa"/>
                  <w:shd w:val="clear" w:color="auto" w:fill="FFFFFF"/>
                  <w:vAlign w:val="center"/>
                </w:tcPr>
                <w:p>
                  <w:pPr>
                    <w:jc w:val="center"/>
                  </w:pPr>
                  <w:r>
                    <w:rPr>
                      <w:rFonts w:ascii="Arial" w:hAnsi="Arial" w:eastAsia="Arial" w:cs="Arial"/>
                      <w:sz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408" w:hRule="exact"/>
                <w:jc w:val="center"/>
              </w:trPr>
              <w:tc>
                <w:tcPr>
                  <w:tcW w:w="1099" w:type="dxa"/>
                  <w:vMerge w:val="continue"/>
                  <w:shd w:val="clear" w:color="auto" w:fill="FFFFFF"/>
                  <w:vAlign w:val="center"/>
                </w:tcPr>
                <w:p>
                  <w:pPr>
                    <w:jc w:val="center"/>
                  </w:pPr>
                  <w:r>
                    <w:rPr>
                      <w:rFonts w:ascii="Arial" w:hAnsi="Arial" w:eastAsia="Arial" w:cs="Arial"/>
                      <w:sz w:val="20"/>
                    </w:rPr>
                    <w:t>北侧</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6.6</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8</w:t>
                  </w:r>
                </w:p>
              </w:tc>
              <w:tc>
                <w:tcPr>
                  <w:tcW w:w="802"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28.9</w:t>
                  </w:r>
                </w:p>
              </w:tc>
              <w:tc>
                <w:tcPr>
                  <w:tcW w:w="991" w:type="dxa"/>
                  <w:shd w:val="clear" w:color="auto" w:fill="FFFFFF"/>
                  <w:vAlign w:val="center"/>
                </w:tcPr>
                <w:p>
                  <w:pPr>
                    <w:jc w:val="center"/>
                  </w:pPr>
                  <w:r>
                    <w:rPr>
                      <w:rFonts w:ascii="Arial" w:hAnsi="Arial" w:eastAsia="Arial" w:cs="Arial"/>
                      <w:sz w:val="20"/>
                    </w:rPr>
                    <w:t>夜间</w:t>
                  </w:r>
                </w:p>
              </w:tc>
              <w:tc>
                <w:tcPr>
                  <w:tcW w:w="1416"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34.3</w:t>
                  </w:r>
                </w:p>
              </w:tc>
              <w:tc>
                <w:tcPr>
                  <w:tcW w:w="1417" w:type="dxa"/>
                  <w:shd w:val="clear" w:color="auto" w:fill="FFFFFF"/>
                  <w:vAlign w:val="center"/>
                </w:tcPr>
                <w:p>
                  <w:pPr>
                    <w:jc w:val="center"/>
                    <w:rPr>
                      <w:rFonts w:hint="default" w:ascii="Times New Roman" w:hAnsi="Times New Roman" w:cs="Times New Roman"/>
                      <w:sz w:val="21"/>
                      <w:szCs w:val="21"/>
                    </w:rPr>
                  </w:pPr>
                  <w:r>
                    <w:rPr>
                      <w:rFonts w:hint="default" w:ascii="Times New Roman" w:hAnsi="Times New Roman" w:eastAsia="Arial" w:cs="Times New Roman"/>
                      <w:sz w:val="21"/>
                      <w:szCs w:val="21"/>
                    </w:rPr>
                    <w:t>55</w:t>
                  </w:r>
                </w:p>
              </w:tc>
              <w:tc>
                <w:tcPr>
                  <w:tcW w:w="1185" w:type="dxa"/>
                  <w:shd w:val="clear" w:color="auto" w:fill="FFFFFF"/>
                  <w:vAlign w:val="center"/>
                </w:tcPr>
                <w:p>
                  <w:pPr>
                    <w:jc w:val="center"/>
                  </w:pPr>
                  <w:r>
                    <w:rPr>
                      <w:rFonts w:ascii="Arial" w:hAnsi="Arial" w:eastAsia="Arial" w:cs="Arial"/>
                      <w:sz w:val="20"/>
                    </w:rPr>
                    <w:t>达标</w:t>
                  </w:r>
                </w:p>
              </w:tc>
            </w:tr>
          </w:tbl>
          <w:p>
            <w:pPr>
              <w:rPr>
                <w:rFonts w:ascii="Times New Roman" w:hAnsi="Times New Roman" w:cs="Times New Roman"/>
              </w:rPr>
            </w:pPr>
            <w:r>
              <w:rPr>
                <w:rFonts w:hint="default" w:ascii="Times New Roman" w:hAnsi="Times New Roman" w:cs="Times New Roman" w:eastAsiaTheme="minorEastAsia"/>
                <w:b w:val="0"/>
                <w:bCs/>
                <w:sz w:val="21"/>
                <w:szCs w:val="21"/>
                <w:lang w:val="en-US" w:eastAsia="zh-CN"/>
              </w:rPr>
              <w:t>表中坐标以厂界中心（</w:t>
            </w:r>
            <w:r>
              <w:rPr>
                <w:rFonts w:hint="eastAsia" w:ascii="Times New Roman" w:hAnsi="Times New Roman" w:eastAsia="宋体" w:cs="Times New Roman"/>
                <w:sz w:val="21"/>
                <w:szCs w:val="21"/>
                <w:lang w:val="en-US" w:eastAsia="zh-CN"/>
              </w:rPr>
              <w:t>117.</w:t>
            </w:r>
            <w:r>
              <w:rPr>
                <w:rFonts w:hint="eastAsia" w:cs="Times New Roman"/>
                <w:sz w:val="21"/>
                <w:szCs w:val="21"/>
                <w:lang w:val="en-US" w:eastAsia="zh-CN"/>
              </w:rPr>
              <w:t>048217657</w:t>
            </w:r>
            <w:r>
              <w:rPr>
                <w:rFonts w:hint="eastAsia" w:ascii="Times New Roman" w:hAnsi="Times New Roman" w:cs="Times New Roman" w:eastAsiaTheme="minorEastAsia"/>
                <w:b w:val="0"/>
                <w:bCs/>
                <w:sz w:val="21"/>
                <w:szCs w:val="21"/>
                <w:lang w:val="en-US" w:eastAsia="zh-CN"/>
              </w:rPr>
              <w:t>，</w:t>
            </w:r>
            <w:r>
              <w:rPr>
                <w:rFonts w:hint="eastAsia" w:ascii="Times New Roman" w:hAnsi="Times New Roman" w:eastAsia="宋体" w:cs="Times New Roman"/>
                <w:sz w:val="21"/>
                <w:szCs w:val="21"/>
                <w:lang w:val="en-US" w:eastAsia="zh-CN"/>
              </w:rPr>
              <w:t>32.</w:t>
            </w:r>
            <w:r>
              <w:rPr>
                <w:rFonts w:hint="eastAsia" w:cs="Times New Roman"/>
                <w:sz w:val="21"/>
                <w:szCs w:val="21"/>
                <w:lang w:val="en-US" w:eastAsia="zh-CN"/>
              </w:rPr>
              <w:t>652973546</w:t>
            </w:r>
            <w:r>
              <w:rPr>
                <w:rFonts w:hint="default" w:ascii="Times New Roman" w:hAnsi="Times New Roman" w:cs="Times New Roman" w:eastAsiaTheme="minorEastAsia"/>
                <w:b w:val="0"/>
                <w:bCs/>
                <w:sz w:val="21"/>
                <w:szCs w:val="21"/>
                <w:lang w:val="en-US" w:eastAsia="zh-CN"/>
              </w:rPr>
              <w:t>）为坐标原点，正东向为X轴正方向，正北向为Y轴正方向</w:t>
            </w:r>
            <w:r>
              <w:rPr>
                <w:rFonts w:hint="eastAsia" w:cs="Times New Roman" w:eastAsiaTheme="minorEastAsia"/>
                <w:b w:val="0"/>
                <w:bCs/>
                <w:sz w:val="21"/>
                <w:szCs w:val="21"/>
                <w:lang w:val="en-US" w:eastAsia="zh-CN"/>
              </w:rPr>
              <w:t>。</w:t>
            </w:r>
          </w:p>
          <w:p>
            <w:pPr>
              <w:snapToGrid w:val="0"/>
              <w:spacing w:line="360" w:lineRule="auto"/>
              <w:ind w:firstLine="480" w:firstLineChars="200"/>
              <w:rPr>
                <w:rFonts w:ascii="Times New Roman" w:hAnsi="Times New Roman" w:cs="Times New Roman" w:eastAsiaTheme="minorEastAsia"/>
                <w:color w:val="000000"/>
                <w:sz w:val="24"/>
                <w:szCs w:val="24"/>
                <w:lang w:eastAsia="zh-CN"/>
              </w:rPr>
            </w:pPr>
          </w:p>
          <w:p>
            <w:pPr>
              <w:snapToGrid w:val="0"/>
              <w:spacing w:line="360" w:lineRule="auto"/>
              <w:ind w:firstLine="480" w:firstLineChars="200"/>
              <w:rPr>
                <w:rFonts w:ascii="Times New Roman" w:hAnsi="Times New Roman" w:cs="Times New Roman" w:eastAsiaTheme="minorEastAsia"/>
                <w:color w:val="302116"/>
                <w:sz w:val="24"/>
                <w:szCs w:val="24"/>
                <w:lang w:eastAsia="zh-CN"/>
              </w:rPr>
            </w:pPr>
            <w:r>
              <w:rPr>
                <w:rFonts w:ascii="Times New Roman" w:hAnsi="Times New Roman" w:cs="Times New Roman" w:eastAsiaTheme="minorEastAsia"/>
                <w:color w:val="000000"/>
                <w:sz w:val="24"/>
                <w:szCs w:val="24"/>
                <w:lang w:eastAsia="zh-CN"/>
              </w:rPr>
              <w:t xml:space="preserve">由上表可知，正常工况下，项目厂界噪声满足《工业企业厂界环境噪声排放标准》(GB12348.2008) </w:t>
            </w:r>
            <w:bookmarkStart w:id="30" w:name="PO_3"/>
            <w:r>
              <w:rPr>
                <w:rFonts w:ascii="Times New Roman" w:hAnsi="Times New Roman" w:cs="Times New Roman" w:eastAsiaTheme="minorEastAsia"/>
                <w:color w:val="000000"/>
                <w:sz w:val="24"/>
                <w:szCs w:val="24"/>
                <w:lang w:eastAsia="zh-CN"/>
              </w:rPr>
              <w:t>3</w:t>
            </w:r>
            <w:bookmarkEnd w:id="30"/>
            <w:r>
              <w:rPr>
                <w:rFonts w:ascii="Times New Roman" w:hAnsi="Times New Roman" w:cs="Times New Roman" w:eastAsiaTheme="minorEastAsia"/>
                <w:color w:val="000000"/>
                <w:sz w:val="24"/>
                <w:szCs w:val="24"/>
                <w:lang w:eastAsia="zh-CN"/>
              </w:rPr>
              <w:t>类标准。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360" w:lineRule="auto"/>
              <w:ind w:left="0" w:right="0" w:firstLine="480" w:firstLineChars="200"/>
              <w:textAlignment w:val="baselin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项目声环境影响评价自查表见表</w:t>
            </w:r>
          </w:p>
          <w:p>
            <w:pPr>
              <w:adjustRightInd w:val="0"/>
              <w:snapToGrid w:val="0"/>
              <w:jc w:val="center"/>
              <w:rPr>
                <w:rFonts w:hint="default" w:cs="Times New Roman" w:asciiTheme="minorEastAsia" w:hAnsiTheme="minorEastAsia" w:eastAsiaTheme="minorEastAsia"/>
                <w:b/>
                <w:sz w:val="21"/>
                <w:szCs w:val="21"/>
                <w:lang w:val="en-US" w:eastAsia="zh-CN"/>
              </w:rPr>
            </w:pPr>
            <w:r>
              <w:rPr>
                <w:rFonts w:hint="eastAsia" w:cs="Times New Roman" w:asciiTheme="minorEastAsia" w:hAnsiTheme="minorEastAsia" w:eastAsiaTheme="minorEastAsia"/>
                <w:b/>
                <w:sz w:val="21"/>
                <w:szCs w:val="21"/>
                <w:lang w:val="en-US" w:eastAsia="zh-CN"/>
              </w:rPr>
              <w:t>表4-14 声环境影响评价自查表</w:t>
            </w:r>
          </w:p>
          <w:tbl>
            <w:tblPr>
              <w:tblStyle w:val="116"/>
              <w:tblW w:w="4999"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992"/>
              <w:gridCol w:w="1488"/>
              <w:gridCol w:w="867"/>
              <w:gridCol w:w="442"/>
              <w:gridCol w:w="425"/>
              <w:gridCol w:w="52"/>
              <w:gridCol w:w="938"/>
              <w:gridCol w:w="594"/>
              <w:gridCol w:w="390"/>
              <w:gridCol w:w="479"/>
              <w:gridCol w:w="445"/>
              <w:gridCol w:w="205"/>
              <w:gridCol w:w="11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6" w:hRule="atLeast"/>
              </w:trPr>
              <w:tc>
                <w:tcPr>
                  <w:tcW w:w="1470" w:type="pct"/>
                  <w:gridSpan w:val="2"/>
                  <w:tcBorders>
                    <w:top w:val="single" w:color="000000" w:sz="12" w:space="0"/>
                    <w:left w:val="single" w:color="000000" w:sz="12" w:space="0"/>
                    <w:bottom w:val="single" w:color="000000" w:sz="12" w:space="0"/>
                    <w:right w:val="single" w:color="000000" w:sz="4" w:space="0"/>
                  </w:tcBorders>
                </w:tcPr>
                <w:p>
                  <w:pPr>
                    <w:pStyle w:val="83"/>
                    <w:spacing w:before="33"/>
                    <w:ind w:left="821" w:right="809"/>
                    <w:jc w:val="center"/>
                    <w:rPr>
                      <w:rFonts w:eastAsiaTheme="minorEastAsia"/>
                      <w:sz w:val="21"/>
                      <w:szCs w:val="21"/>
                      <w:lang w:val="zh-CN" w:bidi="zh-CN"/>
                    </w:rPr>
                  </w:pPr>
                  <w:r>
                    <w:rPr>
                      <w:rFonts w:eastAsiaTheme="minorEastAsia"/>
                      <w:sz w:val="21"/>
                      <w:szCs w:val="21"/>
                    </w:rPr>
                    <w:t>工作内容</w:t>
                  </w:r>
                </w:p>
              </w:tc>
              <w:tc>
                <w:tcPr>
                  <w:tcW w:w="3529" w:type="pct"/>
                  <w:gridSpan w:val="11"/>
                  <w:tcBorders>
                    <w:top w:val="single" w:color="000000" w:sz="12" w:space="0"/>
                    <w:left w:val="single" w:color="000000" w:sz="4" w:space="0"/>
                    <w:bottom w:val="single" w:color="000000" w:sz="12" w:space="0"/>
                    <w:right w:val="single" w:color="000000" w:sz="12" w:space="0"/>
                  </w:tcBorders>
                </w:tcPr>
                <w:p>
                  <w:pPr>
                    <w:pStyle w:val="83"/>
                    <w:spacing w:before="33"/>
                    <w:ind w:left="26"/>
                    <w:jc w:val="center"/>
                    <w:rPr>
                      <w:rFonts w:eastAsiaTheme="minorEastAsia"/>
                      <w:sz w:val="21"/>
                      <w:szCs w:val="21"/>
                      <w:lang w:val="zh-CN" w:bidi="zh-CN"/>
                    </w:rPr>
                  </w:pPr>
                  <w:r>
                    <w:rPr>
                      <w:rFonts w:eastAsiaTheme="minorEastAsia"/>
                      <w:sz w:val="21"/>
                      <w:szCs w:val="21"/>
                    </w:rPr>
                    <w:t>自查项目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5" w:hRule="atLeast"/>
              </w:trPr>
              <w:tc>
                <w:tcPr>
                  <w:tcW w:w="588" w:type="pct"/>
                  <w:vMerge w:val="restart"/>
                  <w:tcBorders>
                    <w:top w:val="single" w:color="000000" w:sz="12" w:space="0"/>
                    <w:left w:val="single" w:color="000000" w:sz="12" w:space="0"/>
                    <w:bottom w:val="single" w:color="000000" w:sz="4" w:space="0"/>
                    <w:right w:val="single" w:color="000000" w:sz="4" w:space="0"/>
                  </w:tcBorders>
                </w:tcPr>
                <w:p>
                  <w:pPr>
                    <w:pStyle w:val="83"/>
                    <w:keepNext w:val="0"/>
                    <w:keepLines w:val="0"/>
                    <w:pageBreakBefore w:val="0"/>
                    <w:widowControl w:val="0"/>
                    <w:kinsoku/>
                    <w:wordWrap/>
                    <w:overflowPunct/>
                    <w:topLinePunct w:val="0"/>
                    <w:autoSpaceDE/>
                    <w:autoSpaceDN/>
                    <w:bidi w:val="0"/>
                    <w:adjustRightInd/>
                    <w:snapToGrid/>
                    <w:ind w:left="0" w:right="0" w:firstLine="0"/>
                    <w:textAlignment w:val="auto"/>
                    <w:rPr>
                      <w:rFonts w:eastAsiaTheme="minorEastAsia"/>
                      <w:sz w:val="21"/>
                      <w:szCs w:val="21"/>
                      <w:lang w:val="zh-CN" w:bidi="zh-CN"/>
                    </w:rPr>
                  </w:pPr>
                  <w:r>
                    <w:rPr>
                      <w:rFonts w:eastAsiaTheme="minorEastAsia"/>
                      <w:sz w:val="21"/>
                      <w:szCs w:val="21"/>
                    </w:rPr>
                    <w:t>评价等级与范围</w:t>
                  </w:r>
                </w:p>
              </w:tc>
              <w:tc>
                <w:tcPr>
                  <w:tcW w:w="882" w:type="pct"/>
                  <w:tcBorders>
                    <w:top w:val="single" w:color="000000" w:sz="12" w:space="0"/>
                    <w:left w:val="single" w:color="000000" w:sz="4" w:space="0"/>
                    <w:bottom w:val="single" w:color="000000" w:sz="4" w:space="0"/>
                    <w:right w:val="single" w:color="000000" w:sz="4" w:space="0"/>
                  </w:tcBorders>
                </w:tcPr>
                <w:p>
                  <w:pPr>
                    <w:pStyle w:val="83"/>
                    <w:spacing w:before="30"/>
                    <w:ind w:left="149" w:right="130"/>
                    <w:jc w:val="center"/>
                    <w:rPr>
                      <w:rFonts w:eastAsiaTheme="minorEastAsia"/>
                      <w:sz w:val="21"/>
                      <w:szCs w:val="21"/>
                      <w:lang w:val="zh-CN" w:bidi="zh-CN"/>
                    </w:rPr>
                  </w:pPr>
                  <w:r>
                    <w:rPr>
                      <w:rFonts w:eastAsiaTheme="minorEastAsia"/>
                      <w:sz w:val="21"/>
                      <w:szCs w:val="21"/>
                    </w:rPr>
                    <w:t>评价等级</w:t>
                  </w:r>
                </w:p>
              </w:tc>
              <w:tc>
                <w:tcPr>
                  <w:tcW w:w="3529" w:type="pct"/>
                  <w:gridSpan w:val="11"/>
                  <w:tcBorders>
                    <w:top w:val="single" w:color="000000" w:sz="12" w:space="0"/>
                    <w:left w:val="single" w:color="000000" w:sz="4" w:space="0"/>
                    <w:bottom w:val="single" w:color="000000" w:sz="4" w:space="0"/>
                    <w:right w:val="single" w:color="000000" w:sz="12" w:space="0"/>
                  </w:tcBorders>
                </w:tcPr>
                <w:p>
                  <w:pPr>
                    <w:pStyle w:val="83"/>
                    <w:tabs>
                      <w:tab w:val="left" w:pos="2103"/>
                      <w:tab w:val="left" w:pos="3635"/>
                    </w:tabs>
                    <w:spacing w:before="30"/>
                    <w:ind w:left="29"/>
                    <w:jc w:val="center"/>
                    <w:rPr>
                      <w:rFonts w:hint="eastAsia" w:eastAsiaTheme="minorEastAsia"/>
                      <w:sz w:val="21"/>
                      <w:szCs w:val="21"/>
                      <w:lang w:val="zh-CN" w:eastAsia="zh-CN" w:bidi="zh-CN"/>
                    </w:rPr>
                  </w:pPr>
                  <w:r>
                    <w:rPr>
                      <w:rFonts w:eastAsiaTheme="minorEastAsia"/>
                      <w:sz w:val="21"/>
                      <w:szCs w:val="21"/>
                    </w:rPr>
                    <w:t>一级□</w:t>
                  </w:r>
                  <w:r>
                    <w:rPr>
                      <w:rFonts w:eastAsiaTheme="minorEastAsia"/>
                      <w:sz w:val="21"/>
                      <w:szCs w:val="21"/>
                    </w:rPr>
                    <w:tab/>
                  </w:r>
                  <w:r>
                    <w:rPr>
                      <w:rFonts w:eastAsiaTheme="minorEastAsia"/>
                      <w:sz w:val="21"/>
                      <w:szCs w:val="21"/>
                    </w:rPr>
                    <w:t>二</w:t>
                  </w:r>
                  <w:r>
                    <w:rPr>
                      <w:rFonts w:eastAsiaTheme="minorEastAsia"/>
                      <w:spacing w:val="-3"/>
                      <w:sz w:val="21"/>
                      <w:szCs w:val="21"/>
                    </w:rPr>
                    <w:t>级</w:t>
                  </w:r>
                  <w:r>
                    <w:rPr>
                      <w:rFonts w:eastAsiaTheme="minorEastAsia"/>
                      <w:sz w:val="21"/>
                      <w:szCs w:val="21"/>
                    </w:rPr>
                    <w:t>□</w:t>
                  </w:r>
                  <w:r>
                    <w:rPr>
                      <w:rFonts w:eastAsiaTheme="minorEastAsia"/>
                      <w:sz w:val="21"/>
                      <w:szCs w:val="21"/>
                    </w:rPr>
                    <w:tab/>
                  </w:r>
                  <w:r>
                    <w:rPr>
                      <w:rFonts w:eastAsiaTheme="minorEastAsia"/>
                      <w:sz w:val="21"/>
                      <w:szCs w:val="21"/>
                    </w:rPr>
                    <w:t>三级</w:t>
                  </w:r>
                  <w:r>
                    <w:rPr>
                      <w:rFonts w:hint="eastAsia" w:eastAsia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4" w:hRule="atLeast"/>
              </w:trPr>
              <w:tc>
                <w:tcPr>
                  <w:tcW w:w="588" w:type="pct"/>
                  <w:vMerge w:val="continue"/>
                  <w:tcBorders>
                    <w:top w:val="single" w:color="000000" w:sz="12" w:space="0"/>
                    <w:left w:val="single" w:color="000000" w:sz="12" w:space="0"/>
                    <w:bottom w:val="single" w:color="000000" w:sz="4" w:space="0"/>
                    <w:right w:val="single" w:color="000000" w:sz="4" w:space="0"/>
                  </w:tcBorders>
                  <w:vAlign w:val="center"/>
                </w:tcPr>
                <w:p>
                  <w:pPr>
                    <w:widowControl/>
                    <w:autoSpaceDE/>
                    <w:autoSpaceDN/>
                    <w:rPr>
                      <w:rFonts w:ascii="Times New Roman" w:hAnsi="Times New Roman" w:cs="Times New Roman" w:eastAsiaTheme="minorEastAsia"/>
                      <w:sz w:val="21"/>
                      <w:szCs w:val="21"/>
                      <w:lang w:val="zh-CN" w:bidi="zh-CN"/>
                    </w:rPr>
                  </w:pPr>
                </w:p>
              </w:tc>
              <w:tc>
                <w:tcPr>
                  <w:tcW w:w="882" w:type="pct"/>
                  <w:tcBorders>
                    <w:top w:val="single" w:color="000000" w:sz="4" w:space="0"/>
                    <w:left w:val="single" w:color="000000" w:sz="4" w:space="0"/>
                    <w:bottom w:val="single" w:color="000000" w:sz="4" w:space="0"/>
                    <w:right w:val="single" w:color="000000" w:sz="4" w:space="0"/>
                  </w:tcBorders>
                </w:tcPr>
                <w:p>
                  <w:pPr>
                    <w:pStyle w:val="83"/>
                    <w:spacing w:before="35"/>
                    <w:ind w:left="149" w:right="130"/>
                    <w:jc w:val="center"/>
                    <w:rPr>
                      <w:rFonts w:eastAsiaTheme="minorEastAsia"/>
                      <w:sz w:val="21"/>
                      <w:szCs w:val="21"/>
                      <w:lang w:val="zh-CN" w:bidi="zh-CN"/>
                    </w:rPr>
                  </w:pPr>
                  <w:r>
                    <w:rPr>
                      <w:rFonts w:eastAsiaTheme="minorEastAsia"/>
                      <w:sz w:val="21"/>
                      <w:szCs w:val="21"/>
                    </w:rPr>
                    <w:t>评价范围</w:t>
                  </w:r>
                </w:p>
              </w:tc>
              <w:tc>
                <w:tcPr>
                  <w:tcW w:w="3529" w:type="pct"/>
                  <w:gridSpan w:val="11"/>
                  <w:tcBorders>
                    <w:top w:val="single" w:color="000000" w:sz="4" w:space="0"/>
                    <w:left w:val="single" w:color="000000" w:sz="4" w:space="0"/>
                    <w:bottom w:val="single" w:color="000000" w:sz="4" w:space="0"/>
                    <w:right w:val="single" w:color="000000" w:sz="12" w:space="0"/>
                  </w:tcBorders>
                </w:tcPr>
                <w:p>
                  <w:pPr>
                    <w:pStyle w:val="83"/>
                    <w:tabs>
                      <w:tab w:val="left" w:pos="2384"/>
                      <w:tab w:val="left" w:pos="5315"/>
                    </w:tabs>
                    <w:spacing w:before="35"/>
                    <w:ind w:left="217"/>
                    <w:jc w:val="both"/>
                    <w:rPr>
                      <w:rFonts w:eastAsiaTheme="minorEastAsia"/>
                      <w:sz w:val="21"/>
                      <w:szCs w:val="21"/>
                      <w:lang w:val="zh-CN" w:eastAsia="zh-CN" w:bidi="zh-CN"/>
                    </w:rPr>
                  </w:pPr>
                  <w:r>
                    <w:rPr>
                      <w:rFonts w:eastAsiaTheme="minorEastAsia"/>
                      <w:sz w:val="21"/>
                      <w:szCs w:val="21"/>
                      <w:lang w:eastAsia="zh-CN"/>
                    </w:rPr>
                    <w:t>200m□</w:t>
                  </w:r>
                  <w:r>
                    <w:rPr>
                      <w:rFonts w:hint="eastAsia" w:eastAsiaTheme="minorEastAsia"/>
                      <w:sz w:val="21"/>
                      <w:szCs w:val="21"/>
                      <w:lang w:val="en-US" w:eastAsia="zh-CN"/>
                    </w:rPr>
                    <w:t xml:space="preserve">            </w:t>
                  </w:r>
                  <w:r>
                    <w:rPr>
                      <w:rFonts w:eastAsiaTheme="minorEastAsia"/>
                      <w:spacing w:val="-3"/>
                      <w:sz w:val="21"/>
                      <w:szCs w:val="21"/>
                      <w:lang w:eastAsia="zh-CN"/>
                    </w:rPr>
                    <w:t>大</w:t>
                  </w:r>
                  <w:r>
                    <w:rPr>
                      <w:rFonts w:eastAsiaTheme="minorEastAsia"/>
                      <w:sz w:val="21"/>
                      <w:szCs w:val="21"/>
                      <w:lang w:eastAsia="zh-CN"/>
                    </w:rPr>
                    <w:t>于</w:t>
                  </w:r>
                  <w:r>
                    <w:rPr>
                      <w:rFonts w:eastAsiaTheme="minorEastAsia"/>
                      <w:spacing w:val="-46"/>
                      <w:sz w:val="21"/>
                      <w:szCs w:val="21"/>
                      <w:lang w:eastAsia="zh-CN"/>
                    </w:rPr>
                    <w:t xml:space="preserve"> </w:t>
                  </w:r>
                  <w:r>
                    <w:rPr>
                      <w:rFonts w:eastAsiaTheme="minorEastAsia"/>
                      <w:sz w:val="21"/>
                      <w:szCs w:val="21"/>
                      <w:lang w:eastAsia="zh-CN"/>
                    </w:rPr>
                    <w:t>200m□</w:t>
                  </w:r>
                  <w:r>
                    <w:rPr>
                      <w:rFonts w:hint="eastAsia" w:eastAsiaTheme="minorEastAsia"/>
                      <w:sz w:val="21"/>
                      <w:szCs w:val="21"/>
                      <w:lang w:val="en-US" w:eastAsia="zh-CN"/>
                    </w:rPr>
                    <w:t xml:space="preserve">         </w:t>
                  </w:r>
                  <w:r>
                    <w:rPr>
                      <w:rFonts w:eastAsiaTheme="minorEastAsia"/>
                      <w:sz w:val="21"/>
                      <w:szCs w:val="21"/>
                      <w:lang w:eastAsia="zh-CN"/>
                    </w:rPr>
                    <w:t>小于</w:t>
                  </w:r>
                  <w:r>
                    <w:rPr>
                      <w:rFonts w:eastAsiaTheme="minorEastAsia"/>
                      <w:spacing w:val="-48"/>
                      <w:sz w:val="21"/>
                      <w:szCs w:val="21"/>
                      <w:lang w:eastAsia="zh-CN"/>
                    </w:rPr>
                    <w:t xml:space="preserve"> </w:t>
                  </w:r>
                  <w:r>
                    <w:rPr>
                      <w:rFonts w:eastAsiaTheme="minorEastAsia"/>
                      <w:sz w:val="21"/>
                      <w:szCs w:val="21"/>
                      <w:lang w:eastAsia="zh-CN"/>
                    </w:rPr>
                    <w:t>200m</w:t>
                  </w:r>
                  <w:r>
                    <w:rPr>
                      <w:rFonts w:hint="eastAsia" w:eastAsia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72" w:hRule="atLeast"/>
              </w:trPr>
              <w:tc>
                <w:tcPr>
                  <w:tcW w:w="588" w:type="pct"/>
                  <w:tcBorders>
                    <w:top w:val="single" w:color="000000" w:sz="4" w:space="0"/>
                    <w:left w:val="single" w:color="000000" w:sz="12" w:space="0"/>
                    <w:bottom w:val="single" w:color="000000" w:sz="4" w:space="0"/>
                    <w:right w:val="single" w:color="000000" w:sz="4" w:space="0"/>
                  </w:tcBorders>
                  <w:vAlign w:val="center"/>
                </w:tcPr>
                <w:p>
                  <w:pPr>
                    <w:pStyle w:val="83"/>
                    <w:keepNext w:val="0"/>
                    <w:keepLines w:val="0"/>
                    <w:pageBreakBefore w:val="0"/>
                    <w:widowControl w:val="0"/>
                    <w:kinsoku/>
                    <w:wordWrap/>
                    <w:overflowPunct/>
                    <w:topLinePunct w:val="0"/>
                    <w:autoSpaceDE/>
                    <w:autoSpaceDN/>
                    <w:bidi w:val="0"/>
                    <w:adjustRightInd/>
                    <w:snapToGrid/>
                    <w:ind w:left="0" w:right="0"/>
                    <w:jc w:val="center"/>
                    <w:textAlignment w:val="auto"/>
                    <w:rPr>
                      <w:rFonts w:eastAsiaTheme="minorEastAsia"/>
                      <w:sz w:val="21"/>
                      <w:szCs w:val="21"/>
                      <w:lang w:val="zh-CN" w:bidi="zh-CN"/>
                    </w:rPr>
                  </w:pPr>
                  <w:r>
                    <w:rPr>
                      <w:rFonts w:eastAsiaTheme="minorEastAsia"/>
                      <w:sz w:val="21"/>
                      <w:szCs w:val="21"/>
                    </w:rPr>
                    <w:t>评价因子</w:t>
                  </w:r>
                </w:p>
              </w:tc>
              <w:tc>
                <w:tcPr>
                  <w:tcW w:w="882" w:type="pct"/>
                  <w:tcBorders>
                    <w:top w:val="single" w:color="000000" w:sz="4" w:space="0"/>
                    <w:left w:val="single" w:color="000000" w:sz="4" w:space="0"/>
                    <w:bottom w:val="single" w:color="000000" w:sz="4" w:space="0"/>
                    <w:right w:val="single" w:color="000000" w:sz="4" w:space="0"/>
                  </w:tcBorders>
                </w:tcPr>
                <w:p>
                  <w:pPr>
                    <w:pStyle w:val="83"/>
                    <w:spacing w:before="119"/>
                    <w:ind w:left="149" w:right="130"/>
                    <w:jc w:val="center"/>
                    <w:rPr>
                      <w:rFonts w:eastAsiaTheme="minorEastAsia"/>
                      <w:sz w:val="21"/>
                      <w:szCs w:val="21"/>
                      <w:lang w:val="zh-CN" w:bidi="zh-CN"/>
                    </w:rPr>
                  </w:pPr>
                  <w:r>
                    <w:rPr>
                      <w:rFonts w:eastAsiaTheme="minorEastAsia"/>
                      <w:sz w:val="21"/>
                      <w:szCs w:val="21"/>
                    </w:rPr>
                    <w:t>评价因子</w:t>
                  </w:r>
                </w:p>
              </w:tc>
              <w:tc>
                <w:tcPr>
                  <w:tcW w:w="3529" w:type="pct"/>
                  <w:gridSpan w:val="11"/>
                  <w:tcBorders>
                    <w:top w:val="single" w:color="000000" w:sz="4" w:space="0"/>
                    <w:left w:val="single" w:color="000000" w:sz="4" w:space="0"/>
                    <w:bottom w:val="single" w:color="000000" w:sz="4" w:space="0"/>
                    <w:right w:val="single" w:color="000000" w:sz="12" w:space="0"/>
                  </w:tcBorders>
                </w:tcPr>
                <w:p>
                  <w:pPr>
                    <w:pStyle w:val="83"/>
                    <w:ind w:firstLine="210" w:firstLineChars="100"/>
                    <w:jc w:val="both"/>
                    <w:rPr>
                      <w:rFonts w:eastAsiaTheme="minorEastAsia"/>
                      <w:sz w:val="21"/>
                      <w:szCs w:val="21"/>
                      <w:lang w:val="zh-CN" w:eastAsia="zh-CN" w:bidi="zh-CN"/>
                    </w:rPr>
                  </w:pPr>
                  <w:r>
                    <w:rPr>
                      <w:rFonts w:eastAsiaTheme="minorEastAsia"/>
                      <w:sz w:val="21"/>
                      <w:szCs w:val="21"/>
                      <w:lang w:eastAsia="zh-CN"/>
                    </w:rPr>
                    <w:t>等效连续A声级</w:t>
                  </w:r>
                  <w:r>
                    <w:rPr>
                      <w:rFonts w:hint="eastAsia" w:eastAsiaTheme="minorEastAsia"/>
                      <w:sz w:val="21"/>
                      <w:szCs w:val="21"/>
                      <w:lang w:eastAsia="zh-CN"/>
                    </w:rPr>
                    <w:t>☑</w:t>
                  </w:r>
                  <w:r>
                    <w:rPr>
                      <w:rFonts w:eastAsiaTheme="minorEastAsia"/>
                      <w:sz w:val="21"/>
                      <w:szCs w:val="21"/>
                      <w:lang w:eastAsia="zh-CN"/>
                    </w:rPr>
                    <w:t xml:space="preserve">      最大A声级□    计权等效连续感觉噪声级□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atLeast"/>
              </w:trPr>
              <w:tc>
                <w:tcPr>
                  <w:tcW w:w="588" w:type="pct"/>
                  <w:tcBorders>
                    <w:top w:val="single" w:color="000000" w:sz="4" w:space="0"/>
                    <w:left w:val="single" w:color="000000" w:sz="12" w:space="0"/>
                    <w:bottom w:val="single" w:color="000000" w:sz="4" w:space="0"/>
                    <w:right w:val="single" w:color="000000" w:sz="4" w:space="0"/>
                  </w:tcBorders>
                  <w:vAlign w:val="center"/>
                </w:tcPr>
                <w:p>
                  <w:pPr>
                    <w:pStyle w:val="83"/>
                    <w:keepNext w:val="0"/>
                    <w:keepLines w:val="0"/>
                    <w:pageBreakBefore w:val="0"/>
                    <w:widowControl w:val="0"/>
                    <w:kinsoku/>
                    <w:wordWrap/>
                    <w:overflowPunct/>
                    <w:topLinePunct w:val="0"/>
                    <w:autoSpaceDE/>
                    <w:autoSpaceDN/>
                    <w:bidi w:val="0"/>
                    <w:adjustRightInd/>
                    <w:snapToGrid/>
                    <w:ind w:left="0" w:right="0"/>
                    <w:jc w:val="center"/>
                    <w:textAlignment w:val="auto"/>
                    <w:rPr>
                      <w:rFonts w:eastAsiaTheme="minorEastAsia"/>
                      <w:sz w:val="21"/>
                      <w:szCs w:val="21"/>
                      <w:lang w:val="zh-CN" w:bidi="zh-CN"/>
                    </w:rPr>
                  </w:pPr>
                  <w:r>
                    <w:rPr>
                      <w:rFonts w:eastAsiaTheme="minorEastAsia"/>
                      <w:sz w:val="21"/>
                      <w:szCs w:val="21"/>
                    </w:rPr>
                    <w:t>评价标准</w:t>
                  </w:r>
                </w:p>
              </w:tc>
              <w:tc>
                <w:tcPr>
                  <w:tcW w:w="882" w:type="pct"/>
                  <w:tcBorders>
                    <w:top w:val="single" w:color="000000" w:sz="4" w:space="0"/>
                    <w:left w:val="single" w:color="000000" w:sz="4" w:space="0"/>
                    <w:bottom w:val="single" w:color="000000" w:sz="4" w:space="0"/>
                    <w:right w:val="single" w:color="000000" w:sz="4" w:space="0"/>
                  </w:tcBorders>
                </w:tcPr>
                <w:p>
                  <w:pPr>
                    <w:pStyle w:val="83"/>
                    <w:spacing w:before="117"/>
                    <w:ind w:left="149" w:right="130"/>
                    <w:jc w:val="center"/>
                    <w:rPr>
                      <w:rFonts w:eastAsiaTheme="minorEastAsia"/>
                      <w:sz w:val="21"/>
                      <w:szCs w:val="21"/>
                      <w:lang w:val="zh-CN" w:bidi="zh-CN"/>
                    </w:rPr>
                  </w:pPr>
                  <w:r>
                    <w:rPr>
                      <w:rFonts w:eastAsiaTheme="minorEastAsia"/>
                      <w:sz w:val="21"/>
                      <w:szCs w:val="21"/>
                    </w:rPr>
                    <w:t>评价标准</w:t>
                  </w:r>
                </w:p>
              </w:tc>
              <w:tc>
                <w:tcPr>
                  <w:tcW w:w="3529" w:type="pct"/>
                  <w:gridSpan w:val="11"/>
                  <w:tcBorders>
                    <w:top w:val="single" w:color="000000" w:sz="4" w:space="0"/>
                    <w:left w:val="single" w:color="000000" w:sz="4" w:space="0"/>
                    <w:bottom w:val="single" w:color="000000" w:sz="4" w:space="0"/>
                    <w:right w:val="single" w:color="000000" w:sz="12" w:space="0"/>
                  </w:tcBorders>
                  <w:vAlign w:val="center"/>
                </w:tcPr>
                <w:p>
                  <w:pPr>
                    <w:pStyle w:val="83"/>
                    <w:ind w:firstLine="210" w:firstLineChars="100"/>
                    <w:jc w:val="center"/>
                    <w:rPr>
                      <w:rFonts w:eastAsiaTheme="minorEastAsia"/>
                      <w:sz w:val="21"/>
                      <w:szCs w:val="21"/>
                      <w:lang w:val="zh-CN" w:eastAsia="zh-CN" w:bidi="zh-CN"/>
                    </w:rPr>
                  </w:pPr>
                  <w:r>
                    <w:rPr>
                      <w:rFonts w:eastAsiaTheme="minorEastAsia"/>
                      <w:sz w:val="21"/>
                      <w:szCs w:val="21"/>
                      <w:lang w:eastAsia="zh-CN"/>
                    </w:rPr>
                    <w:t>国家标准</w:t>
                  </w:r>
                  <w:r>
                    <w:rPr>
                      <w:rFonts w:hint="eastAsia" w:eastAsiaTheme="minorEastAsia"/>
                      <w:sz w:val="21"/>
                      <w:szCs w:val="21"/>
                      <w:lang w:eastAsia="zh-CN"/>
                    </w:rPr>
                    <w:t>☑</w:t>
                  </w:r>
                  <w:r>
                    <w:rPr>
                      <w:rFonts w:eastAsiaTheme="minorEastAsia"/>
                      <w:sz w:val="21"/>
                      <w:szCs w:val="21"/>
                      <w:lang w:eastAsia="zh-CN"/>
                    </w:rPr>
                    <w:t xml:space="preserve">        </w:t>
                  </w:r>
                  <w:r>
                    <w:rPr>
                      <w:rFonts w:hint="eastAsia" w:eastAsiaTheme="minorEastAsia"/>
                      <w:sz w:val="21"/>
                      <w:szCs w:val="21"/>
                      <w:lang w:eastAsia="zh-CN"/>
                    </w:rPr>
                    <w:t xml:space="preserve"> </w:t>
                  </w:r>
                  <w:r>
                    <w:rPr>
                      <w:rFonts w:eastAsiaTheme="minorEastAsia"/>
                      <w:sz w:val="21"/>
                      <w:szCs w:val="21"/>
                      <w:lang w:eastAsia="zh-CN"/>
                    </w:rPr>
                    <w:t xml:space="preserve">地方标准□     </w:t>
                  </w:r>
                  <w:r>
                    <w:rPr>
                      <w:rFonts w:hint="eastAsia" w:eastAsiaTheme="minorEastAsia"/>
                      <w:sz w:val="21"/>
                      <w:szCs w:val="21"/>
                      <w:lang w:eastAsia="zh-CN"/>
                    </w:rPr>
                    <w:t xml:space="preserve">      </w:t>
                  </w:r>
                  <w:r>
                    <w:rPr>
                      <w:rFonts w:eastAsiaTheme="minorEastAsia"/>
                      <w:sz w:val="21"/>
                      <w:szCs w:val="21"/>
                      <w:lang w:eastAsia="zh-CN"/>
                    </w:rPr>
                    <w:t xml:space="preserve">  </w:t>
                  </w:r>
                  <w:r>
                    <w:rPr>
                      <w:rFonts w:hint="eastAsia" w:eastAsiaTheme="minorEastAsia"/>
                      <w:sz w:val="21"/>
                      <w:szCs w:val="21"/>
                      <w:lang w:eastAsia="zh-CN"/>
                    </w:rPr>
                    <w:t xml:space="preserve"> </w:t>
                  </w:r>
                  <w:r>
                    <w:rPr>
                      <w:rFonts w:eastAsiaTheme="minorEastAsia"/>
                      <w:sz w:val="21"/>
                      <w:szCs w:val="21"/>
                      <w:lang w:eastAsia="zh-CN"/>
                    </w:rPr>
                    <w:t xml:space="preserve"> 国外标准□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7" w:hRule="atLeast"/>
              </w:trPr>
              <w:tc>
                <w:tcPr>
                  <w:tcW w:w="588" w:type="pct"/>
                  <w:vMerge w:val="restart"/>
                  <w:tcBorders>
                    <w:top w:val="single" w:color="000000" w:sz="4" w:space="0"/>
                    <w:left w:val="single" w:color="000000" w:sz="12" w:space="0"/>
                    <w:bottom w:val="single" w:color="000000" w:sz="4" w:space="0"/>
                    <w:right w:val="single" w:color="000000" w:sz="4" w:space="0"/>
                  </w:tcBorders>
                  <w:vAlign w:val="center"/>
                </w:tcPr>
                <w:p>
                  <w:pPr>
                    <w:pStyle w:val="83"/>
                    <w:spacing w:before="121"/>
                    <w:jc w:val="center"/>
                    <w:rPr>
                      <w:rFonts w:eastAsiaTheme="minorEastAsia"/>
                      <w:sz w:val="21"/>
                      <w:szCs w:val="21"/>
                      <w:lang w:val="zh-CN" w:bidi="zh-CN"/>
                    </w:rPr>
                  </w:pPr>
                  <w:r>
                    <w:rPr>
                      <w:rFonts w:eastAsiaTheme="minorEastAsia"/>
                      <w:sz w:val="21"/>
                      <w:szCs w:val="21"/>
                    </w:rPr>
                    <w:t>现状评价</w:t>
                  </w:r>
                </w:p>
              </w:tc>
              <w:tc>
                <w:tcPr>
                  <w:tcW w:w="882" w:type="pct"/>
                  <w:tcBorders>
                    <w:top w:val="single" w:color="000000" w:sz="4" w:space="0"/>
                    <w:left w:val="single" w:color="000000" w:sz="4" w:space="0"/>
                    <w:bottom w:val="single" w:color="000000" w:sz="4" w:space="0"/>
                    <w:right w:val="single" w:color="000000" w:sz="4" w:space="0"/>
                  </w:tcBorders>
                  <w:vAlign w:val="center"/>
                </w:tcPr>
                <w:p>
                  <w:pPr>
                    <w:pStyle w:val="83"/>
                    <w:spacing w:before="33"/>
                    <w:ind w:left="149" w:right="127"/>
                    <w:jc w:val="center"/>
                    <w:rPr>
                      <w:rFonts w:eastAsiaTheme="minorEastAsia"/>
                      <w:sz w:val="21"/>
                      <w:szCs w:val="21"/>
                      <w:lang w:val="zh-CN" w:bidi="zh-CN"/>
                    </w:rPr>
                  </w:pPr>
                  <w:r>
                    <w:rPr>
                      <w:rFonts w:eastAsiaTheme="minorEastAsia"/>
                      <w:sz w:val="21"/>
                      <w:szCs w:val="21"/>
                    </w:rPr>
                    <w:t>环境功能区</w:t>
                  </w:r>
                </w:p>
              </w:tc>
              <w:tc>
                <w:tcPr>
                  <w:tcW w:w="514" w:type="pct"/>
                  <w:tcBorders>
                    <w:top w:val="single" w:color="000000" w:sz="4" w:space="0"/>
                    <w:left w:val="single" w:color="000000" w:sz="4" w:space="0"/>
                    <w:bottom w:val="single" w:color="000000" w:sz="4" w:space="0"/>
                    <w:right w:val="single" w:color="000000" w:sz="4" w:space="0"/>
                  </w:tcBorders>
                  <w:vAlign w:val="center"/>
                </w:tcPr>
                <w:p>
                  <w:pPr>
                    <w:pStyle w:val="83"/>
                    <w:spacing w:before="33"/>
                    <w:ind w:left="214"/>
                    <w:jc w:val="center"/>
                    <w:rPr>
                      <w:rFonts w:eastAsiaTheme="minorEastAsia"/>
                      <w:sz w:val="21"/>
                      <w:szCs w:val="21"/>
                      <w:lang w:val="zh-CN" w:bidi="zh-CN"/>
                    </w:rPr>
                  </w:pPr>
                  <w:r>
                    <w:rPr>
                      <w:rFonts w:eastAsiaTheme="minorEastAsia"/>
                      <w:sz w:val="21"/>
                      <w:szCs w:val="21"/>
                    </w:rPr>
                    <w:t>0 类区□</w:t>
                  </w:r>
                </w:p>
              </w:tc>
              <w:tc>
                <w:tcPr>
                  <w:tcW w:w="545" w:type="pct"/>
                  <w:gridSpan w:val="3"/>
                  <w:tcBorders>
                    <w:top w:val="single" w:color="000000" w:sz="4" w:space="0"/>
                    <w:left w:val="single" w:color="000000" w:sz="4" w:space="0"/>
                    <w:bottom w:val="single" w:color="000000" w:sz="4" w:space="0"/>
                    <w:right w:val="single" w:color="000000" w:sz="4" w:space="0"/>
                  </w:tcBorders>
                  <w:vAlign w:val="center"/>
                </w:tcPr>
                <w:p>
                  <w:pPr>
                    <w:pStyle w:val="83"/>
                    <w:spacing w:before="33"/>
                    <w:ind w:left="216"/>
                    <w:jc w:val="center"/>
                    <w:rPr>
                      <w:rFonts w:eastAsiaTheme="minorEastAsia"/>
                      <w:sz w:val="21"/>
                      <w:szCs w:val="21"/>
                      <w:lang w:val="zh-CN" w:bidi="zh-CN"/>
                    </w:rPr>
                  </w:pPr>
                  <w:r>
                    <w:rPr>
                      <w:rFonts w:eastAsiaTheme="minorEastAsia"/>
                      <w:sz w:val="21"/>
                      <w:szCs w:val="21"/>
                    </w:rPr>
                    <w:t>1 类区□</w:t>
                  </w:r>
                </w:p>
              </w:tc>
              <w:tc>
                <w:tcPr>
                  <w:tcW w:w="554" w:type="pct"/>
                  <w:tcBorders>
                    <w:top w:val="single" w:color="000000" w:sz="4" w:space="0"/>
                    <w:left w:val="single" w:color="000000" w:sz="4" w:space="0"/>
                    <w:bottom w:val="single" w:color="000000" w:sz="4" w:space="0"/>
                    <w:right w:val="single" w:color="000000" w:sz="4" w:space="0"/>
                  </w:tcBorders>
                  <w:vAlign w:val="center"/>
                </w:tcPr>
                <w:p>
                  <w:pPr>
                    <w:pStyle w:val="83"/>
                    <w:spacing w:before="33"/>
                    <w:ind w:left="214"/>
                    <w:jc w:val="center"/>
                    <w:rPr>
                      <w:rFonts w:eastAsiaTheme="minorEastAsia"/>
                      <w:sz w:val="21"/>
                      <w:szCs w:val="21"/>
                      <w:lang w:val="zh-CN" w:bidi="zh-CN"/>
                    </w:rPr>
                  </w:pPr>
                  <w:r>
                    <w:rPr>
                      <w:rFonts w:eastAsiaTheme="minorEastAsia"/>
                      <w:sz w:val="21"/>
                      <w:szCs w:val="21"/>
                    </w:rPr>
                    <w:t>2 类区□</w:t>
                  </w:r>
                </w:p>
              </w:tc>
              <w:tc>
                <w:tcPr>
                  <w:tcW w:w="582" w:type="pct"/>
                  <w:gridSpan w:val="2"/>
                  <w:tcBorders>
                    <w:top w:val="single" w:color="000000" w:sz="4" w:space="0"/>
                    <w:left w:val="single" w:color="000000" w:sz="4" w:space="0"/>
                    <w:bottom w:val="single" w:color="000000" w:sz="4" w:space="0"/>
                    <w:right w:val="single" w:color="000000" w:sz="4" w:space="0"/>
                  </w:tcBorders>
                  <w:vAlign w:val="center"/>
                </w:tcPr>
                <w:p>
                  <w:pPr>
                    <w:pStyle w:val="83"/>
                    <w:spacing w:before="33"/>
                    <w:ind w:left="242"/>
                    <w:jc w:val="center"/>
                    <w:rPr>
                      <w:rFonts w:hint="eastAsia" w:eastAsiaTheme="minorEastAsia"/>
                      <w:sz w:val="21"/>
                      <w:szCs w:val="21"/>
                      <w:lang w:val="zh-CN" w:eastAsia="zh-CN" w:bidi="zh-CN"/>
                    </w:rPr>
                  </w:pPr>
                  <w:r>
                    <w:rPr>
                      <w:rFonts w:eastAsiaTheme="minorEastAsia"/>
                      <w:sz w:val="21"/>
                      <w:szCs w:val="21"/>
                    </w:rPr>
                    <w:t>3 类区</w:t>
                  </w:r>
                  <w:r>
                    <w:rPr>
                      <w:rFonts w:hint="eastAsia" w:eastAsiaTheme="minorEastAsia"/>
                      <w:sz w:val="21"/>
                      <w:szCs w:val="21"/>
                      <w:lang w:eastAsia="zh-CN"/>
                    </w:rPr>
                    <w:t>☑</w:t>
                  </w:r>
                </w:p>
              </w:tc>
              <w:tc>
                <w:tcPr>
                  <w:tcW w:w="669" w:type="pct"/>
                  <w:gridSpan w:val="3"/>
                  <w:tcBorders>
                    <w:top w:val="single" w:color="000000" w:sz="4" w:space="0"/>
                    <w:left w:val="single" w:color="000000" w:sz="4" w:space="0"/>
                    <w:bottom w:val="single" w:color="000000" w:sz="4" w:space="0"/>
                    <w:right w:val="single" w:color="000000" w:sz="4" w:space="0"/>
                  </w:tcBorders>
                  <w:vAlign w:val="center"/>
                </w:tcPr>
                <w:p>
                  <w:pPr>
                    <w:pStyle w:val="83"/>
                    <w:spacing w:before="33"/>
                    <w:ind w:left="170"/>
                    <w:jc w:val="center"/>
                    <w:rPr>
                      <w:rFonts w:eastAsiaTheme="minorEastAsia"/>
                      <w:sz w:val="21"/>
                      <w:szCs w:val="21"/>
                      <w:lang w:val="zh-CN" w:bidi="zh-CN"/>
                    </w:rPr>
                  </w:pPr>
                  <w:r>
                    <w:rPr>
                      <w:rFonts w:eastAsiaTheme="minorEastAsia"/>
                      <w:sz w:val="21"/>
                      <w:szCs w:val="21"/>
                    </w:rPr>
                    <w:t>4a 类区□</w:t>
                  </w:r>
                </w:p>
              </w:tc>
              <w:tc>
                <w:tcPr>
                  <w:tcW w:w="662" w:type="pct"/>
                  <w:tcBorders>
                    <w:top w:val="single" w:color="000000" w:sz="4" w:space="0"/>
                    <w:left w:val="single" w:color="000000" w:sz="4" w:space="0"/>
                    <w:bottom w:val="single" w:color="000000" w:sz="4" w:space="0"/>
                    <w:right w:val="single" w:color="000000" w:sz="12" w:space="0"/>
                  </w:tcBorders>
                  <w:vAlign w:val="center"/>
                </w:tcPr>
                <w:p>
                  <w:pPr>
                    <w:pStyle w:val="83"/>
                    <w:spacing w:before="33"/>
                    <w:ind w:left="89" w:right="30"/>
                    <w:jc w:val="center"/>
                    <w:rPr>
                      <w:rFonts w:eastAsiaTheme="minorEastAsia"/>
                      <w:sz w:val="21"/>
                      <w:szCs w:val="21"/>
                      <w:lang w:val="zh-CN" w:bidi="zh-CN"/>
                    </w:rPr>
                  </w:pPr>
                  <w:r>
                    <w:rPr>
                      <w:rFonts w:eastAsiaTheme="minorEastAsia"/>
                      <w:sz w:val="21"/>
                      <w:szCs w:val="21"/>
                    </w:rPr>
                    <w:t>4b 类区□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4" w:hRule="atLeast"/>
              </w:trPr>
              <w:tc>
                <w:tcPr>
                  <w:tcW w:w="588" w:type="pct"/>
                  <w:vMerge w:val="continue"/>
                  <w:tcBorders>
                    <w:top w:val="single" w:color="000000" w:sz="4" w:space="0"/>
                    <w:left w:val="single" w:color="000000" w:sz="12" w:space="0"/>
                    <w:bottom w:val="single" w:color="000000" w:sz="4" w:space="0"/>
                    <w:right w:val="single" w:color="000000" w:sz="4" w:space="0"/>
                  </w:tcBorders>
                  <w:vAlign w:val="center"/>
                </w:tcPr>
                <w:p>
                  <w:pPr>
                    <w:widowControl/>
                    <w:autoSpaceDE/>
                    <w:autoSpaceDN/>
                    <w:jc w:val="center"/>
                    <w:rPr>
                      <w:rFonts w:ascii="Times New Roman" w:hAnsi="Times New Roman" w:cs="Times New Roman" w:eastAsiaTheme="minorEastAsia"/>
                      <w:sz w:val="21"/>
                      <w:szCs w:val="21"/>
                      <w:lang w:val="zh-CN" w:bidi="zh-CN"/>
                    </w:rPr>
                  </w:pPr>
                </w:p>
              </w:tc>
              <w:tc>
                <w:tcPr>
                  <w:tcW w:w="882" w:type="pct"/>
                  <w:tcBorders>
                    <w:top w:val="single" w:color="000000" w:sz="4" w:space="0"/>
                    <w:left w:val="single" w:color="000000" w:sz="4" w:space="0"/>
                    <w:bottom w:val="single" w:color="000000" w:sz="4" w:space="0"/>
                    <w:right w:val="single" w:color="000000" w:sz="4" w:space="0"/>
                  </w:tcBorders>
                  <w:vAlign w:val="center"/>
                </w:tcPr>
                <w:p>
                  <w:pPr>
                    <w:pStyle w:val="83"/>
                    <w:spacing w:before="31"/>
                    <w:ind w:left="149" w:right="130"/>
                    <w:jc w:val="center"/>
                    <w:rPr>
                      <w:rFonts w:eastAsiaTheme="minorEastAsia"/>
                      <w:sz w:val="21"/>
                      <w:szCs w:val="21"/>
                      <w:lang w:val="zh-CN" w:bidi="zh-CN"/>
                    </w:rPr>
                  </w:pPr>
                  <w:r>
                    <w:rPr>
                      <w:rFonts w:eastAsiaTheme="minorEastAsia"/>
                      <w:sz w:val="21"/>
                      <w:szCs w:val="21"/>
                    </w:rPr>
                    <w:t>评价年度</w:t>
                  </w:r>
                </w:p>
              </w:tc>
              <w:tc>
                <w:tcPr>
                  <w:tcW w:w="776" w:type="pct"/>
                  <w:gridSpan w:val="2"/>
                  <w:tcBorders>
                    <w:top w:val="single" w:color="000000" w:sz="4" w:space="0"/>
                    <w:left w:val="single" w:color="000000" w:sz="4" w:space="0"/>
                    <w:bottom w:val="single" w:color="000000" w:sz="4" w:space="0"/>
                    <w:right w:val="single" w:color="000000" w:sz="4" w:space="0"/>
                  </w:tcBorders>
                  <w:vAlign w:val="center"/>
                </w:tcPr>
                <w:p>
                  <w:pPr>
                    <w:pStyle w:val="83"/>
                    <w:spacing w:before="31"/>
                    <w:ind w:firstLine="210" w:firstLineChars="100"/>
                    <w:jc w:val="both"/>
                    <w:rPr>
                      <w:rFonts w:eastAsiaTheme="minorEastAsia"/>
                      <w:sz w:val="21"/>
                      <w:szCs w:val="21"/>
                      <w:lang w:val="zh-CN" w:bidi="zh-CN"/>
                    </w:rPr>
                  </w:pPr>
                  <w:r>
                    <w:rPr>
                      <w:rFonts w:eastAsiaTheme="minorEastAsia"/>
                      <w:sz w:val="21"/>
                      <w:szCs w:val="21"/>
                    </w:rPr>
                    <w:t>初期□</w:t>
                  </w:r>
                </w:p>
              </w:tc>
              <w:tc>
                <w:tcPr>
                  <w:tcW w:w="839" w:type="pct"/>
                  <w:gridSpan w:val="3"/>
                  <w:tcBorders>
                    <w:top w:val="single" w:color="000000" w:sz="4" w:space="0"/>
                    <w:left w:val="single" w:color="000000" w:sz="4" w:space="0"/>
                    <w:bottom w:val="single" w:color="000000" w:sz="4" w:space="0"/>
                    <w:right w:val="single" w:color="000000" w:sz="4" w:space="0"/>
                  </w:tcBorders>
                  <w:vAlign w:val="center"/>
                </w:tcPr>
                <w:p>
                  <w:pPr>
                    <w:pStyle w:val="83"/>
                    <w:spacing w:before="31"/>
                    <w:ind w:firstLine="420" w:firstLineChars="200"/>
                    <w:jc w:val="both"/>
                    <w:rPr>
                      <w:rFonts w:eastAsiaTheme="minorEastAsia"/>
                      <w:sz w:val="21"/>
                      <w:szCs w:val="21"/>
                      <w:lang w:val="zh-CN" w:bidi="zh-CN"/>
                    </w:rPr>
                  </w:pPr>
                  <w:r>
                    <w:rPr>
                      <w:rFonts w:eastAsiaTheme="minorEastAsia"/>
                      <w:sz w:val="21"/>
                      <w:szCs w:val="21"/>
                    </w:rPr>
                    <w:t>近期□</w:t>
                  </w:r>
                </w:p>
              </w:tc>
              <w:tc>
                <w:tcPr>
                  <w:tcW w:w="866" w:type="pct"/>
                  <w:gridSpan w:val="3"/>
                  <w:tcBorders>
                    <w:top w:val="single" w:color="000000" w:sz="4" w:space="0"/>
                    <w:left w:val="single" w:color="000000" w:sz="4" w:space="0"/>
                    <w:bottom w:val="single" w:color="000000" w:sz="4" w:space="0"/>
                    <w:right w:val="single" w:color="000000" w:sz="4" w:space="0"/>
                  </w:tcBorders>
                  <w:vAlign w:val="center"/>
                </w:tcPr>
                <w:p>
                  <w:pPr>
                    <w:pStyle w:val="83"/>
                    <w:spacing w:before="31"/>
                    <w:ind w:firstLine="420" w:firstLineChars="200"/>
                    <w:jc w:val="both"/>
                    <w:rPr>
                      <w:rFonts w:eastAsiaTheme="minorEastAsia"/>
                      <w:sz w:val="21"/>
                      <w:szCs w:val="21"/>
                      <w:lang w:val="zh-CN" w:bidi="zh-CN"/>
                    </w:rPr>
                  </w:pPr>
                  <w:r>
                    <w:rPr>
                      <w:rFonts w:eastAsiaTheme="minorEastAsia"/>
                      <w:sz w:val="21"/>
                      <w:szCs w:val="21"/>
                    </w:rPr>
                    <w:t>中期□</w:t>
                  </w:r>
                </w:p>
              </w:tc>
              <w:tc>
                <w:tcPr>
                  <w:tcW w:w="1047" w:type="pct"/>
                  <w:gridSpan w:val="3"/>
                  <w:tcBorders>
                    <w:top w:val="single" w:color="000000" w:sz="4" w:space="0"/>
                    <w:left w:val="single" w:color="000000" w:sz="4" w:space="0"/>
                    <w:bottom w:val="single" w:color="000000" w:sz="4" w:space="0"/>
                    <w:right w:val="single" w:color="000000" w:sz="12" w:space="0"/>
                  </w:tcBorders>
                  <w:vAlign w:val="center"/>
                </w:tcPr>
                <w:p>
                  <w:pPr>
                    <w:pStyle w:val="83"/>
                    <w:spacing w:before="31"/>
                    <w:ind w:firstLine="420" w:firstLineChars="200"/>
                    <w:jc w:val="both"/>
                    <w:rPr>
                      <w:rFonts w:eastAsiaTheme="minorEastAsia"/>
                      <w:sz w:val="21"/>
                      <w:szCs w:val="21"/>
                      <w:lang w:val="zh-CN" w:bidi="zh-CN"/>
                    </w:rPr>
                  </w:pPr>
                  <w:r>
                    <w:rPr>
                      <w:rFonts w:eastAsiaTheme="minorEastAsia"/>
                      <w:sz w:val="21"/>
                      <w:szCs w:val="21"/>
                    </w:rPr>
                    <w:t>远期□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2" w:hRule="atLeast"/>
              </w:trPr>
              <w:tc>
                <w:tcPr>
                  <w:tcW w:w="588" w:type="pct"/>
                  <w:vMerge w:val="continue"/>
                  <w:tcBorders>
                    <w:top w:val="single" w:color="000000" w:sz="4" w:space="0"/>
                    <w:left w:val="single" w:color="000000" w:sz="12" w:space="0"/>
                    <w:bottom w:val="single" w:color="000000" w:sz="4" w:space="0"/>
                    <w:right w:val="single" w:color="000000" w:sz="4" w:space="0"/>
                  </w:tcBorders>
                  <w:vAlign w:val="center"/>
                </w:tcPr>
                <w:p>
                  <w:pPr>
                    <w:widowControl/>
                    <w:autoSpaceDE/>
                    <w:autoSpaceDN/>
                    <w:jc w:val="center"/>
                    <w:rPr>
                      <w:rFonts w:ascii="Times New Roman" w:hAnsi="Times New Roman" w:cs="Times New Roman" w:eastAsiaTheme="minorEastAsia"/>
                      <w:sz w:val="21"/>
                      <w:szCs w:val="21"/>
                      <w:lang w:val="zh-CN" w:bidi="zh-CN"/>
                    </w:rPr>
                  </w:pPr>
                </w:p>
              </w:tc>
              <w:tc>
                <w:tcPr>
                  <w:tcW w:w="882" w:type="pct"/>
                  <w:tcBorders>
                    <w:top w:val="single" w:color="000000" w:sz="4" w:space="0"/>
                    <w:left w:val="single" w:color="000000" w:sz="4" w:space="0"/>
                    <w:bottom w:val="single" w:color="000000" w:sz="4" w:space="0"/>
                    <w:right w:val="single" w:color="000000" w:sz="4" w:space="0"/>
                  </w:tcBorders>
                  <w:vAlign w:val="center"/>
                </w:tcPr>
                <w:p>
                  <w:pPr>
                    <w:pStyle w:val="83"/>
                    <w:spacing w:before="124"/>
                    <w:ind w:left="149" w:right="130"/>
                    <w:jc w:val="center"/>
                    <w:rPr>
                      <w:rFonts w:eastAsiaTheme="minorEastAsia"/>
                      <w:sz w:val="21"/>
                      <w:szCs w:val="21"/>
                      <w:lang w:val="zh-CN" w:bidi="zh-CN"/>
                    </w:rPr>
                  </w:pPr>
                  <w:r>
                    <w:rPr>
                      <w:rFonts w:eastAsiaTheme="minorEastAsia"/>
                      <w:sz w:val="21"/>
                      <w:szCs w:val="21"/>
                    </w:rPr>
                    <w:t>现状调查方法</w:t>
                  </w:r>
                </w:p>
              </w:tc>
              <w:tc>
                <w:tcPr>
                  <w:tcW w:w="3529" w:type="pct"/>
                  <w:gridSpan w:val="11"/>
                  <w:tcBorders>
                    <w:top w:val="single" w:color="000000" w:sz="4" w:space="0"/>
                    <w:left w:val="single" w:color="000000" w:sz="4" w:space="0"/>
                    <w:bottom w:val="single" w:color="000000" w:sz="4" w:space="0"/>
                    <w:right w:val="single" w:color="000000" w:sz="12" w:space="0"/>
                  </w:tcBorders>
                  <w:vAlign w:val="center"/>
                </w:tcPr>
                <w:p>
                  <w:pPr>
                    <w:pStyle w:val="83"/>
                    <w:spacing w:before="124"/>
                    <w:jc w:val="both"/>
                    <w:rPr>
                      <w:rFonts w:eastAsiaTheme="minorEastAsia"/>
                      <w:sz w:val="21"/>
                      <w:szCs w:val="21"/>
                      <w:lang w:val="zh-CN" w:eastAsia="zh-CN" w:bidi="zh-CN"/>
                    </w:rPr>
                  </w:pPr>
                  <w:r>
                    <w:rPr>
                      <w:rFonts w:eastAsiaTheme="minorEastAsia"/>
                      <w:sz w:val="21"/>
                      <w:szCs w:val="21"/>
                      <w:lang w:eastAsia="zh-CN"/>
                    </w:rPr>
                    <w:t>现场实测法□     现场实测加模型计算法□    收集资料</w:t>
                  </w:r>
                  <w:r>
                    <w:rPr>
                      <w:rFonts w:hint="eastAsia" w:eastAsia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4" w:hRule="atLeast"/>
              </w:trPr>
              <w:tc>
                <w:tcPr>
                  <w:tcW w:w="588" w:type="pct"/>
                  <w:vMerge w:val="continue"/>
                  <w:tcBorders>
                    <w:top w:val="single" w:color="000000" w:sz="4" w:space="0"/>
                    <w:left w:val="single" w:color="000000" w:sz="12" w:space="0"/>
                    <w:bottom w:val="single" w:color="000000" w:sz="4" w:space="0"/>
                    <w:right w:val="single" w:color="000000" w:sz="4" w:space="0"/>
                  </w:tcBorders>
                  <w:vAlign w:val="center"/>
                </w:tcPr>
                <w:p>
                  <w:pPr>
                    <w:widowControl/>
                    <w:autoSpaceDE/>
                    <w:autoSpaceDN/>
                    <w:jc w:val="center"/>
                    <w:rPr>
                      <w:rFonts w:ascii="Times New Roman" w:hAnsi="Times New Roman" w:cs="Times New Roman" w:eastAsiaTheme="minorEastAsia"/>
                      <w:sz w:val="21"/>
                      <w:szCs w:val="21"/>
                      <w:lang w:val="zh-CN" w:eastAsia="zh-CN" w:bidi="zh-CN"/>
                    </w:rPr>
                  </w:pPr>
                </w:p>
              </w:tc>
              <w:tc>
                <w:tcPr>
                  <w:tcW w:w="882" w:type="pct"/>
                  <w:tcBorders>
                    <w:top w:val="single" w:color="000000" w:sz="4" w:space="0"/>
                    <w:left w:val="single" w:color="000000" w:sz="4" w:space="0"/>
                    <w:bottom w:val="single" w:color="000000" w:sz="4" w:space="0"/>
                    <w:right w:val="single" w:color="000000" w:sz="4" w:space="0"/>
                  </w:tcBorders>
                  <w:vAlign w:val="center"/>
                </w:tcPr>
                <w:p>
                  <w:pPr>
                    <w:pStyle w:val="83"/>
                    <w:spacing w:before="31"/>
                    <w:ind w:left="149" w:right="130"/>
                    <w:jc w:val="center"/>
                    <w:rPr>
                      <w:rFonts w:eastAsiaTheme="minorEastAsia"/>
                      <w:sz w:val="21"/>
                      <w:szCs w:val="21"/>
                      <w:lang w:val="zh-CN" w:bidi="zh-CN"/>
                    </w:rPr>
                  </w:pPr>
                  <w:r>
                    <w:rPr>
                      <w:rFonts w:eastAsiaTheme="minorEastAsia"/>
                      <w:sz w:val="21"/>
                      <w:szCs w:val="21"/>
                    </w:rPr>
                    <w:t>现状评价</w:t>
                  </w:r>
                </w:p>
              </w:tc>
              <w:tc>
                <w:tcPr>
                  <w:tcW w:w="1028" w:type="pct"/>
                  <w:gridSpan w:val="3"/>
                  <w:tcBorders>
                    <w:top w:val="single" w:color="000000" w:sz="4" w:space="0"/>
                    <w:left w:val="single" w:color="000000" w:sz="4" w:space="0"/>
                    <w:bottom w:val="single" w:color="000000" w:sz="4" w:space="0"/>
                    <w:right w:val="single" w:color="000000" w:sz="4" w:space="0"/>
                  </w:tcBorders>
                  <w:vAlign w:val="center"/>
                </w:tcPr>
                <w:p>
                  <w:pPr>
                    <w:pStyle w:val="83"/>
                    <w:spacing w:before="31"/>
                    <w:ind w:left="534"/>
                    <w:jc w:val="center"/>
                    <w:rPr>
                      <w:rFonts w:eastAsiaTheme="minorEastAsia"/>
                      <w:sz w:val="21"/>
                      <w:szCs w:val="21"/>
                      <w:lang w:val="zh-CN" w:bidi="zh-CN"/>
                    </w:rPr>
                  </w:pPr>
                  <w:r>
                    <w:rPr>
                      <w:rFonts w:eastAsiaTheme="minorEastAsia"/>
                      <w:sz w:val="21"/>
                      <w:szCs w:val="21"/>
                    </w:rPr>
                    <w:t>达标百分比</w:t>
                  </w:r>
                </w:p>
              </w:tc>
              <w:tc>
                <w:tcPr>
                  <w:tcW w:w="2500" w:type="pct"/>
                  <w:gridSpan w:val="8"/>
                  <w:tcBorders>
                    <w:top w:val="single" w:color="000000" w:sz="4" w:space="0"/>
                    <w:left w:val="single" w:color="000000" w:sz="4" w:space="0"/>
                    <w:bottom w:val="single" w:color="000000" w:sz="4" w:space="0"/>
                    <w:right w:val="single" w:color="000000" w:sz="12" w:space="0"/>
                  </w:tcBorders>
                  <w:vAlign w:val="center"/>
                </w:tcPr>
                <w:p>
                  <w:pPr>
                    <w:pStyle w:val="83"/>
                    <w:jc w:val="center"/>
                    <w:rPr>
                      <w:rFonts w:hint="default" w:eastAsiaTheme="minorEastAsia"/>
                      <w:sz w:val="21"/>
                      <w:szCs w:val="21"/>
                      <w:lang w:val="en-US" w:bidi="zh-CN"/>
                    </w:rPr>
                  </w:pPr>
                  <w:r>
                    <w:rPr>
                      <w:rFonts w:hint="eastAsia" w:eastAsiaTheme="minorEastAsia"/>
                      <w:sz w:val="21"/>
                      <w:szCs w:val="21"/>
                      <w:lang w:val="en-US" w:bidi="zh-CN"/>
                    </w:rPr>
                    <w:t>100%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1" w:hRule="atLeast"/>
              </w:trPr>
              <w:tc>
                <w:tcPr>
                  <w:tcW w:w="588" w:type="pct"/>
                  <w:tcBorders>
                    <w:top w:val="single" w:color="000000" w:sz="4" w:space="0"/>
                    <w:left w:val="single" w:color="000000" w:sz="12" w:space="0"/>
                    <w:bottom w:val="single" w:color="000000" w:sz="4" w:space="0"/>
                    <w:right w:val="single" w:color="000000" w:sz="4" w:space="0"/>
                  </w:tcBorders>
                  <w:vAlign w:val="center"/>
                </w:tcPr>
                <w:p>
                  <w:pPr>
                    <w:pStyle w:val="83"/>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eastAsiaTheme="minorEastAsia"/>
                      <w:sz w:val="21"/>
                      <w:szCs w:val="21"/>
                      <w:lang w:val="zh-CN" w:bidi="zh-CN"/>
                    </w:rPr>
                  </w:pPr>
                  <w:r>
                    <w:rPr>
                      <w:rFonts w:eastAsiaTheme="minorEastAsia"/>
                      <w:sz w:val="21"/>
                      <w:szCs w:val="21"/>
                    </w:rPr>
                    <w:t>噪声源调查</w:t>
                  </w:r>
                </w:p>
              </w:tc>
              <w:tc>
                <w:tcPr>
                  <w:tcW w:w="882" w:type="pct"/>
                  <w:tcBorders>
                    <w:top w:val="single" w:color="000000" w:sz="4" w:space="0"/>
                    <w:left w:val="single" w:color="000000" w:sz="4" w:space="0"/>
                    <w:bottom w:val="single" w:color="000000" w:sz="4" w:space="0"/>
                    <w:right w:val="single" w:color="000000" w:sz="4" w:space="0"/>
                  </w:tcBorders>
                  <w:vAlign w:val="center"/>
                </w:tcPr>
                <w:p>
                  <w:pPr>
                    <w:pStyle w:val="83"/>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eastAsiaTheme="minorEastAsia"/>
                      <w:sz w:val="21"/>
                      <w:szCs w:val="21"/>
                      <w:lang w:val="zh-CN" w:bidi="zh-CN"/>
                    </w:rPr>
                  </w:pPr>
                  <w:r>
                    <w:rPr>
                      <w:rFonts w:eastAsiaTheme="minorEastAsia"/>
                      <w:sz w:val="21"/>
                      <w:szCs w:val="21"/>
                    </w:rPr>
                    <w:t>噪声源调查方法</w:t>
                  </w:r>
                </w:p>
              </w:tc>
              <w:tc>
                <w:tcPr>
                  <w:tcW w:w="3529" w:type="pct"/>
                  <w:gridSpan w:val="11"/>
                  <w:tcBorders>
                    <w:top w:val="single" w:color="000000" w:sz="4" w:space="0"/>
                    <w:left w:val="single" w:color="000000" w:sz="4" w:space="0"/>
                    <w:bottom w:val="single" w:color="000000" w:sz="4" w:space="0"/>
                    <w:right w:val="single" w:color="000000" w:sz="12" w:space="0"/>
                  </w:tcBorders>
                </w:tcPr>
                <w:p>
                  <w:pPr>
                    <w:pStyle w:val="83"/>
                    <w:spacing w:before="11"/>
                    <w:rPr>
                      <w:rFonts w:eastAsiaTheme="minorEastAsia"/>
                      <w:sz w:val="21"/>
                      <w:szCs w:val="21"/>
                      <w:lang w:val="zh-CN" w:eastAsia="zh-CN" w:bidi="zh-CN"/>
                    </w:rPr>
                  </w:pPr>
                </w:p>
                <w:p>
                  <w:pPr>
                    <w:pStyle w:val="83"/>
                    <w:jc w:val="center"/>
                    <w:rPr>
                      <w:rFonts w:eastAsiaTheme="minorEastAsia"/>
                      <w:sz w:val="21"/>
                      <w:szCs w:val="21"/>
                      <w:lang w:val="zh-CN" w:eastAsia="zh-CN" w:bidi="zh-CN"/>
                    </w:rPr>
                  </w:pPr>
                  <w:r>
                    <w:rPr>
                      <w:rFonts w:eastAsiaTheme="minorEastAsia"/>
                      <w:sz w:val="21"/>
                      <w:szCs w:val="21"/>
                      <w:lang w:eastAsia="zh-CN"/>
                    </w:rPr>
                    <w:t>现场实测□           已有资料</w:t>
                  </w:r>
                  <w:r>
                    <w:rPr>
                      <w:rFonts w:hint="eastAsia" w:eastAsiaTheme="minorEastAsia"/>
                      <w:sz w:val="21"/>
                      <w:szCs w:val="21"/>
                      <w:lang w:eastAsia="zh-CN"/>
                    </w:rPr>
                    <w:t>☑</w:t>
                  </w:r>
                  <w:r>
                    <w:rPr>
                      <w:rFonts w:eastAsiaTheme="minorEastAsia"/>
                      <w:sz w:val="21"/>
                      <w:szCs w:val="21"/>
                      <w:lang w:eastAsia="zh-CN"/>
                    </w:rPr>
                    <w:t xml:space="preserve">               研究成果□</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1" w:hRule="atLeast"/>
              </w:trPr>
              <w:tc>
                <w:tcPr>
                  <w:tcW w:w="588" w:type="pct"/>
                  <w:vMerge w:val="restart"/>
                  <w:tcBorders>
                    <w:top w:val="single" w:color="000000" w:sz="4" w:space="0"/>
                    <w:left w:val="single" w:color="000000" w:sz="12" w:space="0"/>
                    <w:bottom w:val="single" w:color="000000" w:sz="4" w:space="0"/>
                    <w:right w:val="single" w:color="000000" w:sz="4" w:space="0"/>
                  </w:tcBorders>
                  <w:vAlign w:val="center"/>
                </w:tcPr>
                <w:p>
                  <w:pPr>
                    <w:pStyle w:val="83"/>
                    <w:keepNext w:val="0"/>
                    <w:keepLines w:val="0"/>
                    <w:pageBreakBefore w:val="0"/>
                    <w:widowControl w:val="0"/>
                    <w:kinsoku/>
                    <w:wordWrap/>
                    <w:overflowPunct/>
                    <w:topLinePunct w:val="0"/>
                    <w:autoSpaceDE/>
                    <w:autoSpaceDN/>
                    <w:bidi w:val="0"/>
                    <w:adjustRightInd/>
                    <w:snapToGrid/>
                    <w:ind w:right="0"/>
                    <w:jc w:val="center"/>
                    <w:textAlignment w:val="auto"/>
                    <w:rPr>
                      <w:rFonts w:eastAsiaTheme="minorEastAsia"/>
                      <w:sz w:val="21"/>
                      <w:szCs w:val="21"/>
                      <w:lang w:val="zh-CN" w:eastAsia="zh-CN" w:bidi="zh-CN"/>
                    </w:rPr>
                  </w:pPr>
                  <w:r>
                    <w:rPr>
                      <w:rFonts w:eastAsiaTheme="minorEastAsia"/>
                      <w:sz w:val="21"/>
                      <w:szCs w:val="21"/>
                      <w:lang w:eastAsia="zh-CN"/>
                    </w:rPr>
                    <w:t>声环境影响预测与评价</w:t>
                  </w:r>
                </w:p>
              </w:tc>
              <w:tc>
                <w:tcPr>
                  <w:tcW w:w="882" w:type="pct"/>
                  <w:tcBorders>
                    <w:top w:val="single" w:color="000000" w:sz="4" w:space="0"/>
                    <w:left w:val="single" w:color="000000" w:sz="4" w:space="0"/>
                    <w:bottom w:val="single" w:color="000000" w:sz="4" w:space="0"/>
                    <w:right w:val="single" w:color="000000" w:sz="4" w:space="0"/>
                  </w:tcBorders>
                  <w:vAlign w:val="center"/>
                </w:tcPr>
                <w:p>
                  <w:pPr>
                    <w:pStyle w:val="83"/>
                    <w:ind w:left="149" w:right="130"/>
                    <w:jc w:val="center"/>
                    <w:rPr>
                      <w:rFonts w:eastAsiaTheme="minorEastAsia"/>
                      <w:sz w:val="21"/>
                      <w:szCs w:val="21"/>
                      <w:lang w:val="zh-CN" w:bidi="zh-CN"/>
                    </w:rPr>
                  </w:pPr>
                  <w:r>
                    <w:rPr>
                      <w:rFonts w:eastAsiaTheme="minorEastAsia"/>
                      <w:sz w:val="21"/>
                      <w:szCs w:val="21"/>
                    </w:rPr>
                    <w:t>预测模型</w:t>
                  </w:r>
                </w:p>
              </w:tc>
              <w:tc>
                <w:tcPr>
                  <w:tcW w:w="1967" w:type="pct"/>
                  <w:gridSpan w:val="6"/>
                  <w:tcBorders>
                    <w:top w:val="single" w:color="000000" w:sz="4" w:space="0"/>
                    <w:left w:val="single" w:color="000000" w:sz="4" w:space="0"/>
                    <w:bottom w:val="single" w:color="000000" w:sz="4" w:space="0"/>
                    <w:right w:val="nil"/>
                  </w:tcBorders>
                </w:tcPr>
                <w:p>
                  <w:pPr>
                    <w:pStyle w:val="83"/>
                    <w:ind w:firstLine="210" w:firstLineChars="100"/>
                    <w:rPr>
                      <w:rFonts w:hint="eastAsia" w:eastAsiaTheme="minorEastAsia"/>
                      <w:sz w:val="21"/>
                      <w:szCs w:val="21"/>
                      <w:lang w:val="zh-CN" w:eastAsia="zh-CN" w:bidi="zh-CN"/>
                    </w:rPr>
                  </w:pPr>
                  <w:r>
                    <w:rPr>
                      <w:rFonts w:eastAsiaTheme="minorEastAsia"/>
                      <w:sz w:val="21"/>
                      <w:szCs w:val="21"/>
                    </w:rPr>
                    <w:t>导则推荐模型</w:t>
                  </w:r>
                  <w:r>
                    <w:rPr>
                      <w:rFonts w:hint="eastAsia" w:eastAsiaTheme="minorEastAsia"/>
                      <w:sz w:val="21"/>
                      <w:szCs w:val="21"/>
                      <w:lang w:eastAsia="zh-CN"/>
                    </w:rPr>
                    <w:t>☑</w:t>
                  </w:r>
                </w:p>
              </w:tc>
              <w:tc>
                <w:tcPr>
                  <w:tcW w:w="1562" w:type="pct"/>
                  <w:gridSpan w:val="5"/>
                  <w:tcBorders>
                    <w:top w:val="single" w:color="000000" w:sz="4" w:space="0"/>
                    <w:left w:val="nil"/>
                    <w:bottom w:val="single" w:color="000000" w:sz="4" w:space="0"/>
                    <w:right w:val="single" w:color="000000" w:sz="12" w:space="0"/>
                  </w:tcBorders>
                </w:tcPr>
                <w:p>
                  <w:pPr>
                    <w:pStyle w:val="83"/>
                    <w:tabs>
                      <w:tab w:val="left" w:pos="1633"/>
                    </w:tabs>
                    <w:ind w:left="61"/>
                    <w:rPr>
                      <w:rFonts w:eastAsiaTheme="minorEastAsia"/>
                      <w:sz w:val="21"/>
                      <w:szCs w:val="21"/>
                      <w:lang w:val="zh-CN" w:bidi="zh-CN"/>
                    </w:rPr>
                  </w:pPr>
                  <w:r>
                    <w:rPr>
                      <w:rFonts w:eastAsiaTheme="minorEastAsia"/>
                      <w:sz w:val="21"/>
                      <w:szCs w:val="21"/>
                    </w:rPr>
                    <w:t>其他□</w:t>
                  </w:r>
                  <w:r>
                    <w:rPr>
                      <w:rFonts w:eastAsiaTheme="minorEastAsia"/>
                      <w:sz w:val="21"/>
                      <w:szCs w:val="21"/>
                      <w:u w:val="single"/>
                    </w:rPr>
                    <w:t xml:space="preserve"> </w:t>
                  </w:r>
                  <w:r>
                    <w:rPr>
                      <w:rFonts w:eastAsiaTheme="minorEastAsia"/>
                      <w:sz w:val="21"/>
                      <w:szCs w:val="21"/>
                      <w:u w:val="single"/>
                    </w:rPr>
                    <w:tab/>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94" w:hRule="atLeast"/>
              </w:trPr>
              <w:tc>
                <w:tcPr>
                  <w:tcW w:w="588" w:type="pct"/>
                  <w:vMerge w:val="continue"/>
                  <w:tcBorders>
                    <w:top w:val="single" w:color="000000" w:sz="4" w:space="0"/>
                    <w:left w:val="single" w:color="000000" w:sz="12" w:space="0"/>
                    <w:bottom w:val="single" w:color="000000" w:sz="4" w:space="0"/>
                    <w:right w:val="single" w:color="000000" w:sz="4" w:space="0"/>
                  </w:tcBorders>
                  <w:vAlign w:val="center"/>
                </w:tcPr>
                <w:p>
                  <w:pPr>
                    <w:widowControl/>
                    <w:autoSpaceDE/>
                    <w:autoSpaceDN/>
                    <w:jc w:val="center"/>
                    <w:rPr>
                      <w:rFonts w:ascii="Times New Roman" w:hAnsi="Times New Roman" w:cs="Times New Roman" w:eastAsiaTheme="minorEastAsia"/>
                      <w:sz w:val="21"/>
                      <w:szCs w:val="21"/>
                      <w:lang w:val="zh-CN" w:bidi="zh-CN"/>
                    </w:rPr>
                  </w:pPr>
                </w:p>
              </w:tc>
              <w:tc>
                <w:tcPr>
                  <w:tcW w:w="882" w:type="pct"/>
                  <w:tcBorders>
                    <w:top w:val="single" w:color="000000" w:sz="4" w:space="0"/>
                    <w:left w:val="single" w:color="000000" w:sz="4" w:space="0"/>
                    <w:bottom w:val="single" w:color="000000" w:sz="4" w:space="0"/>
                    <w:right w:val="single" w:color="000000" w:sz="4" w:space="0"/>
                  </w:tcBorders>
                  <w:vAlign w:val="center"/>
                </w:tcPr>
                <w:p>
                  <w:pPr>
                    <w:pStyle w:val="83"/>
                    <w:spacing w:before="31"/>
                    <w:ind w:left="149" w:right="130"/>
                    <w:jc w:val="center"/>
                    <w:rPr>
                      <w:rFonts w:eastAsiaTheme="minorEastAsia"/>
                      <w:sz w:val="21"/>
                      <w:szCs w:val="21"/>
                      <w:lang w:val="zh-CN" w:bidi="zh-CN"/>
                    </w:rPr>
                  </w:pPr>
                  <w:r>
                    <w:rPr>
                      <w:rFonts w:eastAsiaTheme="minorEastAsia"/>
                      <w:sz w:val="21"/>
                      <w:szCs w:val="21"/>
                    </w:rPr>
                    <w:t>预测范围</w:t>
                  </w:r>
                </w:p>
              </w:tc>
              <w:tc>
                <w:tcPr>
                  <w:tcW w:w="3529" w:type="pct"/>
                  <w:gridSpan w:val="11"/>
                  <w:tcBorders>
                    <w:top w:val="single" w:color="000000" w:sz="4" w:space="0"/>
                    <w:left w:val="single" w:color="000000" w:sz="4" w:space="0"/>
                    <w:bottom w:val="single" w:color="000000" w:sz="4" w:space="0"/>
                    <w:right w:val="single" w:color="000000" w:sz="12" w:space="0"/>
                  </w:tcBorders>
                  <w:vAlign w:val="center"/>
                </w:tcPr>
                <w:p>
                  <w:pPr>
                    <w:pStyle w:val="83"/>
                    <w:jc w:val="center"/>
                    <w:rPr>
                      <w:rFonts w:eastAsiaTheme="minorEastAsia"/>
                      <w:sz w:val="21"/>
                      <w:szCs w:val="21"/>
                      <w:lang w:val="zh-CN" w:eastAsia="zh-CN" w:bidi="zh-CN"/>
                    </w:rPr>
                  </w:pPr>
                  <w:r>
                    <w:rPr>
                      <w:rFonts w:eastAsiaTheme="minorEastAsia"/>
                      <w:sz w:val="21"/>
                      <w:szCs w:val="21"/>
                      <w:lang w:eastAsia="zh-CN"/>
                    </w:rPr>
                    <w:t>200 m□          大于200 m□           小于200 m</w:t>
                  </w:r>
                  <w:r>
                    <w:rPr>
                      <w:rFonts w:hint="eastAsia" w:eastAsia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4" w:hRule="atLeast"/>
              </w:trPr>
              <w:tc>
                <w:tcPr>
                  <w:tcW w:w="588" w:type="pct"/>
                  <w:vMerge w:val="continue"/>
                  <w:tcBorders>
                    <w:top w:val="single" w:color="000000" w:sz="4" w:space="0"/>
                    <w:left w:val="single" w:color="000000" w:sz="12" w:space="0"/>
                    <w:bottom w:val="single" w:color="000000" w:sz="4" w:space="0"/>
                    <w:right w:val="single" w:color="000000" w:sz="4" w:space="0"/>
                  </w:tcBorders>
                  <w:vAlign w:val="center"/>
                </w:tcPr>
                <w:p>
                  <w:pPr>
                    <w:widowControl/>
                    <w:autoSpaceDE/>
                    <w:autoSpaceDN/>
                    <w:jc w:val="center"/>
                    <w:rPr>
                      <w:rFonts w:ascii="Times New Roman" w:hAnsi="Times New Roman" w:cs="Times New Roman" w:eastAsiaTheme="minorEastAsia"/>
                      <w:sz w:val="21"/>
                      <w:szCs w:val="21"/>
                      <w:lang w:val="zh-CN" w:eastAsia="zh-CN" w:bidi="zh-CN"/>
                    </w:rPr>
                  </w:pPr>
                </w:p>
              </w:tc>
              <w:tc>
                <w:tcPr>
                  <w:tcW w:w="882" w:type="pct"/>
                  <w:tcBorders>
                    <w:top w:val="single" w:color="000000" w:sz="4" w:space="0"/>
                    <w:left w:val="single" w:color="000000" w:sz="4" w:space="0"/>
                    <w:bottom w:val="single" w:color="000000" w:sz="4" w:space="0"/>
                    <w:right w:val="single" w:color="000000" w:sz="4" w:space="0"/>
                  </w:tcBorders>
                  <w:vAlign w:val="center"/>
                </w:tcPr>
                <w:p>
                  <w:pPr>
                    <w:pStyle w:val="83"/>
                    <w:spacing w:before="31"/>
                    <w:ind w:left="149" w:right="130"/>
                    <w:jc w:val="center"/>
                    <w:rPr>
                      <w:rFonts w:eastAsiaTheme="minorEastAsia"/>
                      <w:sz w:val="21"/>
                      <w:szCs w:val="21"/>
                      <w:lang w:val="zh-CN" w:bidi="zh-CN"/>
                    </w:rPr>
                  </w:pPr>
                  <w:r>
                    <w:rPr>
                      <w:rFonts w:eastAsiaTheme="minorEastAsia"/>
                      <w:sz w:val="21"/>
                      <w:szCs w:val="21"/>
                    </w:rPr>
                    <w:t>预测因子</w:t>
                  </w:r>
                </w:p>
              </w:tc>
              <w:tc>
                <w:tcPr>
                  <w:tcW w:w="1028" w:type="pct"/>
                  <w:gridSpan w:val="3"/>
                  <w:tcBorders>
                    <w:top w:val="single" w:color="000000" w:sz="4" w:space="0"/>
                    <w:left w:val="single" w:color="000000" w:sz="4" w:space="0"/>
                    <w:bottom w:val="single" w:color="000000" w:sz="4" w:space="0"/>
                    <w:right w:val="nil"/>
                  </w:tcBorders>
                </w:tcPr>
                <w:p>
                  <w:pPr>
                    <w:pStyle w:val="83"/>
                    <w:spacing w:before="31"/>
                    <w:ind w:left="243"/>
                    <w:rPr>
                      <w:rFonts w:hint="eastAsia" w:eastAsiaTheme="minorEastAsia"/>
                      <w:sz w:val="21"/>
                      <w:szCs w:val="21"/>
                      <w:lang w:val="zh-CN" w:eastAsia="zh-CN" w:bidi="zh-CN"/>
                    </w:rPr>
                  </w:pPr>
                  <w:r>
                    <w:rPr>
                      <w:rFonts w:eastAsiaTheme="minorEastAsia"/>
                      <w:sz w:val="21"/>
                      <w:szCs w:val="21"/>
                    </w:rPr>
                    <w:t>等效连续A声级</w:t>
                  </w:r>
                  <w:r>
                    <w:rPr>
                      <w:rFonts w:hint="eastAsia" w:eastAsiaTheme="minorEastAsia"/>
                      <w:sz w:val="21"/>
                      <w:szCs w:val="21"/>
                      <w:lang w:eastAsia="zh-CN"/>
                    </w:rPr>
                    <w:t>☑</w:t>
                  </w:r>
                </w:p>
              </w:tc>
              <w:tc>
                <w:tcPr>
                  <w:tcW w:w="938" w:type="pct"/>
                  <w:gridSpan w:val="3"/>
                  <w:tcBorders>
                    <w:top w:val="single" w:color="000000" w:sz="4" w:space="0"/>
                    <w:left w:val="nil"/>
                    <w:bottom w:val="single" w:color="000000" w:sz="4" w:space="0"/>
                    <w:right w:val="nil"/>
                  </w:tcBorders>
                </w:tcPr>
                <w:p>
                  <w:pPr>
                    <w:pStyle w:val="83"/>
                    <w:spacing w:before="31"/>
                    <w:ind w:left="212"/>
                    <w:rPr>
                      <w:rFonts w:eastAsiaTheme="minorEastAsia"/>
                      <w:sz w:val="21"/>
                      <w:szCs w:val="21"/>
                      <w:lang w:val="zh-CN" w:bidi="zh-CN"/>
                    </w:rPr>
                  </w:pPr>
                  <w:r>
                    <w:rPr>
                      <w:rFonts w:eastAsiaTheme="minorEastAsia"/>
                      <w:sz w:val="21"/>
                      <w:szCs w:val="21"/>
                    </w:rPr>
                    <w:t>最大A声级□</w:t>
                  </w:r>
                </w:p>
              </w:tc>
              <w:tc>
                <w:tcPr>
                  <w:tcW w:w="1562" w:type="pct"/>
                  <w:gridSpan w:val="5"/>
                  <w:tcBorders>
                    <w:top w:val="single" w:color="000000" w:sz="4" w:space="0"/>
                    <w:left w:val="nil"/>
                    <w:bottom w:val="single" w:color="000000" w:sz="4" w:space="0"/>
                    <w:right w:val="single" w:color="000000" w:sz="12" w:space="0"/>
                  </w:tcBorders>
                </w:tcPr>
                <w:p>
                  <w:pPr>
                    <w:pStyle w:val="83"/>
                    <w:spacing w:before="31"/>
                    <w:ind w:left="246"/>
                    <w:rPr>
                      <w:rFonts w:eastAsiaTheme="minorEastAsia"/>
                      <w:sz w:val="21"/>
                      <w:szCs w:val="21"/>
                      <w:lang w:val="zh-CN" w:eastAsia="zh-CN" w:bidi="zh-CN"/>
                    </w:rPr>
                  </w:pPr>
                  <w:r>
                    <w:rPr>
                      <w:rFonts w:eastAsiaTheme="minorEastAsia"/>
                      <w:sz w:val="21"/>
                      <w:szCs w:val="21"/>
                      <w:lang w:eastAsia="zh-CN"/>
                    </w:rPr>
                    <w:t>计权等效连续感觉噪声级□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30" w:hRule="atLeast"/>
              </w:trPr>
              <w:tc>
                <w:tcPr>
                  <w:tcW w:w="588" w:type="pct"/>
                  <w:vMerge w:val="continue"/>
                  <w:tcBorders>
                    <w:top w:val="single" w:color="000000" w:sz="4" w:space="0"/>
                    <w:left w:val="single" w:color="000000" w:sz="12" w:space="0"/>
                    <w:bottom w:val="single" w:color="000000" w:sz="4" w:space="0"/>
                    <w:right w:val="single" w:color="000000" w:sz="4" w:space="0"/>
                  </w:tcBorders>
                  <w:vAlign w:val="center"/>
                </w:tcPr>
                <w:p>
                  <w:pPr>
                    <w:widowControl/>
                    <w:autoSpaceDE/>
                    <w:autoSpaceDN/>
                    <w:jc w:val="center"/>
                    <w:rPr>
                      <w:rFonts w:ascii="Times New Roman" w:hAnsi="Times New Roman" w:cs="Times New Roman" w:eastAsiaTheme="minorEastAsia"/>
                      <w:sz w:val="21"/>
                      <w:szCs w:val="21"/>
                      <w:lang w:val="zh-CN" w:eastAsia="zh-CN" w:bidi="zh-CN"/>
                    </w:rPr>
                  </w:pPr>
                </w:p>
              </w:tc>
              <w:tc>
                <w:tcPr>
                  <w:tcW w:w="882" w:type="pct"/>
                  <w:tcBorders>
                    <w:top w:val="single" w:color="000000" w:sz="4" w:space="0"/>
                    <w:left w:val="single" w:color="000000" w:sz="4" w:space="0"/>
                    <w:bottom w:val="single" w:color="000000" w:sz="4" w:space="0"/>
                    <w:right w:val="single" w:color="000000" w:sz="4" w:space="0"/>
                  </w:tcBorders>
                  <w:vAlign w:val="center"/>
                </w:tcPr>
                <w:p>
                  <w:pPr>
                    <w:pStyle w:val="83"/>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eastAsiaTheme="minorEastAsia"/>
                      <w:sz w:val="21"/>
                      <w:szCs w:val="21"/>
                      <w:lang w:val="zh-CN" w:bidi="zh-CN"/>
                    </w:rPr>
                  </w:pPr>
                  <w:r>
                    <w:rPr>
                      <w:rFonts w:eastAsiaTheme="minorEastAsia"/>
                      <w:sz w:val="21"/>
                      <w:szCs w:val="21"/>
                    </w:rPr>
                    <w:t>厂界噪声贡献值</w:t>
                  </w:r>
                </w:p>
              </w:tc>
              <w:tc>
                <w:tcPr>
                  <w:tcW w:w="3529" w:type="pct"/>
                  <w:gridSpan w:val="11"/>
                  <w:tcBorders>
                    <w:top w:val="single" w:color="000000" w:sz="4" w:space="0"/>
                    <w:left w:val="single" w:color="000000" w:sz="4" w:space="0"/>
                    <w:bottom w:val="single" w:color="000000" w:sz="4" w:space="0"/>
                    <w:right w:val="single" w:color="000000" w:sz="12" w:space="0"/>
                  </w:tcBorders>
                  <w:vAlign w:val="center"/>
                </w:tcPr>
                <w:p>
                  <w:pPr>
                    <w:pStyle w:val="83"/>
                    <w:jc w:val="center"/>
                    <w:rPr>
                      <w:rFonts w:eastAsiaTheme="minorEastAsia"/>
                      <w:sz w:val="21"/>
                      <w:szCs w:val="21"/>
                      <w:lang w:val="zh-CN" w:bidi="zh-CN"/>
                    </w:rPr>
                  </w:pPr>
                  <w:r>
                    <w:rPr>
                      <w:rFonts w:eastAsiaTheme="minorEastAsia"/>
                      <w:sz w:val="21"/>
                      <w:szCs w:val="21"/>
                    </w:rPr>
                    <w:t>达标</w:t>
                  </w:r>
                  <w:r>
                    <w:rPr>
                      <w:rFonts w:hint="eastAsia" w:eastAsiaTheme="minorEastAsia"/>
                      <w:sz w:val="21"/>
                      <w:szCs w:val="21"/>
                      <w:lang w:eastAsia="zh-CN"/>
                    </w:rPr>
                    <w:t>☑</w:t>
                  </w:r>
                  <w:r>
                    <w:rPr>
                      <w:rFonts w:eastAsiaTheme="minorEastAsia"/>
                      <w:sz w:val="21"/>
                      <w:szCs w:val="21"/>
                      <w:lang w:eastAsia="zh-CN"/>
                    </w:rPr>
                    <w:t xml:space="preserve">                           </w:t>
                  </w:r>
                  <w:r>
                    <w:rPr>
                      <w:rFonts w:eastAsiaTheme="minorEastAsia"/>
                      <w:sz w:val="21"/>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7" w:hRule="atLeast"/>
              </w:trPr>
              <w:tc>
                <w:tcPr>
                  <w:tcW w:w="588" w:type="pct"/>
                  <w:vMerge w:val="continue"/>
                  <w:tcBorders>
                    <w:top w:val="single" w:color="000000" w:sz="4" w:space="0"/>
                    <w:left w:val="single" w:color="000000" w:sz="12" w:space="0"/>
                    <w:bottom w:val="single" w:color="000000" w:sz="4" w:space="0"/>
                    <w:right w:val="single" w:color="000000" w:sz="4" w:space="0"/>
                  </w:tcBorders>
                  <w:vAlign w:val="center"/>
                </w:tcPr>
                <w:p>
                  <w:pPr>
                    <w:widowControl/>
                    <w:autoSpaceDE/>
                    <w:autoSpaceDN/>
                    <w:jc w:val="center"/>
                    <w:rPr>
                      <w:rFonts w:ascii="Times New Roman" w:hAnsi="Times New Roman" w:cs="Times New Roman" w:eastAsiaTheme="minorEastAsia"/>
                      <w:sz w:val="21"/>
                      <w:szCs w:val="21"/>
                      <w:lang w:val="zh-CN" w:bidi="zh-CN"/>
                    </w:rPr>
                  </w:pPr>
                </w:p>
              </w:tc>
              <w:tc>
                <w:tcPr>
                  <w:tcW w:w="882" w:type="pct"/>
                  <w:tcBorders>
                    <w:top w:val="single" w:color="000000" w:sz="4" w:space="0"/>
                    <w:left w:val="single" w:color="000000" w:sz="4" w:space="0"/>
                    <w:bottom w:val="single" w:color="000000" w:sz="4" w:space="0"/>
                    <w:right w:val="single" w:color="000000" w:sz="4" w:space="0"/>
                  </w:tcBorders>
                  <w:vAlign w:val="center"/>
                </w:tcPr>
                <w:p>
                  <w:pPr>
                    <w:pStyle w:val="83"/>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eastAsiaTheme="minorEastAsia"/>
                      <w:sz w:val="21"/>
                      <w:szCs w:val="21"/>
                      <w:lang w:val="zh-CN" w:eastAsia="zh-CN" w:bidi="zh-CN"/>
                    </w:rPr>
                  </w:pPr>
                  <w:r>
                    <w:rPr>
                      <w:rFonts w:eastAsiaTheme="minorEastAsia"/>
                      <w:sz w:val="21"/>
                      <w:szCs w:val="21"/>
                      <w:lang w:eastAsia="zh-CN"/>
                    </w:rPr>
                    <w:t>声环境保护目标处噪声值</w:t>
                  </w:r>
                </w:p>
              </w:tc>
              <w:tc>
                <w:tcPr>
                  <w:tcW w:w="3529" w:type="pct"/>
                  <w:gridSpan w:val="11"/>
                  <w:tcBorders>
                    <w:top w:val="single" w:color="000000" w:sz="4" w:space="0"/>
                    <w:left w:val="single" w:color="000000" w:sz="4" w:space="0"/>
                    <w:bottom w:val="single" w:color="000000" w:sz="4" w:space="0"/>
                    <w:right w:val="single" w:color="000000" w:sz="12" w:space="0"/>
                  </w:tcBorders>
                  <w:vAlign w:val="center"/>
                </w:tcPr>
                <w:p>
                  <w:pPr>
                    <w:pStyle w:val="83"/>
                    <w:jc w:val="center"/>
                    <w:rPr>
                      <w:rFonts w:eastAsiaTheme="minorEastAsia"/>
                      <w:sz w:val="21"/>
                      <w:szCs w:val="21"/>
                      <w:lang w:val="zh-CN" w:bidi="zh-CN"/>
                    </w:rPr>
                  </w:pPr>
                  <w:r>
                    <w:rPr>
                      <w:rFonts w:eastAsiaTheme="minorEastAsia"/>
                      <w:sz w:val="21"/>
                      <w:szCs w:val="21"/>
                    </w:rPr>
                    <w:t>达标</w:t>
                  </w:r>
                  <w:r>
                    <w:rPr>
                      <w:rFonts w:hint="eastAsia" w:eastAsiaTheme="minorEastAsia"/>
                      <w:sz w:val="21"/>
                      <w:szCs w:val="21"/>
                      <w:lang w:eastAsia="zh-CN"/>
                    </w:rPr>
                    <w:t>□</w:t>
                  </w:r>
                  <w:r>
                    <w:rPr>
                      <w:rFonts w:eastAsiaTheme="minorEastAsia"/>
                      <w:sz w:val="21"/>
                      <w:szCs w:val="21"/>
                      <w:lang w:eastAsia="zh-CN"/>
                    </w:rPr>
                    <w:t xml:space="preserve">                            </w:t>
                  </w:r>
                  <w:r>
                    <w:rPr>
                      <w:rFonts w:eastAsiaTheme="minorEastAsia"/>
                      <w:sz w:val="21"/>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7" w:hRule="atLeast"/>
              </w:trPr>
              <w:tc>
                <w:tcPr>
                  <w:tcW w:w="588" w:type="pct"/>
                  <w:vMerge w:val="restart"/>
                  <w:tcBorders>
                    <w:top w:val="single" w:color="000000" w:sz="4" w:space="0"/>
                    <w:left w:val="single" w:color="000000" w:sz="12" w:space="0"/>
                    <w:bottom w:val="single" w:color="000000" w:sz="4" w:space="0"/>
                    <w:right w:val="single" w:color="000000" w:sz="4" w:space="0"/>
                  </w:tcBorders>
                  <w:vAlign w:val="center"/>
                </w:tcPr>
                <w:p>
                  <w:pPr>
                    <w:pStyle w:val="83"/>
                    <w:ind w:right="125"/>
                    <w:jc w:val="center"/>
                    <w:rPr>
                      <w:rFonts w:eastAsiaTheme="minorEastAsia"/>
                      <w:sz w:val="21"/>
                      <w:szCs w:val="21"/>
                      <w:lang w:val="zh-CN" w:bidi="zh-CN"/>
                    </w:rPr>
                  </w:pPr>
                  <w:r>
                    <w:rPr>
                      <w:rFonts w:eastAsiaTheme="minorEastAsia"/>
                      <w:sz w:val="21"/>
                      <w:szCs w:val="21"/>
                    </w:rPr>
                    <w:t>环境监测计划</w:t>
                  </w:r>
                </w:p>
              </w:tc>
              <w:tc>
                <w:tcPr>
                  <w:tcW w:w="882" w:type="pct"/>
                  <w:tcBorders>
                    <w:top w:val="single" w:color="000000" w:sz="4" w:space="0"/>
                    <w:left w:val="single" w:color="000000" w:sz="4" w:space="0"/>
                    <w:bottom w:val="single" w:color="000000" w:sz="4" w:space="0"/>
                    <w:right w:val="single" w:color="000000" w:sz="4" w:space="0"/>
                  </w:tcBorders>
                  <w:vAlign w:val="center"/>
                </w:tcPr>
                <w:p>
                  <w:pPr>
                    <w:pStyle w:val="83"/>
                    <w:spacing w:before="31"/>
                    <w:ind w:left="149" w:right="130"/>
                    <w:jc w:val="center"/>
                    <w:rPr>
                      <w:rFonts w:eastAsiaTheme="minorEastAsia"/>
                      <w:sz w:val="21"/>
                      <w:szCs w:val="21"/>
                      <w:lang w:val="zh-CN" w:bidi="zh-CN"/>
                    </w:rPr>
                  </w:pPr>
                  <w:r>
                    <w:rPr>
                      <w:rFonts w:eastAsiaTheme="minorEastAsia"/>
                      <w:sz w:val="21"/>
                      <w:szCs w:val="21"/>
                    </w:rPr>
                    <w:t>排放监测</w:t>
                  </w:r>
                </w:p>
              </w:tc>
              <w:tc>
                <w:tcPr>
                  <w:tcW w:w="3529" w:type="pct"/>
                  <w:gridSpan w:val="11"/>
                  <w:tcBorders>
                    <w:top w:val="single" w:color="000000" w:sz="4" w:space="0"/>
                    <w:left w:val="single" w:color="000000" w:sz="4" w:space="0"/>
                    <w:bottom w:val="single" w:color="000000" w:sz="4" w:space="0"/>
                    <w:right w:val="single" w:color="000000" w:sz="12" w:space="0"/>
                  </w:tcBorders>
                </w:tcPr>
                <w:p>
                  <w:pPr>
                    <w:pStyle w:val="83"/>
                    <w:tabs>
                      <w:tab w:val="left" w:pos="1621"/>
                    </w:tabs>
                    <w:spacing w:before="31"/>
                    <w:ind w:left="358"/>
                    <w:rPr>
                      <w:rFonts w:eastAsiaTheme="minorEastAsia"/>
                      <w:sz w:val="21"/>
                      <w:szCs w:val="21"/>
                      <w:lang w:val="zh-CN" w:eastAsia="zh-CN" w:bidi="zh-CN"/>
                    </w:rPr>
                  </w:pPr>
                  <w:r>
                    <w:rPr>
                      <w:rFonts w:eastAsiaTheme="minorEastAsia"/>
                      <w:sz w:val="21"/>
                      <w:szCs w:val="21"/>
                      <w:lang w:eastAsia="zh-CN"/>
                    </w:rPr>
                    <w:t>厂界监测</w:t>
                  </w:r>
                  <w:r>
                    <w:rPr>
                      <w:rFonts w:hint="eastAsia" w:eastAsiaTheme="minorEastAsia"/>
                      <w:sz w:val="21"/>
                      <w:szCs w:val="21"/>
                      <w:lang w:eastAsia="zh-CN"/>
                    </w:rPr>
                    <w:t>☑</w:t>
                  </w:r>
                  <w:r>
                    <w:rPr>
                      <w:rFonts w:eastAsiaTheme="minorEastAsia"/>
                      <w:sz w:val="21"/>
                      <w:szCs w:val="21"/>
                      <w:lang w:eastAsia="zh-CN"/>
                    </w:rPr>
                    <w:tab/>
                  </w:r>
                  <w:r>
                    <w:rPr>
                      <w:rFonts w:eastAsiaTheme="minorEastAsia"/>
                      <w:sz w:val="21"/>
                      <w:szCs w:val="21"/>
                      <w:lang w:eastAsia="zh-CN"/>
                    </w:rPr>
                    <w:t>固定位置监</w:t>
                  </w:r>
                  <w:r>
                    <w:rPr>
                      <w:rFonts w:eastAsiaTheme="minorEastAsia"/>
                      <w:spacing w:val="-3"/>
                      <w:sz w:val="21"/>
                      <w:szCs w:val="21"/>
                      <w:lang w:eastAsia="zh-CN"/>
                    </w:rPr>
                    <w:t>测</w:t>
                  </w:r>
                  <w:r>
                    <w:rPr>
                      <w:rFonts w:eastAsiaTheme="minorEastAsia"/>
                      <w:sz w:val="21"/>
                      <w:szCs w:val="21"/>
                      <w:lang w:eastAsia="zh-CN"/>
                    </w:rPr>
                    <w:t>□    自动监测□   手动监测□   无监测□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8" w:hRule="atLeast"/>
              </w:trPr>
              <w:tc>
                <w:tcPr>
                  <w:tcW w:w="588" w:type="pct"/>
                  <w:vMerge w:val="continue"/>
                  <w:tcBorders>
                    <w:top w:val="single" w:color="000000" w:sz="4" w:space="0"/>
                    <w:left w:val="single" w:color="000000" w:sz="12" w:space="0"/>
                    <w:bottom w:val="single" w:color="000000" w:sz="4" w:space="0"/>
                    <w:right w:val="single" w:color="000000" w:sz="4" w:space="0"/>
                  </w:tcBorders>
                  <w:vAlign w:val="center"/>
                </w:tcPr>
                <w:p>
                  <w:pPr>
                    <w:widowControl/>
                    <w:autoSpaceDE/>
                    <w:autoSpaceDN/>
                    <w:jc w:val="center"/>
                    <w:rPr>
                      <w:rFonts w:ascii="Times New Roman" w:hAnsi="Times New Roman" w:cs="Times New Roman" w:eastAsiaTheme="minorEastAsia"/>
                      <w:sz w:val="21"/>
                      <w:szCs w:val="21"/>
                      <w:lang w:val="zh-CN" w:eastAsia="zh-CN" w:bidi="zh-CN"/>
                    </w:rPr>
                  </w:pPr>
                </w:p>
              </w:tc>
              <w:tc>
                <w:tcPr>
                  <w:tcW w:w="882" w:type="pct"/>
                  <w:tcBorders>
                    <w:top w:val="single" w:color="000000" w:sz="4" w:space="0"/>
                    <w:left w:val="single" w:color="000000" w:sz="4" w:space="0"/>
                    <w:bottom w:val="single" w:color="000000" w:sz="4" w:space="0"/>
                    <w:right w:val="single" w:color="000000" w:sz="4" w:space="0"/>
                  </w:tcBorders>
                  <w:vAlign w:val="center"/>
                </w:tcPr>
                <w:p>
                  <w:pPr>
                    <w:pStyle w:val="83"/>
                    <w:keepNext w:val="0"/>
                    <w:keepLines w:val="0"/>
                    <w:pageBreakBefore w:val="0"/>
                    <w:widowControl w:val="0"/>
                    <w:kinsoku/>
                    <w:wordWrap/>
                    <w:overflowPunct/>
                    <w:topLinePunct w:val="0"/>
                    <w:autoSpaceDE/>
                    <w:autoSpaceDN/>
                    <w:bidi w:val="0"/>
                    <w:adjustRightInd/>
                    <w:snapToGrid/>
                    <w:ind w:left="0" w:right="0"/>
                    <w:jc w:val="center"/>
                    <w:textAlignment w:val="auto"/>
                    <w:rPr>
                      <w:rFonts w:eastAsiaTheme="minorEastAsia"/>
                      <w:sz w:val="21"/>
                      <w:szCs w:val="21"/>
                      <w:lang w:val="zh-CN" w:eastAsia="zh-CN" w:bidi="zh-CN"/>
                    </w:rPr>
                  </w:pPr>
                  <w:r>
                    <w:rPr>
                      <w:rFonts w:eastAsiaTheme="minorEastAsia"/>
                      <w:sz w:val="21"/>
                      <w:szCs w:val="21"/>
                      <w:lang w:eastAsia="zh-CN"/>
                    </w:rPr>
                    <w:t>声环境保护目标处噪声监测</w:t>
                  </w:r>
                </w:p>
              </w:tc>
              <w:tc>
                <w:tcPr>
                  <w:tcW w:w="1615" w:type="pct"/>
                  <w:gridSpan w:val="5"/>
                  <w:tcBorders>
                    <w:top w:val="single" w:color="000000" w:sz="4" w:space="0"/>
                    <w:left w:val="single" w:color="000000" w:sz="4" w:space="0"/>
                    <w:bottom w:val="single" w:color="000000" w:sz="4" w:space="0"/>
                    <w:right w:val="single" w:color="000000" w:sz="4" w:space="0"/>
                  </w:tcBorders>
                </w:tcPr>
                <w:p>
                  <w:pPr>
                    <w:pStyle w:val="83"/>
                    <w:tabs>
                      <w:tab w:val="left" w:pos="2252"/>
                    </w:tabs>
                    <w:spacing w:before="146"/>
                    <w:ind w:left="810"/>
                    <w:rPr>
                      <w:rFonts w:eastAsiaTheme="minorEastAsia"/>
                      <w:sz w:val="21"/>
                      <w:szCs w:val="21"/>
                      <w:lang w:val="zh-CN" w:bidi="zh-CN"/>
                    </w:rPr>
                  </w:pPr>
                  <w:r>
                    <w:rPr>
                      <w:rFonts w:eastAsiaTheme="minorEastAsia"/>
                      <w:sz w:val="21"/>
                      <w:szCs w:val="21"/>
                    </w:rPr>
                    <w:t>监测因子</w:t>
                  </w:r>
                  <w:r>
                    <w:rPr>
                      <w:rFonts w:eastAsiaTheme="minorEastAsia"/>
                      <w:spacing w:val="-92"/>
                      <w:sz w:val="21"/>
                      <w:szCs w:val="21"/>
                    </w:rPr>
                    <w:t>：</w:t>
                  </w:r>
                  <w:r>
                    <w:rPr>
                      <w:rFonts w:eastAsiaTheme="minorEastAsia"/>
                      <w:sz w:val="21"/>
                      <w:szCs w:val="21"/>
                    </w:rPr>
                    <w:t>（</w:t>
                  </w:r>
                  <w:r>
                    <w:rPr>
                      <w:rFonts w:eastAsiaTheme="minorEastAsia"/>
                      <w:sz w:val="21"/>
                      <w:szCs w:val="21"/>
                      <w:lang w:eastAsia="zh-CN"/>
                    </w:rPr>
                    <w:t xml:space="preserve">  </w:t>
                  </w:r>
                  <w:r>
                    <w:rPr>
                      <w:rFonts w:eastAsiaTheme="minorEastAsia"/>
                      <w:sz w:val="21"/>
                      <w:szCs w:val="21"/>
                    </w:rPr>
                    <w:t>）</w:t>
                  </w:r>
                </w:p>
              </w:tc>
              <w:tc>
                <w:tcPr>
                  <w:tcW w:w="1130" w:type="pct"/>
                  <w:gridSpan w:val="4"/>
                  <w:tcBorders>
                    <w:top w:val="single" w:color="000000" w:sz="4" w:space="0"/>
                    <w:left w:val="single" w:color="000000" w:sz="4" w:space="0"/>
                    <w:bottom w:val="single" w:color="000000" w:sz="4" w:space="0"/>
                    <w:right w:val="single" w:color="000000" w:sz="4" w:space="0"/>
                  </w:tcBorders>
                </w:tcPr>
                <w:p>
                  <w:pPr>
                    <w:pStyle w:val="83"/>
                    <w:tabs>
                      <w:tab w:val="left" w:pos="1735"/>
                    </w:tabs>
                    <w:spacing w:before="146"/>
                    <w:ind w:left="201"/>
                    <w:rPr>
                      <w:rFonts w:eastAsiaTheme="minorEastAsia"/>
                      <w:sz w:val="21"/>
                      <w:szCs w:val="21"/>
                      <w:lang w:val="zh-CN" w:bidi="zh-CN"/>
                    </w:rPr>
                  </w:pPr>
                  <w:r>
                    <w:rPr>
                      <w:rFonts w:eastAsiaTheme="minorEastAsia"/>
                      <w:sz w:val="21"/>
                      <w:szCs w:val="21"/>
                    </w:rPr>
                    <w:t>监测点位数（</w:t>
                  </w:r>
                  <w:r>
                    <w:rPr>
                      <w:rFonts w:eastAsiaTheme="minorEastAsia"/>
                      <w:sz w:val="21"/>
                      <w:szCs w:val="21"/>
                      <w:lang w:eastAsia="zh-CN"/>
                    </w:rPr>
                    <w:t xml:space="preserve">  </w:t>
                  </w:r>
                  <w:r>
                    <w:rPr>
                      <w:rFonts w:eastAsiaTheme="minorEastAsia"/>
                      <w:sz w:val="21"/>
                      <w:szCs w:val="21"/>
                    </w:rPr>
                    <w:t>）</w:t>
                  </w:r>
                </w:p>
              </w:tc>
              <w:tc>
                <w:tcPr>
                  <w:tcW w:w="783" w:type="pct"/>
                  <w:gridSpan w:val="2"/>
                  <w:tcBorders>
                    <w:top w:val="single" w:color="000000" w:sz="4" w:space="0"/>
                    <w:left w:val="single" w:color="000000" w:sz="4" w:space="0"/>
                    <w:bottom w:val="single" w:color="000000" w:sz="4" w:space="0"/>
                    <w:right w:val="single" w:color="000000" w:sz="12" w:space="0"/>
                  </w:tcBorders>
                </w:tcPr>
                <w:p>
                  <w:pPr>
                    <w:pStyle w:val="83"/>
                    <w:spacing w:before="146"/>
                    <w:ind w:left="53" w:right="78"/>
                    <w:jc w:val="center"/>
                    <w:rPr>
                      <w:rFonts w:eastAsiaTheme="minorEastAsia"/>
                      <w:sz w:val="21"/>
                      <w:szCs w:val="21"/>
                      <w:lang w:val="zh-CN" w:bidi="zh-CN"/>
                    </w:rPr>
                  </w:pPr>
                  <w:r>
                    <w:rPr>
                      <w:rFonts w:eastAsiaTheme="minorEastAsia"/>
                      <w:sz w:val="21"/>
                      <w:szCs w:val="21"/>
                    </w:rPr>
                    <w:t>无监测□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4" w:hRule="atLeast"/>
              </w:trPr>
              <w:tc>
                <w:tcPr>
                  <w:tcW w:w="588" w:type="pct"/>
                  <w:tcBorders>
                    <w:top w:val="single" w:color="000000" w:sz="4" w:space="0"/>
                    <w:left w:val="single" w:color="000000" w:sz="12" w:space="0"/>
                    <w:bottom w:val="single" w:color="000000" w:sz="4" w:space="0"/>
                    <w:right w:val="single" w:color="000000" w:sz="4" w:space="0"/>
                  </w:tcBorders>
                </w:tcPr>
                <w:p>
                  <w:pPr>
                    <w:pStyle w:val="83"/>
                    <w:keepNext w:val="0"/>
                    <w:keepLines w:val="0"/>
                    <w:pageBreakBefore w:val="0"/>
                    <w:widowControl w:val="0"/>
                    <w:kinsoku/>
                    <w:wordWrap/>
                    <w:overflowPunct/>
                    <w:topLinePunct w:val="0"/>
                    <w:autoSpaceDE/>
                    <w:autoSpaceDN/>
                    <w:bidi w:val="0"/>
                    <w:adjustRightInd/>
                    <w:snapToGrid/>
                    <w:ind w:left="0" w:right="0"/>
                    <w:jc w:val="center"/>
                    <w:textAlignment w:val="auto"/>
                    <w:rPr>
                      <w:rFonts w:eastAsiaTheme="minorEastAsia"/>
                      <w:sz w:val="21"/>
                      <w:szCs w:val="21"/>
                      <w:lang w:val="zh-CN" w:bidi="zh-CN"/>
                    </w:rPr>
                  </w:pPr>
                  <w:r>
                    <w:rPr>
                      <w:rFonts w:eastAsiaTheme="minorEastAsia"/>
                      <w:sz w:val="21"/>
                      <w:szCs w:val="21"/>
                    </w:rPr>
                    <w:t>评价结论</w:t>
                  </w:r>
                </w:p>
              </w:tc>
              <w:tc>
                <w:tcPr>
                  <w:tcW w:w="882" w:type="pct"/>
                  <w:tcBorders>
                    <w:top w:val="single" w:color="000000" w:sz="4" w:space="0"/>
                    <w:left w:val="single" w:color="000000" w:sz="4" w:space="0"/>
                    <w:bottom w:val="single" w:color="000000" w:sz="4" w:space="0"/>
                    <w:right w:val="single" w:color="000000" w:sz="4" w:space="0"/>
                  </w:tcBorders>
                </w:tcPr>
                <w:p>
                  <w:pPr>
                    <w:pStyle w:val="83"/>
                    <w:spacing w:before="31"/>
                    <w:ind w:left="149" w:right="130"/>
                    <w:jc w:val="center"/>
                    <w:rPr>
                      <w:rFonts w:eastAsiaTheme="minorEastAsia"/>
                      <w:sz w:val="21"/>
                      <w:szCs w:val="21"/>
                      <w:lang w:val="zh-CN" w:bidi="zh-CN"/>
                    </w:rPr>
                  </w:pPr>
                  <w:r>
                    <w:rPr>
                      <w:rFonts w:eastAsiaTheme="minorEastAsia"/>
                      <w:sz w:val="21"/>
                      <w:szCs w:val="21"/>
                    </w:rPr>
                    <w:t>环境影响</w:t>
                  </w:r>
                </w:p>
              </w:tc>
              <w:tc>
                <w:tcPr>
                  <w:tcW w:w="3529" w:type="pct"/>
                  <w:gridSpan w:val="11"/>
                  <w:tcBorders>
                    <w:top w:val="single" w:color="000000" w:sz="4" w:space="0"/>
                    <w:left w:val="single" w:color="000000" w:sz="4" w:space="0"/>
                    <w:bottom w:val="single" w:color="000000" w:sz="4" w:space="0"/>
                    <w:right w:val="single" w:color="000000" w:sz="12" w:space="0"/>
                  </w:tcBorders>
                </w:tcPr>
                <w:p>
                  <w:pPr>
                    <w:pStyle w:val="83"/>
                    <w:tabs>
                      <w:tab w:val="left" w:pos="1202"/>
                    </w:tabs>
                    <w:spacing w:before="31"/>
                    <w:ind w:left="29"/>
                    <w:jc w:val="center"/>
                    <w:rPr>
                      <w:rFonts w:eastAsiaTheme="minorEastAsia"/>
                      <w:sz w:val="21"/>
                      <w:szCs w:val="21"/>
                      <w:lang w:val="zh-CN" w:bidi="zh-CN"/>
                    </w:rPr>
                  </w:pPr>
                  <w:r>
                    <w:rPr>
                      <w:rFonts w:eastAsiaTheme="minorEastAsia"/>
                      <w:sz w:val="21"/>
                      <w:szCs w:val="21"/>
                    </w:rPr>
                    <w:t>可行</w:t>
                  </w:r>
                  <w:r>
                    <w:rPr>
                      <w:rFonts w:hint="eastAsia" w:eastAsiaTheme="minorEastAsia"/>
                      <w:sz w:val="21"/>
                      <w:szCs w:val="21"/>
                      <w:lang w:eastAsia="zh-CN"/>
                    </w:rPr>
                    <w:t>☑</w:t>
                  </w:r>
                  <w:r>
                    <w:rPr>
                      <w:rFonts w:eastAsiaTheme="minorEastAsia"/>
                      <w:sz w:val="21"/>
                      <w:szCs w:val="21"/>
                    </w:rPr>
                    <w:tab/>
                  </w:r>
                  <w:r>
                    <w:rPr>
                      <w:rFonts w:eastAsiaTheme="minorEastAsia"/>
                      <w:sz w:val="21"/>
                      <w:szCs w:val="21"/>
                    </w:rPr>
                    <w:t>不可行□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6" w:hRule="atLeast"/>
              </w:trPr>
              <w:tc>
                <w:tcPr>
                  <w:tcW w:w="5000" w:type="pct"/>
                  <w:gridSpan w:val="13"/>
                  <w:tcBorders>
                    <w:top w:val="single" w:color="000000" w:sz="4" w:space="0"/>
                    <w:left w:val="single" w:color="000000" w:sz="12" w:space="0"/>
                    <w:bottom w:val="single" w:color="000000" w:sz="12" w:space="0"/>
                    <w:right w:val="single" w:color="000000" w:sz="12" w:space="0"/>
                  </w:tcBorders>
                </w:tcPr>
                <w:p>
                  <w:pPr>
                    <w:pStyle w:val="83"/>
                    <w:tabs>
                      <w:tab w:val="left" w:pos="2985"/>
                    </w:tabs>
                    <w:spacing w:before="31"/>
                    <w:ind w:left="105"/>
                    <w:rPr>
                      <w:rFonts w:eastAsiaTheme="minorEastAsia"/>
                      <w:sz w:val="21"/>
                      <w:szCs w:val="21"/>
                      <w:lang w:val="zh-CN" w:eastAsia="zh-CN" w:bidi="zh-CN"/>
                    </w:rPr>
                  </w:pPr>
                  <w:r>
                    <w:rPr>
                      <w:rFonts w:eastAsiaTheme="minorEastAsia"/>
                      <w:sz w:val="21"/>
                      <w:szCs w:val="21"/>
                      <w:lang w:eastAsia="zh-CN"/>
                    </w:rPr>
                    <w:t>注“□”为勾选项</w:t>
                  </w:r>
                  <w:r>
                    <w:rPr>
                      <w:rFonts w:eastAsiaTheme="minorEastAsia"/>
                      <w:spacing w:val="1"/>
                      <w:sz w:val="21"/>
                      <w:szCs w:val="21"/>
                      <w:lang w:eastAsia="zh-CN"/>
                    </w:rPr>
                    <w:t xml:space="preserve"> </w:t>
                  </w:r>
                  <w:r>
                    <w:rPr>
                      <w:rFonts w:eastAsiaTheme="minorEastAsia"/>
                      <w:sz w:val="21"/>
                      <w:szCs w:val="21"/>
                      <w:lang w:eastAsia="zh-CN"/>
                    </w:rPr>
                    <w:t>，可√；</w:t>
                  </w:r>
                  <w:r>
                    <w:rPr>
                      <w:rFonts w:eastAsiaTheme="minorEastAsia"/>
                      <w:spacing w:val="1"/>
                      <w:sz w:val="21"/>
                      <w:szCs w:val="21"/>
                      <w:lang w:eastAsia="zh-CN"/>
                    </w:rPr>
                    <w:t>“（  ）”</w:t>
                  </w:r>
                  <w:r>
                    <w:rPr>
                      <w:rFonts w:eastAsiaTheme="minorEastAsia"/>
                      <w:sz w:val="21"/>
                      <w:szCs w:val="21"/>
                      <w:lang w:eastAsia="zh-CN"/>
                    </w:rPr>
                    <w:t>为内容填写项。</w:t>
                  </w:r>
                </w:p>
              </w:tc>
            </w:tr>
          </w:tbl>
          <w:p>
            <w:pPr>
              <w:spacing w:line="360" w:lineRule="auto"/>
              <w:ind w:firstLine="480" w:firstLineChars="200"/>
              <w:rPr>
                <w:rFonts w:hint="eastAsia" w:ascii="Times New Roman" w:hAnsi="Times New Roman" w:eastAsia="宋体" w:cs="Times New Roman"/>
                <w:bCs/>
                <w:color w:val="auto"/>
                <w:sz w:val="24"/>
                <w:lang w:val="en-US" w:eastAsia="zh-CN"/>
              </w:rPr>
            </w:pPr>
          </w:p>
          <w:p>
            <w:pPr>
              <w:spacing w:line="360" w:lineRule="auto"/>
              <w:ind w:firstLine="480" w:firstLineChars="200"/>
              <w:rPr>
                <w:rFonts w:hint="eastAsia" w:ascii="Times New Roman" w:hAnsi="Times New Roman" w:eastAsia="宋体" w:cs="Times New Roman"/>
                <w:bCs/>
                <w:color w:val="auto"/>
                <w:sz w:val="24"/>
              </w:rPr>
            </w:pPr>
            <w:r>
              <w:rPr>
                <w:rFonts w:hint="eastAsia" w:ascii="Times New Roman" w:hAnsi="Times New Roman" w:eastAsia="宋体" w:cs="Times New Roman"/>
                <w:bCs/>
                <w:color w:val="auto"/>
                <w:sz w:val="24"/>
                <w:lang w:val="en-US" w:eastAsia="zh-CN"/>
              </w:rPr>
              <w:t>3</w:t>
            </w:r>
            <w:r>
              <w:rPr>
                <w:rFonts w:hint="eastAsia" w:ascii="Times New Roman" w:hAnsi="Times New Roman" w:eastAsia="宋体" w:cs="Times New Roman"/>
                <w:bCs/>
                <w:color w:val="auto"/>
                <w:sz w:val="24"/>
              </w:rPr>
              <w:t>、声环境监测计划</w:t>
            </w:r>
          </w:p>
          <w:p>
            <w:pPr>
              <w:spacing w:line="360" w:lineRule="auto"/>
              <w:ind w:firstLine="448" w:firstLineChars="200"/>
              <w:rPr>
                <w:rFonts w:hint="eastAsia" w:ascii="Times New Roman" w:hAnsi="Times New Roman" w:eastAsia="宋体" w:cs="Times New Roman"/>
                <w:bCs/>
                <w:color w:val="auto"/>
                <w:sz w:val="24"/>
              </w:rPr>
            </w:pPr>
            <w:r>
              <w:rPr>
                <w:spacing w:val="-8"/>
                <w:sz w:val="24"/>
                <w:szCs w:val="24"/>
              </w:rPr>
              <w:t>根据《排污单位自行监测技术指南》</w:t>
            </w:r>
            <w:r>
              <w:rPr>
                <w:sz w:val="24"/>
                <w:szCs w:val="24"/>
              </w:rPr>
              <w:t>（</w:t>
            </w:r>
            <w:r>
              <w:rPr>
                <w:rFonts w:ascii="Times New Roman" w:eastAsia="Times New Roman"/>
                <w:spacing w:val="-1"/>
                <w:sz w:val="24"/>
                <w:szCs w:val="24"/>
              </w:rPr>
              <w:t>H</w:t>
            </w:r>
            <w:r>
              <w:rPr>
                <w:rFonts w:ascii="Times New Roman" w:eastAsia="Times New Roman"/>
                <w:sz w:val="24"/>
                <w:szCs w:val="24"/>
              </w:rPr>
              <w:t>J 819</w:t>
            </w:r>
            <w:r>
              <w:rPr>
                <w:rFonts w:ascii="Times New Roman" w:eastAsia="Times New Roman"/>
                <w:spacing w:val="-1"/>
                <w:sz w:val="24"/>
                <w:szCs w:val="24"/>
              </w:rPr>
              <w:t>-</w:t>
            </w:r>
            <w:r>
              <w:rPr>
                <w:rFonts w:ascii="Times New Roman" w:eastAsia="Times New Roman"/>
                <w:sz w:val="24"/>
                <w:szCs w:val="24"/>
              </w:rPr>
              <w:t>201</w:t>
            </w:r>
            <w:r>
              <w:rPr>
                <w:rFonts w:ascii="Times New Roman" w:eastAsia="Times New Roman"/>
                <w:spacing w:val="2"/>
                <w:sz w:val="24"/>
                <w:szCs w:val="24"/>
              </w:rPr>
              <w:t>7</w:t>
            </w:r>
            <w:r>
              <w:rPr>
                <w:spacing w:val="-118"/>
                <w:sz w:val="24"/>
                <w:szCs w:val="24"/>
              </w:rPr>
              <w:t>）</w:t>
            </w:r>
            <w:r>
              <w:rPr>
                <w:sz w:val="24"/>
                <w:szCs w:val="24"/>
              </w:rPr>
              <w:t>，本环评报告对厂界</w:t>
            </w:r>
            <w:r>
              <w:rPr>
                <w:spacing w:val="-5"/>
                <w:sz w:val="24"/>
                <w:szCs w:val="24"/>
              </w:rPr>
              <w:t xml:space="preserve">噪声提出跟踪监测要求，监测点位为厂界四周，监测频次为每季度监测 </w:t>
            </w:r>
            <w:r>
              <w:rPr>
                <w:rFonts w:ascii="Times New Roman" w:eastAsia="Times New Roman"/>
                <w:sz w:val="24"/>
                <w:szCs w:val="24"/>
              </w:rPr>
              <w:t xml:space="preserve">1 </w:t>
            </w:r>
            <w:r>
              <w:rPr>
                <w:spacing w:val="-9"/>
                <w:sz w:val="24"/>
                <w:szCs w:val="24"/>
              </w:rPr>
              <w:t>次</w:t>
            </w:r>
            <w:r>
              <w:rPr>
                <w:rFonts w:hint="eastAsia" w:ascii="Times New Roman" w:hAnsi="Times New Roman" w:eastAsia="宋体" w:cs="Times New Roman"/>
                <w:bCs/>
                <w:color w:val="auto"/>
                <w:sz w:val="24"/>
              </w:rPr>
              <w:t>。</w:t>
            </w:r>
          </w:p>
          <w:p>
            <w:pPr>
              <w:spacing w:line="360" w:lineRule="auto"/>
              <w:jc w:val="center"/>
              <w:rPr>
                <w:b/>
                <w:bCs/>
                <w:color w:val="auto"/>
                <w:szCs w:val="21"/>
              </w:rPr>
            </w:pPr>
            <w:r>
              <w:rPr>
                <w:rFonts w:hint="eastAsia"/>
                <w:b/>
                <w:bCs/>
                <w:color w:val="auto"/>
                <w:szCs w:val="21"/>
                <w:highlight w:val="none"/>
              </w:rPr>
              <w:t>表4-1</w:t>
            </w:r>
            <w:r>
              <w:rPr>
                <w:rFonts w:hint="eastAsia"/>
                <w:b/>
                <w:bCs/>
                <w:color w:val="auto"/>
                <w:szCs w:val="21"/>
                <w:highlight w:val="none"/>
                <w:lang w:val="en-US" w:eastAsia="zh-CN"/>
              </w:rPr>
              <w:t>5</w:t>
            </w:r>
            <w:r>
              <w:rPr>
                <w:rFonts w:hint="eastAsia"/>
                <w:b/>
                <w:bCs/>
                <w:color w:val="auto"/>
                <w:szCs w:val="21"/>
              </w:rPr>
              <w:t xml:space="preserve">  声环境监测计划一览表</w:t>
            </w:r>
          </w:p>
          <w:tbl>
            <w:tblPr>
              <w:tblStyle w:val="28"/>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14"/>
              <w:gridCol w:w="1808"/>
              <w:gridCol w:w="1039"/>
              <w:gridCol w:w="1118"/>
              <w:gridCol w:w="1039"/>
              <w:gridCol w:w="28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363" w:type="pct"/>
                  <w:noWrap w:val="0"/>
                  <w:vAlign w:val="center"/>
                </w:tcPr>
                <w:p>
                  <w:pPr>
                    <w:spacing w:line="320" w:lineRule="exact"/>
                    <w:jc w:val="center"/>
                    <w:rPr>
                      <w:color w:val="auto"/>
                      <w:szCs w:val="21"/>
                    </w:rPr>
                  </w:pPr>
                  <w:r>
                    <w:rPr>
                      <w:color w:val="auto"/>
                      <w:szCs w:val="21"/>
                    </w:rPr>
                    <w:t>序号</w:t>
                  </w:r>
                </w:p>
              </w:tc>
              <w:tc>
                <w:tcPr>
                  <w:tcW w:w="1069" w:type="pct"/>
                  <w:noWrap w:val="0"/>
                  <w:vAlign w:val="center"/>
                </w:tcPr>
                <w:p>
                  <w:pPr>
                    <w:spacing w:line="320" w:lineRule="exact"/>
                    <w:jc w:val="center"/>
                    <w:rPr>
                      <w:color w:val="auto"/>
                      <w:szCs w:val="21"/>
                    </w:rPr>
                  </w:pPr>
                  <w:r>
                    <w:rPr>
                      <w:color w:val="auto"/>
                      <w:szCs w:val="21"/>
                    </w:rPr>
                    <w:t>监测点位</w:t>
                  </w:r>
                </w:p>
              </w:tc>
              <w:tc>
                <w:tcPr>
                  <w:tcW w:w="614" w:type="pct"/>
                  <w:noWrap w:val="0"/>
                  <w:vAlign w:val="center"/>
                </w:tcPr>
                <w:p>
                  <w:pPr>
                    <w:spacing w:line="320" w:lineRule="exact"/>
                    <w:jc w:val="center"/>
                    <w:rPr>
                      <w:color w:val="auto"/>
                      <w:szCs w:val="21"/>
                    </w:rPr>
                  </w:pPr>
                  <w:r>
                    <w:rPr>
                      <w:color w:val="auto"/>
                      <w:szCs w:val="21"/>
                    </w:rPr>
                    <w:t>监测项目</w:t>
                  </w:r>
                </w:p>
              </w:tc>
              <w:tc>
                <w:tcPr>
                  <w:tcW w:w="661" w:type="pct"/>
                  <w:noWrap w:val="0"/>
                  <w:vAlign w:val="center"/>
                </w:tcPr>
                <w:p>
                  <w:pPr>
                    <w:spacing w:line="320" w:lineRule="exact"/>
                    <w:jc w:val="center"/>
                    <w:rPr>
                      <w:color w:val="auto"/>
                      <w:szCs w:val="21"/>
                    </w:rPr>
                  </w:pPr>
                  <w:r>
                    <w:rPr>
                      <w:color w:val="auto"/>
                      <w:szCs w:val="21"/>
                    </w:rPr>
                    <w:t>频率</w:t>
                  </w:r>
                </w:p>
              </w:tc>
              <w:tc>
                <w:tcPr>
                  <w:tcW w:w="614" w:type="pct"/>
                  <w:tcBorders>
                    <w:bottom w:val="single" w:color="auto" w:sz="4" w:space="0"/>
                  </w:tcBorders>
                  <w:noWrap w:val="0"/>
                  <w:vAlign w:val="center"/>
                </w:tcPr>
                <w:p>
                  <w:pPr>
                    <w:spacing w:line="320" w:lineRule="exact"/>
                    <w:ind w:left="-105" w:leftChars="-50" w:right="-105" w:rightChars="-50"/>
                    <w:jc w:val="center"/>
                    <w:rPr>
                      <w:color w:val="auto"/>
                      <w:szCs w:val="21"/>
                    </w:rPr>
                  </w:pPr>
                  <w:r>
                    <w:rPr>
                      <w:color w:val="auto"/>
                      <w:szCs w:val="21"/>
                    </w:rPr>
                    <w:t>实施单位</w:t>
                  </w:r>
                </w:p>
              </w:tc>
              <w:tc>
                <w:tcPr>
                  <w:tcW w:w="1675" w:type="pct"/>
                  <w:tcBorders>
                    <w:bottom w:val="single" w:color="auto" w:sz="4" w:space="0"/>
                  </w:tcBorders>
                  <w:noWrap w:val="0"/>
                  <w:vAlign w:val="center"/>
                </w:tcPr>
                <w:p>
                  <w:pPr>
                    <w:spacing w:line="320" w:lineRule="exact"/>
                    <w:jc w:val="center"/>
                    <w:rPr>
                      <w:color w:val="auto"/>
                      <w:szCs w:val="21"/>
                    </w:rPr>
                  </w:pPr>
                  <w:r>
                    <w:rPr>
                      <w:color w:val="auto"/>
                      <w:szCs w:val="21"/>
                    </w:rPr>
                    <w:t>执行标准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74" w:hRule="atLeast"/>
                <w:jc w:val="center"/>
              </w:trPr>
              <w:tc>
                <w:tcPr>
                  <w:tcW w:w="363" w:type="pct"/>
                  <w:noWrap w:val="0"/>
                  <w:vAlign w:val="center"/>
                </w:tcPr>
                <w:p>
                  <w:pPr>
                    <w:spacing w:line="320" w:lineRule="exact"/>
                    <w:jc w:val="center"/>
                    <w:rPr>
                      <w:bCs/>
                      <w:color w:val="auto"/>
                      <w:szCs w:val="21"/>
                    </w:rPr>
                  </w:pPr>
                  <w:r>
                    <w:rPr>
                      <w:rFonts w:hint="eastAsia"/>
                      <w:bCs/>
                      <w:color w:val="auto"/>
                      <w:szCs w:val="21"/>
                    </w:rPr>
                    <w:t>1</w:t>
                  </w:r>
                </w:p>
              </w:tc>
              <w:tc>
                <w:tcPr>
                  <w:tcW w:w="1069" w:type="pct"/>
                  <w:noWrap w:val="0"/>
                  <w:vAlign w:val="center"/>
                </w:tcPr>
                <w:p>
                  <w:pPr>
                    <w:spacing w:line="320" w:lineRule="exact"/>
                    <w:jc w:val="center"/>
                    <w:rPr>
                      <w:rStyle w:val="34"/>
                      <w:rFonts w:hint="eastAsia" w:eastAsia="宋体"/>
                      <w:color w:val="auto"/>
                      <w:lang w:eastAsia="zh-CN"/>
                    </w:rPr>
                  </w:pPr>
                  <w:r>
                    <w:rPr>
                      <w:rStyle w:val="34"/>
                      <w:rFonts w:hint="eastAsia"/>
                      <w:color w:val="auto"/>
                      <w:lang w:eastAsia="zh-CN"/>
                    </w:rPr>
                    <w:t>厂界四周</w:t>
                  </w:r>
                </w:p>
              </w:tc>
              <w:tc>
                <w:tcPr>
                  <w:tcW w:w="614" w:type="pct"/>
                  <w:noWrap w:val="0"/>
                  <w:vAlign w:val="center"/>
                </w:tcPr>
                <w:p>
                  <w:pPr>
                    <w:adjustRightInd w:val="0"/>
                    <w:spacing w:line="320" w:lineRule="exact"/>
                    <w:jc w:val="center"/>
                    <w:rPr>
                      <w:bCs/>
                      <w:color w:val="auto"/>
                      <w:szCs w:val="21"/>
                    </w:rPr>
                  </w:pPr>
                  <w:r>
                    <w:rPr>
                      <w:bCs/>
                      <w:color w:val="auto"/>
                      <w:szCs w:val="21"/>
                    </w:rPr>
                    <w:t>噪声</w:t>
                  </w:r>
                </w:p>
              </w:tc>
              <w:tc>
                <w:tcPr>
                  <w:tcW w:w="661" w:type="pct"/>
                  <w:noWrap w:val="0"/>
                  <w:vAlign w:val="center"/>
                </w:tcPr>
                <w:p>
                  <w:pPr>
                    <w:spacing w:line="320" w:lineRule="exact"/>
                    <w:jc w:val="center"/>
                    <w:rPr>
                      <w:rFonts w:hint="eastAsia"/>
                      <w:bCs/>
                      <w:color w:val="auto"/>
                      <w:szCs w:val="21"/>
                    </w:rPr>
                  </w:pPr>
                  <w:r>
                    <w:rPr>
                      <w:bCs/>
                      <w:color w:val="auto"/>
                      <w:szCs w:val="21"/>
                    </w:rPr>
                    <w:t>1次</w:t>
                  </w:r>
                  <w:r>
                    <w:rPr>
                      <w:rFonts w:hint="eastAsia"/>
                      <w:bCs/>
                      <w:color w:val="auto"/>
                      <w:szCs w:val="21"/>
                    </w:rPr>
                    <w:t>/季度</w:t>
                  </w:r>
                </w:p>
              </w:tc>
              <w:tc>
                <w:tcPr>
                  <w:tcW w:w="614" w:type="pct"/>
                  <w:noWrap w:val="0"/>
                  <w:vAlign w:val="center"/>
                </w:tcPr>
                <w:p>
                  <w:pPr>
                    <w:spacing w:line="320" w:lineRule="exact"/>
                    <w:ind w:left="-105" w:leftChars="-50" w:right="-105" w:rightChars="-50"/>
                    <w:jc w:val="center"/>
                    <w:rPr>
                      <w:bCs/>
                      <w:color w:val="auto"/>
                      <w:szCs w:val="21"/>
                    </w:rPr>
                  </w:pPr>
                  <w:r>
                    <w:rPr>
                      <w:bCs/>
                      <w:color w:val="auto"/>
                      <w:szCs w:val="21"/>
                    </w:rPr>
                    <w:t>有资质的监测单位</w:t>
                  </w:r>
                </w:p>
              </w:tc>
              <w:tc>
                <w:tcPr>
                  <w:tcW w:w="1675" w:type="pct"/>
                  <w:noWrap w:val="0"/>
                  <w:vAlign w:val="center"/>
                </w:tcPr>
                <w:p>
                  <w:pPr>
                    <w:spacing w:line="320" w:lineRule="exact"/>
                    <w:jc w:val="center"/>
                    <w:rPr>
                      <w:bCs/>
                      <w:color w:val="auto"/>
                      <w:szCs w:val="21"/>
                    </w:rPr>
                  </w:pPr>
                  <w:r>
                    <w:rPr>
                      <w:color w:val="auto"/>
                      <w:szCs w:val="21"/>
                    </w:rPr>
                    <w:t>《工业企业厂界环境噪声排放标准》（GB12348-2008）</w:t>
                  </w:r>
                  <w:r>
                    <w:rPr>
                      <w:rFonts w:hint="eastAsia"/>
                      <w:color w:val="auto"/>
                      <w:szCs w:val="21"/>
                    </w:rPr>
                    <w:t>3类</w:t>
                  </w:r>
                  <w:r>
                    <w:rPr>
                      <w:color w:val="auto"/>
                      <w:szCs w:val="21"/>
                    </w:rPr>
                    <w:t>标准要求</w:t>
                  </w:r>
                </w:p>
              </w:tc>
            </w:tr>
          </w:tbl>
          <w:p>
            <w:pPr>
              <w:spacing w:line="360" w:lineRule="auto"/>
              <w:ind w:firstLine="480" w:firstLineChars="200"/>
              <w:rPr>
                <w:bCs/>
                <w:color w:val="auto"/>
                <w:sz w:val="24"/>
              </w:rPr>
            </w:pPr>
          </w:p>
          <w:p>
            <w:pPr>
              <w:spacing w:line="360" w:lineRule="auto"/>
              <w:ind w:firstLine="480" w:firstLineChars="200"/>
              <w:rPr>
                <w:bCs/>
                <w:color w:val="auto"/>
                <w:sz w:val="24"/>
              </w:rPr>
            </w:pPr>
            <w:r>
              <w:rPr>
                <w:bCs/>
                <w:color w:val="auto"/>
                <w:sz w:val="24"/>
              </w:rPr>
              <w:t>四、固体废弃物</w:t>
            </w:r>
          </w:p>
          <w:p>
            <w:pPr>
              <w:pStyle w:val="4"/>
              <w:spacing w:line="360" w:lineRule="auto"/>
              <w:ind w:firstLine="480" w:firstLineChars="200"/>
              <w:rPr>
                <w:rFonts w:ascii="Times New Roman" w:hAnsi="Times New Roman"/>
                <w:bCs/>
                <w:color w:val="auto"/>
                <w:sz w:val="24"/>
              </w:rPr>
            </w:pPr>
            <w:r>
              <w:rPr>
                <w:rFonts w:ascii="Times New Roman" w:hAnsi="Times New Roman"/>
                <w:bCs/>
                <w:color w:val="auto"/>
                <w:sz w:val="24"/>
              </w:rPr>
              <w:t>1</w:t>
            </w:r>
            <w:r>
              <w:rPr>
                <w:rFonts w:ascii="Times New Roman"/>
                <w:bCs/>
                <w:color w:val="auto"/>
                <w:sz w:val="24"/>
              </w:rPr>
              <w:t>、固废产排情况</w:t>
            </w:r>
          </w:p>
          <w:p>
            <w:pPr>
              <w:pStyle w:val="87"/>
              <w:spacing w:line="360" w:lineRule="auto"/>
              <w:rPr>
                <w:rFonts w:hint="eastAsia"/>
                <w:color w:val="auto"/>
                <w:sz w:val="24"/>
              </w:rPr>
            </w:pPr>
            <w:r>
              <w:rPr>
                <w:rFonts w:hint="eastAsia"/>
                <w:color w:val="auto"/>
                <w:sz w:val="24"/>
              </w:rPr>
              <w:t>本项目生产过程中的固体废物主要包括一般工业固废、危险固废和生活垃圾。</w:t>
            </w:r>
          </w:p>
          <w:p>
            <w:pPr>
              <w:pStyle w:val="87"/>
              <w:spacing w:line="360" w:lineRule="auto"/>
              <w:rPr>
                <w:rFonts w:hint="eastAsia" w:ascii="Times New Roman" w:hAnsi="Times New Roman" w:eastAsia="宋体" w:cs="宋体"/>
                <w:color w:val="auto"/>
                <w:sz w:val="24"/>
              </w:rPr>
            </w:pPr>
            <w:r>
              <w:rPr>
                <w:rFonts w:hint="eastAsia" w:ascii="Times New Roman" w:hAnsi="Times New Roman" w:eastAsia="宋体" w:cs="宋体"/>
                <w:color w:val="auto"/>
                <w:sz w:val="24"/>
              </w:rPr>
              <w:t>（1）一般工业固废</w:t>
            </w:r>
          </w:p>
          <w:p>
            <w:pPr>
              <w:pStyle w:val="87"/>
              <w:spacing w:line="360" w:lineRule="auto"/>
              <w:rPr>
                <w:rFonts w:hint="default" w:ascii="Times New Roman" w:hAnsi="Times New Roman" w:eastAsia="宋体" w:cs="Times New Roman"/>
                <w:color w:val="auto"/>
                <w:sz w:val="24"/>
                <w:lang w:val="en-US" w:eastAsia="zh-CN"/>
              </w:rPr>
            </w:pPr>
            <w:r>
              <w:rPr>
                <w:rFonts w:hint="eastAsia" w:ascii="Times New Roman" w:hAnsi="Times New Roman" w:eastAsia="宋体" w:cs="宋体"/>
                <w:color w:val="auto"/>
                <w:sz w:val="24"/>
                <w:lang w:val="en-US" w:eastAsia="zh-CN"/>
              </w:rPr>
              <w:t>①</w:t>
            </w:r>
            <w:r>
              <w:rPr>
                <w:rFonts w:hint="eastAsia" w:ascii="Times New Roman" w:hAnsi="Times New Roman" w:eastAsia="宋体" w:cs="Times New Roman"/>
                <w:color w:val="auto"/>
                <w:sz w:val="24"/>
                <w:lang w:val="en-US" w:eastAsia="zh-CN"/>
              </w:rPr>
              <w:t>含油抹布（S</w:t>
            </w:r>
            <w:r>
              <w:rPr>
                <w:rFonts w:hint="eastAsia" w:cs="Times New Roman"/>
                <w:color w:val="auto"/>
                <w:sz w:val="24"/>
                <w:lang w:val="en-US" w:eastAsia="zh-CN"/>
              </w:rPr>
              <w:t>2</w:t>
            </w:r>
            <w:r>
              <w:rPr>
                <w:rFonts w:hint="eastAsia" w:ascii="Times New Roman" w:hAnsi="Times New Roman" w:eastAsia="宋体" w:cs="Times New Roman"/>
                <w:color w:val="auto"/>
                <w:sz w:val="24"/>
                <w:lang w:val="en-US" w:eastAsia="zh-CN"/>
              </w:rPr>
              <w:t>）</w:t>
            </w:r>
          </w:p>
          <w:p>
            <w:pPr>
              <w:pStyle w:val="87"/>
              <w:spacing w:line="360" w:lineRule="auto"/>
              <w:rPr>
                <w:rFonts w:hint="eastAsia" w:ascii="Times New Roman" w:hAnsi="Times New Roman" w:eastAsia="宋体" w:cs="宋体"/>
                <w:color w:val="auto"/>
                <w:sz w:val="24"/>
                <w:lang w:val="en-US" w:eastAsia="zh-CN"/>
              </w:rPr>
            </w:pPr>
            <w:r>
              <w:rPr>
                <w:rFonts w:hint="eastAsia"/>
                <w:color w:val="auto"/>
                <w:sz w:val="24"/>
              </w:rPr>
              <w:t>运营期</w:t>
            </w:r>
            <w:r>
              <w:rPr>
                <w:rFonts w:hint="eastAsia"/>
                <w:color w:val="auto"/>
                <w:sz w:val="24"/>
                <w:lang w:val="en-US" w:eastAsia="zh-CN"/>
              </w:rPr>
              <w:t>机型设备</w:t>
            </w:r>
            <w:r>
              <w:rPr>
                <w:rFonts w:hint="eastAsia"/>
                <w:color w:val="auto"/>
                <w:sz w:val="24"/>
              </w:rPr>
              <w:t>维护、保养</w:t>
            </w:r>
            <w:r>
              <w:rPr>
                <w:rFonts w:hint="eastAsia"/>
                <w:color w:val="auto"/>
                <w:sz w:val="24"/>
                <w:lang w:eastAsia="zh-CN"/>
              </w:rPr>
              <w:t>、</w:t>
            </w:r>
            <w:r>
              <w:rPr>
                <w:rFonts w:hint="eastAsia"/>
                <w:color w:val="auto"/>
                <w:sz w:val="24"/>
                <w:lang w:val="en-US" w:eastAsia="zh-CN"/>
              </w:rPr>
              <w:t>擦拭</w:t>
            </w:r>
            <w:r>
              <w:rPr>
                <w:rFonts w:hint="eastAsia"/>
                <w:color w:val="auto"/>
                <w:sz w:val="24"/>
              </w:rPr>
              <w:t>过程会产生含油抹布手套，</w:t>
            </w:r>
            <w:r>
              <w:rPr>
                <w:color w:val="auto"/>
                <w:sz w:val="24"/>
              </w:rPr>
              <w:t>年产生量约0.</w:t>
            </w:r>
            <w:r>
              <w:rPr>
                <w:rFonts w:hint="eastAsia"/>
                <w:color w:val="auto"/>
                <w:sz w:val="24"/>
                <w:lang w:val="en-US" w:eastAsia="zh-CN"/>
              </w:rPr>
              <w:t>1</w:t>
            </w:r>
            <w:r>
              <w:rPr>
                <w:color w:val="auto"/>
                <w:sz w:val="24"/>
              </w:rPr>
              <w:t>t/a，根据《国家危险废物名录》（</w:t>
            </w:r>
            <w:r>
              <w:rPr>
                <w:rFonts w:hint="eastAsia"/>
                <w:color w:val="auto"/>
                <w:sz w:val="24"/>
              </w:rPr>
              <w:t>2021</w:t>
            </w:r>
            <w:r>
              <w:rPr>
                <w:color w:val="auto"/>
                <w:sz w:val="24"/>
              </w:rPr>
              <w:t>年版），危险废物类别为HW49，代码为900-041-49。（国家危险废物名录危险废物豁免管理清单中废弃的含油抹布、劳保用品混入生活垃圾全过程不按危险废物管理）</w:t>
            </w:r>
            <w:r>
              <w:rPr>
                <w:rFonts w:hint="default" w:ascii="Times New Roman" w:hAnsi="Times New Roman" w:eastAsia="宋体" w:cs="Times New Roman"/>
                <w:color w:val="auto"/>
                <w:sz w:val="24"/>
              </w:rPr>
              <w:t>。</w:t>
            </w:r>
          </w:p>
          <w:p>
            <w:pPr>
              <w:pStyle w:val="87"/>
              <w:spacing w:line="360" w:lineRule="auto"/>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②废铁屑（S</w:t>
            </w:r>
            <w:r>
              <w:rPr>
                <w:rFonts w:hint="eastAsia" w:cs="宋体"/>
                <w:color w:val="auto"/>
                <w:sz w:val="24"/>
                <w:lang w:val="en-US" w:eastAsia="zh-CN"/>
              </w:rPr>
              <w:t>3</w:t>
            </w:r>
            <w:r>
              <w:rPr>
                <w:rFonts w:hint="eastAsia" w:ascii="Times New Roman" w:hAnsi="Times New Roman" w:eastAsia="宋体" w:cs="宋体"/>
                <w:color w:val="auto"/>
                <w:sz w:val="24"/>
                <w:lang w:val="en-US" w:eastAsia="zh-CN"/>
              </w:rPr>
              <w:t>）</w:t>
            </w:r>
          </w:p>
          <w:p>
            <w:pPr>
              <w:pStyle w:val="87"/>
              <w:spacing w:line="360" w:lineRule="auto"/>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根据企业提供资料，拟建项目</w:t>
            </w:r>
            <w:r>
              <w:rPr>
                <w:rFonts w:hint="eastAsia" w:cs="宋体"/>
                <w:color w:val="auto"/>
                <w:sz w:val="24"/>
                <w:lang w:val="en-US" w:eastAsia="zh-CN"/>
              </w:rPr>
              <w:t>打磨除锈</w:t>
            </w:r>
            <w:r>
              <w:rPr>
                <w:rFonts w:hint="eastAsia" w:ascii="Times New Roman" w:hAnsi="Times New Roman" w:eastAsia="宋体" w:cs="宋体"/>
                <w:color w:val="auto"/>
                <w:sz w:val="24"/>
                <w:lang w:val="en-US" w:eastAsia="zh-CN"/>
              </w:rPr>
              <w:t>等生产过程中会产生废铁屑，产生量约为0.</w:t>
            </w:r>
            <w:r>
              <w:rPr>
                <w:rFonts w:hint="eastAsia" w:cs="宋体"/>
                <w:color w:val="auto"/>
                <w:sz w:val="24"/>
                <w:lang w:val="en-US" w:eastAsia="zh-CN"/>
              </w:rPr>
              <w:t>1</w:t>
            </w:r>
            <w:r>
              <w:rPr>
                <w:rFonts w:hint="default" w:ascii="Times New Roman" w:hAnsi="Times New Roman" w:eastAsia="宋体" w:cs="宋体"/>
                <w:color w:val="auto"/>
                <w:sz w:val="24"/>
                <w:lang w:val="en-US" w:eastAsia="zh-CN"/>
              </w:rPr>
              <w:t>t/a</w:t>
            </w:r>
            <w:r>
              <w:rPr>
                <w:rFonts w:hint="eastAsia" w:ascii="Times New Roman" w:hAnsi="Times New Roman" w:eastAsia="宋体" w:cs="宋体"/>
                <w:color w:val="auto"/>
                <w:sz w:val="24"/>
                <w:lang w:val="en-US" w:eastAsia="zh-CN"/>
              </w:rPr>
              <w:t>。集中收集后暂存一般固废暂存库，定期外售物资回收公司回收利用。</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（2）危险固废</w:t>
            </w:r>
          </w:p>
          <w:p>
            <w:pPr>
              <w:spacing w:line="360" w:lineRule="auto"/>
              <w:ind w:firstLine="480" w:firstLine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rPr>
              <w:t>①</w:t>
            </w:r>
            <w:r>
              <w:rPr>
                <w:rFonts w:hint="eastAsia" w:cs="Times New Roman"/>
                <w:color w:val="auto"/>
                <w:sz w:val="24"/>
                <w:lang w:eastAsia="zh-CN"/>
              </w:rPr>
              <w:t>污泥（</w:t>
            </w:r>
            <w:r>
              <w:rPr>
                <w:rFonts w:hint="eastAsia" w:cs="Times New Roman"/>
                <w:color w:val="auto"/>
                <w:sz w:val="24"/>
                <w:lang w:val="en-US" w:eastAsia="zh-CN"/>
              </w:rPr>
              <w:t>S4</w:t>
            </w:r>
            <w:r>
              <w:rPr>
                <w:rFonts w:hint="eastAsia" w:cs="Times New Roman"/>
                <w:color w:val="auto"/>
                <w:sz w:val="24"/>
                <w:lang w:eastAsia="zh-CN"/>
              </w:rPr>
              <w:t>）</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cs="Times New Roman"/>
                <w:color w:val="auto"/>
                <w:sz w:val="24"/>
                <w:lang w:val="en-US" w:eastAsia="zh-CN"/>
              </w:rPr>
              <w:t>运营期</w:t>
            </w:r>
            <w:r>
              <w:rPr>
                <w:rFonts w:hint="eastAsia" w:cs="Times New Roman"/>
                <w:bCs/>
                <w:caps w:val="0"/>
                <w:color w:val="auto"/>
                <w:kern w:val="2"/>
                <w:sz w:val="24"/>
                <w:szCs w:val="24"/>
                <w:highlight w:val="none"/>
                <w:lang w:val="en-US" w:eastAsia="zh-CN" w:bidi="ar-SA"/>
              </w:rPr>
              <w:t>冲洗废水排入冲洗废水池，再加入片碱中和，中和后废水循环使用再进行钢件冲洗，过程中废水池会产生沉渣，产生量约为1.2</w:t>
            </w:r>
            <w:r>
              <w:rPr>
                <w:rFonts w:hint="default" w:ascii="Times New Roman" w:hAnsi="Times New Roman" w:eastAsia="宋体" w:cs="宋体"/>
                <w:color w:val="auto"/>
                <w:sz w:val="24"/>
                <w:lang w:val="en-US" w:eastAsia="zh-CN"/>
              </w:rPr>
              <w:t>t/a</w:t>
            </w:r>
            <w:r>
              <w:rPr>
                <w:rFonts w:hint="eastAsia" w:cs="宋体"/>
                <w:color w:val="auto"/>
                <w:sz w:val="24"/>
                <w:lang w:val="en-US" w:eastAsia="zh-CN"/>
              </w:rPr>
              <w:t>，</w:t>
            </w:r>
            <w:r>
              <w:rPr>
                <w:color w:val="auto"/>
                <w:sz w:val="24"/>
              </w:rPr>
              <w:t>根据《国家危险废物名录》（</w:t>
            </w:r>
            <w:r>
              <w:rPr>
                <w:rFonts w:hint="eastAsia"/>
                <w:color w:val="auto"/>
                <w:sz w:val="24"/>
              </w:rPr>
              <w:t>2021</w:t>
            </w:r>
            <w:r>
              <w:rPr>
                <w:color w:val="auto"/>
                <w:sz w:val="24"/>
              </w:rPr>
              <w:t>年版），危险废物类别为HW</w:t>
            </w:r>
            <w:r>
              <w:rPr>
                <w:rFonts w:hint="eastAsia"/>
                <w:color w:val="auto"/>
                <w:sz w:val="24"/>
                <w:lang w:val="en-US" w:eastAsia="zh-CN"/>
              </w:rPr>
              <w:t>17</w:t>
            </w:r>
            <w:r>
              <w:rPr>
                <w:color w:val="auto"/>
                <w:sz w:val="24"/>
              </w:rPr>
              <w:t>，代码为</w:t>
            </w:r>
            <w:r>
              <w:rPr>
                <w:rFonts w:hint="eastAsia"/>
                <w:color w:val="auto"/>
                <w:sz w:val="24"/>
                <w:lang w:val="en-US" w:eastAsia="zh-CN"/>
              </w:rPr>
              <w:t>336-064-17</w:t>
            </w:r>
            <w:r>
              <w:rPr>
                <w:color w:val="auto"/>
                <w:sz w:val="24"/>
              </w:rPr>
              <w:t>。</w:t>
            </w:r>
            <w:r>
              <w:rPr>
                <w:rFonts w:hint="eastAsia" w:cs="Times New Roman"/>
                <w:bCs/>
                <w:caps w:val="0"/>
                <w:color w:val="auto"/>
                <w:kern w:val="2"/>
                <w:sz w:val="24"/>
                <w:szCs w:val="24"/>
                <w:highlight w:val="none"/>
                <w:lang w:val="en-US" w:eastAsia="zh-CN" w:bidi="ar-SA"/>
              </w:rPr>
              <w:t>定期委托有资质的危废处理公司进行污泥清理。</w:t>
            </w:r>
          </w:p>
          <w:p>
            <w:pPr>
              <w:pStyle w:val="87"/>
              <w:spacing w:line="360" w:lineRule="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kern w:val="0"/>
                <w:sz w:val="24"/>
                <w:szCs w:val="24"/>
                <w:lang w:val="zh-CN" w:eastAsia="zh-CN" w:bidi="ar"/>
              </w:rPr>
              <w:t>②</w:t>
            </w:r>
            <w:r>
              <w:rPr>
                <w:rFonts w:hint="eastAsia" w:ascii="Times New Roman" w:hAnsi="Times New Roman" w:eastAsia="宋体" w:cs="Times New Roman"/>
                <w:color w:val="auto"/>
                <w:sz w:val="24"/>
                <w:lang w:val="en-US" w:eastAsia="zh-CN"/>
              </w:rPr>
              <w:t>废</w:t>
            </w:r>
            <w:r>
              <w:rPr>
                <w:rFonts w:hint="eastAsia" w:cs="Times New Roman"/>
                <w:color w:val="auto"/>
                <w:sz w:val="24"/>
                <w:lang w:val="en-US" w:eastAsia="zh-CN"/>
              </w:rPr>
              <w:t>润滑</w:t>
            </w:r>
            <w:r>
              <w:rPr>
                <w:rFonts w:hint="eastAsia" w:ascii="Times New Roman" w:hAnsi="Times New Roman" w:eastAsia="宋体" w:cs="Times New Roman"/>
                <w:color w:val="auto"/>
                <w:sz w:val="24"/>
                <w:lang w:val="en-US" w:eastAsia="zh-CN"/>
              </w:rPr>
              <w:t>油（S</w:t>
            </w:r>
            <w:r>
              <w:rPr>
                <w:rFonts w:hint="eastAsia" w:cs="Times New Roman"/>
                <w:color w:val="auto"/>
                <w:sz w:val="24"/>
                <w:lang w:val="en-US" w:eastAsia="zh-CN"/>
              </w:rPr>
              <w:t>5</w:t>
            </w:r>
            <w:r>
              <w:rPr>
                <w:rFonts w:hint="eastAsia" w:ascii="Times New Roman" w:hAnsi="Times New Roman" w:eastAsia="宋体" w:cs="Times New Roman"/>
                <w:color w:val="auto"/>
                <w:sz w:val="24"/>
                <w:lang w:val="en-US" w:eastAsia="zh-CN"/>
              </w:rPr>
              <w:t>）</w:t>
            </w:r>
          </w:p>
          <w:p>
            <w:pPr>
              <w:pStyle w:val="87"/>
              <w:spacing w:line="360" w:lineRule="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项目机械设备在使用和维护过程中，将会产生废</w:t>
            </w:r>
            <w:r>
              <w:rPr>
                <w:rFonts w:hint="eastAsia" w:cs="Times New Roman"/>
                <w:color w:val="auto"/>
                <w:sz w:val="24"/>
                <w:lang w:val="en-US" w:eastAsia="zh-CN"/>
              </w:rPr>
              <w:t>润滑</w:t>
            </w:r>
            <w:r>
              <w:rPr>
                <w:rFonts w:hint="eastAsia" w:ascii="Times New Roman" w:hAnsi="Times New Roman" w:eastAsia="宋体" w:cs="Times New Roman"/>
                <w:color w:val="auto"/>
                <w:sz w:val="24"/>
                <w:lang w:val="en-US" w:eastAsia="zh-CN"/>
              </w:rPr>
              <w:t>油，废</w:t>
            </w:r>
            <w:r>
              <w:rPr>
                <w:rFonts w:hint="eastAsia" w:cs="Times New Roman"/>
                <w:color w:val="auto"/>
                <w:sz w:val="24"/>
                <w:lang w:val="en-US" w:eastAsia="zh-CN"/>
              </w:rPr>
              <w:t>润滑</w:t>
            </w:r>
            <w:r>
              <w:rPr>
                <w:rFonts w:hint="eastAsia" w:ascii="Times New Roman" w:hAnsi="Times New Roman" w:eastAsia="宋体" w:cs="Times New Roman"/>
                <w:color w:val="auto"/>
                <w:sz w:val="24"/>
                <w:lang w:val="en-US" w:eastAsia="zh-CN"/>
              </w:rPr>
              <w:t>油产生量约为0.0</w:t>
            </w:r>
            <w:r>
              <w:rPr>
                <w:rFonts w:hint="eastAsia" w:cs="Times New Roman"/>
                <w:color w:val="auto"/>
                <w:sz w:val="24"/>
                <w:lang w:val="en-US" w:eastAsia="zh-CN"/>
              </w:rPr>
              <w:t>5</w:t>
            </w:r>
            <w:r>
              <w:rPr>
                <w:rFonts w:hint="default" w:ascii="Times New Roman" w:hAnsi="Times New Roman" w:eastAsia="宋体" w:cs="Times New Roman"/>
                <w:color w:val="auto"/>
                <w:sz w:val="24"/>
                <w:lang w:val="en-US" w:eastAsia="zh-CN"/>
              </w:rPr>
              <w:t>t/a</w:t>
            </w:r>
            <w:r>
              <w:rPr>
                <w:rFonts w:hint="eastAsia" w:ascii="Times New Roman" w:hAnsi="Times New Roman" w:eastAsia="宋体" w:cs="Times New Roman"/>
                <w:color w:val="auto"/>
                <w:sz w:val="24"/>
                <w:lang w:val="en-US" w:eastAsia="zh-CN"/>
              </w:rPr>
              <w:t>，</w:t>
            </w:r>
            <w:r>
              <w:rPr>
                <w:color w:val="auto"/>
                <w:sz w:val="24"/>
              </w:rPr>
              <w:t>根据《国家危险废物名录》（</w:t>
            </w:r>
            <w:r>
              <w:rPr>
                <w:rFonts w:hint="eastAsia"/>
                <w:color w:val="auto"/>
                <w:sz w:val="24"/>
              </w:rPr>
              <w:t>2021</w:t>
            </w:r>
            <w:r>
              <w:rPr>
                <w:color w:val="auto"/>
                <w:sz w:val="24"/>
              </w:rPr>
              <w:t>年版），危险废物类别为HW</w:t>
            </w:r>
            <w:r>
              <w:rPr>
                <w:rFonts w:hint="eastAsia"/>
                <w:color w:val="auto"/>
                <w:sz w:val="24"/>
                <w:lang w:val="en-US" w:eastAsia="zh-CN"/>
              </w:rPr>
              <w:t>08</w:t>
            </w:r>
            <w:r>
              <w:rPr>
                <w:color w:val="auto"/>
                <w:sz w:val="24"/>
              </w:rPr>
              <w:t>，代码为900-</w:t>
            </w:r>
            <w:r>
              <w:rPr>
                <w:rFonts w:hint="eastAsia"/>
                <w:color w:val="auto"/>
                <w:sz w:val="24"/>
                <w:lang w:val="en-US" w:eastAsia="zh-CN"/>
              </w:rPr>
              <w:t>209</w:t>
            </w:r>
            <w:r>
              <w:rPr>
                <w:color w:val="auto"/>
                <w:sz w:val="24"/>
              </w:rPr>
              <w:t>-</w:t>
            </w:r>
            <w:r>
              <w:rPr>
                <w:rFonts w:hint="eastAsia"/>
                <w:color w:val="auto"/>
                <w:sz w:val="24"/>
                <w:lang w:val="en-US" w:eastAsia="zh-CN"/>
              </w:rPr>
              <w:t>08</w:t>
            </w:r>
            <w:r>
              <w:rPr>
                <w:color w:val="auto"/>
                <w:sz w:val="24"/>
              </w:rPr>
              <w:t>。</w:t>
            </w:r>
            <w:r>
              <w:rPr>
                <w:rFonts w:hint="eastAsia" w:ascii="Times New Roman" w:hAnsi="Times New Roman" w:eastAsia="宋体" w:cs="Times New Roman"/>
                <w:color w:val="auto"/>
                <w:sz w:val="24"/>
                <w:lang w:val="en-US" w:eastAsia="zh-CN"/>
              </w:rPr>
              <w:t>收集后委托有危废处置资质单位进行处理。</w:t>
            </w:r>
          </w:p>
          <w:p>
            <w:pPr>
              <w:pStyle w:val="87"/>
              <w:spacing w:line="360" w:lineRule="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highlight w:val="none"/>
                <w:lang w:val="en-US" w:eastAsia="zh-CN"/>
              </w:rPr>
              <w:t>④</w:t>
            </w:r>
            <w:r>
              <w:rPr>
                <w:rFonts w:hint="default" w:ascii="Times New Roman" w:hAnsi="Times New Roman" w:eastAsia="宋体" w:cs="Times New Roman"/>
                <w:color w:val="auto"/>
                <w:sz w:val="24"/>
                <w:highlight w:val="none"/>
                <w:lang w:val="en-US" w:eastAsia="zh-CN"/>
              </w:rPr>
              <w:t>废包装</w:t>
            </w:r>
            <w:r>
              <w:rPr>
                <w:rFonts w:hint="eastAsia" w:ascii="Times New Roman" w:hAnsi="Times New Roman" w:eastAsia="宋体" w:cs="Times New Roman"/>
                <w:color w:val="auto"/>
                <w:sz w:val="24"/>
                <w:lang w:val="en-US" w:eastAsia="zh-CN"/>
              </w:rPr>
              <w:t>(S</w:t>
            </w:r>
            <w:r>
              <w:rPr>
                <w:rFonts w:hint="eastAsia" w:cs="Times New Roman"/>
                <w:color w:val="auto"/>
                <w:sz w:val="24"/>
                <w:lang w:val="en-US" w:eastAsia="zh-CN"/>
              </w:rPr>
              <w:t>6</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w:t>
            </w:r>
            <w:r>
              <w:rPr>
                <w:rFonts w:hint="eastAsia" w:cs="Times New Roman"/>
                <w:color w:val="auto"/>
                <w:sz w:val="24"/>
                <w:lang w:val="en-US" w:eastAsia="zh-CN"/>
              </w:rPr>
              <w:t>盐酸、片碱、润滑油包装</w:t>
            </w:r>
            <w:r>
              <w:rPr>
                <w:rFonts w:hint="default" w:ascii="Times New Roman" w:hAnsi="Times New Roman" w:eastAsia="宋体" w:cs="Times New Roman"/>
                <w:color w:val="auto"/>
                <w:sz w:val="24"/>
                <w:lang w:val="en-US" w:eastAsia="zh-CN"/>
              </w:rPr>
              <w:t>）</w:t>
            </w:r>
          </w:p>
          <w:p>
            <w:pPr>
              <w:pStyle w:val="87"/>
              <w:spacing w:line="360" w:lineRule="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kern w:val="0"/>
                <w:sz w:val="24"/>
                <w:szCs w:val="24"/>
                <w:lang w:val="en-US" w:eastAsia="zh-CN" w:bidi="ar-SA"/>
              </w:rPr>
              <w:t>项目</w:t>
            </w:r>
            <w:r>
              <w:rPr>
                <w:rFonts w:hint="default" w:ascii="Times New Roman" w:hAnsi="Times New Roman" w:eastAsia="宋体" w:cs="Times New Roman"/>
                <w:color w:val="auto"/>
                <w:sz w:val="24"/>
                <w:lang w:val="en-US" w:eastAsia="zh-CN"/>
              </w:rPr>
              <w:t>废包装（</w:t>
            </w:r>
            <w:r>
              <w:rPr>
                <w:rFonts w:hint="eastAsia" w:cs="Times New Roman"/>
                <w:color w:val="auto"/>
                <w:sz w:val="24"/>
                <w:lang w:val="en-US" w:eastAsia="zh-CN"/>
              </w:rPr>
              <w:t>盐酸、片碱、润滑油包装</w:t>
            </w:r>
            <w:r>
              <w:rPr>
                <w:rFonts w:hint="default" w:ascii="Times New Roman" w:hAnsi="Times New Roman" w:eastAsia="宋体" w:cs="Times New Roman"/>
                <w:color w:val="auto"/>
                <w:sz w:val="24"/>
                <w:lang w:val="en-US" w:eastAsia="zh-CN"/>
              </w:rPr>
              <w:t>）</w:t>
            </w:r>
            <w:r>
              <w:rPr>
                <w:rFonts w:hint="default" w:ascii="Times New Roman" w:hAnsi="Times New Roman" w:eastAsia="宋体" w:cs="Times New Roman"/>
                <w:color w:val="auto"/>
                <w:kern w:val="0"/>
                <w:sz w:val="24"/>
                <w:szCs w:val="24"/>
                <w:lang w:val="en-US" w:eastAsia="zh-CN" w:bidi="ar-SA"/>
              </w:rPr>
              <w:t>年产生量</w:t>
            </w:r>
            <w:r>
              <w:rPr>
                <w:rFonts w:hint="default" w:ascii="Times New Roman" w:hAnsi="Times New Roman" w:eastAsia="宋体" w:cs="Times New Roman"/>
                <w:color w:val="auto"/>
                <w:kern w:val="2"/>
                <w:sz w:val="24"/>
                <w:szCs w:val="24"/>
                <w:lang w:val="en-US" w:eastAsia="zh-CN" w:bidi="ar-SA"/>
              </w:rPr>
              <w:t>约为</w:t>
            </w:r>
            <w:r>
              <w:rPr>
                <w:rFonts w:hint="eastAsia" w:ascii="Times New Roman" w:hAnsi="Times New Roman" w:eastAsia="宋体" w:cs="Times New Roman"/>
                <w:color w:val="auto"/>
                <w:kern w:val="2"/>
                <w:sz w:val="24"/>
                <w:szCs w:val="24"/>
                <w:lang w:val="en-US" w:eastAsia="zh-CN" w:bidi="ar-SA"/>
              </w:rPr>
              <w:t>0.</w:t>
            </w:r>
            <w:r>
              <w:rPr>
                <w:rFonts w:hint="eastAsia" w:cs="Times New Roman"/>
                <w:color w:val="auto"/>
                <w:kern w:val="2"/>
                <w:sz w:val="24"/>
                <w:szCs w:val="24"/>
                <w:lang w:val="en-US" w:eastAsia="zh-CN" w:bidi="ar-SA"/>
              </w:rPr>
              <w:t>5</w:t>
            </w:r>
            <w:r>
              <w:rPr>
                <w:rFonts w:hint="default" w:ascii="Times New Roman" w:hAnsi="Times New Roman" w:eastAsia="宋体" w:cs="Times New Roman"/>
                <w:color w:val="auto"/>
                <w:kern w:val="2"/>
                <w:sz w:val="24"/>
                <w:szCs w:val="24"/>
                <w:lang w:val="en-US" w:eastAsia="zh-CN" w:bidi="ar-SA"/>
              </w:rPr>
              <w:t>t/a；产</w:t>
            </w:r>
            <w:r>
              <w:rPr>
                <w:rFonts w:hint="default" w:ascii="Times New Roman" w:hAnsi="Times New Roman" w:eastAsia="宋体" w:cs="Times New Roman"/>
                <w:color w:val="auto"/>
                <w:sz w:val="24"/>
                <w:lang w:val="en-US" w:eastAsia="zh-CN"/>
              </w:rPr>
              <w:t>生的</w:t>
            </w:r>
            <w:r>
              <w:rPr>
                <w:rFonts w:hint="eastAsia" w:cs="Times New Roman"/>
                <w:color w:val="auto"/>
                <w:sz w:val="24"/>
                <w:lang w:val="en-US" w:eastAsia="zh-CN"/>
              </w:rPr>
              <w:t>废</w:t>
            </w:r>
            <w:r>
              <w:rPr>
                <w:rFonts w:hint="default" w:ascii="Times New Roman" w:hAnsi="Times New Roman" w:eastAsia="宋体" w:cs="Times New Roman"/>
                <w:color w:val="auto"/>
                <w:sz w:val="24"/>
                <w:lang w:val="en-US" w:eastAsia="zh-CN"/>
              </w:rPr>
              <w:t>包装不需要进行任何处理，直接由厂家回收利用。废物类别：HW49其他废物；废物代码900-041-49。</w:t>
            </w:r>
          </w:p>
          <w:p>
            <w:pPr>
              <w:pStyle w:val="87"/>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厂家每</w:t>
            </w:r>
            <w:r>
              <w:rPr>
                <w:rFonts w:hint="eastAsia" w:cs="Times New Roman"/>
                <w:color w:val="auto"/>
                <w:sz w:val="24"/>
                <w:lang w:val="en-US" w:eastAsia="zh-CN"/>
              </w:rPr>
              <w:t>半年</w:t>
            </w:r>
            <w:r>
              <w:rPr>
                <w:rFonts w:hint="default" w:ascii="Times New Roman" w:hAnsi="Times New Roman" w:eastAsia="宋体" w:cs="Times New Roman"/>
                <w:color w:val="auto"/>
                <w:sz w:val="24"/>
                <w:lang w:val="en-US" w:eastAsia="zh-CN"/>
              </w:rPr>
              <w:t>来厂区回收一次废包装桶，期间需回收的废包装桶暂存于危废暂存间。</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 （</w:t>
            </w:r>
            <w:r>
              <w:rPr>
                <w:rFonts w:hint="eastAsia" w:cs="Times New Roman"/>
                <w:color w:val="auto"/>
                <w:sz w:val="24"/>
                <w:lang w:val="en-US" w:eastAsia="zh-CN"/>
              </w:rPr>
              <w:t>3</w:t>
            </w:r>
            <w:r>
              <w:rPr>
                <w:rFonts w:hint="eastAsia" w:ascii="Times New Roman" w:hAnsi="Times New Roman" w:eastAsia="宋体" w:cs="Times New Roman"/>
                <w:color w:val="auto"/>
                <w:sz w:val="24"/>
                <w:lang w:val="en-US" w:eastAsia="zh-CN"/>
              </w:rPr>
              <w:t>）</w:t>
            </w:r>
            <w:r>
              <w:rPr>
                <w:rFonts w:hint="eastAsia" w:cs="Times New Roman"/>
                <w:color w:val="auto"/>
                <w:sz w:val="24"/>
                <w:lang w:val="en-US" w:eastAsia="zh-CN"/>
              </w:rPr>
              <w:t>生活垃圾</w:t>
            </w:r>
          </w:p>
          <w:p>
            <w:pPr>
              <w:spacing w:line="360" w:lineRule="auto"/>
              <w:ind w:firstLine="480" w:firstLineChars="200"/>
              <w:rPr>
                <w:rFonts w:hint="default" w:ascii="Times New Roman" w:hAnsi="Times New Roman" w:eastAsia="宋体" w:cs="Times New Roman"/>
                <w:color w:val="auto"/>
                <w:sz w:val="24"/>
                <w:lang w:val="en-US" w:eastAsia="zh-CN"/>
              </w:rPr>
            </w:pPr>
            <w:r>
              <w:rPr>
                <w:rFonts w:hint="eastAsia"/>
                <w:color w:val="auto"/>
                <w:sz w:val="24"/>
              </w:rPr>
              <w:t>项目员工</w:t>
            </w:r>
            <w:r>
              <w:rPr>
                <w:rFonts w:hint="eastAsia"/>
                <w:color w:val="auto"/>
                <w:sz w:val="24"/>
                <w:lang w:val="en-US" w:eastAsia="zh-CN"/>
              </w:rPr>
              <w:t>12</w:t>
            </w:r>
            <w:r>
              <w:rPr>
                <w:rFonts w:hint="eastAsia"/>
                <w:color w:val="auto"/>
                <w:sz w:val="24"/>
              </w:rPr>
              <w:t>人，按每人每天产生垃圾0.5kg计算，则职工办公及生活产生的生活垃圾产生量为</w:t>
            </w:r>
            <w:r>
              <w:rPr>
                <w:rFonts w:hint="eastAsia"/>
                <w:color w:val="auto"/>
                <w:sz w:val="24"/>
                <w:lang w:val="en-US" w:eastAsia="zh-CN"/>
              </w:rPr>
              <w:t>1.2</w:t>
            </w:r>
            <w:r>
              <w:rPr>
                <w:rFonts w:hint="eastAsia"/>
                <w:color w:val="auto"/>
                <w:sz w:val="24"/>
              </w:rPr>
              <w:t>t/a，生活垃圾由环卫部门定期清运。</w:t>
            </w:r>
          </w:p>
          <w:p>
            <w:pPr>
              <w:spacing w:line="360" w:lineRule="auto"/>
              <w:jc w:val="center"/>
              <w:rPr>
                <w:b/>
                <w:color w:val="auto"/>
                <w:szCs w:val="21"/>
              </w:rPr>
            </w:pPr>
            <w:r>
              <w:rPr>
                <w:b/>
                <w:color w:val="auto"/>
                <w:szCs w:val="21"/>
                <w:highlight w:val="none"/>
              </w:rPr>
              <w:t>表</w:t>
            </w:r>
            <w:r>
              <w:rPr>
                <w:rFonts w:hint="eastAsia"/>
                <w:b/>
                <w:color w:val="auto"/>
                <w:szCs w:val="21"/>
                <w:highlight w:val="none"/>
              </w:rPr>
              <w:t>4-</w:t>
            </w:r>
            <w:r>
              <w:rPr>
                <w:rFonts w:hint="eastAsia"/>
                <w:b/>
                <w:color w:val="auto"/>
                <w:szCs w:val="21"/>
                <w:highlight w:val="none"/>
                <w:lang w:val="en-US" w:eastAsia="zh-CN"/>
              </w:rPr>
              <w:t>16</w:t>
            </w:r>
            <w:r>
              <w:rPr>
                <w:rFonts w:hint="eastAsia"/>
                <w:b/>
                <w:color w:val="auto"/>
                <w:szCs w:val="21"/>
                <w:highlight w:val="none"/>
              </w:rPr>
              <w:t xml:space="preserve">  </w:t>
            </w:r>
            <w:r>
              <w:rPr>
                <w:b/>
                <w:color w:val="auto"/>
                <w:szCs w:val="21"/>
              </w:rPr>
              <w:t>运营期</w:t>
            </w:r>
            <w:r>
              <w:rPr>
                <w:rFonts w:hint="eastAsia"/>
                <w:b/>
                <w:color w:val="auto"/>
                <w:szCs w:val="21"/>
              </w:rPr>
              <w:t>一般</w:t>
            </w:r>
            <w:r>
              <w:rPr>
                <w:b/>
                <w:color w:val="auto"/>
                <w:szCs w:val="21"/>
              </w:rPr>
              <w:t>固废</w:t>
            </w:r>
            <w:r>
              <w:rPr>
                <w:rFonts w:hint="eastAsia"/>
                <w:b/>
                <w:color w:val="auto"/>
                <w:szCs w:val="21"/>
              </w:rPr>
              <w:t>和生活垃圾</w:t>
            </w:r>
            <w:r>
              <w:rPr>
                <w:b/>
                <w:color w:val="auto"/>
                <w:szCs w:val="21"/>
              </w:rPr>
              <w:t>产生</w:t>
            </w:r>
            <w:r>
              <w:rPr>
                <w:rFonts w:hint="eastAsia"/>
                <w:b/>
                <w:color w:val="auto"/>
                <w:szCs w:val="21"/>
              </w:rPr>
              <w:t>及处置</w:t>
            </w:r>
            <w:r>
              <w:rPr>
                <w:b/>
                <w:color w:val="auto"/>
                <w:szCs w:val="21"/>
              </w:rPr>
              <w:t>情况</w:t>
            </w:r>
          </w:p>
          <w:tbl>
            <w:tblPr>
              <w:tblStyle w:val="28"/>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79"/>
              <w:gridCol w:w="1177"/>
              <w:gridCol w:w="2052"/>
              <w:gridCol w:w="841"/>
              <w:gridCol w:w="628"/>
              <w:gridCol w:w="849"/>
              <w:gridCol w:w="1294"/>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3" w:hRule="atLeast"/>
                <w:jc w:val="center"/>
              </w:trPr>
              <w:tc>
                <w:tcPr>
                  <w:tcW w:w="283" w:type="pct"/>
                  <w:noWrap w:val="0"/>
                  <w:vAlign w:val="center"/>
                </w:tcPr>
                <w:p>
                  <w:pPr>
                    <w:pStyle w:val="71"/>
                    <w:snapToGrid w:val="0"/>
                    <w:rPr>
                      <w:rFonts w:ascii="Times New Roman" w:hAnsi="Times New Roman"/>
                      <w:bCs/>
                      <w:color w:val="auto"/>
                      <w:sz w:val="21"/>
                      <w:szCs w:val="21"/>
                    </w:rPr>
                  </w:pPr>
                  <w:r>
                    <w:rPr>
                      <w:rFonts w:ascii="Times New Roman" w:hAnsi="Times New Roman"/>
                      <w:bCs/>
                      <w:color w:val="auto"/>
                      <w:sz w:val="21"/>
                      <w:szCs w:val="21"/>
                    </w:rPr>
                    <w:t>序号</w:t>
                  </w:r>
                </w:p>
              </w:tc>
              <w:tc>
                <w:tcPr>
                  <w:tcW w:w="696" w:type="pct"/>
                  <w:noWrap w:val="0"/>
                  <w:vAlign w:val="center"/>
                </w:tcPr>
                <w:p>
                  <w:pPr>
                    <w:pStyle w:val="71"/>
                    <w:snapToGrid w:val="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固废名称</w:t>
                  </w:r>
                </w:p>
              </w:tc>
              <w:tc>
                <w:tcPr>
                  <w:tcW w:w="1213" w:type="pct"/>
                  <w:noWrap w:val="0"/>
                  <w:vAlign w:val="center"/>
                </w:tcPr>
                <w:p>
                  <w:pPr>
                    <w:pStyle w:val="71"/>
                    <w:snapToGrid w:val="0"/>
                    <w:rPr>
                      <w:rFonts w:ascii="Times New Roman" w:hAnsi="Times New Roman"/>
                      <w:bCs/>
                      <w:color w:val="auto"/>
                      <w:sz w:val="21"/>
                      <w:szCs w:val="21"/>
                    </w:rPr>
                  </w:pPr>
                  <w:r>
                    <w:rPr>
                      <w:rFonts w:ascii="Times New Roman" w:hAnsi="Times New Roman"/>
                      <w:bCs/>
                      <w:color w:val="auto"/>
                      <w:sz w:val="21"/>
                      <w:szCs w:val="21"/>
                    </w:rPr>
                    <w:t>属性（危险废物、一般工业固体废物或待鉴别）</w:t>
                  </w:r>
                </w:p>
              </w:tc>
              <w:tc>
                <w:tcPr>
                  <w:tcW w:w="497" w:type="pct"/>
                  <w:noWrap w:val="0"/>
                  <w:vAlign w:val="center"/>
                </w:tcPr>
                <w:p>
                  <w:pPr>
                    <w:pStyle w:val="71"/>
                    <w:snapToGrid w:val="0"/>
                    <w:rPr>
                      <w:rFonts w:ascii="Times New Roman" w:hAnsi="Times New Roman"/>
                      <w:bCs/>
                      <w:color w:val="auto"/>
                      <w:sz w:val="21"/>
                      <w:szCs w:val="21"/>
                    </w:rPr>
                  </w:pPr>
                  <w:r>
                    <w:rPr>
                      <w:rFonts w:ascii="Times New Roman" w:hAnsi="Times New Roman"/>
                      <w:bCs/>
                      <w:color w:val="auto"/>
                      <w:sz w:val="21"/>
                      <w:szCs w:val="21"/>
                    </w:rPr>
                    <w:t>产生工序</w:t>
                  </w:r>
                </w:p>
              </w:tc>
              <w:tc>
                <w:tcPr>
                  <w:tcW w:w="371" w:type="pct"/>
                  <w:noWrap w:val="0"/>
                  <w:vAlign w:val="center"/>
                </w:tcPr>
                <w:p>
                  <w:pPr>
                    <w:pStyle w:val="71"/>
                    <w:snapToGrid w:val="0"/>
                    <w:rPr>
                      <w:rFonts w:ascii="Times New Roman" w:hAnsi="Times New Roman"/>
                      <w:bCs/>
                      <w:color w:val="auto"/>
                      <w:sz w:val="21"/>
                      <w:szCs w:val="21"/>
                    </w:rPr>
                  </w:pPr>
                  <w:r>
                    <w:rPr>
                      <w:rFonts w:ascii="Times New Roman" w:hAnsi="Times New Roman"/>
                      <w:bCs/>
                      <w:color w:val="auto"/>
                      <w:sz w:val="21"/>
                      <w:szCs w:val="21"/>
                    </w:rPr>
                    <w:t>形态</w:t>
                  </w:r>
                </w:p>
              </w:tc>
              <w:tc>
                <w:tcPr>
                  <w:tcW w:w="502" w:type="pct"/>
                  <w:noWrap w:val="0"/>
                  <w:vAlign w:val="center"/>
                </w:tcPr>
                <w:p>
                  <w:pPr>
                    <w:pStyle w:val="71"/>
                    <w:snapToGrid w:val="0"/>
                    <w:rPr>
                      <w:rFonts w:ascii="Times New Roman" w:hAnsi="Times New Roman"/>
                      <w:bCs/>
                      <w:color w:val="auto"/>
                      <w:sz w:val="21"/>
                      <w:szCs w:val="21"/>
                    </w:rPr>
                  </w:pPr>
                  <w:r>
                    <w:rPr>
                      <w:rFonts w:ascii="Times New Roman" w:hAnsi="Times New Roman"/>
                      <w:bCs/>
                      <w:color w:val="auto"/>
                      <w:sz w:val="21"/>
                      <w:szCs w:val="21"/>
                    </w:rPr>
                    <w:t>估算产生量（t/a）</w:t>
                  </w:r>
                </w:p>
              </w:tc>
              <w:tc>
                <w:tcPr>
                  <w:tcW w:w="765" w:type="pct"/>
                  <w:noWrap w:val="0"/>
                  <w:vAlign w:val="center"/>
                </w:tcPr>
                <w:p>
                  <w:pPr>
                    <w:jc w:val="center"/>
                    <w:rPr>
                      <w:bCs/>
                      <w:color w:val="auto"/>
                      <w:szCs w:val="21"/>
                    </w:rPr>
                  </w:pPr>
                  <w:r>
                    <w:rPr>
                      <w:bCs/>
                      <w:color w:val="auto"/>
                      <w:szCs w:val="21"/>
                    </w:rPr>
                    <w:t>利用处置方式和去向</w:t>
                  </w:r>
                </w:p>
              </w:tc>
              <w:tc>
                <w:tcPr>
                  <w:tcW w:w="668" w:type="pct"/>
                  <w:noWrap w:val="0"/>
                  <w:vAlign w:val="center"/>
                </w:tcPr>
                <w:p>
                  <w:pPr>
                    <w:jc w:val="center"/>
                    <w:rPr>
                      <w:rFonts w:hint="eastAsia" w:eastAsia="宋体"/>
                      <w:bCs/>
                      <w:color w:val="auto"/>
                      <w:szCs w:val="21"/>
                      <w:highlight w:val="yellow"/>
                      <w:lang w:eastAsia="zh-CN"/>
                    </w:rPr>
                  </w:pPr>
                  <w:r>
                    <w:rPr>
                      <w:bCs/>
                      <w:color w:val="auto"/>
                      <w:szCs w:val="21"/>
                      <w:highlight w:val="none"/>
                    </w:rPr>
                    <w:t>利用或处置量</w:t>
                  </w:r>
                  <w:r>
                    <w:rPr>
                      <w:rFonts w:hint="eastAsia"/>
                      <w:bCs/>
                      <w:color w:val="auto"/>
                      <w:szCs w:val="21"/>
                      <w:highlight w:val="none"/>
                      <w:lang w:eastAsia="zh-CN"/>
                    </w:rPr>
                    <w:t>（</w:t>
                  </w:r>
                  <w:r>
                    <w:rPr>
                      <w:rFonts w:hint="eastAsia"/>
                      <w:bCs/>
                      <w:color w:val="auto"/>
                      <w:szCs w:val="21"/>
                      <w:highlight w:val="none"/>
                      <w:lang w:val="en-US" w:eastAsia="zh-CN"/>
                    </w:rPr>
                    <w:t>t/a</w:t>
                  </w:r>
                  <w:r>
                    <w:rPr>
                      <w:rFonts w:hint="eastAsia"/>
                      <w:bCs/>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283" w:type="pct"/>
                  <w:noWrap w:val="0"/>
                  <w:vAlign w:val="center"/>
                </w:tcPr>
                <w:p>
                  <w:pPr>
                    <w:pStyle w:val="71"/>
                    <w:snapToGrid w:val="0"/>
                    <w:rPr>
                      <w:rFonts w:hint="eastAsia" w:ascii="Times New Roman" w:hAnsi="Times New Roman" w:eastAsia="宋体"/>
                      <w:bCs/>
                      <w:color w:val="auto"/>
                      <w:sz w:val="21"/>
                      <w:szCs w:val="21"/>
                      <w:lang w:val="en-US" w:eastAsia="zh-CN"/>
                    </w:rPr>
                  </w:pPr>
                  <w:r>
                    <w:rPr>
                      <w:rFonts w:hint="eastAsia" w:ascii="Times New Roman" w:hAnsi="Times New Roman"/>
                      <w:bCs/>
                      <w:color w:val="auto"/>
                      <w:sz w:val="21"/>
                      <w:szCs w:val="21"/>
                      <w:lang w:val="en-US" w:eastAsia="zh-CN"/>
                    </w:rPr>
                    <w:t>1</w:t>
                  </w:r>
                </w:p>
              </w:tc>
              <w:tc>
                <w:tcPr>
                  <w:tcW w:w="696" w:type="pct"/>
                  <w:noWrap w:val="0"/>
                  <w:vAlign w:val="center"/>
                </w:tcPr>
                <w:p>
                  <w:pPr>
                    <w:pStyle w:val="71"/>
                    <w:snapToGrid w:val="0"/>
                    <w:rPr>
                      <w:rFonts w:ascii="Times New Roman" w:hAnsi="Times New Roman" w:eastAsia="宋体" w:cs="Times New Roman"/>
                      <w:bCs/>
                      <w:color w:val="auto"/>
                      <w:sz w:val="21"/>
                      <w:szCs w:val="21"/>
                    </w:rPr>
                  </w:pPr>
                  <w:r>
                    <w:rPr>
                      <w:rFonts w:hint="eastAsia" w:ascii="Times New Roman" w:hAnsi="Times New Roman" w:eastAsia="宋体" w:cs="Times New Roman"/>
                      <w:color w:val="auto"/>
                      <w:sz w:val="21"/>
                      <w:szCs w:val="21"/>
                      <w:lang w:val="en-US" w:eastAsia="zh-CN"/>
                    </w:rPr>
                    <w:t>含油抹布</w:t>
                  </w:r>
                </w:p>
              </w:tc>
              <w:tc>
                <w:tcPr>
                  <w:tcW w:w="1213" w:type="pct"/>
                  <w:noWrap w:val="0"/>
                  <w:vAlign w:val="center"/>
                </w:tcPr>
                <w:p>
                  <w:pPr>
                    <w:pStyle w:val="71"/>
                    <w:snapToGrid w:val="0"/>
                    <w:rPr>
                      <w:rFonts w:ascii="Times New Roman" w:hAnsi="Times New Roman"/>
                      <w:bCs/>
                      <w:color w:val="auto"/>
                      <w:sz w:val="21"/>
                      <w:szCs w:val="21"/>
                    </w:rPr>
                  </w:pPr>
                  <w:r>
                    <w:rPr>
                      <w:rFonts w:ascii="Times New Roman" w:hAnsi="Times New Roman"/>
                      <w:color w:val="auto"/>
                      <w:sz w:val="21"/>
                      <w:szCs w:val="21"/>
                    </w:rPr>
                    <w:t>一般废物</w:t>
                  </w:r>
                </w:p>
              </w:tc>
              <w:tc>
                <w:tcPr>
                  <w:tcW w:w="497" w:type="pct"/>
                  <w:noWrap w:val="0"/>
                  <w:vAlign w:val="center"/>
                </w:tcPr>
                <w:p>
                  <w:pPr>
                    <w:pStyle w:val="71"/>
                    <w:snapToGrid w:val="0"/>
                    <w:rPr>
                      <w:rFonts w:ascii="Times New Roman" w:hAnsi="Times New Roman"/>
                      <w:bCs/>
                      <w:color w:val="auto"/>
                      <w:sz w:val="21"/>
                      <w:szCs w:val="21"/>
                    </w:rPr>
                  </w:pPr>
                  <w:r>
                    <w:rPr>
                      <w:rFonts w:ascii="Times New Roman" w:hAnsi="Times New Roman"/>
                      <w:color w:val="auto"/>
                      <w:sz w:val="21"/>
                      <w:szCs w:val="21"/>
                    </w:rPr>
                    <w:t>生</w:t>
                  </w:r>
                  <w:r>
                    <w:rPr>
                      <w:rFonts w:hint="eastAsia" w:ascii="Times New Roman" w:hAnsi="Times New Roman"/>
                      <w:color w:val="auto"/>
                      <w:sz w:val="21"/>
                      <w:szCs w:val="21"/>
                      <w:lang w:eastAsia="zh-CN"/>
                    </w:rPr>
                    <w:t>产</w:t>
                  </w:r>
                </w:p>
              </w:tc>
              <w:tc>
                <w:tcPr>
                  <w:tcW w:w="371" w:type="pct"/>
                  <w:noWrap w:val="0"/>
                  <w:vAlign w:val="center"/>
                </w:tcPr>
                <w:p>
                  <w:pPr>
                    <w:pStyle w:val="71"/>
                    <w:snapToGrid w:val="0"/>
                    <w:rPr>
                      <w:rFonts w:ascii="Times New Roman" w:hAnsi="Times New Roman"/>
                      <w:bCs/>
                      <w:color w:val="auto"/>
                      <w:sz w:val="21"/>
                      <w:szCs w:val="21"/>
                    </w:rPr>
                  </w:pPr>
                  <w:r>
                    <w:rPr>
                      <w:rFonts w:ascii="Times New Roman" w:hAnsi="Times New Roman"/>
                      <w:color w:val="auto"/>
                      <w:sz w:val="21"/>
                      <w:szCs w:val="21"/>
                    </w:rPr>
                    <w:t>固态</w:t>
                  </w:r>
                </w:p>
              </w:tc>
              <w:tc>
                <w:tcPr>
                  <w:tcW w:w="502" w:type="pct"/>
                  <w:noWrap w:val="0"/>
                  <w:vAlign w:val="center"/>
                </w:tcPr>
                <w:p>
                  <w:pPr>
                    <w:pStyle w:val="71"/>
                    <w:snapToGrid w:val="0"/>
                    <w:rPr>
                      <w:rFonts w:ascii="Times New Roman" w:hAnsi="Times New Roman"/>
                      <w:bCs/>
                      <w:color w:val="auto"/>
                      <w:sz w:val="21"/>
                      <w:szCs w:val="21"/>
                    </w:rPr>
                  </w:pPr>
                  <w:r>
                    <w:rPr>
                      <w:rFonts w:hint="eastAsia" w:ascii="Times New Roman" w:hAnsi="Times New Roman" w:eastAsia="宋体"/>
                      <w:color w:val="auto"/>
                      <w:sz w:val="21"/>
                      <w:szCs w:val="21"/>
                      <w:lang w:val="en-US" w:eastAsia="zh-CN"/>
                    </w:rPr>
                    <w:t>0.</w:t>
                  </w:r>
                  <w:r>
                    <w:rPr>
                      <w:rFonts w:hint="eastAsia" w:ascii="Times New Roman" w:hAnsi="Times New Roman"/>
                      <w:color w:val="auto"/>
                      <w:sz w:val="21"/>
                      <w:szCs w:val="21"/>
                      <w:lang w:val="en-US" w:eastAsia="zh-CN"/>
                    </w:rPr>
                    <w:t>1</w:t>
                  </w:r>
                </w:p>
              </w:tc>
              <w:tc>
                <w:tcPr>
                  <w:tcW w:w="765" w:type="pct"/>
                  <w:noWrap w:val="0"/>
                  <w:vAlign w:val="center"/>
                </w:tcPr>
                <w:p>
                  <w:pPr>
                    <w:jc w:val="center"/>
                    <w:rPr>
                      <w:bCs/>
                      <w:color w:val="auto"/>
                      <w:sz w:val="21"/>
                      <w:szCs w:val="21"/>
                    </w:rPr>
                  </w:pPr>
                  <w:r>
                    <w:rPr>
                      <w:rFonts w:ascii="Times New Roman" w:hAnsi="Times New Roman" w:eastAsia="宋体" w:cs="Times New Roman"/>
                      <w:color w:val="auto"/>
                      <w:sz w:val="21"/>
                      <w:szCs w:val="21"/>
                    </w:rPr>
                    <w:t>交由环卫处理</w:t>
                  </w:r>
                </w:p>
              </w:tc>
              <w:tc>
                <w:tcPr>
                  <w:tcW w:w="668" w:type="pct"/>
                  <w:noWrap w:val="0"/>
                  <w:vAlign w:val="center"/>
                </w:tcPr>
                <w:p>
                  <w:pPr>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283" w:type="pct"/>
                  <w:noWrap w:val="0"/>
                  <w:vAlign w:val="center"/>
                </w:tcPr>
                <w:p>
                  <w:pPr>
                    <w:pStyle w:val="71"/>
                    <w:snapToGrid w:val="0"/>
                    <w:rPr>
                      <w:rFonts w:hint="eastAsia" w:ascii="Times New Roman" w:hAnsi="Times New Roman" w:eastAsia="宋体"/>
                      <w:color w:val="auto"/>
                      <w:sz w:val="21"/>
                      <w:szCs w:val="21"/>
                      <w:lang w:eastAsia="zh-CN"/>
                    </w:rPr>
                  </w:pPr>
                  <w:r>
                    <w:rPr>
                      <w:rFonts w:hint="eastAsia" w:ascii="Times New Roman" w:hAnsi="Times New Roman"/>
                      <w:color w:val="auto"/>
                      <w:sz w:val="21"/>
                      <w:szCs w:val="21"/>
                      <w:lang w:val="en-US" w:eastAsia="zh-CN"/>
                    </w:rPr>
                    <w:t>2</w:t>
                  </w:r>
                </w:p>
              </w:tc>
              <w:tc>
                <w:tcPr>
                  <w:tcW w:w="696" w:type="pct"/>
                  <w:noWrap w:val="0"/>
                  <w:vAlign w:val="center"/>
                </w:tcPr>
                <w:p>
                  <w:pPr>
                    <w:pStyle w:val="71"/>
                    <w:snapToGrid w:val="0"/>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废铁屑</w:t>
                  </w:r>
                </w:p>
              </w:tc>
              <w:tc>
                <w:tcPr>
                  <w:tcW w:w="1213" w:type="pct"/>
                  <w:noWrap w:val="0"/>
                  <w:vAlign w:val="center"/>
                </w:tcPr>
                <w:p>
                  <w:pPr>
                    <w:pStyle w:val="71"/>
                    <w:snapToGrid w:val="0"/>
                    <w:rPr>
                      <w:rFonts w:ascii="Times New Roman" w:hAnsi="Times New Roman"/>
                      <w:color w:val="auto"/>
                      <w:sz w:val="21"/>
                      <w:szCs w:val="21"/>
                    </w:rPr>
                  </w:pPr>
                  <w:r>
                    <w:rPr>
                      <w:rFonts w:ascii="Times New Roman" w:hAnsi="Times New Roman"/>
                      <w:color w:val="auto"/>
                      <w:sz w:val="21"/>
                      <w:szCs w:val="21"/>
                    </w:rPr>
                    <w:t>一般废物</w:t>
                  </w:r>
                </w:p>
              </w:tc>
              <w:tc>
                <w:tcPr>
                  <w:tcW w:w="497" w:type="pct"/>
                  <w:noWrap w:val="0"/>
                  <w:vAlign w:val="center"/>
                </w:tcPr>
                <w:p>
                  <w:pPr>
                    <w:pStyle w:val="71"/>
                    <w:snapToGrid w:val="0"/>
                    <w:rPr>
                      <w:rFonts w:hint="eastAsia" w:ascii="Times New Roman" w:hAnsi="Times New Roman" w:eastAsia="宋体"/>
                      <w:color w:val="auto"/>
                      <w:sz w:val="21"/>
                      <w:szCs w:val="21"/>
                      <w:lang w:eastAsia="zh-CN"/>
                    </w:rPr>
                  </w:pPr>
                  <w:r>
                    <w:rPr>
                      <w:rFonts w:ascii="Times New Roman" w:hAnsi="Times New Roman"/>
                      <w:color w:val="auto"/>
                      <w:sz w:val="21"/>
                      <w:szCs w:val="21"/>
                    </w:rPr>
                    <w:t>生</w:t>
                  </w:r>
                  <w:r>
                    <w:rPr>
                      <w:rFonts w:hint="eastAsia" w:ascii="Times New Roman" w:hAnsi="Times New Roman"/>
                      <w:color w:val="auto"/>
                      <w:sz w:val="21"/>
                      <w:szCs w:val="21"/>
                      <w:lang w:eastAsia="zh-CN"/>
                    </w:rPr>
                    <w:t>产</w:t>
                  </w:r>
                </w:p>
              </w:tc>
              <w:tc>
                <w:tcPr>
                  <w:tcW w:w="371" w:type="pct"/>
                  <w:noWrap w:val="0"/>
                  <w:vAlign w:val="center"/>
                </w:tcPr>
                <w:p>
                  <w:pPr>
                    <w:pStyle w:val="71"/>
                    <w:snapToGrid w:val="0"/>
                    <w:rPr>
                      <w:rFonts w:ascii="Times New Roman" w:hAnsi="Times New Roman"/>
                      <w:color w:val="auto"/>
                      <w:sz w:val="21"/>
                      <w:szCs w:val="21"/>
                    </w:rPr>
                  </w:pPr>
                  <w:r>
                    <w:rPr>
                      <w:rFonts w:ascii="Times New Roman" w:hAnsi="Times New Roman"/>
                      <w:color w:val="auto"/>
                      <w:sz w:val="21"/>
                      <w:szCs w:val="21"/>
                    </w:rPr>
                    <w:t>固态</w:t>
                  </w:r>
                </w:p>
              </w:tc>
              <w:tc>
                <w:tcPr>
                  <w:tcW w:w="502" w:type="pct"/>
                  <w:noWrap w:val="0"/>
                  <w:vAlign w:val="center"/>
                </w:tcPr>
                <w:p>
                  <w:pPr>
                    <w:pStyle w:val="71"/>
                    <w:snapToGrid w:val="0"/>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0.</w:t>
                  </w:r>
                  <w:r>
                    <w:rPr>
                      <w:rFonts w:hint="eastAsia" w:ascii="Times New Roman" w:hAnsi="Times New Roman"/>
                      <w:color w:val="auto"/>
                      <w:sz w:val="21"/>
                      <w:szCs w:val="21"/>
                      <w:lang w:val="en-US" w:eastAsia="zh-CN"/>
                    </w:rPr>
                    <w:t>1</w:t>
                  </w:r>
                </w:p>
              </w:tc>
              <w:tc>
                <w:tcPr>
                  <w:tcW w:w="765" w:type="pct"/>
                  <w:noWrap w:val="0"/>
                  <w:vAlign w:val="center"/>
                </w:tcPr>
                <w:p>
                  <w:pPr>
                    <w:pStyle w:val="71"/>
                    <w:snapToGrid w:val="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外售给物资回收单位</w:t>
                  </w:r>
                </w:p>
              </w:tc>
              <w:tc>
                <w:tcPr>
                  <w:tcW w:w="668" w:type="pct"/>
                  <w:noWrap w:val="0"/>
                  <w:vAlign w:val="center"/>
                </w:tcPr>
                <w:p>
                  <w:pPr>
                    <w:pStyle w:val="71"/>
                    <w:snapToGrid w:val="0"/>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0.</w:t>
                  </w:r>
                  <w:r>
                    <w:rPr>
                      <w:rFonts w:hint="eastAsia" w:ascii="Times New Roman" w:hAnsi="Times New Roman"/>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283" w:type="pct"/>
                  <w:noWrap w:val="0"/>
                  <w:vAlign w:val="center"/>
                </w:tcPr>
                <w:p>
                  <w:pPr>
                    <w:pStyle w:val="71"/>
                    <w:snapToGrid w:val="0"/>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3</w:t>
                  </w:r>
                </w:p>
              </w:tc>
              <w:tc>
                <w:tcPr>
                  <w:tcW w:w="696" w:type="pct"/>
                  <w:noWrap w:val="0"/>
                  <w:vAlign w:val="center"/>
                </w:tcPr>
                <w:p>
                  <w:pPr>
                    <w:pStyle w:val="71"/>
                    <w:snapToGrid w:val="0"/>
                    <w:rPr>
                      <w:rFonts w:ascii="Times New Roman" w:hAnsi="Times New Roman" w:eastAsia="宋体" w:cs="Times New Roman"/>
                      <w:color w:val="auto"/>
                      <w:sz w:val="21"/>
                      <w:szCs w:val="21"/>
                    </w:rPr>
                  </w:pPr>
                  <w:r>
                    <w:rPr>
                      <w:rFonts w:hint="eastAsia" w:ascii="Times New Roman" w:hAnsi="Times New Roman" w:cs="Times New Roman"/>
                      <w:color w:val="auto"/>
                      <w:sz w:val="21"/>
                      <w:szCs w:val="21"/>
                      <w:lang w:val="en-US" w:eastAsia="zh-CN"/>
                    </w:rPr>
                    <w:t>生活垃圾</w:t>
                  </w:r>
                </w:p>
              </w:tc>
              <w:tc>
                <w:tcPr>
                  <w:tcW w:w="1213" w:type="pct"/>
                  <w:noWrap w:val="0"/>
                  <w:vAlign w:val="center"/>
                </w:tcPr>
                <w:p>
                  <w:pPr>
                    <w:pStyle w:val="71"/>
                    <w:snapToGrid w:val="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一般废物</w:t>
                  </w:r>
                </w:p>
              </w:tc>
              <w:tc>
                <w:tcPr>
                  <w:tcW w:w="497" w:type="pct"/>
                  <w:noWrap w:val="0"/>
                  <w:vAlign w:val="center"/>
                </w:tcPr>
                <w:p>
                  <w:pPr>
                    <w:pStyle w:val="71"/>
                    <w:snapToGrid w:val="0"/>
                    <w:rPr>
                      <w:rFonts w:hint="eastAsia"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rPr>
                    <w:t>生</w:t>
                  </w:r>
                  <w:r>
                    <w:rPr>
                      <w:rFonts w:hint="eastAsia" w:ascii="Times New Roman" w:hAnsi="Times New Roman" w:cs="Times New Roman"/>
                      <w:color w:val="auto"/>
                      <w:sz w:val="21"/>
                      <w:szCs w:val="21"/>
                      <w:lang w:eastAsia="zh-CN"/>
                    </w:rPr>
                    <w:t>活</w:t>
                  </w:r>
                </w:p>
              </w:tc>
              <w:tc>
                <w:tcPr>
                  <w:tcW w:w="371" w:type="pct"/>
                  <w:noWrap w:val="0"/>
                  <w:vAlign w:val="center"/>
                </w:tcPr>
                <w:p>
                  <w:pPr>
                    <w:pStyle w:val="71"/>
                    <w:snapToGrid w:val="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固态</w:t>
                  </w:r>
                </w:p>
              </w:tc>
              <w:tc>
                <w:tcPr>
                  <w:tcW w:w="502" w:type="pct"/>
                  <w:noWrap w:val="0"/>
                  <w:vAlign w:val="center"/>
                </w:tcPr>
                <w:p>
                  <w:pPr>
                    <w:pStyle w:val="71"/>
                    <w:snapToGrid w:val="0"/>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1.2</w:t>
                  </w:r>
                </w:p>
              </w:tc>
              <w:tc>
                <w:tcPr>
                  <w:tcW w:w="765" w:type="pct"/>
                  <w:noWrap w:val="0"/>
                  <w:vAlign w:val="center"/>
                </w:tcPr>
                <w:p>
                  <w:pPr>
                    <w:pStyle w:val="71"/>
                    <w:snapToGrid w:val="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交由环卫处理</w:t>
                  </w:r>
                </w:p>
              </w:tc>
              <w:tc>
                <w:tcPr>
                  <w:tcW w:w="668" w:type="pct"/>
                  <w:noWrap w:val="0"/>
                  <w:vAlign w:val="center"/>
                </w:tcPr>
                <w:p>
                  <w:pPr>
                    <w:pStyle w:val="71"/>
                    <w:snapToGrid w:val="0"/>
                    <w:rPr>
                      <w:rFonts w:hint="default" w:ascii="Times New Roman" w:hAnsi="Times New Roman"/>
                      <w:color w:val="auto"/>
                      <w:sz w:val="21"/>
                      <w:szCs w:val="21"/>
                      <w:lang w:val="en-US"/>
                    </w:rPr>
                  </w:pPr>
                  <w:r>
                    <w:rPr>
                      <w:rFonts w:hint="eastAsia" w:ascii="Times New Roman" w:hAnsi="Times New Roman" w:cs="Times New Roman"/>
                      <w:color w:val="auto"/>
                      <w:sz w:val="21"/>
                      <w:szCs w:val="21"/>
                      <w:lang w:val="en-US" w:eastAsia="zh-CN"/>
                    </w:rPr>
                    <w:t>1.2</w:t>
                  </w:r>
                </w:p>
              </w:tc>
            </w:tr>
          </w:tbl>
          <w:p>
            <w:pPr>
              <w:spacing w:line="360" w:lineRule="auto"/>
              <w:jc w:val="center"/>
              <w:rPr>
                <w:rFonts w:hint="eastAsia"/>
                <w:b/>
                <w:color w:val="auto"/>
                <w:szCs w:val="21"/>
              </w:rPr>
            </w:pPr>
          </w:p>
          <w:p>
            <w:pPr>
              <w:spacing w:line="360" w:lineRule="auto"/>
              <w:jc w:val="center"/>
              <w:rPr>
                <w:rFonts w:hint="eastAsia"/>
                <w:b/>
                <w:color w:val="auto"/>
                <w:szCs w:val="21"/>
              </w:rPr>
            </w:pPr>
            <w:r>
              <w:rPr>
                <w:rFonts w:hint="eastAsia"/>
                <w:b/>
                <w:color w:val="auto"/>
                <w:szCs w:val="21"/>
                <w:highlight w:val="none"/>
              </w:rPr>
              <w:t>表4-</w:t>
            </w:r>
            <w:r>
              <w:rPr>
                <w:rFonts w:hint="eastAsia"/>
                <w:b/>
                <w:color w:val="auto"/>
                <w:szCs w:val="21"/>
                <w:highlight w:val="none"/>
                <w:lang w:val="en-US" w:eastAsia="zh-CN"/>
              </w:rPr>
              <w:t>17</w:t>
            </w:r>
            <w:r>
              <w:rPr>
                <w:rFonts w:hint="eastAsia"/>
                <w:b/>
                <w:color w:val="auto"/>
                <w:szCs w:val="21"/>
                <w:highlight w:val="none"/>
              </w:rPr>
              <w:t xml:space="preserve">  </w:t>
            </w:r>
            <w:r>
              <w:rPr>
                <w:rFonts w:hint="eastAsia"/>
                <w:b/>
                <w:color w:val="auto"/>
                <w:szCs w:val="21"/>
              </w:rPr>
              <w:t>建设项目危险固体废物分析结果汇总表</w:t>
            </w:r>
          </w:p>
          <w:tbl>
            <w:tblPr>
              <w:tblStyle w:val="28"/>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7"/>
              <w:gridCol w:w="1308"/>
              <w:gridCol w:w="922"/>
              <w:gridCol w:w="1389"/>
              <w:gridCol w:w="1071"/>
              <w:gridCol w:w="898"/>
              <w:gridCol w:w="712"/>
              <w:gridCol w:w="399"/>
              <w:gridCol w:w="789"/>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2"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序号</w:t>
                  </w:r>
                </w:p>
              </w:tc>
              <w:tc>
                <w:tcPr>
                  <w:tcW w:w="773"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危险废物名称</w:t>
                  </w:r>
                </w:p>
              </w:tc>
              <w:tc>
                <w:tcPr>
                  <w:tcW w:w="545"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危险废物类别</w:t>
                  </w:r>
                </w:p>
              </w:tc>
              <w:tc>
                <w:tcPr>
                  <w:tcW w:w="821"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危险废物代码</w:t>
                  </w:r>
                </w:p>
              </w:tc>
              <w:tc>
                <w:tcPr>
                  <w:tcW w:w="633"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年度产生量（t/a）</w:t>
                  </w:r>
                </w:p>
              </w:tc>
              <w:tc>
                <w:tcPr>
                  <w:tcW w:w="531"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产生工序及装置</w:t>
                  </w:r>
                </w:p>
              </w:tc>
              <w:tc>
                <w:tcPr>
                  <w:tcW w:w="421"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物理性状</w:t>
                  </w:r>
                </w:p>
              </w:tc>
              <w:tc>
                <w:tcPr>
                  <w:tcW w:w="236"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产废周期</w:t>
                  </w:r>
                </w:p>
              </w:tc>
              <w:tc>
                <w:tcPr>
                  <w:tcW w:w="466"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利用处置方式和去向</w:t>
                  </w:r>
                </w:p>
              </w:tc>
              <w:tc>
                <w:tcPr>
                  <w:tcW w:w="417"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利用或处置量</w:t>
                  </w:r>
                </w:p>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2"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773"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eastAsia="zh-CN"/>
                    </w:rPr>
                    <w:t>污泥</w:t>
                  </w:r>
                </w:p>
              </w:tc>
              <w:tc>
                <w:tcPr>
                  <w:tcW w:w="545" w:type="pct"/>
                  <w:noWrap w:val="0"/>
                  <w:vAlign w:val="center"/>
                </w:tcPr>
                <w:p>
                  <w:pPr>
                    <w:pStyle w:val="71"/>
                    <w:snapToGrid w:val="0"/>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HW</w:t>
                  </w:r>
                  <w:r>
                    <w:rPr>
                      <w:rFonts w:hint="default" w:ascii="Times New Roman" w:hAnsi="Times New Roman" w:cs="Times New Roman"/>
                      <w:color w:val="auto"/>
                      <w:sz w:val="21"/>
                      <w:szCs w:val="21"/>
                      <w:lang w:val="en-US" w:eastAsia="zh-CN"/>
                    </w:rPr>
                    <w:t>17</w:t>
                  </w:r>
                </w:p>
              </w:tc>
              <w:tc>
                <w:tcPr>
                  <w:tcW w:w="821" w:type="pct"/>
                  <w:noWrap w:val="0"/>
                  <w:vAlign w:val="center"/>
                </w:tcPr>
                <w:p>
                  <w:pPr>
                    <w:pStyle w:val="71"/>
                    <w:snapToGrid w:val="0"/>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336-064-17</w:t>
                  </w:r>
                </w:p>
              </w:tc>
              <w:tc>
                <w:tcPr>
                  <w:tcW w:w="633" w:type="pct"/>
                  <w:noWrap w:val="0"/>
                  <w:vAlign w:val="center"/>
                </w:tcPr>
                <w:p>
                  <w:pPr>
                    <w:pStyle w:val="71"/>
                    <w:snapToGrid w:val="0"/>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1.2</w:t>
                  </w:r>
                </w:p>
              </w:tc>
              <w:tc>
                <w:tcPr>
                  <w:tcW w:w="531"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w:t>
                  </w:r>
                </w:p>
              </w:tc>
              <w:tc>
                <w:tcPr>
                  <w:tcW w:w="421"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固体</w:t>
                  </w:r>
                </w:p>
              </w:tc>
              <w:tc>
                <w:tcPr>
                  <w:tcW w:w="236"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6个月</w:t>
                  </w:r>
                </w:p>
              </w:tc>
              <w:tc>
                <w:tcPr>
                  <w:tcW w:w="466" w:type="pct"/>
                  <w:vMerge w:val="restar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交由有资质单位处理</w:t>
                  </w:r>
                </w:p>
              </w:tc>
              <w:tc>
                <w:tcPr>
                  <w:tcW w:w="417" w:type="pct"/>
                  <w:noWrap w:val="0"/>
                  <w:vAlign w:val="center"/>
                </w:tcPr>
                <w:p>
                  <w:pPr>
                    <w:pStyle w:val="71"/>
                    <w:snapToGrid w:val="0"/>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2"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773"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w:t>
                  </w:r>
                  <w:r>
                    <w:rPr>
                      <w:rFonts w:hint="eastAsia" w:cs="Times New Roman"/>
                      <w:color w:val="auto"/>
                      <w:sz w:val="21"/>
                      <w:szCs w:val="21"/>
                      <w:lang w:val="en-US" w:eastAsia="zh-CN"/>
                    </w:rPr>
                    <w:t>润滑</w:t>
                  </w:r>
                  <w:r>
                    <w:rPr>
                      <w:rFonts w:hint="eastAsia" w:ascii="Times New Roman" w:hAnsi="Times New Roman" w:eastAsia="宋体" w:cs="Times New Roman"/>
                      <w:color w:val="auto"/>
                      <w:sz w:val="21"/>
                      <w:szCs w:val="21"/>
                      <w:lang w:val="en-US" w:eastAsia="zh-CN"/>
                    </w:rPr>
                    <w:t>油</w:t>
                  </w:r>
                </w:p>
              </w:tc>
              <w:tc>
                <w:tcPr>
                  <w:tcW w:w="545" w:type="pct"/>
                  <w:noWrap w:val="0"/>
                  <w:vAlign w:val="center"/>
                </w:tcPr>
                <w:p>
                  <w:pPr>
                    <w:pStyle w:val="71"/>
                    <w:snapToGrid w:val="0"/>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HW</w:t>
                  </w:r>
                  <w:r>
                    <w:rPr>
                      <w:rFonts w:hint="default" w:ascii="Times New Roman" w:hAnsi="Times New Roman" w:cs="Times New Roman"/>
                      <w:color w:val="auto"/>
                      <w:sz w:val="21"/>
                      <w:szCs w:val="21"/>
                      <w:lang w:val="en-US" w:eastAsia="zh-CN"/>
                    </w:rPr>
                    <w:t>08</w:t>
                  </w:r>
                </w:p>
              </w:tc>
              <w:tc>
                <w:tcPr>
                  <w:tcW w:w="821" w:type="pct"/>
                  <w:noWrap w:val="0"/>
                  <w:vAlign w:val="center"/>
                </w:tcPr>
                <w:p>
                  <w:pPr>
                    <w:pStyle w:val="71"/>
                    <w:snapToGrid w:val="0"/>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900-</w:t>
                  </w:r>
                  <w:r>
                    <w:rPr>
                      <w:rFonts w:hint="default" w:ascii="Times New Roman" w:hAnsi="Times New Roman" w:cs="Times New Roman"/>
                      <w:color w:val="auto"/>
                      <w:sz w:val="21"/>
                      <w:szCs w:val="21"/>
                      <w:lang w:val="en-US" w:eastAsia="zh-CN"/>
                    </w:rPr>
                    <w:t>218</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08</w:t>
                  </w:r>
                </w:p>
              </w:tc>
              <w:tc>
                <w:tcPr>
                  <w:tcW w:w="633" w:type="pct"/>
                  <w:noWrap w:val="0"/>
                  <w:vAlign w:val="center"/>
                </w:tcPr>
                <w:p>
                  <w:pPr>
                    <w:pStyle w:val="71"/>
                    <w:snapToGrid w:val="0"/>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w:t>
                  </w:r>
                  <w:r>
                    <w:rPr>
                      <w:rFonts w:hint="eastAsia" w:ascii="Times New Roman" w:hAnsi="Times New Roman" w:cs="Times New Roman"/>
                      <w:color w:val="auto"/>
                      <w:sz w:val="21"/>
                      <w:szCs w:val="21"/>
                      <w:lang w:val="en-US" w:eastAsia="zh-CN"/>
                    </w:rPr>
                    <w:t>5</w:t>
                  </w:r>
                </w:p>
              </w:tc>
              <w:tc>
                <w:tcPr>
                  <w:tcW w:w="531"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w:t>
                  </w:r>
                </w:p>
              </w:tc>
              <w:tc>
                <w:tcPr>
                  <w:tcW w:w="421"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固体</w:t>
                  </w:r>
                </w:p>
              </w:tc>
              <w:tc>
                <w:tcPr>
                  <w:tcW w:w="236"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6个月</w:t>
                  </w:r>
                </w:p>
              </w:tc>
              <w:tc>
                <w:tcPr>
                  <w:tcW w:w="466" w:type="pct"/>
                  <w:vMerge w:val="continue"/>
                  <w:noWrap w:val="0"/>
                  <w:vAlign w:val="top"/>
                </w:tcPr>
                <w:p>
                  <w:pPr>
                    <w:pStyle w:val="71"/>
                    <w:snapToGrid w:val="0"/>
                    <w:rPr>
                      <w:rFonts w:hint="eastAsia" w:ascii="Times New Roman" w:hAnsi="Times New Roman" w:eastAsia="宋体" w:cs="Times New Roman"/>
                      <w:color w:val="auto"/>
                      <w:sz w:val="21"/>
                      <w:szCs w:val="21"/>
                      <w:lang w:val="en-US" w:eastAsia="zh-CN"/>
                    </w:rPr>
                  </w:pPr>
                </w:p>
              </w:tc>
              <w:tc>
                <w:tcPr>
                  <w:tcW w:w="417" w:type="pct"/>
                  <w:noWrap w:val="0"/>
                  <w:vAlign w:val="center"/>
                </w:tcPr>
                <w:p>
                  <w:pPr>
                    <w:pStyle w:val="71"/>
                    <w:snapToGrid w:val="0"/>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2"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w:t>
                  </w:r>
                </w:p>
              </w:tc>
              <w:tc>
                <w:tcPr>
                  <w:tcW w:w="773"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highlight w:val="none"/>
                      <w:lang w:val="en-US" w:eastAsia="zh-CN"/>
                    </w:rPr>
                    <w:t>废包装</w:t>
                  </w:r>
                </w:p>
              </w:tc>
              <w:tc>
                <w:tcPr>
                  <w:tcW w:w="545" w:type="pct"/>
                  <w:noWrap w:val="0"/>
                  <w:vAlign w:val="center"/>
                </w:tcPr>
                <w:p>
                  <w:pPr>
                    <w:pStyle w:val="71"/>
                    <w:snapToGrid w:val="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HW49 </w:t>
                  </w:r>
                </w:p>
              </w:tc>
              <w:tc>
                <w:tcPr>
                  <w:tcW w:w="821" w:type="pct"/>
                  <w:noWrap w:val="0"/>
                  <w:vAlign w:val="center"/>
                </w:tcPr>
                <w:p>
                  <w:pPr>
                    <w:pStyle w:val="71"/>
                    <w:snapToGrid w:val="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900-041-49 </w:t>
                  </w:r>
                </w:p>
              </w:tc>
              <w:tc>
                <w:tcPr>
                  <w:tcW w:w="633" w:type="pct"/>
                  <w:noWrap w:val="0"/>
                  <w:vAlign w:val="center"/>
                </w:tcPr>
                <w:p>
                  <w:pPr>
                    <w:pStyle w:val="71"/>
                    <w:snapToGrid w:val="0"/>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0.5</w:t>
                  </w:r>
                </w:p>
              </w:tc>
              <w:tc>
                <w:tcPr>
                  <w:tcW w:w="531"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w:t>
                  </w:r>
                </w:p>
              </w:tc>
              <w:tc>
                <w:tcPr>
                  <w:tcW w:w="421"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固体</w:t>
                  </w:r>
                </w:p>
              </w:tc>
              <w:tc>
                <w:tcPr>
                  <w:tcW w:w="236" w:type="pct"/>
                  <w:noWrap w:val="0"/>
                  <w:vAlign w:val="center"/>
                </w:tcPr>
                <w:p>
                  <w:pPr>
                    <w:pStyle w:val="71"/>
                    <w:snapToGrid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6个月</w:t>
                  </w:r>
                </w:p>
              </w:tc>
              <w:tc>
                <w:tcPr>
                  <w:tcW w:w="466" w:type="pct"/>
                  <w:vMerge w:val="continue"/>
                  <w:noWrap w:val="0"/>
                  <w:vAlign w:val="top"/>
                </w:tcPr>
                <w:p>
                  <w:pPr>
                    <w:pStyle w:val="71"/>
                    <w:snapToGrid w:val="0"/>
                    <w:rPr>
                      <w:rFonts w:hint="eastAsia" w:ascii="Times New Roman" w:hAnsi="Times New Roman" w:eastAsia="宋体" w:cs="Times New Roman"/>
                      <w:color w:val="auto"/>
                      <w:sz w:val="21"/>
                      <w:szCs w:val="21"/>
                      <w:lang w:val="en-US" w:eastAsia="zh-CN"/>
                    </w:rPr>
                  </w:pPr>
                </w:p>
              </w:tc>
              <w:tc>
                <w:tcPr>
                  <w:tcW w:w="417" w:type="pct"/>
                  <w:noWrap w:val="0"/>
                  <w:vAlign w:val="center"/>
                </w:tcPr>
                <w:p>
                  <w:pPr>
                    <w:pStyle w:val="71"/>
                    <w:snapToGrid w:val="0"/>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0.5</w:t>
                  </w:r>
                </w:p>
              </w:tc>
            </w:tr>
          </w:tbl>
          <w:p>
            <w:pPr>
              <w:spacing w:line="360" w:lineRule="auto"/>
              <w:rPr>
                <w:rFonts w:hint="eastAsia"/>
                <w:color w:val="auto"/>
              </w:rPr>
            </w:pPr>
            <w:r>
              <w:rPr>
                <w:rFonts w:hint="eastAsia"/>
                <w:color w:val="auto"/>
              </w:rPr>
              <w:t xml:space="preserve"> </w:t>
            </w:r>
          </w:p>
          <w:p>
            <w:pPr>
              <w:spacing w:line="360" w:lineRule="auto"/>
              <w:rPr>
                <w:rFonts w:hint="eastAsia"/>
                <w:bCs/>
                <w:color w:val="auto"/>
                <w:sz w:val="24"/>
              </w:rPr>
            </w:pPr>
            <w:r>
              <w:rPr>
                <w:rFonts w:hint="eastAsia"/>
                <w:bCs/>
                <w:color w:val="auto"/>
                <w:sz w:val="24"/>
              </w:rPr>
              <w:t>2、环境管理要求</w:t>
            </w:r>
          </w:p>
          <w:p>
            <w:pPr>
              <w:spacing w:line="360" w:lineRule="auto"/>
              <w:ind w:firstLine="482"/>
              <w:rPr>
                <w:rFonts w:hint="eastAsia"/>
                <w:color w:val="auto"/>
                <w:sz w:val="24"/>
              </w:rPr>
            </w:pPr>
            <w:r>
              <w:rPr>
                <w:rFonts w:hint="eastAsia"/>
                <w:color w:val="auto"/>
                <w:sz w:val="24"/>
              </w:rPr>
              <w:t>（1）法律法规要求</w:t>
            </w:r>
          </w:p>
          <w:p>
            <w:pPr>
              <w:spacing w:line="360" w:lineRule="auto"/>
              <w:ind w:firstLine="482"/>
              <w:rPr>
                <w:color w:val="auto"/>
                <w:sz w:val="24"/>
              </w:rPr>
            </w:pPr>
            <w:r>
              <w:rPr>
                <w:rFonts w:hint="eastAsia" w:ascii="宋体" w:hAnsi="宋体" w:cs="宋体"/>
                <w:color w:val="auto"/>
                <w:sz w:val="24"/>
              </w:rPr>
              <w:t>①</w:t>
            </w:r>
            <w:r>
              <w:rPr>
                <w:color w:val="auto"/>
                <w:sz w:val="24"/>
              </w:rPr>
              <w:t>要按照《一般工业固体废物贮存和填埋污染控制标准》（GB18599-2020）中规定其贮存过程应满足相应防渗漏、防雨淋、防扬尘等环境保护要求。</w:t>
            </w:r>
          </w:p>
          <w:p>
            <w:pPr>
              <w:spacing w:line="360" w:lineRule="auto"/>
              <w:ind w:firstLine="482"/>
              <w:rPr>
                <w:color w:val="auto"/>
                <w:sz w:val="24"/>
              </w:rPr>
            </w:pPr>
            <w:r>
              <w:rPr>
                <w:rFonts w:hint="eastAsia" w:ascii="宋体" w:hAnsi="宋体" w:cs="宋体"/>
                <w:color w:val="auto"/>
                <w:sz w:val="24"/>
              </w:rPr>
              <w:t>②</w:t>
            </w:r>
            <w:r>
              <w:rPr>
                <w:color w:val="auto"/>
                <w:sz w:val="24"/>
              </w:rPr>
              <w:t>按照《中华人民共和国固体废物污染环境防治法》（2020年04月30日）有关规定设置暂存场所，具体处置要求如下：</w:t>
            </w:r>
          </w:p>
          <w:p>
            <w:pPr>
              <w:spacing w:line="360" w:lineRule="auto"/>
              <w:ind w:firstLine="482"/>
              <w:rPr>
                <w:color w:val="auto"/>
                <w:sz w:val="24"/>
              </w:rPr>
            </w:pPr>
            <w:r>
              <w:rPr>
                <w:color w:val="auto"/>
                <w:sz w:val="24"/>
              </w:rPr>
              <w:t xml:space="preserve">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 </w:t>
            </w:r>
          </w:p>
          <w:p>
            <w:pPr>
              <w:spacing w:line="360" w:lineRule="auto"/>
              <w:ind w:firstLine="482"/>
              <w:rPr>
                <w:color w:val="auto"/>
                <w:sz w:val="24"/>
              </w:rPr>
            </w:pPr>
            <w:r>
              <w:rPr>
                <w:color w:val="auto"/>
                <w:sz w:val="24"/>
              </w:rPr>
              <w:t xml:space="preserve">建设单位应当依照有关法律法规的规定，对配套建设的固体废物污染环境防治设施进行验收，编制验收报告，并向社会公开。 </w:t>
            </w:r>
          </w:p>
          <w:p>
            <w:pPr>
              <w:spacing w:line="360" w:lineRule="auto"/>
              <w:ind w:firstLine="482"/>
              <w:rPr>
                <w:color w:val="auto"/>
                <w:sz w:val="24"/>
              </w:rPr>
            </w:pPr>
            <w:r>
              <w:rPr>
                <w:color w:val="auto"/>
                <w:sz w:val="24"/>
              </w:rPr>
              <w:t>第十九条 收集、贮存、运输、利用、处置固体废物的单位和其他生产经营者，应当加强对相关设施、设备和场所的管理和维护，保证其正常运行和使用。</w:t>
            </w:r>
          </w:p>
          <w:p>
            <w:pPr>
              <w:spacing w:line="360" w:lineRule="auto"/>
              <w:ind w:firstLine="482"/>
              <w:rPr>
                <w:color w:val="auto"/>
                <w:sz w:val="24"/>
              </w:rPr>
            </w:pPr>
            <w:r>
              <w:rPr>
                <w:color w:val="auto"/>
                <w:sz w:val="24"/>
              </w:rPr>
              <w:t xml:space="preserve">第二十条 产生、收集、贮存、运输、利用、处置固体废物的单位和其他生产经营者，应当采取防扬散、防流失、防渗漏或者其他防止污染环境的措施，不得擅自倾倒、堆放、丢弃、遗撒固体废物。 </w:t>
            </w:r>
          </w:p>
          <w:p>
            <w:pPr>
              <w:spacing w:line="360" w:lineRule="auto"/>
              <w:ind w:firstLine="482"/>
              <w:rPr>
                <w:color w:val="auto"/>
                <w:sz w:val="24"/>
              </w:rPr>
            </w:pPr>
            <w:r>
              <w:rPr>
                <w:color w:val="auto"/>
                <w:sz w:val="24"/>
              </w:rPr>
              <w:t>禁止任何单位或者个人向江河、湖泊、运河、渠道、水库及其最高水位线以下的滩地和岸坡以及法律法规规定的其他地点倾倒、堆放、贮存固体废物。</w:t>
            </w:r>
          </w:p>
          <w:p>
            <w:pPr>
              <w:spacing w:line="360" w:lineRule="auto"/>
              <w:ind w:firstLine="482"/>
              <w:rPr>
                <w:color w:val="auto"/>
                <w:sz w:val="24"/>
              </w:rPr>
            </w:pPr>
            <w:r>
              <w:rPr>
                <w:color w:val="auto"/>
                <w:sz w:val="24"/>
              </w:rPr>
              <w:t xml:space="preserve">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 </w:t>
            </w:r>
          </w:p>
          <w:p>
            <w:pPr>
              <w:spacing w:line="360" w:lineRule="auto"/>
              <w:ind w:firstLine="482"/>
              <w:rPr>
                <w:color w:val="auto"/>
                <w:sz w:val="24"/>
              </w:rPr>
            </w:pPr>
            <w:r>
              <w:rPr>
                <w:color w:val="auto"/>
                <w:sz w:val="24"/>
              </w:rPr>
              <w:t>禁止向生活垃圾收集设施中投放工业固体废物。</w:t>
            </w:r>
          </w:p>
          <w:p>
            <w:pPr>
              <w:spacing w:line="360" w:lineRule="auto"/>
              <w:ind w:firstLine="482"/>
              <w:rPr>
                <w:color w:val="auto"/>
                <w:sz w:val="24"/>
              </w:rPr>
            </w:pPr>
            <w:r>
              <w:rPr>
                <w:color w:val="auto"/>
                <w:sz w:val="24"/>
              </w:rPr>
              <w:t xml:space="preserve">第三十七条 产生工业固体废物的单位委托他人运输、利用、处置工业固体废物的，应当对受托方的主体资格和技术能力进行核实，依法签订书面合同，在合同中约定污染防治要求。 </w:t>
            </w:r>
          </w:p>
          <w:p>
            <w:pPr>
              <w:spacing w:line="360" w:lineRule="auto"/>
              <w:ind w:firstLine="482"/>
              <w:rPr>
                <w:color w:val="auto"/>
                <w:sz w:val="24"/>
              </w:rPr>
            </w:pPr>
            <w:r>
              <w:rPr>
                <w:color w:val="auto"/>
                <w:sz w:val="24"/>
              </w:rPr>
              <w:t xml:space="preserve">受托方运输、利用、处置工业固体废物，应当依照有关法律法规的规定和合同约定履行污染防治要求，并将运输、利用、处置情况告知产生工业固体废物的单位。 </w:t>
            </w:r>
          </w:p>
          <w:p>
            <w:pPr>
              <w:spacing w:line="360" w:lineRule="auto"/>
              <w:ind w:firstLine="482"/>
              <w:rPr>
                <w:color w:val="auto"/>
                <w:sz w:val="24"/>
              </w:rPr>
            </w:pPr>
            <w:r>
              <w:rPr>
                <w:color w:val="auto"/>
                <w:sz w:val="24"/>
              </w:rPr>
              <w:t xml:space="preserve">产生工业固体废物的单位违反本条第一款规定的，除依照有关法律法规的规定予以处罚外，还应当与造成环境污染和生态破坏的受托方承担连带责任。 </w:t>
            </w:r>
          </w:p>
          <w:p>
            <w:pPr>
              <w:spacing w:line="360" w:lineRule="auto"/>
              <w:ind w:firstLine="482"/>
              <w:rPr>
                <w:color w:val="auto"/>
                <w:sz w:val="24"/>
              </w:rPr>
            </w:pPr>
            <w:r>
              <w:rPr>
                <w:color w:val="auto"/>
                <w:sz w:val="24"/>
              </w:rPr>
              <w:t xml:space="preserve">第三十八条 产生工业固体废物的单位应当依法实施清洁生产审核，合理选择和利用原材料、能源和其他资源，采用先进的生产工艺和设备，减少工业固体废物的产生量，降低工业固体废物的危害性。 </w:t>
            </w:r>
          </w:p>
          <w:p>
            <w:pPr>
              <w:spacing w:line="360" w:lineRule="auto"/>
              <w:ind w:firstLine="482"/>
              <w:rPr>
                <w:color w:val="auto"/>
                <w:sz w:val="24"/>
              </w:rPr>
            </w:pPr>
            <w:r>
              <w:rPr>
                <w:color w:val="auto"/>
                <w:sz w:val="24"/>
              </w:rPr>
              <w:t xml:space="preserve">第三十九条 产生工业固体废物的单位应当取得排污许可证。排污许可的具体办法和实施步骤由国务院规定。 </w:t>
            </w:r>
          </w:p>
          <w:p>
            <w:pPr>
              <w:spacing w:line="360" w:lineRule="auto"/>
              <w:ind w:firstLine="482"/>
              <w:rPr>
                <w:color w:val="auto"/>
                <w:sz w:val="24"/>
              </w:rPr>
            </w:pPr>
            <w:r>
              <w:rPr>
                <w:color w:val="auto"/>
                <w:sz w:val="24"/>
              </w:rPr>
              <w:t xml:space="preserve">产生工业固体废物的单位应当向所在地生态环境主管部门提供工业固体废物的种类、数量、流向、贮存、利用、处置等有关资料，以及减少工业固体废物产生、促进综合利用的具体措施，并执行排污许可管理制度的相关规定。 </w:t>
            </w:r>
          </w:p>
          <w:p>
            <w:pPr>
              <w:spacing w:line="360" w:lineRule="auto"/>
              <w:ind w:firstLine="482"/>
              <w:rPr>
                <w:color w:val="auto"/>
                <w:sz w:val="24"/>
              </w:rPr>
            </w:pPr>
            <w:r>
              <w:rPr>
                <w:color w:val="auto"/>
                <w:sz w:val="24"/>
              </w:rPr>
              <w:t xml:space="preserve">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 </w:t>
            </w:r>
          </w:p>
          <w:p>
            <w:pPr>
              <w:spacing w:line="360" w:lineRule="auto"/>
              <w:ind w:firstLine="482"/>
              <w:rPr>
                <w:color w:val="auto"/>
                <w:sz w:val="24"/>
              </w:rPr>
            </w:pPr>
            <w:r>
              <w:rPr>
                <w:color w:val="auto"/>
                <w:sz w:val="24"/>
              </w:rPr>
              <w:t xml:space="preserve">贮存工业固体废物应当采取符合国家环境保护标准的防护措施。 </w:t>
            </w:r>
          </w:p>
          <w:p>
            <w:pPr>
              <w:spacing w:line="360" w:lineRule="auto"/>
              <w:ind w:firstLine="482"/>
              <w:rPr>
                <w:color w:val="auto"/>
                <w:sz w:val="24"/>
              </w:rPr>
            </w:pPr>
            <w:r>
              <w:rPr>
                <w:color w:val="auto"/>
                <w:sz w:val="24"/>
              </w:rPr>
              <w:t xml:space="preserve">建设工业固体废物贮存、处置的设施、场所，应当符合国家环境保护标准。 </w:t>
            </w:r>
          </w:p>
          <w:p>
            <w:pPr>
              <w:spacing w:line="360" w:lineRule="auto"/>
              <w:ind w:firstLine="482"/>
              <w:rPr>
                <w:color w:val="auto"/>
                <w:sz w:val="24"/>
              </w:rPr>
            </w:pPr>
            <w:r>
              <w:rPr>
                <w:color w:val="auto"/>
                <w:sz w:val="24"/>
              </w:rPr>
              <w:t>第四十一条 产生工业固体废物的单位终止的，应当在终止前对工业固体废物的贮存、处置的设施、场所采取污染防治措施，并对未处置的工业固体废物作出妥善处置，防止污染环境。</w:t>
            </w:r>
          </w:p>
          <w:p>
            <w:pPr>
              <w:spacing w:line="360" w:lineRule="auto"/>
              <w:ind w:firstLine="482"/>
              <w:rPr>
                <w:color w:val="auto"/>
                <w:sz w:val="24"/>
              </w:rPr>
            </w:pPr>
            <w:r>
              <w:rPr>
                <w:bCs/>
                <w:color w:val="auto"/>
                <w:sz w:val="24"/>
              </w:rPr>
              <w:t>（2）生活垃圾</w:t>
            </w:r>
          </w:p>
          <w:p>
            <w:pPr>
              <w:spacing w:line="360" w:lineRule="auto"/>
              <w:ind w:firstLine="482"/>
              <w:rPr>
                <w:color w:val="auto"/>
                <w:sz w:val="24"/>
              </w:rPr>
            </w:pPr>
            <w:r>
              <w:rPr>
                <w:color w:val="auto"/>
                <w:sz w:val="24"/>
              </w:rPr>
              <w:t>按照《中华人民共和国固体废物污染环境防治法》（2020年04月30日）有关规定设置暂存场所，具体处置要求如下：</w:t>
            </w:r>
          </w:p>
          <w:p>
            <w:pPr>
              <w:spacing w:line="360" w:lineRule="auto"/>
              <w:ind w:firstLine="482"/>
              <w:rPr>
                <w:color w:val="auto"/>
                <w:sz w:val="24"/>
              </w:rPr>
            </w:pPr>
            <w:r>
              <w:rPr>
                <w:color w:val="auto"/>
                <w:sz w:val="24"/>
              </w:rPr>
              <w:t xml:space="preserve">第四十九条 产生生活垃圾的单位、家庭和个人应当依法履行生活垃圾源头减量和分类投放义务，承担生活垃圾产生者责任。 </w:t>
            </w:r>
          </w:p>
          <w:p>
            <w:pPr>
              <w:spacing w:line="360" w:lineRule="auto"/>
              <w:ind w:firstLine="482"/>
              <w:rPr>
                <w:color w:val="auto"/>
                <w:sz w:val="24"/>
              </w:rPr>
            </w:pPr>
            <w:r>
              <w:rPr>
                <w:color w:val="auto"/>
                <w:sz w:val="24"/>
              </w:rPr>
              <w:t>任何单位和个人都应当依法在指定的地点分类投放生活垃圾。禁止随意倾倒、抛撒、堆放或者焚烧生活垃圾。</w:t>
            </w:r>
          </w:p>
          <w:p>
            <w:pPr>
              <w:spacing w:line="360" w:lineRule="auto"/>
              <w:ind w:firstLine="482"/>
              <w:rPr>
                <w:color w:val="auto"/>
                <w:sz w:val="24"/>
              </w:rPr>
            </w:pPr>
            <w:r>
              <w:rPr>
                <w:color w:val="auto"/>
                <w:sz w:val="24"/>
              </w:rPr>
              <w:t xml:space="preserve">机关、事业单位等应当在生活垃圾分类工作中起示范带头作用。 </w:t>
            </w:r>
          </w:p>
          <w:p>
            <w:pPr>
              <w:spacing w:line="360" w:lineRule="auto"/>
              <w:ind w:firstLine="482"/>
              <w:rPr>
                <w:color w:val="auto"/>
                <w:sz w:val="24"/>
              </w:rPr>
            </w:pPr>
            <w:r>
              <w:rPr>
                <w:color w:val="auto"/>
                <w:sz w:val="24"/>
              </w:rPr>
              <w:t xml:space="preserve">已经分类投放的生活垃圾，应当按照规定分类收集、分类运输、分类处理。 </w:t>
            </w:r>
          </w:p>
          <w:p>
            <w:pPr>
              <w:spacing w:line="360" w:lineRule="auto"/>
              <w:ind w:firstLine="482"/>
              <w:rPr>
                <w:color w:val="auto"/>
                <w:sz w:val="24"/>
              </w:rPr>
            </w:pPr>
            <w:r>
              <w:rPr>
                <w:color w:val="auto"/>
                <w:sz w:val="24"/>
              </w:rPr>
              <w:t xml:space="preserve">第五十条 清扫、收集、运输、处理城乡生活垃圾，应当遵守国家有关环境保护和环境卫生管理的规定，防止污染环境。 </w:t>
            </w:r>
          </w:p>
          <w:p>
            <w:pPr>
              <w:spacing w:line="360" w:lineRule="auto"/>
              <w:ind w:firstLine="482"/>
              <w:rPr>
                <w:rFonts w:hint="eastAsia"/>
                <w:color w:val="auto"/>
                <w:sz w:val="24"/>
                <w:lang w:val="en-US" w:eastAsia="zh-CN"/>
              </w:rPr>
            </w:pPr>
            <w:r>
              <w:rPr>
                <w:color w:val="auto"/>
                <w:sz w:val="24"/>
              </w:rPr>
              <w:t>从生活垃圾中分类并集中收集的有害垃圾，属于危险废物的，应当按照危险废物管理。</w:t>
            </w:r>
            <w:r>
              <w:rPr>
                <w:rFonts w:hint="eastAsia"/>
                <w:color w:val="auto"/>
                <w:sz w:val="24"/>
                <w:lang w:val="en-US" w:eastAsia="zh-CN"/>
              </w:rPr>
              <w:t xml:space="preserve"> </w:t>
            </w:r>
          </w:p>
          <w:p>
            <w:pPr>
              <w:spacing w:line="360" w:lineRule="auto"/>
              <w:ind w:firstLine="482"/>
              <w:rPr>
                <w:bCs/>
                <w:color w:val="auto"/>
                <w:sz w:val="24"/>
              </w:rPr>
            </w:pPr>
            <w:r>
              <w:rPr>
                <w:bCs/>
                <w:color w:val="auto"/>
                <w:sz w:val="24"/>
              </w:rPr>
              <w:t>（3）危险废物</w:t>
            </w:r>
          </w:p>
          <w:p>
            <w:pPr>
              <w:spacing w:line="360" w:lineRule="auto"/>
              <w:ind w:firstLine="480" w:firstLineChars="200"/>
              <w:rPr>
                <w:color w:val="auto"/>
                <w:sz w:val="24"/>
                <w:szCs w:val="28"/>
              </w:rPr>
            </w:pPr>
            <w:r>
              <w:rPr>
                <w:color w:val="auto"/>
                <w:sz w:val="24"/>
              </w:rPr>
              <w:t>本项目的危险废物暂存与危废暂存间，按照《危险废物贮存污染控制标准（GB18597-2001）》及2013年标准修改单的要求进行临时贮存后，委托危废处理资质单位处置，并对产生的危险废物向当地</w:t>
            </w:r>
            <w:r>
              <w:rPr>
                <w:rFonts w:hint="eastAsia"/>
                <w:color w:val="auto"/>
                <w:sz w:val="24"/>
              </w:rPr>
              <w:t>生态</w:t>
            </w:r>
            <w:r>
              <w:rPr>
                <w:color w:val="auto"/>
                <w:sz w:val="24"/>
              </w:rPr>
              <w:t>环境局备案。</w:t>
            </w:r>
          </w:p>
          <w:p>
            <w:pPr>
              <w:spacing w:line="360" w:lineRule="auto"/>
              <w:jc w:val="center"/>
              <w:rPr>
                <w:b/>
                <w:color w:val="auto"/>
                <w:szCs w:val="21"/>
              </w:rPr>
            </w:pPr>
            <w:r>
              <w:rPr>
                <w:b/>
                <w:color w:val="auto"/>
                <w:szCs w:val="21"/>
                <w:highlight w:val="none"/>
              </w:rPr>
              <w:t>表4-</w:t>
            </w:r>
            <w:r>
              <w:rPr>
                <w:rFonts w:hint="eastAsia"/>
                <w:b/>
                <w:color w:val="auto"/>
                <w:szCs w:val="21"/>
                <w:highlight w:val="none"/>
              </w:rPr>
              <w:t>1</w:t>
            </w:r>
            <w:r>
              <w:rPr>
                <w:rFonts w:hint="eastAsia"/>
                <w:b/>
                <w:color w:val="auto"/>
                <w:szCs w:val="21"/>
                <w:highlight w:val="none"/>
                <w:lang w:val="en-US" w:eastAsia="zh-CN"/>
              </w:rPr>
              <w:t>8</w:t>
            </w:r>
            <w:r>
              <w:rPr>
                <w:b/>
                <w:color w:val="auto"/>
                <w:szCs w:val="21"/>
              </w:rPr>
              <w:t xml:space="preserve">  项目危险废物贮存场所（设施）基本情况表</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
              <w:gridCol w:w="533"/>
              <w:gridCol w:w="1112"/>
              <w:gridCol w:w="835"/>
              <w:gridCol w:w="1243"/>
              <w:gridCol w:w="1149"/>
              <w:gridCol w:w="779"/>
              <w:gridCol w:w="1590"/>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272" w:type="pct"/>
                  <w:noWrap w:val="0"/>
                  <w:vAlign w:val="center"/>
                </w:tcPr>
                <w:p>
                  <w:pPr>
                    <w:jc w:val="center"/>
                    <w:outlineLvl w:val="0"/>
                    <w:rPr>
                      <w:color w:val="auto"/>
                      <w:szCs w:val="21"/>
                    </w:rPr>
                  </w:pPr>
                  <w:r>
                    <w:rPr>
                      <w:color w:val="auto"/>
                      <w:szCs w:val="21"/>
                    </w:rPr>
                    <w:t>序号</w:t>
                  </w:r>
                </w:p>
              </w:tc>
              <w:tc>
                <w:tcPr>
                  <w:tcW w:w="315" w:type="pct"/>
                  <w:noWrap w:val="0"/>
                  <w:vAlign w:val="center"/>
                </w:tcPr>
                <w:p>
                  <w:pPr>
                    <w:jc w:val="center"/>
                    <w:outlineLvl w:val="0"/>
                    <w:rPr>
                      <w:color w:val="auto"/>
                      <w:szCs w:val="21"/>
                    </w:rPr>
                  </w:pPr>
                  <w:r>
                    <w:rPr>
                      <w:rFonts w:hint="eastAsia"/>
                      <w:color w:val="auto"/>
                      <w:szCs w:val="21"/>
                    </w:rPr>
                    <w:t>贮存</w:t>
                  </w:r>
                  <w:r>
                    <w:rPr>
                      <w:color w:val="auto"/>
                      <w:szCs w:val="21"/>
                    </w:rPr>
                    <w:t>场所名称</w:t>
                  </w:r>
                </w:p>
              </w:tc>
              <w:tc>
                <w:tcPr>
                  <w:tcW w:w="657" w:type="pct"/>
                  <w:noWrap w:val="0"/>
                  <w:vAlign w:val="center"/>
                </w:tcPr>
                <w:p>
                  <w:pPr>
                    <w:jc w:val="center"/>
                    <w:outlineLvl w:val="0"/>
                    <w:rPr>
                      <w:b/>
                      <w:color w:val="auto"/>
                      <w:szCs w:val="21"/>
                    </w:rPr>
                  </w:pPr>
                  <w:r>
                    <w:rPr>
                      <w:rFonts w:hint="eastAsia"/>
                      <w:color w:val="auto"/>
                      <w:szCs w:val="21"/>
                    </w:rPr>
                    <w:t>危险废物名称</w:t>
                  </w:r>
                </w:p>
              </w:tc>
              <w:tc>
                <w:tcPr>
                  <w:tcW w:w="493" w:type="pct"/>
                  <w:noWrap w:val="0"/>
                  <w:vAlign w:val="center"/>
                </w:tcPr>
                <w:p>
                  <w:pPr>
                    <w:jc w:val="center"/>
                    <w:outlineLvl w:val="0"/>
                    <w:rPr>
                      <w:color w:val="auto"/>
                      <w:szCs w:val="21"/>
                    </w:rPr>
                  </w:pPr>
                  <w:r>
                    <w:rPr>
                      <w:rFonts w:hint="eastAsia"/>
                      <w:color w:val="auto"/>
                      <w:szCs w:val="21"/>
                    </w:rPr>
                    <w:t>危险废物类别</w:t>
                  </w:r>
                </w:p>
              </w:tc>
              <w:tc>
                <w:tcPr>
                  <w:tcW w:w="734" w:type="pct"/>
                  <w:noWrap w:val="0"/>
                  <w:vAlign w:val="center"/>
                </w:tcPr>
                <w:p>
                  <w:pPr>
                    <w:jc w:val="center"/>
                    <w:outlineLvl w:val="0"/>
                    <w:rPr>
                      <w:color w:val="auto"/>
                      <w:szCs w:val="21"/>
                    </w:rPr>
                  </w:pPr>
                  <w:r>
                    <w:rPr>
                      <w:rFonts w:hint="eastAsia"/>
                      <w:color w:val="auto"/>
                      <w:szCs w:val="21"/>
                    </w:rPr>
                    <w:t>危险废物代码</w:t>
                  </w:r>
                </w:p>
              </w:tc>
              <w:tc>
                <w:tcPr>
                  <w:tcW w:w="679" w:type="pct"/>
                  <w:noWrap w:val="0"/>
                  <w:vAlign w:val="center"/>
                </w:tcPr>
                <w:p>
                  <w:pPr>
                    <w:jc w:val="center"/>
                    <w:outlineLvl w:val="0"/>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位置</w:t>
                  </w:r>
                </w:p>
              </w:tc>
              <w:tc>
                <w:tcPr>
                  <w:tcW w:w="460" w:type="pct"/>
                  <w:noWrap w:val="0"/>
                  <w:vAlign w:val="center"/>
                </w:tcPr>
                <w:p>
                  <w:pPr>
                    <w:jc w:val="center"/>
                    <w:outlineLvl w:val="0"/>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占地面积</w:t>
                  </w:r>
                </w:p>
              </w:tc>
              <w:tc>
                <w:tcPr>
                  <w:tcW w:w="939" w:type="pct"/>
                  <w:noWrap w:val="0"/>
                  <w:vAlign w:val="center"/>
                </w:tcPr>
                <w:p>
                  <w:pPr>
                    <w:jc w:val="center"/>
                    <w:outlineLvl w:val="0"/>
                    <w:rPr>
                      <w:color w:val="auto"/>
                      <w:szCs w:val="21"/>
                    </w:rPr>
                  </w:pPr>
                  <w:r>
                    <w:rPr>
                      <w:color w:val="auto"/>
                      <w:szCs w:val="21"/>
                    </w:rPr>
                    <w:t>贮存方式</w:t>
                  </w:r>
                </w:p>
              </w:tc>
              <w:tc>
                <w:tcPr>
                  <w:tcW w:w="448" w:type="pct"/>
                  <w:noWrap w:val="0"/>
                  <w:vAlign w:val="center"/>
                </w:tcPr>
                <w:p>
                  <w:pPr>
                    <w:jc w:val="center"/>
                    <w:outlineLvl w:val="0"/>
                    <w:rPr>
                      <w:color w:val="auto"/>
                      <w:szCs w:val="21"/>
                    </w:rPr>
                  </w:pPr>
                  <w:r>
                    <w:rPr>
                      <w:color w:val="auto"/>
                      <w:szCs w:val="21"/>
                    </w:rPr>
                    <w:t>贮存周期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72" w:type="pct"/>
                  <w:noWrap w:val="0"/>
                  <w:vAlign w:val="center"/>
                </w:tcPr>
                <w:p>
                  <w:pPr>
                    <w:jc w:val="center"/>
                    <w:outlineLvl w:val="0"/>
                    <w:rPr>
                      <w:bCs/>
                      <w:color w:val="auto"/>
                      <w:szCs w:val="21"/>
                    </w:rPr>
                  </w:pPr>
                  <w:r>
                    <w:rPr>
                      <w:rFonts w:hint="eastAsia"/>
                      <w:bCs/>
                      <w:color w:val="auto"/>
                      <w:szCs w:val="21"/>
                    </w:rPr>
                    <w:t>1</w:t>
                  </w:r>
                </w:p>
              </w:tc>
              <w:tc>
                <w:tcPr>
                  <w:tcW w:w="315" w:type="pct"/>
                  <w:vMerge w:val="restart"/>
                  <w:noWrap w:val="0"/>
                  <w:vAlign w:val="center"/>
                </w:tcPr>
                <w:p>
                  <w:pPr>
                    <w:jc w:val="center"/>
                    <w:outlineLvl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危废暂存</w:t>
                  </w:r>
                  <w:r>
                    <w:rPr>
                      <w:rFonts w:hint="eastAsia" w:ascii="Times New Roman" w:hAnsi="Times New Roman" w:eastAsia="宋体" w:cs="Times New Roman"/>
                      <w:color w:val="auto"/>
                      <w:szCs w:val="21"/>
                      <w:lang w:val="en-US" w:eastAsia="zh-CN"/>
                    </w:rPr>
                    <w:t>间</w:t>
                  </w:r>
                </w:p>
              </w:tc>
              <w:tc>
                <w:tcPr>
                  <w:tcW w:w="657" w:type="pct"/>
                  <w:noWrap w:val="0"/>
                  <w:vAlign w:val="center"/>
                </w:tcPr>
                <w:p>
                  <w:pPr>
                    <w:pStyle w:val="71"/>
                    <w:snapToGrid w:val="0"/>
                    <w:rPr>
                      <w:rFonts w:hint="eastAsia" w:ascii="Times New Roman" w:hAnsi="Times New Roman" w:eastAsia="宋体" w:cs="Times New Roman"/>
                      <w:color w:val="auto"/>
                      <w:szCs w:val="21"/>
                    </w:rPr>
                  </w:pPr>
                  <w:r>
                    <w:rPr>
                      <w:rFonts w:hint="eastAsia" w:cs="Times New Roman"/>
                      <w:color w:val="auto"/>
                      <w:sz w:val="21"/>
                      <w:szCs w:val="21"/>
                      <w:lang w:eastAsia="zh-CN"/>
                    </w:rPr>
                    <w:t>污泥</w:t>
                  </w:r>
                </w:p>
              </w:tc>
              <w:tc>
                <w:tcPr>
                  <w:tcW w:w="493" w:type="pct"/>
                  <w:noWrap w:val="0"/>
                  <w:vAlign w:val="center"/>
                </w:tcPr>
                <w:p>
                  <w:pPr>
                    <w:pStyle w:val="71"/>
                    <w:snapToGrid w:val="0"/>
                    <w:rPr>
                      <w:rFonts w:hint="eastAsia" w:ascii="Times New Roman" w:hAnsi="Times New Roman" w:eastAsia="宋体" w:cs="Times New Roman"/>
                      <w:color w:val="auto"/>
                      <w:szCs w:val="21"/>
                    </w:rPr>
                  </w:pPr>
                  <w:r>
                    <w:rPr>
                      <w:rFonts w:hint="default" w:ascii="Times New Roman" w:hAnsi="Times New Roman" w:cs="Times New Roman"/>
                      <w:color w:val="auto"/>
                      <w:sz w:val="21"/>
                      <w:szCs w:val="21"/>
                    </w:rPr>
                    <w:t>HW</w:t>
                  </w:r>
                  <w:r>
                    <w:rPr>
                      <w:rFonts w:hint="default" w:ascii="Times New Roman" w:hAnsi="Times New Roman" w:cs="Times New Roman"/>
                      <w:color w:val="auto"/>
                      <w:sz w:val="21"/>
                      <w:szCs w:val="21"/>
                      <w:lang w:val="en-US" w:eastAsia="zh-CN"/>
                    </w:rPr>
                    <w:t>17</w:t>
                  </w:r>
                </w:p>
              </w:tc>
              <w:tc>
                <w:tcPr>
                  <w:tcW w:w="734" w:type="pct"/>
                  <w:noWrap w:val="0"/>
                  <w:vAlign w:val="center"/>
                </w:tcPr>
                <w:p>
                  <w:pPr>
                    <w:pStyle w:val="71"/>
                    <w:snapToGrid w:val="0"/>
                    <w:rPr>
                      <w:rFonts w:hint="eastAsia" w:ascii="Times New Roman" w:hAnsi="Times New Roman" w:eastAsia="宋体" w:cs="Times New Roman"/>
                      <w:color w:val="auto"/>
                      <w:szCs w:val="21"/>
                    </w:rPr>
                  </w:pPr>
                  <w:r>
                    <w:rPr>
                      <w:rFonts w:hint="default" w:ascii="Times New Roman" w:hAnsi="Times New Roman" w:cs="Times New Roman"/>
                      <w:color w:val="auto"/>
                      <w:sz w:val="21"/>
                      <w:szCs w:val="21"/>
                      <w:lang w:val="en-US" w:eastAsia="zh-CN"/>
                    </w:rPr>
                    <w:t>336-064-17</w:t>
                  </w:r>
                </w:p>
              </w:tc>
              <w:tc>
                <w:tcPr>
                  <w:tcW w:w="679" w:type="pct"/>
                  <w:noWrap w:val="0"/>
                  <w:vAlign w:val="center"/>
                </w:tcPr>
                <w:p>
                  <w:pPr>
                    <w:jc w:val="center"/>
                    <w:rPr>
                      <w:color w:val="auto"/>
                      <w:szCs w:val="21"/>
                    </w:rPr>
                  </w:pPr>
                  <w:r>
                    <w:rPr>
                      <w:rFonts w:hint="eastAsia" w:ascii="Times New Roman" w:hAnsi="Times New Roman" w:eastAsia="宋体" w:cs="Times New Roman"/>
                      <w:color w:val="auto"/>
                      <w:szCs w:val="21"/>
                      <w:lang w:val="en-US" w:eastAsia="zh-CN"/>
                    </w:rPr>
                    <w:t>厂房</w:t>
                  </w:r>
                  <w:r>
                    <w:rPr>
                      <w:rFonts w:hint="eastAsia" w:cs="Times New Roman"/>
                      <w:color w:val="auto"/>
                      <w:szCs w:val="21"/>
                      <w:lang w:val="en-US" w:eastAsia="zh-CN"/>
                    </w:rPr>
                    <w:t>西侧</w:t>
                  </w:r>
                </w:p>
              </w:tc>
              <w:tc>
                <w:tcPr>
                  <w:tcW w:w="460" w:type="pct"/>
                  <w:noWrap w:val="0"/>
                  <w:vAlign w:val="center"/>
                </w:tcPr>
                <w:p>
                  <w:pPr>
                    <w:jc w:val="center"/>
                    <w:rPr>
                      <w:color w:val="auto"/>
                      <w:szCs w:val="21"/>
                    </w:rPr>
                  </w:pPr>
                  <w:r>
                    <w:rPr>
                      <w:rFonts w:hint="eastAsia"/>
                      <w:color w:val="auto"/>
                      <w:szCs w:val="21"/>
                      <w:lang w:val="en-US" w:eastAsia="zh-CN"/>
                    </w:rPr>
                    <w:t>6.5</w:t>
                  </w:r>
                  <w:r>
                    <w:rPr>
                      <w:rFonts w:hint="eastAsia"/>
                      <w:color w:val="auto"/>
                      <w:szCs w:val="21"/>
                    </w:rPr>
                    <w:t xml:space="preserve"> m</w:t>
                  </w:r>
                  <w:r>
                    <w:rPr>
                      <w:rFonts w:hint="eastAsia"/>
                      <w:color w:val="auto"/>
                      <w:szCs w:val="21"/>
                      <w:vertAlign w:val="superscript"/>
                    </w:rPr>
                    <w:t>2</w:t>
                  </w:r>
                </w:p>
              </w:tc>
              <w:tc>
                <w:tcPr>
                  <w:tcW w:w="939" w:type="pct"/>
                  <w:noWrap w:val="0"/>
                  <w:vAlign w:val="center"/>
                </w:tcPr>
                <w:p>
                  <w:pPr>
                    <w:jc w:val="center"/>
                    <w:outlineLvl w:val="0"/>
                    <w:rPr>
                      <w:rFonts w:hint="eastAsia" w:ascii="宋体" w:hAnsi="Impact" w:eastAsia="宋体" w:cs="Times New Roman"/>
                      <w:color w:val="auto"/>
                      <w:kern w:val="24"/>
                      <w:sz w:val="21"/>
                      <w:szCs w:val="21"/>
                      <w:lang w:val="en-US" w:eastAsia="zh-CN" w:bidi="ar-SA"/>
                    </w:rPr>
                  </w:pPr>
                  <w:r>
                    <w:rPr>
                      <w:rFonts w:hint="eastAsia" w:ascii="宋体" w:hAnsi="Impact" w:eastAsia="宋体" w:cs="Times New Roman"/>
                      <w:color w:val="auto"/>
                      <w:kern w:val="24"/>
                      <w:sz w:val="21"/>
                      <w:szCs w:val="21"/>
                      <w:lang w:val="en-US" w:eastAsia="zh-CN" w:bidi="ar-SA"/>
                    </w:rPr>
                    <w:t>采用桶装，贴上标签后在危废暂存库分区存放</w:t>
                  </w:r>
                </w:p>
              </w:tc>
              <w:tc>
                <w:tcPr>
                  <w:tcW w:w="448" w:type="pct"/>
                  <w:noWrap w:val="0"/>
                  <w:vAlign w:val="center"/>
                </w:tcPr>
                <w:p>
                  <w:pPr>
                    <w:jc w:val="center"/>
                    <w:outlineLvl w:val="0"/>
                    <w:rPr>
                      <w:rFonts w:hint="eastAsia"/>
                      <w:bCs/>
                      <w:color w:val="auto"/>
                      <w:szCs w:val="21"/>
                    </w:rPr>
                  </w:pPr>
                  <w:r>
                    <w:rPr>
                      <w:rFonts w:hint="eastAsia"/>
                      <w:bCs/>
                      <w:color w:val="auto"/>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72" w:type="pct"/>
                  <w:noWrap w:val="0"/>
                  <w:vAlign w:val="center"/>
                </w:tcPr>
                <w:p>
                  <w:pPr>
                    <w:jc w:val="center"/>
                    <w:outlineLvl w:val="0"/>
                    <w:rPr>
                      <w:rFonts w:hint="eastAsia"/>
                      <w:bCs/>
                      <w:color w:val="auto"/>
                      <w:szCs w:val="21"/>
                    </w:rPr>
                  </w:pPr>
                  <w:r>
                    <w:rPr>
                      <w:rFonts w:hint="eastAsia"/>
                      <w:bCs/>
                      <w:color w:val="auto"/>
                      <w:szCs w:val="21"/>
                    </w:rPr>
                    <w:t>2</w:t>
                  </w:r>
                </w:p>
              </w:tc>
              <w:tc>
                <w:tcPr>
                  <w:tcW w:w="315" w:type="pct"/>
                  <w:vMerge w:val="continue"/>
                  <w:noWrap w:val="0"/>
                  <w:vAlign w:val="center"/>
                </w:tcPr>
                <w:p>
                  <w:pPr>
                    <w:jc w:val="center"/>
                    <w:outlineLvl w:val="0"/>
                    <w:rPr>
                      <w:rFonts w:hint="eastAsia" w:ascii="Times New Roman" w:hAnsi="Times New Roman" w:eastAsia="宋体" w:cs="Times New Roman"/>
                      <w:color w:val="auto"/>
                      <w:szCs w:val="21"/>
                    </w:rPr>
                  </w:pPr>
                </w:p>
              </w:tc>
              <w:tc>
                <w:tcPr>
                  <w:tcW w:w="657" w:type="pct"/>
                  <w:noWrap w:val="0"/>
                  <w:vAlign w:val="center"/>
                </w:tcPr>
                <w:p>
                  <w:pPr>
                    <w:pStyle w:val="71"/>
                    <w:snapToGrid w:val="0"/>
                    <w:rPr>
                      <w:rFonts w:hint="eastAsia"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废</w:t>
                  </w:r>
                  <w:r>
                    <w:rPr>
                      <w:rFonts w:hint="eastAsia" w:cs="Times New Roman"/>
                      <w:color w:val="auto"/>
                      <w:sz w:val="21"/>
                      <w:szCs w:val="21"/>
                      <w:lang w:val="en-US" w:eastAsia="zh-CN"/>
                    </w:rPr>
                    <w:t>润滑</w:t>
                  </w:r>
                  <w:r>
                    <w:rPr>
                      <w:rFonts w:hint="eastAsia" w:ascii="Times New Roman" w:hAnsi="Times New Roman" w:eastAsia="宋体" w:cs="Times New Roman"/>
                      <w:color w:val="auto"/>
                      <w:sz w:val="21"/>
                      <w:szCs w:val="21"/>
                      <w:lang w:val="en-US" w:eastAsia="zh-CN"/>
                    </w:rPr>
                    <w:t>油</w:t>
                  </w:r>
                </w:p>
              </w:tc>
              <w:tc>
                <w:tcPr>
                  <w:tcW w:w="493" w:type="pct"/>
                  <w:noWrap w:val="0"/>
                  <w:vAlign w:val="center"/>
                </w:tcPr>
                <w:p>
                  <w:pPr>
                    <w:pStyle w:val="71"/>
                    <w:snapToGrid w:val="0"/>
                    <w:rPr>
                      <w:rFonts w:hint="eastAsia" w:ascii="Times New Roman" w:hAnsi="Times New Roman" w:eastAsia="宋体" w:cs="Times New Roman"/>
                      <w:color w:val="auto"/>
                      <w:szCs w:val="21"/>
                    </w:rPr>
                  </w:pPr>
                  <w:r>
                    <w:rPr>
                      <w:rFonts w:hint="default" w:ascii="Times New Roman" w:hAnsi="Times New Roman" w:cs="Times New Roman"/>
                      <w:color w:val="auto"/>
                      <w:sz w:val="21"/>
                      <w:szCs w:val="21"/>
                    </w:rPr>
                    <w:t>HW</w:t>
                  </w:r>
                  <w:r>
                    <w:rPr>
                      <w:rFonts w:hint="default" w:ascii="Times New Roman" w:hAnsi="Times New Roman" w:cs="Times New Roman"/>
                      <w:color w:val="auto"/>
                      <w:sz w:val="21"/>
                      <w:szCs w:val="21"/>
                      <w:lang w:val="en-US" w:eastAsia="zh-CN"/>
                    </w:rPr>
                    <w:t>08</w:t>
                  </w:r>
                </w:p>
              </w:tc>
              <w:tc>
                <w:tcPr>
                  <w:tcW w:w="734" w:type="pct"/>
                  <w:noWrap w:val="0"/>
                  <w:vAlign w:val="center"/>
                </w:tcPr>
                <w:p>
                  <w:pPr>
                    <w:pStyle w:val="71"/>
                    <w:snapToGrid w:val="0"/>
                    <w:rPr>
                      <w:rFonts w:hint="eastAsia" w:ascii="Times New Roman" w:hAnsi="Times New Roman" w:eastAsia="宋体" w:cs="Times New Roman"/>
                      <w:color w:val="auto"/>
                      <w:szCs w:val="21"/>
                    </w:rPr>
                  </w:pPr>
                  <w:r>
                    <w:rPr>
                      <w:rFonts w:hint="default" w:ascii="Times New Roman" w:hAnsi="Times New Roman" w:cs="Times New Roman"/>
                      <w:color w:val="auto"/>
                      <w:sz w:val="21"/>
                      <w:szCs w:val="21"/>
                    </w:rPr>
                    <w:t>900-</w:t>
                  </w:r>
                  <w:r>
                    <w:rPr>
                      <w:rFonts w:hint="default" w:ascii="Times New Roman" w:hAnsi="Times New Roman" w:cs="Times New Roman"/>
                      <w:color w:val="auto"/>
                      <w:sz w:val="21"/>
                      <w:szCs w:val="21"/>
                      <w:lang w:val="en-US" w:eastAsia="zh-CN"/>
                    </w:rPr>
                    <w:t>218</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08</w:t>
                  </w:r>
                </w:p>
              </w:tc>
              <w:tc>
                <w:tcPr>
                  <w:tcW w:w="679" w:type="pct"/>
                  <w:noWrap w:val="0"/>
                  <w:vAlign w:val="center"/>
                </w:tcPr>
                <w:p>
                  <w:pPr>
                    <w:jc w:val="center"/>
                    <w:rPr>
                      <w:color w:val="auto"/>
                      <w:szCs w:val="21"/>
                    </w:rPr>
                  </w:pPr>
                  <w:r>
                    <w:rPr>
                      <w:rFonts w:hint="eastAsia" w:ascii="Times New Roman" w:hAnsi="Times New Roman" w:eastAsia="宋体" w:cs="Times New Roman"/>
                      <w:color w:val="auto"/>
                      <w:szCs w:val="21"/>
                      <w:lang w:val="en-US" w:eastAsia="zh-CN"/>
                    </w:rPr>
                    <w:t>厂房</w:t>
                  </w:r>
                  <w:r>
                    <w:rPr>
                      <w:rFonts w:hint="eastAsia" w:cs="Times New Roman"/>
                      <w:color w:val="auto"/>
                      <w:szCs w:val="21"/>
                      <w:lang w:val="en-US" w:eastAsia="zh-CN"/>
                    </w:rPr>
                    <w:t>西侧</w:t>
                  </w:r>
                </w:p>
              </w:tc>
              <w:tc>
                <w:tcPr>
                  <w:tcW w:w="460" w:type="pct"/>
                  <w:noWrap w:val="0"/>
                  <w:vAlign w:val="center"/>
                </w:tcPr>
                <w:p>
                  <w:pPr>
                    <w:jc w:val="center"/>
                    <w:rPr>
                      <w:color w:val="auto"/>
                      <w:szCs w:val="21"/>
                    </w:rPr>
                  </w:pPr>
                  <w:r>
                    <w:rPr>
                      <w:rFonts w:hint="eastAsia"/>
                      <w:color w:val="auto"/>
                      <w:szCs w:val="21"/>
                      <w:lang w:val="en-US" w:eastAsia="zh-CN"/>
                    </w:rPr>
                    <w:t>6.5</w:t>
                  </w:r>
                  <w:r>
                    <w:rPr>
                      <w:rFonts w:hint="eastAsia"/>
                      <w:color w:val="auto"/>
                      <w:szCs w:val="21"/>
                    </w:rPr>
                    <w:t xml:space="preserve"> m</w:t>
                  </w:r>
                  <w:r>
                    <w:rPr>
                      <w:rFonts w:hint="eastAsia"/>
                      <w:color w:val="auto"/>
                      <w:szCs w:val="21"/>
                      <w:vertAlign w:val="superscript"/>
                    </w:rPr>
                    <w:t>2</w:t>
                  </w:r>
                </w:p>
              </w:tc>
              <w:tc>
                <w:tcPr>
                  <w:tcW w:w="939" w:type="pct"/>
                  <w:noWrap w:val="0"/>
                  <w:vAlign w:val="center"/>
                </w:tcPr>
                <w:p>
                  <w:pPr>
                    <w:jc w:val="center"/>
                    <w:outlineLvl w:val="0"/>
                    <w:rPr>
                      <w:rFonts w:hint="eastAsia" w:ascii="宋体" w:hAnsi="Impact" w:eastAsia="宋体" w:cs="Times New Roman"/>
                      <w:color w:val="auto"/>
                      <w:kern w:val="24"/>
                      <w:sz w:val="21"/>
                      <w:szCs w:val="21"/>
                      <w:lang w:val="en-US" w:eastAsia="zh-CN" w:bidi="ar-SA"/>
                    </w:rPr>
                  </w:pPr>
                  <w:r>
                    <w:rPr>
                      <w:rFonts w:hint="eastAsia" w:ascii="宋体" w:hAnsi="Impact" w:eastAsia="宋体" w:cs="Times New Roman"/>
                      <w:color w:val="auto"/>
                      <w:kern w:val="24"/>
                      <w:sz w:val="21"/>
                      <w:szCs w:val="21"/>
                      <w:lang w:val="en-US" w:eastAsia="zh-CN" w:bidi="ar-SA"/>
                    </w:rPr>
                    <w:t>采用桶装，贴上标签后在危废暂存库分区存放</w:t>
                  </w:r>
                </w:p>
              </w:tc>
              <w:tc>
                <w:tcPr>
                  <w:tcW w:w="448" w:type="pct"/>
                  <w:noWrap w:val="0"/>
                  <w:vAlign w:val="center"/>
                </w:tcPr>
                <w:p>
                  <w:pPr>
                    <w:jc w:val="center"/>
                    <w:outlineLvl w:val="0"/>
                    <w:rPr>
                      <w:rFonts w:hint="eastAsia"/>
                      <w:bCs/>
                      <w:color w:val="auto"/>
                      <w:szCs w:val="21"/>
                    </w:rPr>
                  </w:pPr>
                  <w:r>
                    <w:rPr>
                      <w:rFonts w:hint="eastAsia"/>
                      <w:bCs/>
                      <w:color w:val="auto"/>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4" w:hRule="atLeast"/>
                <w:jc w:val="center"/>
              </w:trPr>
              <w:tc>
                <w:tcPr>
                  <w:tcW w:w="272" w:type="pct"/>
                  <w:noWrap w:val="0"/>
                  <w:vAlign w:val="center"/>
                </w:tcPr>
                <w:p>
                  <w:pPr>
                    <w:jc w:val="center"/>
                    <w:outlineLvl w:val="0"/>
                    <w:rPr>
                      <w:rFonts w:hint="eastAsia"/>
                      <w:bCs/>
                      <w:color w:val="auto"/>
                      <w:szCs w:val="21"/>
                    </w:rPr>
                  </w:pPr>
                  <w:r>
                    <w:rPr>
                      <w:rFonts w:hint="eastAsia"/>
                      <w:bCs/>
                      <w:color w:val="auto"/>
                      <w:szCs w:val="21"/>
                    </w:rPr>
                    <w:t>3</w:t>
                  </w:r>
                </w:p>
              </w:tc>
              <w:tc>
                <w:tcPr>
                  <w:tcW w:w="315" w:type="pct"/>
                  <w:vMerge w:val="continue"/>
                  <w:noWrap w:val="0"/>
                  <w:vAlign w:val="center"/>
                </w:tcPr>
                <w:p>
                  <w:pPr>
                    <w:jc w:val="center"/>
                    <w:outlineLvl w:val="0"/>
                    <w:rPr>
                      <w:rFonts w:hint="eastAsia" w:ascii="Times New Roman" w:hAnsi="Times New Roman" w:eastAsia="宋体" w:cs="Times New Roman"/>
                      <w:color w:val="auto"/>
                      <w:szCs w:val="21"/>
                    </w:rPr>
                  </w:pPr>
                </w:p>
              </w:tc>
              <w:tc>
                <w:tcPr>
                  <w:tcW w:w="657" w:type="pct"/>
                  <w:noWrap w:val="0"/>
                  <w:vAlign w:val="center"/>
                </w:tcPr>
                <w:p>
                  <w:pPr>
                    <w:pStyle w:val="71"/>
                    <w:snapToGrid w:val="0"/>
                    <w:rPr>
                      <w:rFonts w:hint="eastAsia" w:ascii="Times New Roman" w:hAnsi="Times New Roman" w:eastAsia="宋体" w:cs="Times New Roman"/>
                      <w:color w:val="auto"/>
                      <w:szCs w:val="21"/>
                    </w:rPr>
                  </w:pPr>
                  <w:r>
                    <w:rPr>
                      <w:rFonts w:hint="default" w:ascii="Times New Roman" w:hAnsi="Times New Roman" w:eastAsia="宋体" w:cs="Times New Roman"/>
                      <w:color w:val="auto"/>
                      <w:sz w:val="21"/>
                      <w:szCs w:val="21"/>
                      <w:highlight w:val="none"/>
                      <w:lang w:val="en-US" w:eastAsia="zh-CN"/>
                    </w:rPr>
                    <w:t>废包装</w:t>
                  </w:r>
                </w:p>
              </w:tc>
              <w:tc>
                <w:tcPr>
                  <w:tcW w:w="493" w:type="pct"/>
                  <w:noWrap w:val="0"/>
                  <w:vAlign w:val="center"/>
                </w:tcPr>
                <w:p>
                  <w:pPr>
                    <w:pStyle w:val="71"/>
                    <w:snapToGrid w:val="0"/>
                    <w:rPr>
                      <w:rFonts w:hint="eastAsia" w:ascii="Times New Roman" w:hAnsi="Times New Roman" w:eastAsia="宋体" w:cs="Times New Roman"/>
                      <w:color w:val="auto"/>
                      <w:szCs w:val="21"/>
                    </w:rPr>
                  </w:pPr>
                  <w:r>
                    <w:rPr>
                      <w:rFonts w:hint="default" w:ascii="Times New Roman" w:hAnsi="Times New Roman" w:eastAsia="宋体" w:cs="Times New Roman"/>
                      <w:color w:val="auto"/>
                      <w:sz w:val="21"/>
                      <w:szCs w:val="21"/>
                      <w:lang w:val="en-US" w:eastAsia="zh-CN"/>
                    </w:rPr>
                    <w:t xml:space="preserve">HW49 </w:t>
                  </w:r>
                </w:p>
              </w:tc>
              <w:tc>
                <w:tcPr>
                  <w:tcW w:w="734" w:type="pct"/>
                  <w:noWrap w:val="0"/>
                  <w:vAlign w:val="center"/>
                </w:tcPr>
                <w:p>
                  <w:pPr>
                    <w:pStyle w:val="71"/>
                    <w:snapToGrid w:val="0"/>
                    <w:rPr>
                      <w:rFonts w:hint="eastAsia" w:ascii="Times New Roman" w:hAnsi="Times New Roman" w:eastAsia="宋体" w:cs="Times New Roman"/>
                      <w:color w:val="auto"/>
                      <w:szCs w:val="21"/>
                    </w:rPr>
                  </w:pPr>
                  <w:r>
                    <w:rPr>
                      <w:rFonts w:hint="default" w:ascii="Times New Roman" w:hAnsi="Times New Roman" w:eastAsia="宋体" w:cs="Times New Roman"/>
                      <w:color w:val="auto"/>
                      <w:sz w:val="21"/>
                      <w:szCs w:val="21"/>
                      <w:lang w:val="en-US" w:eastAsia="zh-CN"/>
                    </w:rPr>
                    <w:t xml:space="preserve">900-041-49 </w:t>
                  </w:r>
                </w:p>
              </w:tc>
              <w:tc>
                <w:tcPr>
                  <w:tcW w:w="679" w:type="pct"/>
                  <w:noWrap w:val="0"/>
                  <w:vAlign w:val="center"/>
                </w:tcPr>
                <w:p>
                  <w:pPr>
                    <w:jc w:val="center"/>
                    <w:rPr>
                      <w:color w:val="auto"/>
                      <w:szCs w:val="21"/>
                    </w:rPr>
                  </w:pPr>
                  <w:r>
                    <w:rPr>
                      <w:rFonts w:hint="eastAsia" w:ascii="Times New Roman" w:hAnsi="Times New Roman" w:eastAsia="宋体" w:cs="Times New Roman"/>
                      <w:color w:val="auto"/>
                      <w:szCs w:val="21"/>
                      <w:lang w:val="en-US" w:eastAsia="zh-CN"/>
                    </w:rPr>
                    <w:t>厂房</w:t>
                  </w:r>
                  <w:r>
                    <w:rPr>
                      <w:rFonts w:hint="eastAsia" w:cs="Times New Roman"/>
                      <w:color w:val="auto"/>
                      <w:szCs w:val="21"/>
                      <w:lang w:val="en-US" w:eastAsia="zh-CN"/>
                    </w:rPr>
                    <w:t>西侧</w:t>
                  </w:r>
                </w:p>
              </w:tc>
              <w:tc>
                <w:tcPr>
                  <w:tcW w:w="460" w:type="pct"/>
                  <w:noWrap w:val="0"/>
                  <w:vAlign w:val="center"/>
                </w:tcPr>
                <w:p>
                  <w:pPr>
                    <w:jc w:val="center"/>
                    <w:rPr>
                      <w:color w:val="auto"/>
                      <w:szCs w:val="21"/>
                    </w:rPr>
                  </w:pPr>
                  <w:r>
                    <w:rPr>
                      <w:rFonts w:hint="eastAsia"/>
                      <w:color w:val="auto"/>
                      <w:szCs w:val="21"/>
                      <w:lang w:val="en-US" w:eastAsia="zh-CN"/>
                    </w:rPr>
                    <w:t>6.5</w:t>
                  </w:r>
                  <w:r>
                    <w:rPr>
                      <w:rFonts w:hint="eastAsia"/>
                      <w:color w:val="auto"/>
                      <w:szCs w:val="21"/>
                    </w:rPr>
                    <w:t xml:space="preserve"> m</w:t>
                  </w:r>
                  <w:r>
                    <w:rPr>
                      <w:rFonts w:hint="eastAsia"/>
                      <w:color w:val="auto"/>
                      <w:szCs w:val="21"/>
                      <w:vertAlign w:val="superscript"/>
                    </w:rPr>
                    <w:t>2</w:t>
                  </w:r>
                </w:p>
              </w:tc>
              <w:tc>
                <w:tcPr>
                  <w:tcW w:w="939" w:type="pct"/>
                  <w:noWrap w:val="0"/>
                  <w:vAlign w:val="center"/>
                </w:tcPr>
                <w:p>
                  <w:pPr>
                    <w:jc w:val="center"/>
                    <w:outlineLvl w:val="0"/>
                    <w:rPr>
                      <w:rFonts w:hint="eastAsia" w:ascii="宋体" w:hAnsi="Impact" w:eastAsia="宋体" w:cs="Times New Roman"/>
                      <w:color w:val="auto"/>
                      <w:kern w:val="24"/>
                      <w:sz w:val="21"/>
                      <w:szCs w:val="21"/>
                      <w:lang w:val="en-US" w:eastAsia="zh-CN" w:bidi="ar-SA"/>
                    </w:rPr>
                  </w:pPr>
                  <w:r>
                    <w:rPr>
                      <w:rFonts w:hint="eastAsia" w:ascii="宋体" w:hAnsi="Impact" w:eastAsia="宋体" w:cs="Times New Roman"/>
                      <w:color w:val="auto"/>
                      <w:kern w:val="24"/>
                      <w:sz w:val="21"/>
                      <w:szCs w:val="21"/>
                      <w:lang w:val="en-US" w:eastAsia="zh-CN" w:bidi="ar-SA"/>
                    </w:rPr>
                    <w:t>采用袋装，贴上标签后在危废暂存库分区存放</w:t>
                  </w:r>
                </w:p>
              </w:tc>
              <w:tc>
                <w:tcPr>
                  <w:tcW w:w="448" w:type="pct"/>
                  <w:noWrap w:val="0"/>
                  <w:vAlign w:val="center"/>
                </w:tcPr>
                <w:p>
                  <w:pPr>
                    <w:jc w:val="center"/>
                    <w:outlineLvl w:val="0"/>
                    <w:rPr>
                      <w:rFonts w:hint="eastAsia"/>
                      <w:bCs/>
                      <w:color w:val="auto"/>
                      <w:szCs w:val="21"/>
                    </w:rPr>
                  </w:pPr>
                  <w:r>
                    <w:rPr>
                      <w:rFonts w:hint="eastAsia"/>
                      <w:bCs/>
                      <w:color w:val="auto"/>
                      <w:szCs w:val="21"/>
                    </w:rPr>
                    <w:t>6个月</w:t>
                  </w:r>
                </w:p>
              </w:tc>
            </w:tr>
          </w:tbl>
          <w:p>
            <w:pPr>
              <w:spacing w:line="360" w:lineRule="auto"/>
              <w:ind w:firstLine="482"/>
              <w:rPr>
                <w:rFonts w:hAnsi="宋体"/>
                <w:color w:val="auto"/>
                <w:sz w:val="24"/>
              </w:rPr>
            </w:pPr>
          </w:p>
          <w:p>
            <w:pPr>
              <w:spacing w:line="360" w:lineRule="auto"/>
              <w:ind w:firstLine="482"/>
              <w:rPr>
                <w:color w:val="auto"/>
                <w:sz w:val="24"/>
              </w:rPr>
            </w:pPr>
            <w:r>
              <w:rPr>
                <w:rFonts w:hAnsi="宋体"/>
                <w:color w:val="auto"/>
                <w:sz w:val="24"/>
              </w:rPr>
              <w:t>按照危险废物管理要求，厂内对危险废物进行临时贮存，转移和最终处置严格按照《危险废物收集、贮存、运输技术规范》（</w:t>
            </w:r>
            <w:r>
              <w:rPr>
                <w:color w:val="auto"/>
                <w:sz w:val="24"/>
              </w:rPr>
              <w:t>HJ2025-2012</w:t>
            </w:r>
            <w:r>
              <w:rPr>
                <w:rFonts w:hAnsi="宋体"/>
                <w:color w:val="auto"/>
                <w:sz w:val="24"/>
              </w:rPr>
              <w:t>）中相关规定，危险废物临时贮存期间应满足《危险废物贮存污染控制标准》（</w:t>
            </w:r>
            <w:r>
              <w:rPr>
                <w:color w:val="auto"/>
                <w:sz w:val="24"/>
              </w:rPr>
              <w:t>GB18597-2001</w:t>
            </w:r>
            <w:r>
              <w:rPr>
                <w:rFonts w:hAnsi="宋体"/>
                <w:color w:val="auto"/>
                <w:sz w:val="24"/>
              </w:rPr>
              <w:t>）及修改单中对危险废物贮存设施的要求，严禁将危险废物混入非危险废物中。</w:t>
            </w:r>
          </w:p>
          <w:p>
            <w:pPr>
              <w:spacing w:line="360" w:lineRule="auto"/>
              <w:ind w:firstLine="482"/>
              <w:rPr>
                <w:color w:val="auto"/>
                <w:sz w:val="24"/>
              </w:rPr>
            </w:pPr>
            <w:r>
              <w:rPr>
                <w:rFonts w:ascii="宋体" w:hAnsi="宋体"/>
                <w:color w:val="auto"/>
                <w:sz w:val="24"/>
              </w:rPr>
              <w:t>①</w:t>
            </w:r>
            <w:r>
              <w:rPr>
                <w:rFonts w:hAnsi="宋体"/>
                <w:color w:val="auto"/>
                <w:sz w:val="24"/>
              </w:rPr>
              <w:t>应当设置专用的贮存设施或场所，贮存设施或场所应遵照《危险废物贮存污染控制标准》</w:t>
            </w:r>
            <w:r>
              <w:rPr>
                <w:color w:val="auto"/>
                <w:sz w:val="24"/>
              </w:rPr>
              <w:t>(GB18596-2001)</w:t>
            </w:r>
            <w:r>
              <w:rPr>
                <w:rFonts w:hAnsi="宋体"/>
                <w:color w:val="auto"/>
                <w:sz w:val="24"/>
              </w:rPr>
              <w:t>设置，并分类存放、贮存，并必须采取防扬散、防流失、防渗漏及其他防止污染环境的措施，不得随意露天堆放；</w:t>
            </w:r>
          </w:p>
          <w:p>
            <w:pPr>
              <w:spacing w:line="360" w:lineRule="auto"/>
              <w:ind w:firstLine="482"/>
              <w:rPr>
                <w:color w:val="auto"/>
                <w:sz w:val="24"/>
              </w:rPr>
            </w:pPr>
            <w:r>
              <w:rPr>
                <w:rFonts w:ascii="宋体" w:hAnsi="宋体"/>
                <w:color w:val="auto"/>
                <w:sz w:val="24"/>
              </w:rPr>
              <w:t>②</w:t>
            </w:r>
            <w:r>
              <w:rPr>
                <w:rFonts w:hAnsi="宋体"/>
                <w:color w:val="auto"/>
                <w:sz w:val="24"/>
              </w:rPr>
              <w:t>对危险固废储存场所应进行处理，如采用工业地坪，消除危险固废外泄的可能。</w:t>
            </w:r>
          </w:p>
          <w:p>
            <w:pPr>
              <w:spacing w:line="360" w:lineRule="auto"/>
              <w:ind w:firstLine="482"/>
              <w:rPr>
                <w:color w:val="auto"/>
                <w:sz w:val="24"/>
              </w:rPr>
            </w:pPr>
            <w:r>
              <w:rPr>
                <w:rFonts w:ascii="宋体" w:hAnsi="宋体"/>
                <w:color w:val="auto"/>
                <w:sz w:val="24"/>
              </w:rPr>
              <w:t>③</w:t>
            </w:r>
            <w:r>
              <w:rPr>
                <w:rFonts w:hAnsi="宋体"/>
                <w:color w:val="auto"/>
                <w:sz w:val="24"/>
              </w:rPr>
              <w:t>对危险废物的容器或包装物以及收集、贮存、运输、处置危险废物的设施、场所，必须设置危险废物识别标志；</w:t>
            </w:r>
          </w:p>
          <w:p>
            <w:pPr>
              <w:spacing w:line="360" w:lineRule="auto"/>
              <w:ind w:firstLine="482"/>
              <w:rPr>
                <w:color w:val="auto"/>
                <w:sz w:val="24"/>
              </w:rPr>
            </w:pPr>
            <w:r>
              <w:rPr>
                <w:rFonts w:ascii="宋体" w:hAnsi="宋体"/>
                <w:color w:val="auto"/>
                <w:sz w:val="24"/>
              </w:rPr>
              <w:t>④</w:t>
            </w:r>
            <w:r>
              <w:rPr>
                <w:rFonts w:hAnsi="宋体"/>
                <w:color w:val="auto"/>
                <w:sz w:val="24"/>
              </w:rPr>
              <w:t>危险废物禁止混入非危险废物中贮存，禁止与旅客在同一运输工具上载运；</w:t>
            </w:r>
          </w:p>
          <w:p>
            <w:pPr>
              <w:spacing w:line="360" w:lineRule="auto"/>
              <w:ind w:firstLine="482"/>
              <w:rPr>
                <w:color w:val="auto"/>
                <w:sz w:val="24"/>
              </w:rPr>
            </w:pPr>
            <w:r>
              <w:rPr>
                <w:rFonts w:ascii="宋体" w:hAnsi="宋体"/>
                <w:color w:val="auto"/>
                <w:sz w:val="24"/>
              </w:rPr>
              <w:t>⑤</w:t>
            </w:r>
            <w:r>
              <w:rPr>
                <w:rFonts w:hAnsi="宋体"/>
                <w:color w:val="auto"/>
                <w:sz w:val="24"/>
              </w:rPr>
              <w:t>固体废物不得在运输过程中沿途丢弃、遗撒。如将固体废物用防静电的薄膜包装于箱内，再采用专用运输车辆进行运输；</w:t>
            </w:r>
          </w:p>
          <w:p>
            <w:pPr>
              <w:spacing w:line="360" w:lineRule="auto"/>
              <w:ind w:firstLine="480" w:firstLineChars="200"/>
              <w:rPr>
                <w:color w:val="auto"/>
                <w:sz w:val="24"/>
              </w:rPr>
            </w:pPr>
            <w:r>
              <w:rPr>
                <w:rFonts w:hAnsi="宋体"/>
                <w:color w:val="auto"/>
                <w:sz w:val="24"/>
              </w:rPr>
              <w:t>危险废物暂存、处置要求</w:t>
            </w:r>
          </w:p>
          <w:p>
            <w:pPr>
              <w:spacing w:line="360" w:lineRule="auto"/>
              <w:ind w:firstLine="480" w:firstLineChars="200"/>
              <w:rPr>
                <w:color w:val="auto"/>
                <w:sz w:val="24"/>
              </w:rPr>
            </w:pPr>
            <w:r>
              <w:rPr>
                <w:rFonts w:hAnsi="宋体"/>
                <w:color w:val="auto"/>
                <w:sz w:val="24"/>
              </w:rPr>
              <w:t>按照危险固废处置的有关规定，对属于国家规定危险废物之列的固体废物，必须委托有资质单位进行妥善处理。外运时需要严格按照国家环境保护总局令第</w:t>
            </w:r>
            <w:r>
              <w:rPr>
                <w:color w:val="auto"/>
                <w:sz w:val="24"/>
              </w:rPr>
              <w:t>5</w:t>
            </w:r>
            <w:r>
              <w:rPr>
                <w:rFonts w:hAnsi="宋体"/>
                <w:color w:val="auto"/>
                <w:sz w:val="24"/>
              </w:rPr>
              <w:t>号文件《危险废物转移联单管理办法》的相关规定报批危险废物转移计划，应做到不沿途抛洒；因此，必须加强对固体废弃物的管理，确保各类固体废弃物的妥善处置，固体废弃物贮存场所所应有明显的标志，并有防风、防雨、防晒等设施。</w:t>
            </w:r>
          </w:p>
          <w:p>
            <w:pPr>
              <w:spacing w:line="360" w:lineRule="auto"/>
              <w:ind w:firstLine="480" w:firstLineChars="200"/>
              <w:rPr>
                <w:color w:val="auto"/>
                <w:sz w:val="24"/>
              </w:rPr>
            </w:pPr>
            <w:r>
              <w:rPr>
                <w:rFonts w:hAnsi="宋体"/>
                <w:color w:val="auto"/>
                <w:sz w:val="24"/>
              </w:rPr>
              <w:t>厂内危险废物暂存场所应按照《危险废物贮存污染物控制标准》（</w:t>
            </w:r>
            <w:r>
              <w:rPr>
                <w:color w:val="auto"/>
                <w:sz w:val="24"/>
              </w:rPr>
              <w:t>GB18597-2001</w:t>
            </w:r>
            <w:r>
              <w:rPr>
                <w:rFonts w:hAnsi="宋体"/>
                <w:color w:val="auto"/>
                <w:sz w:val="24"/>
              </w:rPr>
              <w:t>）</w:t>
            </w:r>
            <w:r>
              <w:rPr>
                <w:rFonts w:hAnsi="宋体"/>
                <w:color w:val="auto"/>
                <w:kern w:val="0"/>
                <w:sz w:val="24"/>
              </w:rPr>
              <w:t>及修改单</w:t>
            </w:r>
            <w:r>
              <w:rPr>
                <w:rFonts w:hAnsi="宋体"/>
                <w:color w:val="auto"/>
                <w:sz w:val="24"/>
              </w:rPr>
              <w:t>的规定设置，具体要求如下：</w:t>
            </w:r>
          </w:p>
          <w:p>
            <w:pPr>
              <w:spacing w:line="360" w:lineRule="auto"/>
              <w:ind w:firstLine="480" w:firstLineChars="200"/>
              <w:rPr>
                <w:color w:val="auto"/>
                <w:sz w:val="24"/>
              </w:rPr>
            </w:pPr>
            <w:r>
              <w:rPr>
                <w:rFonts w:hint="eastAsia"/>
                <w:color w:val="auto"/>
                <w:sz w:val="24"/>
                <w:lang w:eastAsia="zh-CN"/>
              </w:rPr>
              <w:t>①</w:t>
            </w:r>
            <w:r>
              <w:rPr>
                <w:rFonts w:hAnsi="宋体"/>
                <w:color w:val="auto"/>
                <w:sz w:val="24"/>
              </w:rPr>
              <w:t>所有产生的危险废物均应使用符合标准要求的容器盛装，装载危险废物的容器及材质要满足相应的强度要求，且必须完好无损；</w:t>
            </w:r>
          </w:p>
          <w:p>
            <w:pPr>
              <w:spacing w:line="360" w:lineRule="auto"/>
              <w:ind w:firstLine="480" w:firstLineChars="200"/>
              <w:rPr>
                <w:color w:val="auto"/>
                <w:sz w:val="24"/>
              </w:rPr>
            </w:pPr>
            <w:r>
              <w:rPr>
                <w:rFonts w:hint="eastAsia" w:hAnsi="宋体"/>
                <w:color w:val="auto"/>
                <w:sz w:val="24"/>
                <w:lang w:eastAsia="zh-CN"/>
              </w:rPr>
              <w:t>②</w:t>
            </w:r>
            <w:r>
              <w:rPr>
                <w:rFonts w:hAnsi="宋体"/>
                <w:color w:val="auto"/>
                <w:sz w:val="24"/>
              </w:rPr>
              <w:t>禁止将不相容（相互反应）的危险废物在同一容器内混装，装危险废物的容器上必须粘贴符合标准附录</w:t>
            </w:r>
            <w:r>
              <w:rPr>
                <w:color w:val="auto"/>
                <w:sz w:val="24"/>
              </w:rPr>
              <w:t xml:space="preserve">A </w:t>
            </w:r>
            <w:r>
              <w:rPr>
                <w:rFonts w:hAnsi="宋体"/>
                <w:color w:val="auto"/>
                <w:sz w:val="24"/>
              </w:rPr>
              <w:t>所示的标签；</w:t>
            </w:r>
          </w:p>
          <w:p>
            <w:pPr>
              <w:spacing w:line="360" w:lineRule="auto"/>
              <w:ind w:firstLine="480" w:firstLineChars="200"/>
              <w:rPr>
                <w:color w:val="auto"/>
                <w:sz w:val="24"/>
              </w:rPr>
            </w:pPr>
            <w:r>
              <w:rPr>
                <w:rFonts w:hint="eastAsia" w:hAnsi="宋体"/>
                <w:color w:val="auto"/>
                <w:sz w:val="24"/>
                <w:lang w:eastAsia="zh-CN"/>
              </w:rPr>
              <w:t>③</w:t>
            </w:r>
            <w:r>
              <w:rPr>
                <w:rFonts w:hAnsi="宋体"/>
                <w:color w:val="auto"/>
                <w:sz w:val="24"/>
              </w:rPr>
              <w:t>危险废物贮存间的地面与裙脚要用坚固、防渗的材料建造，建筑材料必须与危险废物相容，应设计堵截泄露的裙脚，地面与裙脚所围建的溶剂不低于堵截最大容器的最大储量或总储量的五分之一，不相容的危险废物必须分开存放，并设有隔离间隔断；</w:t>
            </w:r>
          </w:p>
          <w:p>
            <w:pPr>
              <w:spacing w:line="360" w:lineRule="auto"/>
              <w:ind w:firstLine="480" w:firstLineChars="200"/>
              <w:rPr>
                <w:color w:val="auto"/>
                <w:sz w:val="24"/>
              </w:rPr>
            </w:pPr>
            <w:r>
              <w:rPr>
                <w:rFonts w:hint="eastAsia" w:hAnsi="宋体"/>
                <w:color w:val="auto"/>
                <w:sz w:val="24"/>
                <w:lang w:eastAsia="zh-CN"/>
              </w:rPr>
              <w:t>④</w:t>
            </w:r>
            <w:r>
              <w:rPr>
                <w:rFonts w:hAnsi="宋体"/>
                <w:color w:val="auto"/>
                <w:sz w:val="24"/>
              </w:rPr>
              <w:t>厂内建立危险废物台账管理制度，作好危险废物情况的记录，记录上须注明危险废物的名称、来源、数量、特性和包装容器的类别、入库日期、存放库位、废物出库日期及接受单位名称，危险废物的记录和货单在危险废物回取后应继续保留三年；</w:t>
            </w:r>
          </w:p>
          <w:p>
            <w:pPr>
              <w:spacing w:line="360" w:lineRule="auto"/>
              <w:ind w:firstLine="480" w:firstLineChars="200"/>
              <w:rPr>
                <w:color w:val="auto"/>
                <w:sz w:val="24"/>
              </w:rPr>
            </w:pPr>
            <w:r>
              <w:rPr>
                <w:rFonts w:hint="eastAsia" w:hAnsi="宋体"/>
                <w:color w:val="auto"/>
                <w:sz w:val="24"/>
                <w:lang w:eastAsia="zh-CN"/>
              </w:rPr>
              <w:t>⑤</w:t>
            </w:r>
            <w:r>
              <w:rPr>
                <w:rFonts w:hAnsi="宋体"/>
                <w:color w:val="auto"/>
                <w:sz w:val="24"/>
              </w:rPr>
              <w:t>必须定期对贮存的危险废物包装容器及贮存设施进行检查，发现破损，应及时采取措施清理更换；</w:t>
            </w:r>
          </w:p>
          <w:p>
            <w:pPr>
              <w:spacing w:line="360" w:lineRule="auto"/>
              <w:ind w:firstLine="480" w:firstLineChars="200"/>
              <w:rPr>
                <w:color w:val="auto"/>
                <w:sz w:val="24"/>
              </w:rPr>
            </w:pPr>
            <w:r>
              <w:rPr>
                <w:rFonts w:hint="eastAsia" w:hAnsi="宋体"/>
                <w:color w:val="auto"/>
                <w:sz w:val="24"/>
                <w:lang w:eastAsia="zh-CN"/>
              </w:rPr>
              <w:t>⑥</w:t>
            </w:r>
            <w:r>
              <w:rPr>
                <w:rFonts w:hAnsi="宋体"/>
                <w:color w:val="auto"/>
                <w:sz w:val="24"/>
              </w:rPr>
              <w:t>危险废物贮存设施必须按照《环境保护图形标志</w:t>
            </w:r>
            <w:r>
              <w:rPr>
                <w:color w:val="auto"/>
                <w:sz w:val="24"/>
              </w:rPr>
              <w:t xml:space="preserve"> </w:t>
            </w:r>
            <w:r>
              <w:rPr>
                <w:rFonts w:hAnsi="宋体"/>
                <w:color w:val="auto"/>
                <w:sz w:val="24"/>
              </w:rPr>
              <w:t>固体废物贮存（处置）场》（</w:t>
            </w:r>
            <w:r>
              <w:rPr>
                <w:color w:val="auto"/>
                <w:sz w:val="24"/>
              </w:rPr>
              <w:t>GB15562.2‐1995</w:t>
            </w:r>
            <w:r>
              <w:rPr>
                <w:rFonts w:hAnsi="宋体"/>
                <w:color w:val="auto"/>
                <w:sz w:val="24"/>
              </w:rPr>
              <w:t>）的规定设置警示标志。</w:t>
            </w:r>
          </w:p>
          <w:p>
            <w:pPr>
              <w:pStyle w:val="7"/>
              <w:snapToGrid/>
              <w:spacing w:before="0" w:after="0" w:line="360" w:lineRule="auto"/>
              <w:ind w:firstLine="480"/>
              <w:jc w:val="both"/>
              <w:rPr>
                <w:color w:val="auto"/>
                <w:sz w:val="24"/>
                <w:lang w:val="en-US" w:eastAsia="zh-CN"/>
              </w:rPr>
            </w:pPr>
            <w:r>
              <w:rPr>
                <w:rFonts w:hAnsi="宋体"/>
                <w:color w:val="auto"/>
                <w:sz w:val="24"/>
                <w:lang w:val="en-US" w:eastAsia="zh-CN"/>
              </w:rPr>
              <w:t>危险废物</w:t>
            </w:r>
            <w:bookmarkStart w:id="31" w:name="_Toc499767944"/>
            <w:r>
              <w:rPr>
                <w:rFonts w:hAnsi="宋体"/>
                <w:bCs/>
                <w:color w:val="auto"/>
                <w:sz w:val="24"/>
                <w:lang w:val="en-US" w:eastAsia="zh-CN"/>
              </w:rPr>
              <w:t>包装、运输</w:t>
            </w:r>
            <w:bookmarkEnd w:id="31"/>
            <w:r>
              <w:rPr>
                <w:rFonts w:hAnsi="宋体"/>
                <w:bCs/>
                <w:color w:val="auto"/>
                <w:sz w:val="24"/>
                <w:lang w:val="en-US" w:eastAsia="zh-CN"/>
              </w:rPr>
              <w:t>要求</w:t>
            </w:r>
            <w:r>
              <w:rPr>
                <w:rFonts w:hint="eastAsia" w:hAnsi="宋体"/>
                <w:bCs/>
                <w:color w:val="auto"/>
                <w:sz w:val="24"/>
                <w:lang w:val="en-US" w:eastAsia="zh-CN"/>
              </w:rPr>
              <w:t>：</w:t>
            </w:r>
          </w:p>
          <w:p>
            <w:pPr>
              <w:spacing w:line="360" w:lineRule="auto"/>
              <w:ind w:firstLine="480" w:firstLineChars="200"/>
              <w:rPr>
                <w:color w:val="auto"/>
                <w:sz w:val="24"/>
              </w:rPr>
            </w:pPr>
            <w:r>
              <w:rPr>
                <w:rFonts w:hAnsi="宋体"/>
                <w:color w:val="auto"/>
                <w:sz w:val="24"/>
              </w:rPr>
              <w:t>项目各固废均按照相应的包装要求进行包装，经本次固废论证后，企业将危废委托有资质单位进行处置。企业危废外运委托有资质的单位进行运输，严格执行《危险废物收集贮存运输技术规范》（</w:t>
            </w:r>
            <w:r>
              <w:rPr>
                <w:color w:val="auto"/>
                <w:sz w:val="24"/>
              </w:rPr>
              <w:t>HJ 2025-2012</w:t>
            </w:r>
            <w:r>
              <w:rPr>
                <w:rFonts w:hAnsi="宋体"/>
                <w:color w:val="auto"/>
                <w:sz w:val="24"/>
              </w:rPr>
              <w:t>）和《危险废物转移联单管理办法》，并制定好危险废物转移运输途中的污染防范及事故应急措施，严格按照要求办理有关手续。</w:t>
            </w:r>
          </w:p>
          <w:p>
            <w:pPr>
              <w:spacing w:line="360" w:lineRule="auto"/>
              <w:ind w:firstLine="480" w:firstLineChars="200"/>
              <w:rPr>
                <w:color w:val="auto"/>
                <w:sz w:val="24"/>
              </w:rPr>
            </w:pPr>
            <w:r>
              <w:rPr>
                <w:rFonts w:hAnsi="宋体"/>
                <w:color w:val="auto"/>
                <w:sz w:val="24"/>
              </w:rPr>
              <w:t>运输单位在运输本项目危险废物过程中应严格做好相应的防范措施，防止危险废物的泄露，或发生重大交通事故，具体措施如下：</w:t>
            </w:r>
          </w:p>
          <w:p>
            <w:pPr>
              <w:spacing w:line="360" w:lineRule="auto"/>
              <w:ind w:firstLine="480" w:firstLineChars="200"/>
              <w:rPr>
                <w:color w:val="auto"/>
                <w:sz w:val="24"/>
              </w:rPr>
            </w:pPr>
            <w:r>
              <w:rPr>
                <w:rFonts w:hint="eastAsia" w:hAnsi="宋体"/>
                <w:color w:val="auto"/>
                <w:sz w:val="24"/>
                <w:lang w:eastAsia="zh-CN"/>
              </w:rPr>
              <w:t>①</w:t>
            </w:r>
            <w:r>
              <w:rPr>
                <w:rFonts w:hAnsi="宋体"/>
                <w:color w:val="auto"/>
                <w:sz w:val="24"/>
              </w:rPr>
              <w:t>采用专用车辆直接从企业将危险废物运送至处理处置单位厂内，运输过程严格遵守《中华人民共和国固体废物污染环境防治法》、《危险废物收集、贮存、运输技术规范》（</w:t>
            </w:r>
            <w:r>
              <w:rPr>
                <w:color w:val="auto"/>
                <w:sz w:val="24"/>
              </w:rPr>
              <w:t>HJ2025-2012</w:t>
            </w:r>
            <w:r>
              <w:rPr>
                <w:rFonts w:hAnsi="宋体"/>
                <w:color w:val="auto"/>
                <w:sz w:val="24"/>
              </w:rPr>
              <w:t>）等相关规定。</w:t>
            </w:r>
          </w:p>
          <w:p>
            <w:pPr>
              <w:spacing w:line="360" w:lineRule="auto"/>
              <w:ind w:firstLine="480" w:firstLineChars="200"/>
              <w:rPr>
                <w:color w:val="auto"/>
                <w:sz w:val="24"/>
              </w:rPr>
            </w:pPr>
            <w:r>
              <w:rPr>
                <w:rFonts w:hint="eastAsia" w:hAnsi="宋体"/>
                <w:color w:val="auto"/>
                <w:sz w:val="24"/>
                <w:lang w:eastAsia="zh-CN"/>
              </w:rPr>
              <w:t>②</w:t>
            </w:r>
            <w:r>
              <w:rPr>
                <w:rFonts w:hAnsi="宋体"/>
                <w:color w:val="auto"/>
                <w:sz w:val="24"/>
              </w:rPr>
              <w:t>运输途中不设中转站临时贮存，避免危险废物在中转站卸载和装载时发生二次污染的风险，及时由危险废物的产生地直接运送到处理处置单位厂内。</w:t>
            </w:r>
          </w:p>
          <w:p>
            <w:pPr>
              <w:spacing w:line="360" w:lineRule="auto"/>
              <w:ind w:firstLine="480" w:firstLineChars="200"/>
              <w:rPr>
                <w:color w:val="auto"/>
                <w:sz w:val="24"/>
              </w:rPr>
            </w:pPr>
            <w:r>
              <w:rPr>
                <w:rFonts w:hint="eastAsia" w:hAnsi="宋体"/>
                <w:color w:val="auto"/>
                <w:sz w:val="24"/>
                <w:lang w:eastAsia="zh-CN"/>
              </w:rPr>
              <w:t>③</w:t>
            </w:r>
            <w:r>
              <w:rPr>
                <w:rFonts w:hAnsi="宋体"/>
                <w:color w:val="auto"/>
                <w:sz w:val="24"/>
              </w:rPr>
              <w:t>危险废物运输车辆必须在车辆前部和后部、车厢两侧设置专用警示标识。</w:t>
            </w:r>
          </w:p>
          <w:p>
            <w:pPr>
              <w:spacing w:line="360" w:lineRule="auto"/>
              <w:ind w:firstLine="480" w:firstLineChars="200"/>
              <w:rPr>
                <w:color w:val="auto"/>
                <w:sz w:val="24"/>
              </w:rPr>
            </w:pPr>
            <w:r>
              <w:rPr>
                <w:rFonts w:hint="eastAsia" w:hAnsi="宋体"/>
                <w:color w:val="auto"/>
                <w:sz w:val="24"/>
                <w:lang w:eastAsia="zh-CN"/>
              </w:rPr>
              <w:t>④</w:t>
            </w:r>
            <w:r>
              <w:rPr>
                <w:rFonts w:hAnsi="宋体"/>
                <w:color w:val="auto"/>
                <w:sz w:val="24"/>
              </w:rPr>
              <w:t>应当根据危险废物总体处置方案，配备足够数量的运输车辆，合理地备用应急车辆。</w:t>
            </w:r>
          </w:p>
          <w:p>
            <w:pPr>
              <w:spacing w:line="360" w:lineRule="auto"/>
              <w:ind w:firstLine="480" w:firstLineChars="200"/>
              <w:rPr>
                <w:color w:val="auto"/>
                <w:sz w:val="24"/>
              </w:rPr>
            </w:pPr>
            <w:r>
              <w:rPr>
                <w:rFonts w:hint="eastAsia" w:hAnsi="宋体"/>
                <w:color w:val="auto"/>
                <w:sz w:val="24"/>
                <w:lang w:eastAsia="zh-CN"/>
              </w:rPr>
              <w:t>⑤</w:t>
            </w:r>
            <w:r>
              <w:rPr>
                <w:rFonts w:hAnsi="宋体"/>
                <w:color w:val="auto"/>
                <w:sz w:val="24"/>
              </w:rPr>
              <w:t>每辆运输车应制定负责人，对危险废物运输过程负责，从事危险废物运输的司机等人员应经过合格的培训并通过考核。</w:t>
            </w:r>
          </w:p>
          <w:p>
            <w:pPr>
              <w:spacing w:line="360" w:lineRule="auto"/>
              <w:ind w:firstLine="480" w:firstLineChars="200"/>
              <w:rPr>
                <w:color w:val="auto"/>
                <w:sz w:val="24"/>
              </w:rPr>
            </w:pPr>
            <w:r>
              <w:rPr>
                <w:rFonts w:hint="eastAsia" w:hAnsi="宋体"/>
                <w:color w:val="auto"/>
                <w:sz w:val="24"/>
                <w:lang w:eastAsia="zh-CN"/>
              </w:rPr>
              <w:t>⑥</w:t>
            </w:r>
            <w:r>
              <w:rPr>
                <w:rFonts w:hAnsi="宋体"/>
                <w:color w:val="auto"/>
                <w:sz w:val="24"/>
              </w:rPr>
              <w:t>在运输前应事先作出周密的运输计划，安排好运输车辆经过各路段的时间，尽量避免运输车辆在交通高峰期间通过市区。</w:t>
            </w:r>
          </w:p>
          <w:p>
            <w:pPr>
              <w:spacing w:line="360" w:lineRule="auto"/>
              <w:ind w:firstLine="480" w:firstLineChars="200"/>
              <w:rPr>
                <w:color w:val="auto"/>
                <w:sz w:val="24"/>
              </w:rPr>
            </w:pPr>
            <w:r>
              <w:rPr>
                <w:rFonts w:hint="eastAsia" w:hAnsi="宋体"/>
                <w:color w:val="auto"/>
                <w:sz w:val="24"/>
                <w:lang w:eastAsia="zh-CN"/>
              </w:rPr>
              <w:t>⑦</w:t>
            </w:r>
            <w:r>
              <w:rPr>
                <w:rFonts w:hAnsi="宋体"/>
                <w:color w:val="auto"/>
                <w:sz w:val="24"/>
              </w:rPr>
              <w:t>危险废物运输者应制定事故应急和防止运输过程中发生泄漏、丢失、扬散的保障措施和配备必要的设备，在危险废物发生泄漏时可以及时将危险废物收集，减少散失。</w:t>
            </w:r>
          </w:p>
          <w:p>
            <w:pPr>
              <w:spacing w:line="360" w:lineRule="auto"/>
              <w:ind w:firstLine="480" w:firstLineChars="200"/>
              <w:rPr>
                <w:color w:val="auto"/>
                <w:sz w:val="24"/>
              </w:rPr>
            </w:pPr>
            <w:r>
              <w:rPr>
                <w:rFonts w:hint="eastAsia" w:hAnsi="宋体"/>
                <w:color w:val="auto"/>
                <w:sz w:val="24"/>
                <w:lang w:eastAsia="zh-CN"/>
              </w:rPr>
              <w:t>⑧</w:t>
            </w:r>
            <w:r>
              <w:rPr>
                <w:rFonts w:hAnsi="宋体"/>
                <w:color w:val="auto"/>
                <w:sz w:val="24"/>
              </w:rPr>
              <w:t>运输车辆在每次运输前都必须对每辆运输车辆的车况进行检查，确保车况良好后方可出车，运输车辆负责人应对每辆运输车须配备的辅助物品进行检查，确保完备，定期对运输车辆进行全面检查，减少和防止危险废物发生泄漏和交通事故的发生。</w:t>
            </w:r>
          </w:p>
          <w:p>
            <w:pPr>
              <w:spacing w:line="360" w:lineRule="auto"/>
              <w:ind w:firstLine="480" w:firstLineChars="200"/>
              <w:rPr>
                <w:color w:val="auto"/>
                <w:sz w:val="24"/>
              </w:rPr>
            </w:pPr>
            <w:r>
              <w:rPr>
                <w:rFonts w:hint="eastAsia" w:hAnsi="宋体"/>
                <w:color w:val="auto"/>
                <w:sz w:val="24"/>
                <w:lang w:eastAsia="zh-CN"/>
              </w:rPr>
              <w:t>⑨</w:t>
            </w:r>
            <w:r>
              <w:rPr>
                <w:rFonts w:hAnsi="宋体"/>
                <w:color w:val="auto"/>
                <w:sz w:val="24"/>
              </w:rPr>
              <w:t>禁止混合运输性质不相容而未经安全性处置的危险废物，运输车辆不得搭乘其他无关人员。</w:t>
            </w:r>
          </w:p>
          <w:p>
            <w:pPr>
              <w:spacing w:line="360" w:lineRule="auto"/>
              <w:ind w:firstLine="480" w:firstLineChars="200"/>
              <w:rPr>
                <w:color w:val="auto"/>
                <w:sz w:val="24"/>
              </w:rPr>
            </w:pPr>
            <w:r>
              <w:rPr>
                <w:rFonts w:hint="eastAsia" w:hAnsi="宋体"/>
                <w:color w:val="auto"/>
                <w:sz w:val="24"/>
                <w:lang w:eastAsia="zh-CN"/>
              </w:rPr>
              <w:t>⑩</w:t>
            </w:r>
            <w:r>
              <w:rPr>
                <w:rFonts w:hAnsi="宋体"/>
                <w:color w:val="auto"/>
                <w:sz w:val="24"/>
              </w:rPr>
              <w:t>车辆行驶时应锁闭车厢门，确保安全，不得丢失、遗撒和打开包装取出危险废物。</w:t>
            </w:r>
          </w:p>
          <w:p>
            <w:pPr>
              <w:spacing w:line="360" w:lineRule="auto"/>
              <w:ind w:firstLine="480" w:firstLineChars="200"/>
              <w:rPr>
                <w:color w:val="auto"/>
                <w:sz w:val="24"/>
              </w:rPr>
            </w:pPr>
            <w:r>
              <w:rPr>
                <w:rFonts w:hint="eastAsia" w:hAnsi="宋体"/>
                <w:color w:val="auto"/>
                <w:sz w:val="24"/>
              </w:rPr>
              <w:t>⑪</w:t>
            </w:r>
            <w:r>
              <w:rPr>
                <w:rFonts w:hAnsi="宋体"/>
                <w:color w:val="auto"/>
                <w:sz w:val="24"/>
              </w:rPr>
              <w:t>合理安排运输频次，在气象条件不好的天气，不能运输危险废物，可先贮藏，等天气好转时再进行运输，小雨天可运输，但应小心驾驶并加强安全措施。</w:t>
            </w:r>
          </w:p>
          <w:p>
            <w:pPr>
              <w:spacing w:line="360" w:lineRule="auto"/>
              <w:ind w:firstLine="480" w:firstLineChars="200"/>
              <w:rPr>
                <w:color w:val="auto"/>
                <w:sz w:val="24"/>
              </w:rPr>
            </w:pPr>
            <w:r>
              <w:rPr>
                <w:rFonts w:hint="eastAsia" w:hAnsi="宋体"/>
                <w:color w:val="auto"/>
                <w:sz w:val="24"/>
              </w:rPr>
              <w:t>⑫</w:t>
            </w:r>
            <w:r>
              <w:rPr>
                <w:rFonts w:hAnsi="宋体"/>
                <w:color w:val="auto"/>
                <w:sz w:val="24"/>
              </w:rPr>
              <w:t>运输车辆应该限速行驶，避免交通事故的发生，在不好的路段及沿线有敏感水体的区域应小心驾驶，防止发生事故或泄露性事故而污染水体。</w:t>
            </w:r>
          </w:p>
          <w:p>
            <w:pPr>
              <w:spacing w:line="360" w:lineRule="auto"/>
              <w:ind w:firstLine="480" w:firstLineChars="200"/>
              <w:rPr>
                <w:color w:val="auto"/>
                <w:sz w:val="24"/>
              </w:rPr>
            </w:pPr>
            <w:r>
              <w:rPr>
                <w:rFonts w:hint="eastAsia" w:hAnsi="宋体"/>
                <w:color w:val="auto"/>
                <w:sz w:val="24"/>
              </w:rPr>
              <w:t>⑬</w:t>
            </w:r>
            <w:r>
              <w:rPr>
                <w:rFonts w:hAnsi="宋体"/>
                <w:color w:val="auto"/>
                <w:sz w:val="24"/>
              </w:rPr>
              <w:t>危险废物运输者在转移过程中发生意外事故，应立即向当地环境保护主管部门和交通管理部门报告，并采取相应措施，防止环境污染事故扩大。</w:t>
            </w:r>
          </w:p>
          <w:p>
            <w:pPr>
              <w:spacing w:line="360" w:lineRule="auto"/>
              <w:ind w:firstLine="480" w:firstLineChars="200"/>
              <w:rPr>
                <w:color w:val="auto"/>
                <w:sz w:val="24"/>
              </w:rPr>
            </w:pPr>
            <w:r>
              <w:rPr>
                <w:rFonts w:hint="eastAsia" w:hAnsi="宋体"/>
                <w:color w:val="auto"/>
                <w:sz w:val="24"/>
              </w:rPr>
              <w:t>⑭</w:t>
            </w:r>
            <w:r>
              <w:rPr>
                <w:rFonts w:hAnsi="宋体"/>
                <w:color w:val="auto"/>
                <w:sz w:val="24"/>
              </w:rPr>
              <w:t>应制定事故应急计划，在事故发生时及发生后做好相应的环境保护措施。</w:t>
            </w:r>
          </w:p>
          <w:p>
            <w:pPr>
              <w:spacing w:line="360" w:lineRule="auto"/>
              <w:ind w:firstLine="480" w:firstLineChars="200"/>
              <w:rPr>
                <w:color w:val="auto"/>
                <w:sz w:val="24"/>
              </w:rPr>
            </w:pPr>
            <w:r>
              <w:rPr>
                <w:rFonts w:hAnsi="宋体"/>
                <w:color w:val="auto"/>
                <w:sz w:val="24"/>
              </w:rPr>
              <w:t>应急计划包括：应急组织及其职责，及市、县环境保护主管部门和交通管理部门，应按区设立区域应急中心，应急设施、设备与器材；应急通讯联络，运输路线经过区环境保护主管部门和交通管理部门的联络方式；应急措施，事故后果评价；应急监测；应急安全、保卫、应急救援等。</w:t>
            </w:r>
          </w:p>
          <w:p>
            <w:pPr>
              <w:spacing w:line="360" w:lineRule="auto"/>
              <w:ind w:firstLine="480" w:firstLineChars="200"/>
              <w:rPr>
                <w:rFonts w:hint="default" w:ascii="Times New Roman" w:hAnsi="宋体" w:eastAsia="宋体" w:cs="Times New Roman"/>
                <w:color w:val="auto"/>
                <w:sz w:val="24"/>
                <w:lang w:val="en-US" w:eastAsia="zh-CN"/>
              </w:rPr>
            </w:pPr>
            <w:r>
              <w:rPr>
                <w:bCs/>
                <w:color w:val="auto"/>
                <w:sz w:val="24"/>
              </w:rPr>
              <w:t>（</w:t>
            </w:r>
            <w:r>
              <w:rPr>
                <w:rFonts w:hint="eastAsia"/>
                <w:bCs/>
                <w:color w:val="auto"/>
                <w:sz w:val="24"/>
                <w:lang w:val="en-US" w:eastAsia="zh-CN"/>
              </w:rPr>
              <w:t>4</w:t>
            </w:r>
            <w:r>
              <w:rPr>
                <w:bCs/>
                <w:color w:val="auto"/>
                <w:sz w:val="24"/>
              </w:rPr>
              <w:t>）</w:t>
            </w:r>
            <w:r>
              <w:rPr>
                <w:rFonts w:hint="eastAsia" w:ascii="Times New Roman" w:hAnsi="宋体" w:eastAsia="宋体" w:cs="Times New Roman"/>
                <w:color w:val="auto"/>
                <w:sz w:val="24"/>
                <w:lang w:val="en-US" w:eastAsia="zh-CN"/>
              </w:rPr>
              <w:t>废气处理</w:t>
            </w:r>
          </w:p>
          <w:p>
            <w:pPr>
              <w:spacing w:line="360" w:lineRule="auto"/>
              <w:ind w:firstLine="480" w:firstLineChars="200"/>
              <w:rPr>
                <w:rFonts w:hint="eastAsia" w:ascii="Times New Roman" w:hAnsi="宋体" w:eastAsia="宋体" w:cs="Times New Roman"/>
                <w:color w:val="auto"/>
                <w:sz w:val="24"/>
                <w:highlight w:val="none"/>
                <w:lang w:val="en"/>
              </w:rPr>
            </w:pPr>
            <w:r>
              <w:rPr>
                <w:rFonts w:hint="eastAsia" w:ascii="Times New Roman" w:hAnsi="宋体" w:eastAsia="宋体" w:cs="Times New Roman"/>
                <w:color w:val="auto"/>
                <w:sz w:val="24"/>
                <w:lang w:val="en-US" w:eastAsia="zh-CN"/>
              </w:rPr>
              <w:t>要求</w:t>
            </w:r>
            <w:r>
              <w:rPr>
                <w:rFonts w:hint="eastAsia" w:ascii="Times New Roman" w:hAnsi="宋体" w:eastAsia="宋体" w:cs="Times New Roman"/>
                <w:color w:val="auto"/>
                <w:sz w:val="24"/>
                <w:lang w:val="en"/>
              </w:rPr>
              <w:t>建设单位制</w:t>
            </w:r>
            <w:r>
              <w:rPr>
                <w:rFonts w:hint="eastAsia" w:ascii="Times New Roman" w:hAnsi="Times New Roman" w:eastAsia="宋体" w:cs="Times New Roman"/>
                <w:color w:val="auto"/>
                <w:sz w:val="24"/>
                <w:lang w:val="en-US" w:eastAsia="zh-CN"/>
              </w:rPr>
              <w:t>委派专人负责每日巡检</w:t>
            </w:r>
            <w:r>
              <w:rPr>
                <w:rFonts w:hint="eastAsia" w:cs="Times New Roman"/>
                <w:color w:val="auto"/>
                <w:sz w:val="24"/>
                <w:lang w:val="en-US" w:eastAsia="zh-CN"/>
              </w:rPr>
              <w:t>碱液喷淋塔</w:t>
            </w:r>
            <w:r>
              <w:rPr>
                <w:rFonts w:hint="eastAsia" w:ascii="Times New Roman" w:hAnsi="Times New Roman" w:eastAsia="宋体" w:cs="Times New Roman"/>
                <w:color w:val="auto"/>
                <w:sz w:val="24"/>
                <w:lang w:val="en-US" w:eastAsia="zh-CN"/>
              </w:rPr>
              <w:t>装置，做好巡检记</w:t>
            </w:r>
            <w:r>
              <w:rPr>
                <w:rFonts w:hint="eastAsia" w:ascii="Times New Roman" w:hAnsi="Times New Roman" w:eastAsia="宋体" w:cs="Times New Roman"/>
                <w:color w:val="auto"/>
                <w:sz w:val="24"/>
                <w:highlight w:val="none"/>
                <w:lang w:val="en-US" w:eastAsia="zh-CN"/>
              </w:rPr>
              <w:t>录</w:t>
            </w:r>
            <w:r>
              <w:rPr>
                <w:rFonts w:hint="eastAsia" w:ascii="Times New Roman" w:hAnsi="宋体" w:eastAsia="宋体" w:cs="Times New Roman"/>
                <w:color w:val="auto"/>
                <w:sz w:val="24"/>
                <w:highlight w:val="none"/>
                <w:lang w:val="en"/>
              </w:rPr>
              <w:t>确保</w:t>
            </w:r>
            <w:r>
              <w:rPr>
                <w:rFonts w:hint="eastAsia" w:hAnsi="宋体" w:cs="Times New Roman"/>
                <w:color w:val="auto"/>
                <w:sz w:val="24"/>
                <w:highlight w:val="none"/>
                <w:lang w:val="en" w:eastAsia="zh-CN"/>
              </w:rPr>
              <w:t>酸雾</w:t>
            </w:r>
            <w:r>
              <w:rPr>
                <w:rFonts w:hint="eastAsia" w:ascii="Times New Roman" w:hAnsi="宋体" w:eastAsia="宋体" w:cs="Times New Roman"/>
                <w:color w:val="auto"/>
                <w:sz w:val="24"/>
                <w:highlight w:val="none"/>
                <w:lang w:val="en"/>
              </w:rPr>
              <w:t>处理装置运行效果。</w:t>
            </w:r>
          </w:p>
          <w:p>
            <w:pPr>
              <w:spacing w:line="360" w:lineRule="auto"/>
              <w:ind w:firstLine="480" w:firstLineChars="200"/>
              <w:rPr>
                <w:bCs/>
                <w:color w:val="auto"/>
              </w:rPr>
            </w:pPr>
            <w:r>
              <w:rPr>
                <w:rFonts w:hAnsi="宋体"/>
                <w:color w:val="auto"/>
                <w:sz w:val="24"/>
              </w:rPr>
              <w:t>通过上述分析可知，项目危险废物运输过程中在严格做好相应的防范措施后，对环境的影响较小。</w:t>
            </w:r>
          </w:p>
          <w:p>
            <w:pPr>
              <w:pStyle w:val="10"/>
              <w:tabs>
                <w:tab w:val="left" w:pos="763"/>
              </w:tabs>
              <w:spacing w:before="0" w:after="0" w:line="360" w:lineRule="auto"/>
              <w:ind w:firstLine="480" w:firstLineChars="200"/>
              <w:rPr>
                <w:rFonts w:hint="eastAsia" w:ascii="Times New Roman" w:hAnsi="Times New Roman" w:eastAsia="宋体" w:cs="Times New Roman"/>
                <w:b w:val="0"/>
                <w:bCs w:val="0"/>
                <w:color w:val="auto"/>
                <w:kern w:val="0"/>
                <w:sz w:val="24"/>
                <w:szCs w:val="24"/>
                <w:lang w:val="en-US" w:eastAsia="zh-CN" w:bidi="ar-SA"/>
              </w:rPr>
            </w:pPr>
            <w:r>
              <w:rPr>
                <w:rFonts w:ascii="Times New Roman" w:hAnsi="Times New Roman" w:eastAsia="宋体" w:cs="Times New Roman"/>
                <w:b w:val="0"/>
                <w:bCs w:val="0"/>
                <w:color w:val="auto"/>
                <w:kern w:val="0"/>
                <w:sz w:val="24"/>
                <w:szCs w:val="24"/>
                <w:lang w:val="en-US" w:eastAsia="zh-CN" w:bidi="ar-SA"/>
              </w:rPr>
              <w:t>五、地下水、土壤环境影响分析</w:t>
            </w:r>
          </w:p>
          <w:p>
            <w:pPr>
              <w:spacing w:line="360" w:lineRule="auto"/>
              <w:ind w:firstLine="480" w:firstLineChars="200"/>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根据工程分析和建设特点，本项目地下水污染的风险源以及有可能对土壤和地下水产生污染的途径主要是：</w:t>
            </w:r>
            <w:r>
              <w:rPr>
                <w:rFonts w:hint="eastAsia" w:cs="Times New Roman"/>
                <w:color w:val="auto"/>
                <w:kern w:val="0"/>
                <w:sz w:val="24"/>
                <w:lang w:val="en-US" w:eastAsia="zh-CN"/>
              </w:rPr>
              <w:t>酸洗池、冲洗池</w:t>
            </w:r>
            <w:r>
              <w:rPr>
                <w:rFonts w:hint="eastAsia" w:ascii="Times New Roman" w:hAnsi="Times New Roman" w:eastAsia="宋体" w:cs="Times New Roman"/>
                <w:color w:val="auto"/>
                <w:kern w:val="0"/>
                <w:sz w:val="24"/>
                <w:highlight w:val="none"/>
                <w:lang w:val="en-US" w:eastAsia="zh-CN"/>
              </w:rPr>
              <w:t>、危废暂存间渗透对</w:t>
            </w:r>
            <w:r>
              <w:rPr>
                <w:rFonts w:hint="eastAsia" w:ascii="Times New Roman" w:hAnsi="Times New Roman" w:eastAsia="宋体" w:cs="Times New Roman"/>
                <w:color w:val="auto"/>
                <w:kern w:val="0"/>
                <w:sz w:val="24"/>
                <w:lang w:val="en-US" w:eastAsia="zh-CN"/>
              </w:rPr>
              <w:t>地下水、土壤产生污染的途径主要是渗透污染。渗透污染是导致地下水、土壤污染的普遍和主要方式，主要产生可能性来自工程防渗防漏措施不完善，经构筑物长期下渗进入含水层。针对可能发生的污染，本项目运行期污染防治措施将按照“源头控制、分区防治、污染监控、应急响应”相结合的原则，从污染物的产生、入渗、扩散、应急响应全方位进行防控。</w:t>
            </w:r>
          </w:p>
          <w:p>
            <w:pPr>
              <w:spacing w:line="360" w:lineRule="auto"/>
              <w:ind w:firstLine="480" w:firstLineChars="200"/>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（1）源头控制措施</w:t>
            </w:r>
          </w:p>
          <w:p>
            <w:pPr>
              <w:spacing w:line="360" w:lineRule="auto"/>
              <w:ind w:firstLine="480" w:firstLineChars="200"/>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项目应选择先进、成熟、可靠的工艺技术和较清洁的原辅材料，采用清洁生产审核等手段对生产全过程进行控制，并对产生的各类废物进行合理的回用和治理，尽可能从源头上减少污染物的产生和排放，降低生产过程和末端治理的成本。严格按照国家相关规范要求，对工艺、管道、设备、仓库、构筑物采取相应措施，以防止和降低污染物的跑、冒、滴、漏，将污染物泄漏的环境风险事故降到最低程度。辅料库、危险废物暂存库等要按照国家相关规范要求，采取防泄漏、防溢流、防腐蚀等措施，严格危险化学品的管理。对可能泄漏有害介质和污染物的设备和管道敷设尽量采用“可视化”原则，即管道尽可能地上敷设，做到污染物“早发现、早处理”，以减少由于埋地管道泄漏而可能造成的地下水污染。</w:t>
            </w:r>
          </w:p>
          <w:p>
            <w:pPr>
              <w:spacing w:line="360" w:lineRule="auto"/>
              <w:ind w:firstLine="480" w:firstLineChars="200"/>
              <w:rPr>
                <w:rFonts w:hint="default"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（2）分区防渗措施</w:t>
            </w:r>
          </w:p>
          <w:p>
            <w:pPr>
              <w:spacing w:line="360" w:lineRule="auto"/>
              <w:ind w:firstLine="480" w:firstLineChars="200"/>
              <w:rPr>
                <w:rFonts w:hint="eastAsia" w:ascii="Times New Roman" w:hAnsi="Times New Roman" w:eastAsia="宋体" w:cs="Times New Roman"/>
                <w:color w:val="auto"/>
                <w:kern w:val="0"/>
                <w:sz w:val="24"/>
                <w:lang w:eastAsia="zh-CN"/>
              </w:rPr>
            </w:pPr>
            <w:r>
              <w:rPr>
                <w:rFonts w:hint="eastAsia"/>
                <w:color w:val="auto"/>
                <w:sz w:val="24"/>
              </w:rPr>
              <w:t>针对可能对地下水</w:t>
            </w:r>
            <w:r>
              <w:rPr>
                <w:rFonts w:hint="eastAsia"/>
                <w:color w:val="auto"/>
                <w:sz w:val="24"/>
                <w:lang w:eastAsia="zh-CN"/>
              </w:rPr>
              <w:t>、</w:t>
            </w:r>
            <w:r>
              <w:rPr>
                <w:rFonts w:hint="eastAsia"/>
                <w:color w:val="auto"/>
                <w:sz w:val="24"/>
                <w:lang w:val="en-US" w:eastAsia="zh-CN"/>
              </w:rPr>
              <w:t>土壤</w:t>
            </w:r>
            <w:r>
              <w:rPr>
                <w:rFonts w:hint="eastAsia"/>
                <w:color w:val="auto"/>
                <w:sz w:val="24"/>
              </w:rPr>
              <w:t>造成影响的各环节，按照“考虑重点，辐射全面”的防腐防渗原则，一般防渗区的防渗性能要求等效黏土防渗层Mb≥1.5m，渗透系数K≤10</w:t>
            </w:r>
            <w:r>
              <w:rPr>
                <w:rFonts w:hint="eastAsia"/>
                <w:color w:val="auto"/>
                <w:sz w:val="24"/>
                <w:vertAlign w:val="superscript"/>
              </w:rPr>
              <w:t>-7</w:t>
            </w:r>
            <w:r>
              <w:rPr>
                <w:rFonts w:hint="eastAsia"/>
                <w:color w:val="auto"/>
                <w:sz w:val="24"/>
              </w:rPr>
              <w:t>cm/s；重点防腐防渗区的防渗性能要求渗透系数K≤10</w:t>
            </w:r>
            <w:r>
              <w:rPr>
                <w:rFonts w:hint="eastAsia"/>
                <w:color w:val="auto"/>
                <w:sz w:val="24"/>
                <w:vertAlign w:val="superscript"/>
              </w:rPr>
              <w:t>-10</w:t>
            </w:r>
            <w:r>
              <w:rPr>
                <w:rFonts w:hint="eastAsia"/>
                <w:color w:val="auto"/>
                <w:sz w:val="24"/>
              </w:rPr>
              <w:t>cm/s；除重点防渗区和一般防渗区以外的区域为简单防渗区，采取一般地面硬化。项目防腐、防渗等防止地下水、土壤污染预防措施见下表。</w:t>
            </w:r>
          </w:p>
          <w:p>
            <w:pPr>
              <w:pStyle w:val="85"/>
              <w:spacing w:line="360" w:lineRule="auto"/>
              <w:ind w:firstLine="0" w:firstLineChars="0"/>
              <w:jc w:val="center"/>
              <w:rPr>
                <w:rFonts w:ascii="Times New Roman" w:hAnsi="Times New Roman" w:eastAsia="宋体" w:cs="Times New Roman"/>
                <w:b/>
                <w:color w:val="auto"/>
                <w:kern w:val="2"/>
                <w:sz w:val="21"/>
                <w:szCs w:val="21"/>
                <w:lang w:val="en-US" w:eastAsia="zh-CN" w:bidi="ar-SA"/>
              </w:rPr>
            </w:pPr>
            <w:r>
              <w:rPr>
                <w:rFonts w:ascii="Times New Roman" w:hAnsi="Times New Roman" w:eastAsia="宋体" w:cs="Times New Roman"/>
                <w:b/>
                <w:color w:val="auto"/>
                <w:kern w:val="2"/>
                <w:sz w:val="21"/>
                <w:szCs w:val="21"/>
                <w:highlight w:val="none"/>
                <w:lang w:val="en-US" w:eastAsia="zh-CN" w:bidi="ar-SA"/>
              </w:rPr>
              <w:t>表</w:t>
            </w:r>
            <w:r>
              <w:rPr>
                <w:rFonts w:hint="eastAsia" w:ascii="Times New Roman" w:hAnsi="Times New Roman" w:eastAsia="宋体" w:cs="Times New Roman"/>
                <w:b/>
                <w:color w:val="auto"/>
                <w:kern w:val="2"/>
                <w:sz w:val="21"/>
                <w:szCs w:val="21"/>
                <w:highlight w:val="none"/>
                <w:lang w:val="en-US" w:eastAsia="zh-CN" w:bidi="ar-SA"/>
              </w:rPr>
              <w:t>4-1</w:t>
            </w:r>
            <w:r>
              <w:rPr>
                <w:rFonts w:hint="eastAsia" w:cs="Times New Roman"/>
                <w:b/>
                <w:color w:val="auto"/>
                <w:kern w:val="2"/>
                <w:sz w:val="21"/>
                <w:szCs w:val="21"/>
                <w:highlight w:val="none"/>
                <w:lang w:val="en-US" w:eastAsia="zh-CN" w:bidi="ar-SA"/>
              </w:rPr>
              <w:t>9</w:t>
            </w:r>
            <w:r>
              <w:rPr>
                <w:rFonts w:ascii="Times New Roman" w:hAnsi="Times New Roman" w:eastAsia="宋体" w:cs="Times New Roman"/>
                <w:b/>
                <w:color w:val="auto"/>
                <w:kern w:val="2"/>
                <w:sz w:val="21"/>
                <w:szCs w:val="21"/>
                <w:highlight w:val="none"/>
                <w:lang w:val="en-US" w:eastAsia="zh-CN" w:bidi="ar-SA"/>
              </w:rPr>
              <w:t xml:space="preserve"> </w:t>
            </w:r>
            <w:r>
              <w:rPr>
                <w:rFonts w:ascii="Times New Roman" w:hAnsi="Times New Roman" w:eastAsia="宋体" w:cs="Times New Roman"/>
                <w:b/>
                <w:color w:val="auto"/>
                <w:kern w:val="2"/>
                <w:sz w:val="21"/>
                <w:szCs w:val="21"/>
                <w:lang w:val="en-US" w:eastAsia="zh-CN" w:bidi="ar-SA"/>
              </w:rPr>
              <w:t xml:space="preserve"> 项目分区防渗处理措施</w:t>
            </w:r>
          </w:p>
          <w:tbl>
            <w:tblPr>
              <w:tblStyle w:val="28"/>
              <w:tblW w:w="0" w:type="auto"/>
              <w:jc w:val="center"/>
              <w:tblBorders>
                <w:top w:val="single" w:color="auto" w:sz="4" w:space="0"/>
                <w:left w:val="single" w:color="auto" w:sz="4" w:space="0"/>
                <w:bottom w:val="single" w:color="auto" w:sz="4" w:space="0"/>
                <w:right w:val="single" w:color="auto" w:sz="4" w:space="0"/>
                <w:insideH w:val="single" w:color="000000" w:sz="4" w:space="0"/>
                <w:insideV w:val="single" w:color="000000" w:sz="6" w:space="0"/>
              </w:tblBorders>
              <w:tblLayout w:type="autofit"/>
              <w:tblCellMar>
                <w:top w:w="0" w:type="dxa"/>
                <w:left w:w="0" w:type="dxa"/>
                <w:bottom w:w="0" w:type="dxa"/>
                <w:right w:w="0" w:type="dxa"/>
              </w:tblCellMar>
            </w:tblPr>
            <w:tblGrid>
              <w:gridCol w:w="483"/>
              <w:gridCol w:w="1691"/>
              <w:gridCol w:w="3040"/>
              <w:gridCol w:w="2354"/>
              <w:gridCol w:w="817"/>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6" w:space="0"/>
                </w:tblBorders>
                <w:tblCellMar>
                  <w:top w:w="0" w:type="dxa"/>
                  <w:left w:w="0" w:type="dxa"/>
                  <w:bottom w:w="0" w:type="dxa"/>
                  <w:right w:w="0" w:type="dxa"/>
                </w:tblCellMar>
              </w:tblPrEx>
              <w:trPr>
                <w:trHeight w:val="545" w:hRule="atLeast"/>
                <w:jc w:val="center"/>
              </w:trPr>
              <w:tc>
                <w:tcPr>
                  <w:tcW w:w="483" w:type="dxa"/>
                  <w:noWrap w:val="0"/>
                  <w:vAlign w:val="center"/>
                </w:tcPr>
                <w:p>
                  <w:pPr>
                    <w:tabs>
                      <w:tab w:val="left" w:pos="720"/>
                    </w:tabs>
                    <w:jc w:val="center"/>
                    <w:rPr>
                      <w:rFonts w:hint="eastAsia"/>
                      <w:bCs/>
                      <w:color w:val="auto"/>
                      <w:szCs w:val="21"/>
                    </w:rPr>
                  </w:pPr>
                  <w:r>
                    <w:rPr>
                      <w:rFonts w:hint="eastAsia"/>
                      <w:bCs/>
                      <w:color w:val="auto"/>
                      <w:szCs w:val="21"/>
                    </w:rPr>
                    <w:t>序号</w:t>
                  </w:r>
                </w:p>
              </w:tc>
              <w:tc>
                <w:tcPr>
                  <w:tcW w:w="1691" w:type="dxa"/>
                  <w:noWrap w:val="0"/>
                  <w:vAlign w:val="center"/>
                </w:tcPr>
                <w:p>
                  <w:pPr>
                    <w:tabs>
                      <w:tab w:val="left" w:pos="720"/>
                    </w:tabs>
                    <w:jc w:val="center"/>
                    <w:rPr>
                      <w:rFonts w:hint="eastAsia"/>
                      <w:bCs/>
                      <w:color w:val="auto"/>
                      <w:szCs w:val="21"/>
                    </w:rPr>
                  </w:pPr>
                  <w:r>
                    <w:rPr>
                      <w:rFonts w:hint="eastAsia"/>
                      <w:bCs/>
                      <w:color w:val="auto"/>
                      <w:szCs w:val="21"/>
                    </w:rPr>
                    <w:t>主要环节</w:t>
                  </w:r>
                </w:p>
              </w:tc>
              <w:tc>
                <w:tcPr>
                  <w:tcW w:w="3040" w:type="dxa"/>
                  <w:noWrap w:val="0"/>
                  <w:vAlign w:val="center"/>
                </w:tcPr>
                <w:p>
                  <w:pPr>
                    <w:tabs>
                      <w:tab w:val="left" w:pos="720"/>
                    </w:tabs>
                    <w:jc w:val="center"/>
                    <w:rPr>
                      <w:rFonts w:hint="eastAsia"/>
                      <w:bCs/>
                      <w:color w:val="auto"/>
                      <w:szCs w:val="21"/>
                    </w:rPr>
                  </w:pPr>
                  <w:r>
                    <w:rPr>
                      <w:rFonts w:hint="eastAsia"/>
                      <w:bCs/>
                      <w:color w:val="auto"/>
                      <w:szCs w:val="21"/>
                    </w:rPr>
                    <w:t>防渗处理措施</w:t>
                  </w:r>
                </w:p>
              </w:tc>
              <w:tc>
                <w:tcPr>
                  <w:tcW w:w="2354" w:type="dxa"/>
                  <w:noWrap w:val="0"/>
                  <w:vAlign w:val="center"/>
                </w:tcPr>
                <w:p>
                  <w:pPr>
                    <w:tabs>
                      <w:tab w:val="left" w:pos="720"/>
                    </w:tabs>
                    <w:jc w:val="center"/>
                    <w:rPr>
                      <w:rFonts w:hint="eastAsia"/>
                      <w:bCs/>
                      <w:color w:val="auto"/>
                      <w:szCs w:val="21"/>
                    </w:rPr>
                  </w:pPr>
                  <w:r>
                    <w:rPr>
                      <w:rFonts w:hint="eastAsia"/>
                      <w:bCs/>
                      <w:color w:val="auto"/>
                      <w:szCs w:val="21"/>
                    </w:rPr>
                    <w:t>防渗技术要求</w:t>
                  </w:r>
                </w:p>
              </w:tc>
              <w:tc>
                <w:tcPr>
                  <w:tcW w:w="817" w:type="dxa"/>
                  <w:noWrap w:val="0"/>
                  <w:vAlign w:val="center"/>
                </w:tcPr>
                <w:p>
                  <w:pPr>
                    <w:tabs>
                      <w:tab w:val="left" w:pos="720"/>
                    </w:tabs>
                    <w:jc w:val="center"/>
                    <w:rPr>
                      <w:rFonts w:hint="eastAsia"/>
                      <w:bCs/>
                      <w:color w:val="auto"/>
                      <w:szCs w:val="21"/>
                    </w:rPr>
                  </w:pPr>
                  <w:r>
                    <w:rPr>
                      <w:rFonts w:hint="eastAsia"/>
                      <w:bCs/>
                      <w:color w:val="auto"/>
                      <w:szCs w:val="21"/>
                    </w:rPr>
                    <w:t>防渗类型</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6" w:space="0"/>
                </w:tblBorders>
                <w:tblCellMar>
                  <w:top w:w="0" w:type="dxa"/>
                  <w:left w:w="0" w:type="dxa"/>
                  <w:bottom w:w="0" w:type="dxa"/>
                  <w:right w:w="0" w:type="dxa"/>
                </w:tblCellMar>
              </w:tblPrEx>
              <w:trPr>
                <w:trHeight w:val="807" w:hRule="atLeast"/>
                <w:jc w:val="center"/>
              </w:trPr>
              <w:tc>
                <w:tcPr>
                  <w:tcW w:w="483" w:type="dxa"/>
                  <w:noWrap w:val="0"/>
                  <w:vAlign w:val="center"/>
                </w:tcPr>
                <w:p>
                  <w:pPr>
                    <w:tabs>
                      <w:tab w:val="left" w:pos="720"/>
                    </w:tabs>
                    <w:jc w:val="center"/>
                    <w:rPr>
                      <w:rFonts w:hint="eastAsia"/>
                      <w:bCs/>
                      <w:color w:val="auto"/>
                      <w:szCs w:val="21"/>
                    </w:rPr>
                  </w:pPr>
                  <w:r>
                    <w:rPr>
                      <w:rFonts w:hint="eastAsia"/>
                      <w:bCs/>
                      <w:color w:val="auto"/>
                      <w:szCs w:val="21"/>
                    </w:rPr>
                    <w:t>1</w:t>
                  </w:r>
                </w:p>
              </w:tc>
              <w:tc>
                <w:tcPr>
                  <w:tcW w:w="1691" w:type="dxa"/>
                  <w:noWrap w:val="0"/>
                  <w:vAlign w:val="center"/>
                </w:tcPr>
                <w:p>
                  <w:pPr>
                    <w:tabs>
                      <w:tab w:val="left" w:pos="720"/>
                    </w:tabs>
                    <w:jc w:val="center"/>
                    <w:rPr>
                      <w:rFonts w:hint="default" w:ascii="Times New Roman" w:hAnsi="Times New Roman" w:eastAsia="宋体" w:cs="Times New Roman"/>
                      <w:bCs/>
                      <w:color w:val="auto"/>
                      <w:szCs w:val="21"/>
                      <w:highlight w:val="green"/>
                      <w:lang w:val="en-US" w:eastAsia="zh-CN"/>
                    </w:rPr>
                  </w:pPr>
                  <w:r>
                    <w:rPr>
                      <w:rFonts w:hint="eastAsia" w:cs="Times New Roman"/>
                      <w:bCs/>
                      <w:color w:val="auto"/>
                      <w:szCs w:val="21"/>
                      <w:lang w:val="en-US" w:eastAsia="zh-CN"/>
                    </w:rPr>
                    <w:t>生产区、</w:t>
                  </w:r>
                  <w:r>
                    <w:rPr>
                      <w:rFonts w:hint="eastAsia" w:ascii="Times New Roman" w:hAnsi="Times New Roman" w:eastAsia="宋体" w:cs="Times New Roman"/>
                      <w:bCs/>
                      <w:color w:val="auto"/>
                      <w:szCs w:val="21"/>
                      <w:lang w:val="en-US" w:eastAsia="zh-CN"/>
                    </w:rPr>
                    <w:t>危废暂存间</w:t>
                  </w:r>
                  <w:r>
                    <w:rPr>
                      <w:rFonts w:hint="eastAsia" w:cs="Times New Roman"/>
                      <w:bCs/>
                      <w:color w:val="auto"/>
                      <w:szCs w:val="21"/>
                      <w:lang w:val="en-US" w:eastAsia="zh-CN"/>
                    </w:rPr>
                    <w:t>、原材料仓库区、成品堆放区</w:t>
                  </w:r>
                </w:p>
              </w:tc>
              <w:tc>
                <w:tcPr>
                  <w:tcW w:w="3040" w:type="dxa"/>
                  <w:noWrap w:val="0"/>
                  <w:vAlign w:val="center"/>
                </w:tcPr>
                <w:p>
                  <w:pPr>
                    <w:tabs>
                      <w:tab w:val="left" w:pos="720"/>
                    </w:tabs>
                    <w:jc w:val="center"/>
                    <w:rPr>
                      <w:rFonts w:hint="eastAsia" w:eastAsia="宋体"/>
                      <w:bCs/>
                      <w:color w:val="auto"/>
                      <w:szCs w:val="21"/>
                      <w:lang w:val="en-US" w:eastAsia="zh-CN"/>
                    </w:rPr>
                  </w:pPr>
                  <w:r>
                    <w:rPr>
                      <w:rFonts w:hint="eastAsia"/>
                      <w:bCs/>
                      <w:color w:val="auto"/>
                      <w:szCs w:val="21"/>
                    </w:rPr>
                    <w:t>采用人工合成材料+混凝土+环氧树脂</w:t>
                  </w:r>
                  <w:r>
                    <w:rPr>
                      <w:rFonts w:hint="eastAsia"/>
                      <w:bCs/>
                      <w:color w:val="auto"/>
                      <w:szCs w:val="21"/>
                      <w:lang w:val="en-US" w:eastAsia="zh-CN"/>
                    </w:rPr>
                    <w:t>地秤</w:t>
                  </w:r>
                </w:p>
              </w:tc>
              <w:tc>
                <w:tcPr>
                  <w:tcW w:w="2354" w:type="dxa"/>
                  <w:noWrap w:val="0"/>
                  <w:vAlign w:val="center"/>
                </w:tcPr>
                <w:p>
                  <w:pPr>
                    <w:tabs>
                      <w:tab w:val="left" w:pos="720"/>
                    </w:tabs>
                    <w:jc w:val="center"/>
                    <w:rPr>
                      <w:rFonts w:hint="eastAsia"/>
                      <w:bCs/>
                      <w:color w:val="auto"/>
                      <w:szCs w:val="21"/>
                    </w:rPr>
                  </w:pPr>
                  <w:r>
                    <w:rPr>
                      <w:rFonts w:hint="eastAsia"/>
                      <w:bCs/>
                      <w:color w:val="auto"/>
                      <w:szCs w:val="21"/>
                    </w:rPr>
                    <w:t>K≤</w:t>
                  </w:r>
                  <w:r>
                    <w:rPr>
                      <w:rFonts w:hint="eastAsia"/>
                      <w:color w:val="auto"/>
                      <w:sz w:val="24"/>
                    </w:rPr>
                    <w:t>10</w:t>
                  </w:r>
                  <w:r>
                    <w:rPr>
                      <w:rFonts w:hint="eastAsia"/>
                      <w:color w:val="auto"/>
                      <w:sz w:val="24"/>
                      <w:vertAlign w:val="superscript"/>
                    </w:rPr>
                    <w:t>-10</w:t>
                  </w:r>
                  <w:r>
                    <w:rPr>
                      <w:rFonts w:hint="eastAsia"/>
                      <w:bCs/>
                      <w:color w:val="auto"/>
                      <w:szCs w:val="21"/>
                    </w:rPr>
                    <w:t>cm/s； 或参照GB18598执行</w:t>
                  </w:r>
                </w:p>
              </w:tc>
              <w:tc>
                <w:tcPr>
                  <w:tcW w:w="817" w:type="dxa"/>
                  <w:noWrap w:val="0"/>
                  <w:vAlign w:val="center"/>
                </w:tcPr>
                <w:p>
                  <w:pPr>
                    <w:tabs>
                      <w:tab w:val="left" w:pos="720"/>
                    </w:tabs>
                    <w:jc w:val="center"/>
                    <w:rPr>
                      <w:rFonts w:hint="eastAsia"/>
                      <w:bCs/>
                      <w:color w:val="auto"/>
                      <w:szCs w:val="21"/>
                    </w:rPr>
                  </w:pPr>
                  <w:r>
                    <w:rPr>
                      <w:rFonts w:hint="eastAsia"/>
                      <w:bCs/>
                      <w:color w:val="auto"/>
                      <w:szCs w:val="21"/>
                    </w:rPr>
                    <w:t>重点防渗区</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6" w:space="0"/>
                </w:tblBorders>
                <w:tblCellMar>
                  <w:top w:w="0" w:type="dxa"/>
                  <w:left w:w="0" w:type="dxa"/>
                  <w:bottom w:w="0" w:type="dxa"/>
                  <w:right w:w="0" w:type="dxa"/>
                </w:tblCellMar>
              </w:tblPrEx>
              <w:trPr>
                <w:trHeight w:val="817" w:hRule="atLeast"/>
                <w:jc w:val="center"/>
              </w:trPr>
              <w:tc>
                <w:tcPr>
                  <w:tcW w:w="483" w:type="dxa"/>
                  <w:noWrap w:val="0"/>
                  <w:vAlign w:val="center"/>
                </w:tcPr>
                <w:p>
                  <w:pPr>
                    <w:tabs>
                      <w:tab w:val="left" w:pos="720"/>
                    </w:tabs>
                    <w:jc w:val="center"/>
                    <w:rPr>
                      <w:bCs/>
                      <w:color w:val="auto"/>
                      <w:szCs w:val="21"/>
                    </w:rPr>
                  </w:pPr>
                  <w:r>
                    <w:rPr>
                      <w:rFonts w:hint="eastAsia"/>
                      <w:bCs/>
                      <w:color w:val="auto"/>
                      <w:szCs w:val="21"/>
                    </w:rPr>
                    <w:t>2</w:t>
                  </w:r>
                </w:p>
              </w:tc>
              <w:tc>
                <w:tcPr>
                  <w:tcW w:w="1691" w:type="dxa"/>
                  <w:noWrap w:val="0"/>
                  <w:vAlign w:val="center"/>
                </w:tcPr>
                <w:p>
                  <w:pPr>
                    <w:tabs>
                      <w:tab w:val="left" w:pos="720"/>
                    </w:tabs>
                    <w:jc w:val="center"/>
                    <w:rPr>
                      <w:rFonts w:hint="eastAsia" w:ascii="Times New Roman" w:hAnsi="Times New Roman" w:eastAsia="宋体" w:cs="Times New Roman"/>
                      <w:bCs/>
                      <w:color w:val="auto"/>
                      <w:szCs w:val="21"/>
                      <w:highlight w:val="green"/>
                    </w:rPr>
                  </w:pPr>
                  <w:r>
                    <w:rPr>
                      <w:rFonts w:hint="eastAsia" w:cs="Times New Roman"/>
                      <w:bCs/>
                      <w:color w:val="auto"/>
                      <w:szCs w:val="21"/>
                      <w:highlight w:val="none"/>
                      <w:lang w:eastAsia="zh-CN"/>
                    </w:rPr>
                    <w:t>一般固废间、</w:t>
                  </w:r>
                  <w:r>
                    <w:rPr>
                      <w:rFonts w:hint="eastAsia" w:ascii="Times New Roman" w:hAnsi="Times New Roman" w:eastAsia="宋体" w:cs="Times New Roman"/>
                      <w:bCs/>
                      <w:color w:val="auto"/>
                      <w:szCs w:val="21"/>
                      <w:highlight w:val="none"/>
                    </w:rPr>
                    <w:t>其他仓库区域</w:t>
                  </w:r>
                </w:p>
              </w:tc>
              <w:tc>
                <w:tcPr>
                  <w:tcW w:w="3040" w:type="dxa"/>
                  <w:noWrap w:val="0"/>
                  <w:vAlign w:val="center"/>
                </w:tcPr>
                <w:p>
                  <w:pPr>
                    <w:tabs>
                      <w:tab w:val="left" w:pos="720"/>
                    </w:tabs>
                    <w:jc w:val="center"/>
                    <w:rPr>
                      <w:rFonts w:hint="eastAsia"/>
                      <w:bCs/>
                      <w:color w:val="auto"/>
                      <w:szCs w:val="21"/>
                    </w:rPr>
                  </w:pPr>
                  <w:r>
                    <w:rPr>
                      <w:rFonts w:hint="eastAsia"/>
                      <w:bCs/>
                      <w:color w:val="auto"/>
                      <w:szCs w:val="21"/>
                    </w:rPr>
                    <w:t>采用混凝土硬化</w:t>
                  </w:r>
                </w:p>
              </w:tc>
              <w:tc>
                <w:tcPr>
                  <w:tcW w:w="2354" w:type="dxa"/>
                  <w:noWrap w:val="0"/>
                  <w:vAlign w:val="center"/>
                </w:tcPr>
                <w:p>
                  <w:pPr>
                    <w:tabs>
                      <w:tab w:val="left" w:pos="720"/>
                    </w:tabs>
                    <w:jc w:val="center"/>
                    <w:rPr>
                      <w:rFonts w:hint="eastAsia"/>
                      <w:bCs/>
                      <w:color w:val="auto"/>
                      <w:szCs w:val="21"/>
                    </w:rPr>
                  </w:pPr>
                  <w:r>
                    <w:rPr>
                      <w:rFonts w:hint="eastAsia"/>
                      <w:bCs/>
                      <w:color w:val="auto"/>
                      <w:szCs w:val="21"/>
                    </w:rPr>
                    <w:t>等效黏土防渗层Mb≥1.5m，K≤10</w:t>
                  </w:r>
                  <w:r>
                    <w:rPr>
                      <w:rFonts w:hint="eastAsia"/>
                      <w:bCs/>
                      <w:color w:val="auto"/>
                      <w:szCs w:val="21"/>
                      <w:vertAlign w:val="superscript"/>
                    </w:rPr>
                    <w:t>-7</w:t>
                  </w:r>
                  <w:r>
                    <w:rPr>
                      <w:rFonts w:hint="eastAsia"/>
                      <w:bCs/>
                      <w:color w:val="auto"/>
                      <w:szCs w:val="21"/>
                    </w:rPr>
                    <w:t>cm/s；</w:t>
                  </w:r>
                </w:p>
                <w:p>
                  <w:pPr>
                    <w:tabs>
                      <w:tab w:val="left" w:pos="720"/>
                    </w:tabs>
                    <w:jc w:val="center"/>
                    <w:rPr>
                      <w:rFonts w:hint="eastAsia"/>
                      <w:bCs/>
                      <w:color w:val="auto"/>
                      <w:szCs w:val="21"/>
                    </w:rPr>
                  </w:pPr>
                  <w:r>
                    <w:rPr>
                      <w:rFonts w:hint="eastAsia"/>
                      <w:bCs/>
                      <w:color w:val="auto"/>
                      <w:szCs w:val="21"/>
                    </w:rPr>
                    <w:t>或参照 GB16889 执行</w:t>
                  </w:r>
                </w:p>
              </w:tc>
              <w:tc>
                <w:tcPr>
                  <w:tcW w:w="817" w:type="dxa"/>
                  <w:noWrap w:val="0"/>
                  <w:vAlign w:val="center"/>
                </w:tcPr>
                <w:p>
                  <w:pPr>
                    <w:tabs>
                      <w:tab w:val="left" w:pos="720"/>
                    </w:tabs>
                    <w:jc w:val="center"/>
                    <w:rPr>
                      <w:rFonts w:hint="eastAsia"/>
                      <w:bCs/>
                      <w:color w:val="auto"/>
                      <w:szCs w:val="21"/>
                    </w:rPr>
                  </w:pPr>
                  <w:r>
                    <w:rPr>
                      <w:rFonts w:hint="eastAsia"/>
                      <w:bCs/>
                      <w:color w:val="auto"/>
                      <w:szCs w:val="21"/>
                    </w:rPr>
                    <w:t>一般防渗区</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6" w:space="0"/>
                </w:tblBorders>
                <w:tblCellMar>
                  <w:top w:w="0" w:type="dxa"/>
                  <w:left w:w="0" w:type="dxa"/>
                  <w:bottom w:w="0" w:type="dxa"/>
                  <w:right w:w="0" w:type="dxa"/>
                </w:tblCellMar>
              </w:tblPrEx>
              <w:trPr>
                <w:trHeight w:val="816" w:hRule="atLeast"/>
                <w:jc w:val="center"/>
              </w:trPr>
              <w:tc>
                <w:tcPr>
                  <w:tcW w:w="483" w:type="dxa"/>
                  <w:noWrap w:val="0"/>
                  <w:vAlign w:val="center"/>
                </w:tcPr>
                <w:p>
                  <w:pPr>
                    <w:tabs>
                      <w:tab w:val="left" w:pos="720"/>
                    </w:tabs>
                    <w:jc w:val="center"/>
                    <w:rPr>
                      <w:bCs/>
                      <w:color w:val="auto"/>
                      <w:szCs w:val="21"/>
                    </w:rPr>
                  </w:pPr>
                  <w:r>
                    <w:rPr>
                      <w:rFonts w:hint="eastAsia"/>
                      <w:bCs/>
                      <w:color w:val="auto"/>
                      <w:szCs w:val="21"/>
                    </w:rPr>
                    <w:t>3</w:t>
                  </w:r>
                </w:p>
              </w:tc>
              <w:tc>
                <w:tcPr>
                  <w:tcW w:w="1691" w:type="dxa"/>
                  <w:noWrap w:val="0"/>
                  <w:vAlign w:val="center"/>
                </w:tcPr>
                <w:p>
                  <w:pPr>
                    <w:tabs>
                      <w:tab w:val="left" w:pos="720"/>
                    </w:tabs>
                    <w:jc w:val="center"/>
                    <w:rPr>
                      <w:rFonts w:hint="eastAsia" w:ascii="Times New Roman" w:hAnsi="Times New Roman" w:eastAsia="宋体" w:cs="Times New Roman"/>
                      <w:bCs/>
                      <w:color w:val="auto"/>
                      <w:szCs w:val="21"/>
                      <w:highlight w:val="green"/>
                    </w:rPr>
                  </w:pPr>
                  <w:r>
                    <w:rPr>
                      <w:rFonts w:hint="eastAsia" w:ascii="Times New Roman" w:hAnsi="Times New Roman" w:eastAsia="宋体" w:cs="Times New Roman"/>
                      <w:bCs/>
                      <w:color w:val="auto"/>
                      <w:szCs w:val="21"/>
                      <w:highlight w:val="none"/>
                    </w:rPr>
                    <w:t>除重点防渗区、一般防渗区外的区域</w:t>
                  </w:r>
                </w:p>
              </w:tc>
              <w:tc>
                <w:tcPr>
                  <w:tcW w:w="3040" w:type="dxa"/>
                  <w:noWrap w:val="0"/>
                  <w:vAlign w:val="center"/>
                </w:tcPr>
                <w:p>
                  <w:pPr>
                    <w:tabs>
                      <w:tab w:val="left" w:pos="720"/>
                    </w:tabs>
                    <w:jc w:val="center"/>
                    <w:rPr>
                      <w:rFonts w:hint="eastAsia"/>
                      <w:bCs/>
                      <w:color w:val="auto"/>
                      <w:szCs w:val="21"/>
                    </w:rPr>
                  </w:pPr>
                  <w:r>
                    <w:rPr>
                      <w:rFonts w:hint="eastAsia"/>
                      <w:bCs/>
                      <w:color w:val="auto"/>
                      <w:szCs w:val="21"/>
                    </w:rPr>
                    <w:t>一般地面硬化</w:t>
                  </w:r>
                </w:p>
              </w:tc>
              <w:tc>
                <w:tcPr>
                  <w:tcW w:w="2354" w:type="dxa"/>
                  <w:noWrap w:val="0"/>
                  <w:vAlign w:val="center"/>
                </w:tcPr>
                <w:p>
                  <w:pPr>
                    <w:tabs>
                      <w:tab w:val="left" w:pos="720"/>
                    </w:tabs>
                    <w:jc w:val="center"/>
                    <w:rPr>
                      <w:rFonts w:hint="eastAsia"/>
                      <w:bCs/>
                      <w:color w:val="auto"/>
                      <w:szCs w:val="21"/>
                    </w:rPr>
                  </w:pPr>
                  <w:r>
                    <w:rPr>
                      <w:rFonts w:hint="eastAsia"/>
                      <w:bCs/>
                      <w:color w:val="auto"/>
                      <w:szCs w:val="21"/>
                    </w:rPr>
                    <w:t>一般地面硬化</w:t>
                  </w:r>
                </w:p>
              </w:tc>
              <w:tc>
                <w:tcPr>
                  <w:tcW w:w="817" w:type="dxa"/>
                  <w:noWrap w:val="0"/>
                  <w:vAlign w:val="center"/>
                </w:tcPr>
                <w:p>
                  <w:pPr>
                    <w:tabs>
                      <w:tab w:val="left" w:pos="720"/>
                    </w:tabs>
                    <w:jc w:val="center"/>
                    <w:rPr>
                      <w:rFonts w:hint="eastAsia"/>
                      <w:bCs/>
                      <w:color w:val="auto"/>
                      <w:szCs w:val="21"/>
                    </w:rPr>
                  </w:pPr>
                  <w:r>
                    <w:rPr>
                      <w:rFonts w:hint="eastAsia"/>
                      <w:bCs/>
                      <w:color w:val="auto"/>
                      <w:szCs w:val="21"/>
                    </w:rPr>
                    <w:t>简单防渗区</w:t>
                  </w:r>
                </w:p>
              </w:tc>
            </w:tr>
          </w:tbl>
          <w:p>
            <w:pPr>
              <w:pStyle w:val="85"/>
              <w:spacing w:line="360" w:lineRule="auto"/>
              <w:rPr>
                <w:rFonts w:hint="eastAsia"/>
                <w:color w:val="auto"/>
                <w:lang w:eastAsia="zh-CN"/>
              </w:rPr>
            </w:pPr>
          </w:p>
          <w:p>
            <w:pPr>
              <w:pStyle w:val="85"/>
              <w:spacing w:line="360" w:lineRule="auto"/>
              <w:rPr>
                <w:color w:val="auto"/>
              </w:rPr>
            </w:pPr>
            <w:r>
              <w:rPr>
                <w:rFonts w:hint="eastAsia"/>
                <w:color w:val="auto"/>
                <w:lang w:eastAsia="zh-CN"/>
              </w:rPr>
              <w:t>（</w:t>
            </w:r>
            <w:r>
              <w:rPr>
                <w:rFonts w:hint="eastAsia"/>
                <w:color w:val="auto"/>
              </w:rPr>
              <w:t>3</w:t>
            </w:r>
            <w:r>
              <w:rPr>
                <w:rFonts w:hint="eastAsia"/>
                <w:color w:val="auto"/>
                <w:lang w:eastAsia="zh-CN"/>
              </w:rPr>
              <w:t>）</w:t>
            </w:r>
            <w:r>
              <w:rPr>
                <w:color w:val="auto"/>
              </w:rPr>
              <w:t>分区防渗措施评述</w:t>
            </w:r>
          </w:p>
          <w:p>
            <w:pPr>
              <w:pStyle w:val="85"/>
              <w:spacing w:line="360" w:lineRule="auto"/>
              <w:rPr>
                <w:color w:val="auto"/>
              </w:rPr>
            </w:pPr>
            <w:r>
              <w:rPr>
                <w:color w:val="auto"/>
              </w:rPr>
              <w:t>在项目采取防渗措施后，其各种状况下的污染物对</w:t>
            </w:r>
            <w:r>
              <w:rPr>
                <w:rFonts w:hint="eastAsia"/>
                <w:color w:val="auto"/>
                <w:sz w:val="24"/>
              </w:rPr>
              <w:t>地下水</w:t>
            </w:r>
            <w:r>
              <w:rPr>
                <w:rFonts w:hint="eastAsia"/>
                <w:color w:val="auto"/>
                <w:sz w:val="24"/>
                <w:lang w:eastAsia="zh-CN"/>
              </w:rPr>
              <w:t>、</w:t>
            </w:r>
            <w:r>
              <w:rPr>
                <w:rFonts w:hint="eastAsia"/>
                <w:color w:val="auto"/>
                <w:sz w:val="24"/>
                <w:lang w:val="en-US" w:eastAsia="zh-CN"/>
              </w:rPr>
              <w:t>土壤</w:t>
            </w:r>
            <w:r>
              <w:rPr>
                <w:color w:val="auto"/>
              </w:rPr>
              <w:t>的影响能达到环境的要求。更好的保护</w:t>
            </w:r>
            <w:r>
              <w:rPr>
                <w:rFonts w:hint="eastAsia"/>
                <w:color w:val="auto"/>
                <w:sz w:val="24"/>
              </w:rPr>
              <w:t>地下水</w:t>
            </w:r>
            <w:r>
              <w:rPr>
                <w:rFonts w:hint="eastAsia"/>
                <w:color w:val="auto"/>
                <w:sz w:val="24"/>
                <w:lang w:eastAsia="zh-CN"/>
              </w:rPr>
              <w:t>、</w:t>
            </w:r>
            <w:r>
              <w:rPr>
                <w:rFonts w:hint="eastAsia"/>
                <w:color w:val="auto"/>
                <w:sz w:val="24"/>
                <w:lang w:val="en-US" w:eastAsia="zh-CN"/>
              </w:rPr>
              <w:t>土壤</w:t>
            </w:r>
            <w:r>
              <w:rPr>
                <w:color w:val="auto"/>
              </w:rPr>
              <w:t>环境，本项目环评提出防渗措施的标准和要求。其中对场地内一般防渗区域提出的防渗要求要达到</w:t>
            </w:r>
            <w:r>
              <w:rPr>
                <w:rFonts w:hint="eastAsia"/>
                <w:color w:val="auto"/>
              </w:rPr>
              <w:t>《一般工业固体废物贮存和填埋污染控制标准》（GB18599－2020）</w:t>
            </w:r>
            <w:r>
              <w:rPr>
                <w:color w:val="auto"/>
              </w:rPr>
              <w:t>的防渗标准，防渗目标及防渗分区明确，防渗要求严格，以防止事故状态下对环境造成影响。</w:t>
            </w:r>
          </w:p>
          <w:p>
            <w:pPr>
              <w:pStyle w:val="85"/>
              <w:spacing w:line="360" w:lineRule="auto"/>
              <w:rPr>
                <w:rFonts w:hint="eastAsia"/>
                <w:color w:val="auto"/>
              </w:rPr>
            </w:pPr>
            <w:r>
              <w:rPr>
                <w:color w:val="auto"/>
              </w:rPr>
              <w:t>在充分落实以上地下水防渗措施的前提下，项目建设能达到保护</w:t>
            </w:r>
            <w:r>
              <w:rPr>
                <w:rFonts w:hint="eastAsia"/>
                <w:color w:val="auto"/>
                <w:sz w:val="24"/>
              </w:rPr>
              <w:t>地下水</w:t>
            </w:r>
            <w:r>
              <w:rPr>
                <w:rFonts w:hint="eastAsia"/>
                <w:color w:val="auto"/>
                <w:sz w:val="24"/>
                <w:lang w:eastAsia="zh-CN"/>
              </w:rPr>
              <w:t>、</w:t>
            </w:r>
            <w:r>
              <w:rPr>
                <w:rFonts w:hint="eastAsia"/>
                <w:color w:val="auto"/>
                <w:sz w:val="24"/>
                <w:lang w:val="en-US" w:eastAsia="zh-CN"/>
              </w:rPr>
              <w:t>土壤</w:t>
            </w:r>
            <w:r>
              <w:rPr>
                <w:color w:val="auto"/>
              </w:rPr>
              <w:t>环境的目的。</w:t>
            </w:r>
          </w:p>
          <w:p>
            <w:pPr>
              <w:pStyle w:val="85"/>
              <w:spacing w:line="360" w:lineRule="auto"/>
              <w:rPr>
                <w:rFonts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lang w:val="en-US" w:eastAsia="zh-CN"/>
              </w:rPr>
              <w:t>六、</w:t>
            </w:r>
            <w:r>
              <w:rPr>
                <w:rFonts w:ascii="Times New Roman" w:hAnsi="Times New Roman" w:eastAsia="宋体" w:cs="Times New Roman"/>
                <w:color w:val="auto"/>
                <w:highlight w:val="none"/>
                <w:lang w:val="en-US" w:eastAsia="zh-CN"/>
              </w:rPr>
              <w:t>环境风险影响分析</w:t>
            </w:r>
          </w:p>
          <w:p>
            <w:pPr>
              <w:pStyle w:val="85"/>
              <w:spacing w:line="360" w:lineRule="auto"/>
              <w:rPr>
                <w:rFonts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环境风险评价的目的是分析和预测建设项目存在的潜在危险、有害因素，建设项目建设和运营期间可能发生的突发事件或事故（一般不包括人为破坏及自然灾害），引起有毒有害和易燃易爆等物质泄漏，所造成的人身安全与环境影响和损害程度，提出合理可行的防范、应急与减缓措施，以使建设项目事故率、损失和环境影响达到可接受水平。</w:t>
            </w:r>
          </w:p>
          <w:p>
            <w:pPr>
              <w:topLinePunct/>
              <w:spacing w:line="360" w:lineRule="auto"/>
              <w:ind w:firstLine="480" w:firstLineChars="200"/>
              <w:outlineLvl w:val="2"/>
              <w:rPr>
                <w:rFonts w:hint="eastAsia" w:eastAsia="宋体"/>
                <w:bCs/>
                <w:color w:val="auto"/>
                <w:sz w:val="24"/>
                <w:lang w:eastAsia="zh-CN"/>
              </w:rPr>
            </w:pPr>
            <w:r>
              <w:rPr>
                <w:rFonts w:hint="eastAsia"/>
                <w:bCs/>
                <w:color w:val="auto"/>
                <w:sz w:val="24"/>
                <w:lang w:eastAsia="zh-CN"/>
              </w:rPr>
              <w:t>（</w:t>
            </w:r>
            <w:r>
              <w:rPr>
                <w:rFonts w:hint="eastAsia"/>
                <w:bCs/>
                <w:color w:val="auto"/>
                <w:sz w:val="24"/>
                <w:lang w:val="en-US" w:eastAsia="zh-CN"/>
              </w:rPr>
              <w:t>1</w:t>
            </w:r>
            <w:r>
              <w:rPr>
                <w:rFonts w:hint="eastAsia"/>
                <w:bCs/>
                <w:color w:val="auto"/>
                <w:sz w:val="24"/>
                <w:lang w:eastAsia="zh-CN"/>
              </w:rPr>
              <w:t>）</w:t>
            </w:r>
            <w:r>
              <w:rPr>
                <w:bCs/>
                <w:color w:val="auto"/>
                <w:sz w:val="24"/>
              </w:rPr>
              <w:t>风险物质</w:t>
            </w:r>
            <w:r>
              <w:rPr>
                <w:rFonts w:hint="eastAsia"/>
                <w:bCs/>
                <w:color w:val="auto"/>
                <w:sz w:val="24"/>
                <w:lang w:val="en-US" w:eastAsia="zh-CN"/>
              </w:rPr>
              <w:t>调查</w:t>
            </w:r>
          </w:p>
          <w:p>
            <w:pPr>
              <w:topLinePunct/>
              <w:spacing w:line="360" w:lineRule="auto"/>
              <w:ind w:firstLine="480" w:firstLineChars="200"/>
              <w:outlineLvl w:val="2"/>
              <w:rPr>
                <w:b/>
                <w:color w:val="auto"/>
                <w:sz w:val="24"/>
              </w:rPr>
            </w:pPr>
            <w:r>
              <w:rPr>
                <w:color w:val="auto"/>
                <w:kern w:val="0"/>
                <w:sz w:val="24"/>
                <w:lang w:bidi="ar"/>
              </w:rPr>
              <w:t>项目在生产过程中使用的主要危险物质见下表：</w:t>
            </w:r>
          </w:p>
          <w:p>
            <w:pPr>
              <w:spacing w:line="360" w:lineRule="auto"/>
              <w:jc w:val="center"/>
              <w:rPr>
                <w:rFonts w:hint="eastAsia"/>
                <w:b/>
                <w:color w:val="auto"/>
              </w:rPr>
            </w:pPr>
            <w:r>
              <w:rPr>
                <w:b/>
                <w:color w:val="auto"/>
                <w:szCs w:val="21"/>
                <w:highlight w:val="none"/>
              </w:rPr>
              <w:t>表4-</w:t>
            </w:r>
            <w:r>
              <w:rPr>
                <w:rFonts w:hint="eastAsia"/>
                <w:b/>
                <w:color w:val="auto"/>
                <w:szCs w:val="21"/>
                <w:highlight w:val="none"/>
                <w:lang w:val="en-US" w:eastAsia="zh-CN"/>
              </w:rPr>
              <w:t>20</w:t>
            </w:r>
            <w:r>
              <w:rPr>
                <w:b/>
                <w:color w:val="auto"/>
                <w:szCs w:val="21"/>
                <w:highlight w:val="none"/>
              </w:rPr>
              <w:t xml:space="preserve"> </w:t>
            </w:r>
            <w:r>
              <w:rPr>
                <w:rFonts w:hint="eastAsia"/>
                <w:b/>
                <w:color w:val="auto"/>
                <w:szCs w:val="21"/>
                <w:lang w:val="en-US" w:eastAsia="zh-CN"/>
              </w:rPr>
              <w:t>风险调查</w:t>
            </w:r>
            <w:r>
              <w:rPr>
                <w:b/>
                <w:bCs/>
                <w:color w:val="auto"/>
                <w:szCs w:val="21"/>
              </w:rPr>
              <w:t>一览表</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3856"/>
              <w:gridCol w:w="1479"/>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noWrap w:val="0"/>
                  <w:vAlign w:val="center"/>
                </w:tcPr>
                <w:p>
                  <w:pPr>
                    <w:jc w:val="center"/>
                    <w:rPr>
                      <w:rFonts w:hint="eastAsia" w:eastAsia="宋体"/>
                      <w:color w:val="auto"/>
                      <w:highlight w:val="none"/>
                      <w:lang w:val="en-US" w:eastAsia="zh-CN"/>
                    </w:rPr>
                  </w:pPr>
                  <w:r>
                    <w:rPr>
                      <w:rFonts w:hint="eastAsia"/>
                      <w:color w:val="auto"/>
                      <w:highlight w:val="none"/>
                      <w:lang w:val="en-US" w:eastAsia="zh-CN"/>
                    </w:rPr>
                    <w:t>序号</w:t>
                  </w:r>
                </w:p>
              </w:tc>
              <w:tc>
                <w:tcPr>
                  <w:tcW w:w="2279" w:type="pct"/>
                  <w:noWrap w:val="0"/>
                  <w:vAlign w:val="center"/>
                </w:tcPr>
                <w:p>
                  <w:pPr>
                    <w:jc w:val="center"/>
                    <w:rPr>
                      <w:color w:val="auto"/>
                      <w:highlight w:val="none"/>
                    </w:rPr>
                  </w:pPr>
                  <w:r>
                    <w:rPr>
                      <w:color w:val="auto"/>
                      <w:highlight w:val="none"/>
                    </w:rPr>
                    <w:t>名称</w:t>
                  </w:r>
                </w:p>
              </w:tc>
              <w:tc>
                <w:tcPr>
                  <w:tcW w:w="874" w:type="pct"/>
                  <w:noWrap w:val="0"/>
                  <w:vAlign w:val="center"/>
                </w:tcPr>
                <w:p>
                  <w:pPr>
                    <w:jc w:val="center"/>
                    <w:rPr>
                      <w:color w:val="auto"/>
                      <w:highlight w:val="none"/>
                    </w:rPr>
                  </w:pPr>
                  <w:r>
                    <w:rPr>
                      <w:color w:val="auto"/>
                      <w:highlight w:val="none"/>
                    </w:rPr>
                    <w:t>状态</w:t>
                  </w:r>
                </w:p>
              </w:tc>
              <w:tc>
                <w:tcPr>
                  <w:tcW w:w="1349" w:type="pct"/>
                  <w:noWrap w:val="0"/>
                  <w:vAlign w:val="center"/>
                </w:tcPr>
                <w:p>
                  <w:pPr>
                    <w:jc w:val="center"/>
                    <w:rPr>
                      <w:rFonts w:hint="eastAsia" w:eastAsia="宋体"/>
                      <w:color w:val="auto"/>
                      <w:highlight w:val="none"/>
                      <w:lang w:eastAsia="zh-CN"/>
                    </w:rPr>
                  </w:pPr>
                  <w:r>
                    <w:rPr>
                      <w:color w:val="auto"/>
                      <w:highlight w:val="none"/>
                    </w:rPr>
                    <w:t>最大储存量</w:t>
                  </w:r>
                  <w:r>
                    <w:rPr>
                      <w:rFonts w:hint="eastAsia"/>
                      <w:color w:val="auto"/>
                      <w:highlight w:val="none"/>
                      <w:lang w:eastAsia="zh-CN"/>
                    </w:rPr>
                    <w:t>（</w:t>
                  </w:r>
                  <w:r>
                    <w:rPr>
                      <w:rFonts w:hint="eastAsia"/>
                      <w:color w:val="auto"/>
                      <w:highlight w:val="none"/>
                      <w:lang w:val="en-US" w:eastAsia="zh-CN"/>
                    </w:rPr>
                    <w:t>t</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96" w:type="pct"/>
                  <w:noWrap w:val="0"/>
                  <w:vAlign w:val="center"/>
                </w:tcPr>
                <w:p>
                  <w:pPr>
                    <w:widowControl/>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2279" w:type="pct"/>
                  <w:noWrap w:val="0"/>
                  <w:vAlign w:val="center"/>
                </w:tcPr>
                <w:p>
                  <w:pPr>
                    <w:jc w:val="center"/>
                    <w:rPr>
                      <w:rFonts w:ascii="Times New Roman" w:hAnsi="Times New Roman" w:eastAsia="宋体" w:cs="Times New Roman"/>
                      <w:color w:val="auto"/>
                      <w:highlight w:val="none"/>
                    </w:rPr>
                  </w:pPr>
                  <w:r>
                    <w:rPr>
                      <w:rFonts w:hint="eastAsia"/>
                      <w:color w:val="auto"/>
                      <w:highlight w:val="none"/>
                      <w:lang w:eastAsia="zh-CN"/>
                    </w:rPr>
                    <w:t>氯化氢</w:t>
                  </w:r>
                </w:p>
              </w:tc>
              <w:tc>
                <w:tcPr>
                  <w:tcW w:w="874" w:type="pct"/>
                  <w:noWrap w:val="0"/>
                  <w:vAlign w:val="center"/>
                </w:tcPr>
                <w:p>
                  <w:pPr>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液体</w:t>
                  </w:r>
                </w:p>
              </w:tc>
              <w:tc>
                <w:tcPr>
                  <w:tcW w:w="1349" w:type="pct"/>
                  <w:noWrap w:val="0"/>
                  <w:vAlign w:val="center"/>
                </w:tcPr>
                <w:p>
                  <w:pPr>
                    <w:jc w:val="center"/>
                    <w:rPr>
                      <w:rFonts w:hint="default" w:ascii="Times New Roman" w:hAnsi="Times New Roman" w:eastAsia="宋体" w:cs="Times New Roman"/>
                      <w:color w:val="auto"/>
                      <w:highlight w:val="none"/>
                      <w:lang w:val="en-US" w:eastAsia="zh-CN"/>
                    </w:rPr>
                  </w:pPr>
                  <w:r>
                    <w:rPr>
                      <w:rFonts w:hint="eastAsia"/>
                      <w:color w:val="auto"/>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noWrap w:val="0"/>
                  <w:vAlign w:val="center"/>
                </w:tcPr>
                <w:p>
                  <w:pPr>
                    <w:widowControl/>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2279" w:type="pct"/>
                  <w:noWrap w:val="0"/>
                  <w:vAlign w:val="center"/>
                </w:tcPr>
                <w:p>
                  <w:pPr>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液压油</w:t>
                  </w:r>
                </w:p>
              </w:tc>
              <w:tc>
                <w:tcPr>
                  <w:tcW w:w="874" w:type="pct"/>
                  <w:noWrap w:val="0"/>
                  <w:vAlign w:val="center"/>
                </w:tcPr>
                <w:p>
                  <w:pPr>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液体</w:t>
                  </w:r>
                </w:p>
              </w:tc>
              <w:tc>
                <w:tcPr>
                  <w:tcW w:w="1349" w:type="pct"/>
                  <w:noWrap w:val="0"/>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w:t>
                  </w:r>
                  <w:r>
                    <w:rPr>
                      <w:rFonts w:hint="eastAsia" w:cs="Times New Roman"/>
                      <w:color w:val="auto"/>
                      <w:highlight w:val="none"/>
                      <w:lang w:val="en-US" w:eastAsia="zh-CN"/>
                    </w:rPr>
                    <w:t>04</w:t>
                  </w:r>
                </w:p>
              </w:tc>
            </w:tr>
          </w:tbl>
          <w:p>
            <w:pPr>
              <w:spacing w:line="360" w:lineRule="auto"/>
              <w:ind w:firstLine="240" w:firstLineChars="100"/>
              <w:rPr>
                <w:rFonts w:hint="eastAsia"/>
                <w:color w:val="auto"/>
                <w:kern w:val="0"/>
                <w:sz w:val="24"/>
                <w:lang w:eastAsia="zh-CN"/>
              </w:rPr>
            </w:pPr>
          </w:p>
          <w:p>
            <w:pPr>
              <w:spacing w:line="360" w:lineRule="auto"/>
              <w:ind w:firstLine="240" w:firstLineChars="100"/>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2</w:t>
            </w:r>
            <w:r>
              <w:rPr>
                <w:rFonts w:hint="eastAsia"/>
                <w:color w:val="auto"/>
                <w:kern w:val="0"/>
                <w:sz w:val="24"/>
                <w:lang w:eastAsia="zh-CN"/>
              </w:rPr>
              <w:t>）</w:t>
            </w:r>
            <w:r>
              <w:rPr>
                <w:color w:val="auto"/>
                <w:kern w:val="0"/>
                <w:sz w:val="24"/>
              </w:rPr>
              <w:t>环境风险潜势初判</w:t>
            </w:r>
          </w:p>
          <w:p>
            <w:pPr>
              <w:spacing w:line="360" w:lineRule="auto"/>
              <w:ind w:firstLine="482"/>
              <w:rPr>
                <w:color w:val="auto"/>
                <w:sz w:val="24"/>
              </w:rPr>
            </w:pPr>
            <w:r>
              <w:rPr>
                <w:color w:val="auto"/>
                <w:sz w:val="24"/>
              </w:rPr>
              <w:t>根据《建设项目环境风险评价技术导则》(HJ 169-2018)附录C，对危险物质及工艺系统危险性（P）的分级：</w:t>
            </w:r>
          </w:p>
          <w:p>
            <w:pPr>
              <w:spacing w:line="360" w:lineRule="auto"/>
              <w:ind w:firstLine="482"/>
              <w:rPr>
                <w:color w:val="auto"/>
                <w:sz w:val="24"/>
              </w:rPr>
            </w:pPr>
            <w:r>
              <w:rPr>
                <w:color w:val="auto"/>
                <w:sz w:val="24"/>
              </w:rPr>
              <w:t>①危险物质数量与临界量比值（Q）。</w:t>
            </w:r>
          </w:p>
          <w:p>
            <w:pPr>
              <w:spacing w:line="360" w:lineRule="auto"/>
              <w:ind w:firstLine="482"/>
              <w:rPr>
                <w:color w:val="auto"/>
                <w:sz w:val="24"/>
              </w:rPr>
            </w:pPr>
            <w:r>
              <w:rPr>
                <w:color w:val="auto"/>
                <w:sz w:val="24"/>
              </w:rPr>
              <w:t>当 Q&lt;1 时，该项目环境风险潜势为 I；当 Q≧1 时，将 Q 划分为（1）1≦Q&lt;10； 10≦Q&lt;100；（3）Q≧100</w:t>
            </w:r>
          </w:p>
          <w:p>
            <w:pPr>
              <w:spacing w:line="360" w:lineRule="auto"/>
              <w:ind w:firstLine="482"/>
              <w:rPr>
                <w:color w:val="auto"/>
                <w:sz w:val="24"/>
              </w:rPr>
            </w:pPr>
            <w:r>
              <w:rPr>
                <w:color w:val="auto"/>
                <w:sz w:val="24"/>
              </w:rPr>
              <w:t>当只涉及一种物质时，计算该物质的总量与其临界量比值，即为 Q；</w:t>
            </w:r>
          </w:p>
          <w:p>
            <w:pPr>
              <w:spacing w:line="360" w:lineRule="auto"/>
              <w:ind w:firstLine="482"/>
              <w:rPr>
                <w:color w:val="auto"/>
                <w:sz w:val="24"/>
              </w:rPr>
            </w:pPr>
            <w:r>
              <w:rPr>
                <w:color w:val="auto"/>
                <w:sz w:val="24"/>
              </w:rPr>
              <w:t>当存在多种危险物质时，则按下式计算物质总量与其临界量比值（Q）：</w:t>
            </w:r>
          </w:p>
          <w:p>
            <w:pPr>
              <w:spacing w:line="360" w:lineRule="auto"/>
              <w:ind w:firstLine="1200" w:firstLineChars="500"/>
              <w:rPr>
                <w:color w:val="auto"/>
                <w:sz w:val="24"/>
              </w:rPr>
            </w:pPr>
            <w:r>
              <w:rPr>
                <w:color w:val="auto"/>
                <w:sz w:val="24"/>
              </w:rPr>
              <w:t>Q=q1/Q1+q2/Q2+…..，+qn/Qn</w:t>
            </w:r>
          </w:p>
          <w:p>
            <w:pPr>
              <w:spacing w:line="360" w:lineRule="auto"/>
              <w:ind w:firstLine="482"/>
              <w:rPr>
                <w:color w:val="auto"/>
                <w:sz w:val="24"/>
              </w:rPr>
            </w:pPr>
            <w:r>
              <w:rPr>
                <w:color w:val="auto"/>
                <w:sz w:val="24"/>
              </w:rPr>
              <w:t>式中：q1、q2……qn ——每种危险物质最大存在量，t；</w:t>
            </w:r>
          </w:p>
          <w:p>
            <w:pPr>
              <w:spacing w:line="360" w:lineRule="auto"/>
              <w:ind w:firstLine="482"/>
              <w:rPr>
                <w:color w:val="auto"/>
                <w:sz w:val="24"/>
              </w:rPr>
            </w:pPr>
            <w:r>
              <w:rPr>
                <w:color w:val="auto"/>
                <w:sz w:val="24"/>
              </w:rPr>
              <w:t xml:space="preserve">      Q1、Q2……Qn ——每种危险物质的临界量，t。</w:t>
            </w:r>
          </w:p>
          <w:p>
            <w:pPr>
              <w:spacing w:line="360" w:lineRule="auto"/>
              <w:ind w:firstLine="482"/>
              <w:rPr>
                <w:rFonts w:ascii="Times New Roman" w:hAnsi="Times New Roman" w:eastAsia="宋体" w:cs="Times New Roman"/>
                <w:color w:val="auto"/>
                <w:sz w:val="24"/>
              </w:rPr>
            </w:pPr>
            <w:r>
              <w:rPr>
                <w:rFonts w:hint="eastAsia" w:ascii="Times New Roman" w:hAnsi="Times New Roman" w:eastAsia="宋体" w:cs="Times New Roman"/>
                <w:color w:val="auto"/>
                <w:sz w:val="24"/>
              </w:rPr>
              <w:t>参照</w:t>
            </w:r>
            <w:r>
              <w:rPr>
                <w:rFonts w:ascii="Times New Roman" w:hAnsi="Times New Roman" w:eastAsia="宋体" w:cs="Times New Roman"/>
                <w:color w:val="auto"/>
                <w:sz w:val="24"/>
              </w:rPr>
              <w:t>《建设项目环境风险评价技术导则》（HJ 169-2018）及其附录</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《危险化学品重大危险源辨识》(GB18218-2014)</w:t>
            </w:r>
            <w:r>
              <w:rPr>
                <w:rFonts w:hint="eastAsia" w:ascii="Times New Roman" w:hAnsi="Times New Roman" w:eastAsia="宋体" w:cs="Times New Roman"/>
                <w:color w:val="auto"/>
                <w:sz w:val="24"/>
              </w:rPr>
              <w:t>、《企业突发环境事件风险分级方法》（</w:t>
            </w:r>
            <w:r>
              <w:rPr>
                <w:rFonts w:ascii="Times New Roman" w:hAnsi="Times New Roman" w:eastAsia="宋体" w:cs="Times New Roman"/>
                <w:color w:val="auto"/>
                <w:sz w:val="24"/>
              </w:rPr>
              <w:t>HJ 941-2018</w:t>
            </w:r>
            <w:r>
              <w:rPr>
                <w:rFonts w:hint="eastAsia" w:ascii="Times New Roman" w:hAnsi="Times New Roman" w:eastAsia="宋体" w:cs="Times New Roman"/>
                <w:color w:val="auto"/>
                <w:sz w:val="24"/>
              </w:rPr>
              <w:t>），本项目</w:t>
            </w:r>
            <w:r>
              <w:rPr>
                <w:rFonts w:hint="eastAsia" w:ascii="Times New Roman" w:hAnsi="Times New Roman" w:eastAsia="宋体" w:cs="Times New Roman"/>
                <w:color w:val="auto"/>
                <w:sz w:val="24"/>
                <w:lang w:val="en-US" w:eastAsia="zh-CN"/>
              </w:rPr>
              <w:t>危险物质数量和临界量</w:t>
            </w:r>
            <w:r>
              <w:rPr>
                <w:rFonts w:hint="eastAsia" w:ascii="Times New Roman" w:hAnsi="Times New Roman" w:eastAsia="宋体" w:cs="Times New Roman"/>
                <w:color w:val="auto"/>
                <w:sz w:val="24"/>
              </w:rPr>
              <w:t>判定结果见下表。</w:t>
            </w:r>
          </w:p>
          <w:p>
            <w:pPr>
              <w:spacing w:line="360" w:lineRule="auto"/>
              <w:jc w:val="center"/>
              <w:rPr>
                <w:rFonts w:hint="eastAsia"/>
                <w:b/>
                <w:color w:val="auto"/>
                <w:szCs w:val="21"/>
              </w:rPr>
            </w:pPr>
            <w:r>
              <w:rPr>
                <w:b/>
                <w:color w:val="auto"/>
                <w:szCs w:val="21"/>
                <w:highlight w:val="none"/>
              </w:rPr>
              <w:t>表</w:t>
            </w:r>
            <w:r>
              <w:rPr>
                <w:rFonts w:hint="eastAsia"/>
                <w:b/>
                <w:color w:val="auto"/>
                <w:szCs w:val="21"/>
                <w:highlight w:val="none"/>
              </w:rPr>
              <w:t>4-2</w:t>
            </w:r>
            <w:r>
              <w:rPr>
                <w:rFonts w:hint="eastAsia"/>
                <w:b/>
                <w:color w:val="auto"/>
                <w:szCs w:val="21"/>
                <w:highlight w:val="none"/>
                <w:lang w:val="en-US" w:eastAsia="zh-CN"/>
              </w:rPr>
              <w:t>1</w:t>
            </w:r>
            <w:r>
              <w:rPr>
                <w:b/>
                <w:color w:val="auto"/>
                <w:szCs w:val="21"/>
                <w:highlight w:val="none"/>
              </w:rPr>
              <w:t xml:space="preserve">  </w:t>
            </w:r>
            <w:r>
              <w:rPr>
                <w:b/>
                <w:color w:val="auto"/>
                <w:szCs w:val="21"/>
              </w:rPr>
              <w:t xml:space="preserve"> </w:t>
            </w:r>
            <w:r>
              <w:rPr>
                <w:rFonts w:hint="eastAsia" w:ascii="Times New Roman" w:hAnsi="Times New Roman" w:eastAsia="宋体" w:cs="Times New Roman"/>
                <w:b/>
                <w:color w:val="auto"/>
                <w:szCs w:val="21"/>
              </w:rPr>
              <w:t>项目</w:t>
            </w:r>
            <w:r>
              <w:rPr>
                <w:rFonts w:hint="eastAsia" w:ascii="Times New Roman" w:hAnsi="Times New Roman" w:eastAsia="宋体" w:cs="Times New Roman"/>
                <w:b/>
                <w:color w:val="auto"/>
                <w:szCs w:val="21"/>
                <w:lang w:val="en-US" w:eastAsia="zh-CN"/>
              </w:rPr>
              <w:t>危险物质数量和临界量比值</w:t>
            </w:r>
            <w:r>
              <w:rPr>
                <w:rFonts w:hint="eastAsia" w:ascii="Times New Roman" w:hAnsi="Times New Roman" w:eastAsia="宋体" w:cs="Times New Roman"/>
                <w:b/>
                <w:color w:val="auto"/>
                <w:szCs w:val="21"/>
              </w:rPr>
              <w:t>表</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7"/>
              <w:gridCol w:w="2368"/>
              <w:gridCol w:w="1533"/>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4" w:type="pct"/>
                  <w:noWrap w:val="0"/>
                  <w:vAlign w:val="center"/>
                </w:tcPr>
                <w:p>
                  <w:pPr>
                    <w:jc w:val="center"/>
                    <w:rPr>
                      <w:color w:val="auto"/>
                      <w:highlight w:val="none"/>
                    </w:rPr>
                  </w:pPr>
                  <w:r>
                    <w:rPr>
                      <w:color w:val="auto"/>
                      <w:highlight w:val="none"/>
                    </w:rPr>
                    <w:t>名称</w:t>
                  </w:r>
                </w:p>
              </w:tc>
              <w:tc>
                <w:tcPr>
                  <w:tcW w:w="1400" w:type="pct"/>
                  <w:noWrap w:val="0"/>
                  <w:vAlign w:val="center"/>
                </w:tcPr>
                <w:p>
                  <w:pPr>
                    <w:jc w:val="center"/>
                    <w:rPr>
                      <w:rFonts w:hint="eastAsia" w:eastAsia="宋体"/>
                      <w:color w:val="auto"/>
                      <w:highlight w:val="none"/>
                      <w:lang w:eastAsia="zh-CN"/>
                    </w:rPr>
                  </w:pPr>
                  <w:r>
                    <w:rPr>
                      <w:color w:val="auto"/>
                      <w:highlight w:val="none"/>
                    </w:rPr>
                    <w:t>最大储存量</w:t>
                  </w:r>
                </w:p>
              </w:tc>
              <w:tc>
                <w:tcPr>
                  <w:tcW w:w="906" w:type="pct"/>
                  <w:noWrap w:val="0"/>
                  <w:vAlign w:val="center"/>
                </w:tcPr>
                <w:p>
                  <w:pPr>
                    <w:jc w:val="center"/>
                    <w:rPr>
                      <w:rFonts w:hint="default" w:eastAsia="宋体"/>
                      <w:color w:val="auto"/>
                      <w:highlight w:val="none"/>
                      <w:lang w:val="en-US" w:eastAsia="zh-CN"/>
                    </w:rPr>
                  </w:pPr>
                  <w:r>
                    <w:rPr>
                      <w:color w:val="auto"/>
                      <w:highlight w:val="none"/>
                    </w:rPr>
                    <w:t>临界量</w:t>
                  </w:r>
                  <w:r>
                    <w:rPr>
                      <w:rFonts w:hint="eastAsia"/>
                      <w:color w:val="auto"/>
                      <w:highlight w:val="none"/>
                      <w:lang w:val="en-US" w:eastAsia="zh-CN"/>
                    </w:rPr>
                    <w:t>/t</w:t>
                  </w:r>
                </w:p>
              </w:tc>
              <w:tc>
                <w:tcPr>
                  <w:tcW w:w="909" w:type="pct"/>
                  <w:noWrap w:val="0"/>
                  <w:vAlign w:val="center"/>
                </w:tcPr>
                <w:p>
                  <w:pPr>
                    <w:jc w:val="center"/>
                    <w:rPr>
                      <w:color w:val="auto"/>
                      <w:highlight w:val="none"/>
                    </w:rPr>
                  </w:pPr>
                  <w:r>
                    <w:rPr>
                      <w:color w:val="auto"/>
                      <w:highlight w:val="none"/>
                    </w:rPr>
                    <w:t>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4" w:type="pct"/>
                  <w:noWrap w:val="0"/>
                  <w:vAlign w:val="center"/>
                </w:tcPr>
                <w:p>
                  <w:pPr>
                    <w:jc w:val="center"/>
                    <w:rPr>
                      <w:rFonts w:hint="eastAsia" w:eastAsia="宋体"/>
                      <w:color w:val="auto"/>
                      <w:highlight w:val="none"/>
                      <w:lang w:eastAsia="zh-CN"/>
                    </w:rPr>
                  </w:pPr>
                  <w:r>
                    <w:rPr>
                      <w:rFonts w:hint="eastAsia"/>
                      <w:color w:val="auto"/>
                      <w:highlight w:val="none"/>
                      <w:lang w:eastAsia="zh-CN"/>
                    </w:rPr>
                    <w:t>氯化氢</w:t>
                  </w:r>
                </w:p>
              </w:tc>
              <w:tc>
                <w:tcPr>
                  <w:tcW w:w="1400" w:type="pct"/>
                  <w:noWrap w:val="0"/>
                  <w:vAlign w:val="center"/>
                </w:tcPr>
                <w:p>
                  <w:pPr>
                    <w:jc w:val="center"/>
                    <w:rPr>
                      <w:rFonts w:hint="default" w:eastAsia="宋体"/>
                      <w:color w:val="auto"/>
                      <w:highlight w:val="none"/>
                      <w:lang w:val="en-US" w:eastAsia="zh-CN"/>
                    </w:rPr>
                  </w:pPr>
                  <w:r>
                    <w:rPr>
                      <w:rFonts w:hint="eastAsia"/>
                      <w:color w:val="auto"/>
                      <w:highlight w:val="none"/>
                      <w:lang w:val="en-US" w:eastAsia="zh-CN"/>
                    </w:rPr>
                    <w:t>0.5t</w:t>
                  </w:r>
                </w:p>
              </w:tc>
              <w:tc>
                <w:tcPr>
                  <w:tcW w:w="906" w:type="pct"/>
                  <w:noWrap w:val="0"/>
                  <w:vAlign w:val="center"/>
                </w:tcPr>
                <w:p>
                  <w:pPr>
                    <w:jc w:val="center"/>
                    <w:rPr>
                      <w:rFonts w:hint="default" w:eastAsia="宋体"/>
                      <w:color w:val="auto"/>
                      <w:highlight w:val="none"/>
                      <w:lang w:val="en-US" w:eastAsia="zh-CN"/>
                    </w:rPr>
                  </w:pPr>
                  <w:r>
                    <w:rPr>
                      <w:rFonts w:hint="eastAsia"/>
                      <w:color w:val="auto"/>
                      <w:highlight w:val="none"/>
                      <w:lang w:val="en-US" w:eastAsia="zh-CN"/>
                    </w:rPr>
                    <w:t>2.5</w:t>
                  </w:r>
                </w:p>
              </w:tc>
              <w:tc>
                <w:tcPr>
                  <w:tcW w:w="909" w:type="pct"/>
                  <w:noWrap w:val="0"/>
                  <w:vAlign w:val="center"/>
                </w:tcPr>
                <w:p>
                  <w:pPr>
                    <w:jc w:val="center"/>
                    <w:rPr>
                      <w:rFonts w:hint="default" w:eastAsia="宋体"/>
                      <w:color w:val="auto"/>
                      <w:highlight w:val="none"/>
                      <w:lang w:val="en-US" w:eastAsia="zh-CN"/>
                    </w:rPr>
                  </w:pPr>
                  <w:r>
                    <w:rPr>
                      <w:rFonts w:hint="eastAsia"/>
                      <w:color w:val="auto"/>
                      <w:highlight w:val="no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4" w:type="pct"/>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highlight w:val="none"/>
                      <w:lang w:val="en-US" w:eastAsia="zh-CN"/>
                    </w:rPr>
                    <w:t>液压油</w:t>
                  </w:r>
                </w:p>
              </w:tc>
              <w:tc>
                <w:tcPr>
                  <w:tcW w:w="1400" w:type="pct"/>
                  <w:noWrap w:val="0"/>
                  <w:vAlign w:val="center"/>
                </w:tcPr>
                <w:p>
                  <w:pPr>
                    <w:jc w:val="center"/>
                    <w:rPr>
                      <w:rFonts w:hint="default"/>
                      <w:color w:val="auto"/>
                      <w:highlight w:val="none"/>
                      <w:lang w:val="en-US" w:eastAsia="zh-CN"/>
                    </w:rPr>
                  </w:pPr>
                  <w:r>
                    <w:rPr>
                      <w:rFonts w:hint="eastAsia" w:ascii="Times New Roman" w:hAnsi="Times New Roman" w:eastAsia="宋体" w:cs="Times New Roman"/>
                      <w:color w:val="auto"/>
                      <w:highlight w:val="none"/>
                      <w:lang w:val="en-US" w:eastAsia="zh-CN"/>
                    </w:rPr>
                    <w:t>0.</w:t>
                  </w:r>
                  <w:r>
                    <w:rPr>
                      <w:rFonts w:hint="eastAsia" w:cs="Times New Roman"/>
                      <w:color w:val="auto"/>
                      <w:highlight w:val="none"/>
                      <w:lang w:val="en-US" w:eastAsia="zh-CN"/>
                    </w:rPr>
                    <w:t>04t</w:t>
                  </w:r>
                </w:p>
              </w:tc>
              <w:tc>
                <w:tcPr>
                  <w:tcW w:w="906" w:type="pct"/>
                  <w:noWrap w:val="0"/>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2500</w:t>
                  </w:r>
                </w:p>
              </w:tc>
              <w:tc>
                <w:tcPr>
                  <w:tcW w:w="909" w:type="pct"/>
                  <w:noWrap w:val="0"/>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0.0000</w:t>
                  </w:r>
                  <w:r>
                    <w:rPr>
                      <w:rFonts w:hint="eastAsia" w:cs="Times New Roman"/>
                      <w:color w:val="auto"/>
                      <w:highlight w:val="none"/>
                      <w:lang w:val="en-US" w:eastAsia="zh-CN"/>
                    </w:rPr>
                    <w:t>16</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color w:val="auto"/>
                <w:lang w:eastAsia="zh-CN"/>
              </w:rPr>
            </w:pPr>
            <w:r>
              <w:rPr>
                <w:color w:val="auto"/>
                <w:kern w:val="0"/>
                <w:sz w:val="24"/>
              </w:rPr>
              <w:t>根据上表计算，项目危险物质数量与临界量比值Q=</w:t>
            </w:r>
            <w:r>
              <w:rPr>
                <w:rFonts w:hint="eastAsia" w:ascii="Times New Roman" w:hAnsi="Times New Roman" w:eastAsia="宋体" w:cs="Times New Roman"/>
                <w:color w:val="auto"/>
                <w:kern w:val="0"/>
                <w:sz w:val="24"/>
                <w:lang w:val="en-US" w:eastAsia="zh-CN"/>
              </w:rPr>
              <w:t>0.</w:t>
            </w:r>
            <w:r>
              <w:rPr>
                <w:rFonts w:hint="eastAsia" w:cs="Times New Roman"/>
                <w:color w:val="auto"/>
                <w:kern w:val="0"/>
                <w:sz w:val="24"/>
                <w:lang w:val="en-US" w:eastAsia="zh-CN"/>
              </w:rPr>
              <w:t>200016</w:t>
            </w:r>
            <w:r>
              <w:rPr>
                <w:rFonts w:hint="eastAsia" w:ascii="Times New Roman" w:hAnsi="Times New Roman" w:eastAsia="宋体" w:cs="Times New Roman"/>
                <w:color w:val="auto"/>
                <w:kern w:val="0"/>
                <w:sz w:val="24"/>
              </w:rPr>
              <w:t>，Q</w:t>
            </w:r>
            <w:r>
              <w:rPr>
                <w:color w:val="auto"/>
                <w:kern w:val="0"/>
                <w:sz w:val="24"/>
              </w:rPr>
              <w:t>＜</w:t>
            </w:r>
            <w:r>
              <w:rPr>
                <w:rFonts w:hint="eastAsia"/>
                <w:color w:val="auto"/>
                <w:kern w:val="0"/>
                <w:sz w:val="24"/>
              </w:rPr>
              <w:t>1，</w:t>
            </w:r>
            <w:r>
              <w:rPr>
                <w:color w:val="auto"/>
                <w:sz w:val="24"/>
              </w:rPr>
              <w:t>该项目环境风险潜势为</w:t>
            </w:r>
            <w:r>
              <w:rPr>
                <w:rFonts w:ascii="Times New Roman" w:hAnsi="Times New Roman" w:eastAsia="宋体" w:cs="Times New Roman"/>
                <w:color w:val="auto"/>
                <w:kern w:val="0"/>
                <w:sz w:val="24"/>
              </w:rPr>
              <w:t>I。</w:t>
            </w:r>
            <w:r>
              <w:rPr>
                <w:rFonts w:hint="eastAsia" w:ascii="Times New Roman" w:hAnsi="Times New Roman" w:eastAsia="宋体" w:cs="Times New Roman"/>
                <w:color w:val="auto"/>
                <w:kern w:val="0"/>
                <w:sz w:val="24"/>
                <w:lang w:val="en-US" w:eastAsia="zh-CN"/>
              </w:rPr>
              <w:t>进行简单分析，不需要设专题。</w:t>
            </w:r>
          </w:p>
          <w:p>
            <w:pPr>
              <w:pStyle w:val="79"/>
              <w:ind w:left="0" w:leftChars="0" w:firstLine="240" w:firstLineChars="100"/>
              <w:rPr>
                <w:rFonts w:hint="eastAsia"/>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评价等级</w:t>
            </w:r>
          </w:p>
          <w:p>
            <w:pPr>
              <w:pStyle w:val="79"/>
              <w:ind w:firstLine="480"/>
              <w:rPr>
                <w:b/>
                <w:color w:val="auto"/>
                <w:szCs w:val="21"/>
              </w:rPr>
            </w:pPr>
            <w:r>
              <w:rPr>
                <w:color w:val="auto"/>
                <w:kern w:val="0"/>
              </w:rPr>
              <w:t>环境风险评价工作等级划分为一级、二级、三级。根据建设项目涉及的物质及工艺系统危险性和所在地的环境敏感性确定环境风险潜势，按照评价工作等级。风险潜势为Ⅳ及以上，进行一级评价；风险潜势为Ⅲ，进行二级评价；风险潜势为Ⅱ，进行三级评价；风险潜势为Ⅰ，可开展简单分析</w:t>
            </w:r>
            <w:r>
              <w:rPr>
                <w:color w:val="auto"/>
              </w:rPr>
              <w:t>。</w:t>
            </w:r>
          </w:p>
          <w:p>
            <w:pPr>
              <w:spacing w:line="360" w:lineRule="auto"/>
              <w:jc w:val="center"/>
              <w:rPr>
                <w:color w:val="auto"/>
                <w:szCs w:val="21"/>
              </w:rPr>
            </w:pPr>
            <w:r>
              <w:rPr>
                <w:b/>
                <w:color w:val="auto"/>
                <w:szCs w:val="21"/>
                <w:highlight w:val="none"/>
              </w:rPr>
              <w:t>表</w:t>
            </w:r>
            <w:r>
              <w:rPr>
                <w:rFonts w:hint="eastAsia"/>
                <w:b/>
                <w:color w:val="auto"/>
                <w:szCs w:val="21"/>
                <w:highlight w:val="none"/>
              </w:rPr>
              <w:t>4-</w:t>
            </w:r>
            <w:r>
              <w:rPr>
                <w:rFonts w:hint="eastAsia"/>
                <w:b/>
                <w:color w:val="auto"/>
                <w:szCs w:val="21"/>
                <w:highlight w:val="none"/>
                <w:lang w:val="en-US" w:eastAsia="zh-CN"/>
              </w:rPr>
              <w:t>22</w:t>
            </w:r>
            <w:r>
              <w:rPr>
                <w:b/>
                <w:color w:val="auto"/>
                <w:szCs w:val="21"/>
                <w:highlight w:val="none"/>
              </w:rPr>
              <w:t xml:space="preserve">  </w:t>
            </w:r>
            <w:r>
              <w:rPr>
                <w:b/>
                <w:color w:val="auto"/>
                <w:szCs w:val="21"/>
              </w:rPr>
              <w:t xml:space="preserve">  环境风险评价工作等级划分</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576"/>
              <w:gridCol w:w="1580"/>
              <w:gridCol w:w="1766"/>
              <w:gridCol w:w="1959"/>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11" w:type="dxa"/>
                  <w:shd w:val="clear" w:color="auto" w:fill="auto"/>
                  <w:noWrap w:val="0"/>
                  <w:vAlign w:val="center"/>
                </w:tcPr>
                <w:p>
                  <w:pPr>
                    <w:widowControl/>
                    <w:jc w:val="center"/>
                    <w:rPr>
                      <w:color w:val="auto"/>
                      <w:kern w:val="0"/>
                      <w:szCs w:val="21"/>
                      <w:lang w:bidi="ar"/>
                    </w:rPr>
                  </w:pPr>
                  <w:r>
                    <w:rPr>
                      <w:color w:val="auto"/>
                      <w:kern w:val="0"/>
                      <w:szCs w:val="21"/>
                      <w:lang w:bidi="ar"/>
                    </w:rPr>
                    <w:t>环境风险潜势</w:t>
                  </w:r>
                </w:p>
              </w:tc>
              <w:tc>
                <w:tcPr>
                  <w:tcW w:w="1693" w:type="dxa"/>
                  <w:shd w:val="clear" w:color="auto" w:fill="auto"/>
                  <w:noWrap w:val="0"/>
                  <w:vAlign w:val="center"/>
                </w:tcPr>
                <w:p>
                  <w:pPr>
                    <w:widowControl/>
                    <w:jc w:val="center"/>
                    <w:rPr>
                      <w:color w:val="auto"/>
                      <w:kern w:val="0"/>
                      <w:szCs w:val="21"/>
                      <w:lang w:bidi="ar"/>
                    </w:rPr>
                  </w:pPr>
                  <w:r>
                    <w:rPr>
                      <w:color w:val="auto"/>
                      <w:kern w:val="0"/>
                      <w:szCs w:val="21"/>
                      <w:lang w:bidi="ar"/>
                    </w:rPr>
                    <w:t>Ⅳ、Ⅳ+</w:t>
                  </w:r>
                </w:p>
              </w:tc>
              <w:tc>
                <w:tcPr>
                  <w:tcW w:w="1920" w:type="dxa"/>
                  <w:shd w:val="clear" w:color="auto" w:fill="auto"/>
                  <w:noWrap w:val="0"/>
                  <w:vAlign w:val="center"/>
                </w:tcPr>
                <w:p>
                  <w:pPr>
                    <w:widowControl/>
                    <w:jc w:val="center"/>
                    <w:rPr>
                      <w:color w:val="auto"/>
                      <w:kern w:val="0"/>
                      <w:szCs w:val="21"/>
                      <w:lang w:bidi="ar"/>
                    </w:rPr>
                  </w:pPr>
                  <w:r>
                    <w:rPr>
                      <w:color w:val="auto"/>
                      <w:kern w:val="0"/>
                      <w:szCs w:val="21"/>
                      <w:lang w:bidi="ar"/>
                    </w:rPr>
                    <w:t>Ⅲ</w:t>
                  </w:r>
                </w:p>
              </w:tc>
              <w:tc>
                <w:tcPr>
                  <w:tcW w:w="2133" w:type="dxa"/>
                  <w:shd w:val="clear" w:color="auto" w:fill="auto"/>
                  <w:noWrap w:val="0"/>
                  <w:vAlign w:val="center"/>
                </w:tcPr>
                <w:p>
                  <w:pPr>
                    <w:widowControl/>
                    <w:jc w:val="center"/>
                    <w:rPr>
                      <w:color w:val="auto"/>
                      <w:kern w:val="0"/>
                      <w:szCs w:val="21"/>
                      <w:lang w:bidi="ar"/>
                    </w:rPr>
                  </w:pPr>
                  <w:r>
                    <w:rPr>
                      <w:color w:val="auto"/>
                      <w:kern w:val="0"/>
                      <w:szCs w:val="21"/>
                      <w:lang w:bidi="ar"/>
                    </w:rPr>
                    <w:t>Ⅱ</w:t>
                  </w:r>
                </w:p>
              </w:tc>
              <w:tc>
                <w:tcPr>
                  <w:tcW w:w="1713" w:type="dxa"/>
                  <w:shd w:val="clear" w:color="auto" w:fill="EEECE1"/>
                  <w:noWrap w:val="0"/>
                  <w:vAlign w:val="center"/>
                </w:tcPr>
                <w:p>
                  <w:pPr>
                    <w:widowControl/>
                    <w:jc w:val="center"/>
                    <w:rPr>
                      <w:color w:val="auto"/>
                      <w:kern w:val="0"/>
                      <w:szCs w:val="21"/>
                      <w:lang w:bidi="ar"/>
                    </w:rPr>
                  </w:pPr>
                  <w:r>
                    <w:rPr>
                      <w:color w:val="auto"/>
                      <w:kern w:val="0"/>
                      <w:szCs w:val="21"/>
                      <w:lang w:bidi="ar"/>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11" w:type="dxa"/>
                  <w:shd w:val="clear" w:color="auto" w:fill="auto"/>
                  <w:noWrap w:val="0"/>
                  <w:vAlign w:val="center"/>
                </w:tcPr>
                <w:p>
                  <w:pPr>
                    <w:widowControl/>
                    <w:jc w:val="center"/>
                    <w:rPr>
                      <w:color w:val="auto"/>
                      <w:kern w:val="0"/>
                      <w:szCs w:val="21"/>
                      <w:lang w:bidi="ar"/>
                    </w:rPr>
                  </w:pPr>
                  <w:r>
                    <w:rPr>
                      <w:color w:val="auto"/>
                      <w:kern w:val="0"/>
                      <w:szCs w:val="21"/>
                      <w:lang w:bidi="ar"/>
                    </w:rPr>
                    <w:t>评价工作等级</w:t>
                  </w:r>
                </w:p>
              </w:tc>
              <w:tc>
                <w:tcPr>
                  <w:tcW w:w="1693" w:type="dxa"/>
                  <w:shd w:val="clear" w:color="auto" w:fill="auto"/>
                  <w:noWrap w:val="0"/>
                  <w:vAlign w:val="center"/>
                </w:tcPr>
                <w:p>
                  <w:pPr>
                    <w:widowControl/>
                    <w:jc w:val="center"/>
                    <w:rPr>
                      <w:color w:val="auto"/>
                      <w:kern w:val="0"/>
                      <w:szCs w:val="21"/>
                      <w:lang w:bidi="ar"/>
                    </w:rPr>
                  </w:pPr>
                  <w:r>
                    <w:rPr>
                      <w:color w:val="auto"/>
                      <w:kern w:val="0"/>
                      <w:szCs w:val="21"/>
                      <w:lang w:bidi="ar"/>
                    </w:rPr>
                    <w:t>一</w:t>
                  </w:r>
                </w:p>
              </w:tc>
              <w:tc>
                <w:tcPr>
                  <w:tcW w:w="1920" w:type="dxa"/>
                  <w:shd w:val="clear" w:color="auto" w:fill="auto"/>
                  <w:noWrap w:val="0"/>
                  <w:vAlign w:val="center"/>
                </w:tcPr>
                <w:p>
                  <w:pPr>
                    <w:widowControl/>
                    <w:jc w:val="center"/>
                    <w:rPr>
                      <w:color w:val="auto"/>
                      <w:kern w:val="0"/>
                      <w:szCs w:val="21"/>
                      <w:lang w:bidi="ar"/>
                    </w:rPr>
                  </w:pPr>
                  <w:r>
                    <w:rPr>
                      <w:color w:val="auto"/>
                      <w:kern w:val="0"/>
                      <w:szCs w:val="21"/>
                      <w:lang w:bidi="ar"/>
                    </w:rPr>
                    <w:t>二</w:t>
                  </w:r>
                </w:p>
              </w:tc>
              <w:tc>
                <w:tcPr>
                  <w:tcW w:w="2133" w:type="dxa"/>
                  <w:shd w:val="clear" w:color="auto" w:fill="auto"/>
                  <w:noWrap w:val="0"/>
                  <w:vAlign w:val="center"/>
                </w:tcPr>
                <w:p>
                  <w:pPr>
                    <w:widowControl/>
                    <w:jc w:val="center"/>
                    <w:rPr>
                      <w:color w:val="auto"/>
                      <w:kern w:val="0"/>
                      <w:szCs w:val="21"/>
                      <w:lang w:bidi="ar"/>
                    </w:rPr>
                  </w:pPr>
                  <w:r>
                    <w:rPr>
                      <w:color w:val="auto"/>
                      <w:kern w:val="0"/>
                      <w:szCs w:val="21"/>
                      <w:lang w:bidi="ar"/>
                    </w:rPr>
                    <w:t>三</w:t>
                  </w:r>
                </w:p>
              </w:tc>
              <w:tc>
                <w:tcPr>
                  <w:tcW w:w="1713" w:type="dxa"/>
                  <w:shd w:val="clear" w:color="auto" w:fill="EEECE1"/>
                  <w:noWrap w:val="0"/>
                  <w:vAlign w:val="center"/>
                </w:tcPr>
                <w:p>
                  <w:pPr>
                    <w:widowControl/>
                    <w:jc w:val="center"/>
                    <w:rPr>
                      <w:color w:val="auto"/>
                      <w:kern w:val="0"/>
                      <w:szCs w:val="21"/>
                      <w:lang w:bidi="ar"/>
                    </w:rPr>
                  </w:pPr>
                  <w:r>
                    <w:rPr>
                      <w:color w:val="auto"/>
                      <w:kern w:val="0"/>
                      <w:szCs w:val="21"/>
                      <w:lang w:bidi="ar"/>
                    </w:rPr>
                    <w:t>简单分析a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9170" w:type="dxa"/>
                  <w:gridSpan w:val="5"/>
                  <w:noWrap w:val="0"/>
                  <w:vAlign w:val="center"/>
                </w:tcPr>
                <w:p>
                  <w:pPr>
                    <w:widowControl/>
                    <w:jc w:val="center"/>
                    <w:rPr>
                      <w:color w:val="auto"/>
                      <w:kern w:val="0"/>
                      <w:szCs w:val="21"/>
                      <w:lang w:bidi="ar"/>
                    </w:rPr>
                  </w:pPr>
                  <w:r>
                    <w:rPr>
                      <w:color w:val="auto"/>
                      <w:kern w:val="0"/>
                      <w:szCs w:val="21"/>
                      <w:lang w:bidi="ar"/>
                    </w:rPr>
                    <w:t>a 是相对于详细评价工作内容而言，在描述危险物质、环境影响途径、环境危害后果、风险防范措施等方面给出定性的说明。见附录A</w:t>
                  </w:r>
                </w:p>
              </w:tc>
            </w:tr>
          </w:tbl>
          <w:p>
            <w:pPr>
              <w:pStyle w:val="79"/>
              <w:ind w:firstLine="480"/>
              <w:rPr>
                <w:rFonts w:hint="eastAsia" w:ascii="Times New Roman" w:hAnsi="Times New Roman" w:eastAsia="宋体" w:cs="Times New Roman"/>
                <w:color w:val="auto"/>
                <w:kern w:val="0"/>
                <w:lang w:val="en-US" w:eastAsia="zh-CN"/>
              </w:rPr>
            </w:pPr>
            <w:r>
              <w:rPr>
                <w:rFonts w:ascii="Times New Roman" w:hAnsi="Times New Roman" w:eastAsia="宋体" w:cs="Times New Roman"/>
                <w:color w:val="auto"/>
                <w:kern w:val="0"/>
              </w:rPr>
              <w:t>综上所述，项目</w:t>
            </w:r>
            <w:r>
              <w:rPr>
                <w:rFonts w:hint="eastAsia" w:ascii="Times New Roman" w:hAnsi="Times New Roman" w:eastAsia="宋体" w:cs="Times New Roman"/>
                <w:color w:val="auto"/>
                <w:kern w:val="0"/>
                <w:lang w:val="en-US" w:eastAsia="zh-CN"/>
              </w:rPr>
              <w:t>风险</w:t>
            </w:r>
            <w:r>
              <w:rPr>
                <w:rFonts w:ascii="Times New Roman" w:hAnsi="Times New Roman" w:eastAsia="宋体" w:cs="Times New Roman"/>
                <w:color w:val="auto"/>
                <w:kern w:val="0"/>
              </w:rPr>
              <w:t>物质数量与临界量比值Q=</w:t>
            </w:r>
            <w:r>
              <w:rPr>
                <w:rFonts w:hint="eastAsia" w:ascii="Times New Roman" w:hAnsi="Times New Roman" w:eastAsia="宋体" w:cs="Times New Roman"/>
                <w:color w:val="auto"/>
                <w:kern w:val="0"/>
                <w:lang w:eastAsia="zh-CN"/>
              </w:rPr>
              <w:t>0.</w:t>
            </w:r>
            <w:r>
              <w:rPr>
                <w:rFonts w:hint="eastAsia" w:cs="Times New Roman"/>
                <w:color w:val="auto"/>
                <w:kern w:val="0"/>
                <w:lang w:val="en-US" w:eastAsia="zh-CN"/>
              </w:rPr>
              <w:t>200016</w:t>
            </w:r>
            <w:r>
              <w:rPr>
                <w:rFonts w:hint="eastAsia" w:ascii="Times New Roman" w:hAnsi="Times New Roman" w:eastAsia="宋体" w:cs="Times New Roman"/>
                <w:color w:val="auto"/>
                <w:kern w:val="0"/>
              </w:rPr>
              <w:t>，Q</w:t>
            </w:r>
            <w:r>
              <w:rPr>
                <w:rFonts w:ascii="Times New Roman" w:hAnsi="Times New Roman" w:eastAsia="宋体" w:cs="Times New Roman"/>
                <w:color w:val="auto"/>
                <w:kern w:val="0"/>
              </w:rPr>
              <w:t>＜</w:t>
            </w:r>
            <w:r>
              <w:rPr>
                <w:rFonts w:hint="eastAsia" w:ascii="Times New Roman" w:hAnsi="Times New Roman" w:eastAsia="宋体" w:cs="Times New Roman"/>
                <w:color w:val="auto"/>
                <w:kern w:val="0"/>
              </w:rPr>
              <w:t>1，</w:t>
            </w:r>
            <w:r>
              <w:rPr>
                <w:rFonts w:ascii="Times New Roman" w:hAnsi="Times New Roman" w:eastAsia="宋体" w:cs="Times New Roman"/>
                <w:color w:val="auto"/>
                <w:kern w:val="0"/>
              </w:rPr>
              <w:t>该项目环境风险潜势为I</w:t>
            </w:r>
            <w:r>
              <w:rPr>
                <w:rFonts w:hint="eastAsia" w:ascii="Times New Roman" w:hAnsi="Times New Roman" w:eastAsia="宋体" w:cs="Times New Roman"/>
                <w:color w:val="auto"/>
                <w:kern w:val="0"/>
              </w:rPr>
              <w:t>，</w:t>
            </w:r>
            <w:r>
              <w:rPr>
                <w:rFonts w:ascii="Times New Roman" w:hAnsi="Times New Roman" w:eastAsia="宋体" w:cs="Times New Roman"/>
                <w:color w:val="auto"/>
                <w:kern w:val="0"/>
              </w:rPr>
              <w:t>可开展简单分析</w:t>
            </w:r>
            <w:r>
              <w:rPr>
                <w:rFonts w:hint="eastAsia" w:ascii="Times New Roman" w:hAnsi="Times New Roman" w:eastAsia="宋体" w:cs="Times New Roman"/>
                <w:color w:val="auto"/>
                <w:kern w:val="0"/>
              </w:rPr>
              <w:t>。</w:t>
            </w:r>
            <w:r>
              <w:rPr>
                <w:rFonts w:hint="eastAsia" w:ascii="Times New Roman" w:hAnsi="Times New Roman" w:eastAsia="宋体" w:cs="Times New Roman"/>
                <w:color w:val="auto"/>
                <w:kern w:val="0"/>
                <w:lang w:val="en-US" w:eastAsia="zh-CN"/>
              </w:rPr>
              <w:t>根据导则，本次评价填写了建设项目环境风险简单分析内容表，具体见下表。</w:t>
            </w:r>
          </w:p>
          <w:p>
            <w:pPr>
              <w:keepNext w:val="0"/>
              <w:keepLines w:val="0"/>
              <w:widowControl/>
              <w:suppressLineNumbers w:val="0"/>
              <w:jc w:val="center"/>
              <w:rPr>
                <w:rFonts w:hint="eastAsia"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highlight w:val="none"/>
                <w:lang w:val="en-US" w:eastAsia="zh-CN"/>
              </w:rPr>
              <w:t>表4-2</w:t>
            </w:r>
            <w:r>
              <w:rPr>
                <w:rFonts w:hint="eastAsia" w:cs="Times New Roman"/>
                <w:b/>
                <w:color w:val="auto"/>
                <w:szCs w:val="21"/>
                <w:highlight w:val="none"/>
                <w:lang w:val="en-US" w:eastAsia="zh-CN"/>
              </w:rPr>
              <w:t>3</w:t>
            </w:r>
            <w:r>
              <w:rPr>
                <w:rFonts w:hint="eastAsia" w:ascii="Times New Roman" w:hAnsi="Times New Roman" w:eastAsia="宋体" w:cs="Times New Roman"/>
                <w:b/>
                <w:color w:val="auto"/>
                <w:szCs w:val="21"/>
                <w:highlight w:val="none"/>
                <w:lang w:val="en-US" w:eastAsia="zh-CN"/>
              </w:rPr>
              <w:t xml:space="preserve"> </w:t>
            </w:r>
            <w:r>
              <w:rPr>
                <w:rFonts w:hint="eastAsia" w:ascii="Times New Roman" w:hAnsi="Times New Roman" w:eastAsia="宋体" w:cs="Times New Roman"/>
                <w:b/>
                <w:color w:val="auto"/>
                <w:szCs w:val="21"/>
                <w:lang w:val="en-US" w:eastAsia="zh-CN"/>
              </w:rPr>
              <w:t>建设项目环境风险简单分析内容表</w:t>
            </w:r>
          </w:p>
          <w:p>
            <w:pPr>
              <w:pStyle w:val="8"/>
              <w:rPr>
                <w:rFonts w:hint="eastAsia"/>
                <w:lang w:val="en-US" w:eastAsia="zh-CN"/>
              </w:rPr>
            </w:pPr>
          </w:p>
          <w:tbl>
            <w:tblPr>
              <w:tblStyle w:val="28"/>
              <w:tblW w:w="8384" w:type="dxa"/>
              <w:jc w:val="righ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 w:type="dxa"/>
                <w:bottom w:w="0" w:type="dxa"/>
                <w:right w:w="10" w:type="dxa"/>
              </w:tblCellMar>
            </w:tblPr>
            <w:tblGrid>
              <w:gridCol w:w="1692"/>
              <w:gridCol w:w="1125"/>
              <w:gridCol w:w="1865"/>
              <w:gridCol w:w="1909"/>
              <w:gridCol w:w="17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288" w:hRule="exact"/>
                <w:jc w:val="right"/>
              </w:trPr>
              <w:tc>
                <w:tcPr>
                  <w:tcW w:w="1692" w:type="dxa"/>
                  <w:tcBorders>
                    <w:tl2br w:val="nil"/>
                    <w:tr2bl w:val="nil"/>
                  </w:tcBorders>
                  <w:shd w:val="clear" w:color="auto" w:fill="FFFFFF"/>
                  <w:noWrap w:val="0"/>
                  <w:vAlign w:val="center"/>
                </w:tcPr>
                <w:p>
                  <w:pPr>
                    <w:jc w:val="center"/>
                    <w:rPr>
                      <w:sz w:val="21"/>
                      <w:szCs w:val="21"/>
                    </w:rPr>
                  </w:pPr>
                  <w:r>
                    <w:rPr>
                      <w:sz w:val="21"/>
                      <w:szCs w:val="21"/>
                    </w:rPr>
                    <w:t>建设项目名称</w:t>
                  </w:r>
                </w:p>
              </w:tc>
              <w:tc>
                <w:tcPr>
                  <w:tcW w:w="6692" w:type="dxa"/>
                  <w:gridSpan w:val="4"/>
                  <w:tcBorders>
                    <w:tl2br w:val="nil"/>
                    <w:tr2bl w:val="nil"/>
                  </w:tcBorders>
                  <w:shd w:val="clear" w:color="auto" w:fill="FFFFFF"/>
                  <w:noWrap w:val="0"/>
                  <w:vAlign w:val="center"/>
                </w:tcPr>
                <w:p>
                  <w:pPr>
                    <w:jc w:val="center"/>
                    <w:rPr>
                      <w:sz w:val="21"/>
                      <w:szCs w:val="21"/>
                    </w:rPr>
                  </w:pPr>
                  <w:r>
                    <w:rPr>
                      <w:rFonts w:hint="eastAsia"/>
                      <w:sz w:val="21"/>
                      <w:szCs w:val="21"/>
                      <w:lang w:eastAsia="zh-CN"/>
                    </w:rPr>
                    <w:t>液压支架维修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557" w:hRule="exact"/>
                <w:jc w:val="right"/>
              </w:trPr>
              <w:tc>
                <w:tcPr>
                  <w:tcW w:w="1692" w:type="dxa"/>
                  <w:tcBorders>
                    <w:tl2br w:val="nil"/>
                    <w:tr2bl w:val="nil"/>
                  </w:tcBorders>
                  <w:shd w:val="clear" w:color="auto" w:fill="FFFFFF"/>
                  <w:noWrap w:val="0"/>
                  <w:vAlign w:val="center"/>
                </w:tcPr>
                <w:p>
                  <w:pPr>
                    <w:jc w:val="center"/>
                    <w:rPr>
                      <w:sz w:val="21"/>
                      <w:szCs w:val="21"/>
                    </w:rPr>
                  </w:pPr>
                  <w:r>
                    <w:rPr>
                      <w:sz w:val="21"/>
                      <w:szCs w:val="21"/>
                    </w:rPr>
                    <w:t>建设地点</w:t>
                  </w:r>
                </w:p>
              </w:tc>
              <w:tc>
                <w:tcPr>
                  <w:tcW w:w="1125" w:type="dxa"/>
                  <w:tcBorders>
                    <w:tl2br w:val="nil"/>
                    <w:tr2bl w:val="nil"/>
                  </w:tcBorders>
                  <w:shd w:val="clear" w:color="auto" w:fill="FFFFFF"/>
                  <w:noWrap w:val="0"/>
                  <w:vAlign w:val="center"/>
                </w:tcPr>
                <w:p>
                  <w:pPr>
                    <w:jc w:val="center"/>
                    <w:rPr>
                      <w:sz w:val="21"/>
                      <w:szCs w:val="21"/>
                    </w:rPr>
                  </w:pPr>
                  <w:r>
                    <w:rPr>
                      <w:sz w:val="21"/>
                      <w:szCs w:val="21"/>
                    </w:rPr>
                    <w:t>（安徽）省</w:t>
                  </w:r>
                </w:p>
              </w:tc>
              <w:tc>
                <w:tcPr>
                  <w:tcW w:w="1865" w:type="dxa"/>
                  <w:tcBorders>
                    <w:tl2br w:val="nil"/>
                    <w:tr2bl w:val="nil"/>
                  </w:tcBorders>
                  <w:shd w:val="clear" w:color="auto" w:fill="FFFFFF"/>
                  <w:noWrap w:val="0"/>
                  <w:vAlign w:val="center"/>
                </w:tcPr>
                <w:p>
                  <w:pPr>
                    <w:jc w:val="center"/>
                    <w:rPr>
                      <w:sz w:val="21"/>
                      <w:szCs w:val="21"/>
                    </w:rPr>
                  </w:pPr>
                  <w:r>
                    <w:rPr>
                      <w:sz w:val="21"/>
                      <w:szCs w:val="21"/>
                    </w:rPr>
                    <w:t>（</w:t>
                  </w:r>
                  <w:r>
                    <w:rPr>
                      <w:rFonts w:hint="eastAsia"/>
                      <w:sz w:val="21"/>
                      <w:szCs w:val="21"/>
                      <w:lang w:val="en-US" w:eastAsia="zh-CN"/>
                    </w:rPr>
                    <w:t>淮南</w:t>
                  </w:r>
                  <w:r>
                    <w:rPr>
                      <w:sz w:val="21"/>
                      <w:szCs w:val="21"/>
                    </w:rPr>
                    <w:t>）市</w:t>
                  </w:r>
                </w:p>
              </w:tc>
              <w:tc>
                <w:tcPr>
                  <w:tcW w:w="1909" w:type="dxa"/>
                  <w:tcBorders>
                    <w:tl2br w:val="nil"/>
                    <w:tr2bl w:val="nil"/>
                  </w:tcBorders>
                  <w:shd w:val="clear" w:color="auto" w:fill="FFFFFF"/>
                  <w:noWrap w:val="0"/>
                  <w:vAlign w:val="center"/>
                </w:tcPr>
                <w:p>
                  <w:pPr>
                    <w:jc w:val="center"/>
                    <w:rPr>
                      <w:sz w:val="21"/>
                      <w:szCs w:val="21"/>
                    </w:rPr>
                  </w:pPr>
                  <w:r>
                    <w:rPr>
                      <w:sz w:val="21"/>
                      <w:szCs w:val="21"/>
                    </w:rPr>
                    <w:t>（</w:t>
                  </w:r>
                  <w:r>
                    <w:rPr>
                      <w:rFonts w:hint="eastAsia"/>
                      <w:sz w:val="21"/>
                      <w:szCs w:val="21"/>
                      <w:lang w:val="en-US" w:eastAsia="zh-CN"/>
                    </w:rPr>
                    <w:t>经济技术开发区</w:t>
                  </w:r>
                  <w:r>
                    <w:rPr>
                      <w:sz w:val="21"/>
                      <w:szCs w:val="21"/>
                    </w:rPr>
                    <w:t>）区</w:t>
                  </w:r>
                </w:p>
              </w:tc>
              <w:tc>
                <w:tcPr>
                  <w:tcW w:w="1793" w:type="dxa"/>
                  <w:tcBorders>
                    <w:tl2br w:val="nil"/>
                    <w:tr2bl w:val="nil"/>
                  </w:tcBorders>
                  <w:shd w:val="clear" w:color="auto" w:fill="FFFFFF"/>
                  <w:noWrap w:val="0"/>
                  <w:vAlign w:val="center"/>
                </w:tcPr>
                <w:p>
                  <w:pPr>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农科路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562" w:hRule="exact"/>
                <w:jc w:val="right"/>
              </w:trPr>
              <w:tc>
                <w:tcPr>
                  <w:tcW w:w="1692" w:type="dxa"/>
                  <w:tcBorders>
                    <w:tl2br w:val="nil"/>
                    <w:tr2bl w:val="nil"/>
                  </w:tcBorders>
                  <w:shd w:val="clear" w:color="auto" w:fill="FFFFFF"/>
                  <w:noWrap w:val="0"/>
                  <w:vAlign w:val="center"/>
                </w:tcPr>
                <w:p>
                  <w:pPr>
                    <w:jc w:val="center"/>
                    <w:rPr>
                      <w:sz w:val="21"/>
                      <w:szCs w:val="21"/>
                    </w:rPr>
                  </w:pPr>
                  <w:r>
                    <w:rPr>
                      <w:sz w:val="21"/>
                      <w:szCs w:val="21"/>
                    </w:rPr>
                    <w:t>地理坐标</w:t>
                  </w:r>
                </w:p>
              </w:tc>
              <w:tc>
                <w:tcPr>
                  <w:tcW w:w="1125" w:type="dxa"/>
                  <w:tcBorders>
                    <w:tl2br w:val="nil"/>
                    <w:tr2bl w:val="nil"/>
                  </w:tcBorders>
                  <w:shd w:val="clear" w:color="auto" w:fill="FFFFFF"/>
                  <w:noWrap w:val="0"/>
                  <w:vAlign w:val="center"/>
                </w:tcPr>
                <w:p>
                  <w:pPr>
                    <w:jc w:val="center"/>
                    <w:rPr>
                      <w:sz w:val="21"/>
                      <w:szCs w:val="21"/>
                    </w:rPr>
                  </w:pPr>
                  <w:r>
                    <w:rPr>
                      <w:sz w:val="21"/>
                      <w:szCs w:val="21"/>
                    </w:rPr>
                    <w:t>经度</w:t>
                  </w:r>
                </w:p>
              </w:tc>
              <w:tc>
                <w:tcPr>
                  <w:tcW w:w="1865" w:type="dxa"/>
                  <w:tcBorders>
                    <w:tl2br w:val="nil"/>
                    <w:tr2bl w:val="nil"/>
                  </w:tcBorders>
                  <w:shd w:val="clear" w:color="auto" w:fill="FFFFFF"/>
                  <w:noWrap w:val="0"/>
                  <w:vAlign w:val="center"/>
                </w:tcPr>
                <w:p>
                  <w:pPr>
                    <w:jc w:val="center"/>
                    <w:rPr>
                      <w:rFonts w:hint="default"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117.</w:t>
                  </w:r>
                  <w:r>
                    <w:rPr>
                      <w:rFonts w:hint="eastAsia" w:cs="Times New Roman"/>
                      <w:sz w:val="21"/>
                      <w:szCs w:val="21"/>
                      <w:lang w:val="en-US" w:eastAsia="zh-CN"/>
                    </w:rPr>
                    <w:t>048217657</w:t>
                  </w:r>
                </w:p>
              </w:tc>
              <w:tc>
                <w:tcPr>
                  <w:tcW w:w="1909" w:type="dxa"/>
                  <w:tcBorders>
                    <w:tl2br w:val="nil"/>
                    <w:tr2bl w:val="nil"/>
                  </w:tcBorders>
                  <w:shd w:val="clear" w:color="auto" w:fill="FFFFFF"/>
                  <w:noWrap w:val="0"/>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纬度</w:t>
                  </w:r>
                </w:p>
              </w:tc>
              <w:tc>
                <w:tcPr>
                  <w:tcW w:w="1793" w:type="dxa"/>
                  <w:tcBorders>
                    <w:tl2br w:val="nil"/>
                    <w:tr2bl w:val="nil"/>
                  </w:tcBorders>
                  <w:shd w:val="clear" w:color="auto" w:fill="FFFFFF"/>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32.</w:t>
                  </w:r>
                  <w:r>
                    <w:rPr>
                      <w:rFonts w:hint="eastAsia" w:cs="Times New Roman"/>
                      <w:sz w:val="21"/>
                      <w:szCs w:val="21"/>
                      <w:lang w:val="en-US" w:eastAsia="zh-CN"/>
                    </w:rPr>
                    <w:t>652973546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1791" w:hRule="exact"/>
                <w:jc w:val="right"/>
              </w:trPr>
              <w:tc>
                <w:tcPr>
                  <w:tcW w:w="1692" w:type="dxa"/>
                  <w:tcBorders>
                    <w:tl2br w:val="nil"/>
                    <w:tr2bl w:val="nil"/>
                  </w:tcBorders>
                  <w:shd w:val="clear" w:color="auto" w:fill="FFFFFF"/>
                  <w:noWrap w:val="0"/>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主要危险物质及分布</w:t>
                  </w:r>
                </w:p>
              </w:tc>
              <w:tc>
                <w:tcPr>
                  <w:tcW w:w="6692" w:type="dxa"/>
                  <w:gridSpan w:val="4"/>
                  <w:tcBorders>
                    <w:tl2br w:val="nil"/>
                    <w:tr2bl w:val="nil"/>
                  </w:tcBorders>
                  <w:shd w:val="clear" w:color="auto" w:fill="FFFFFF"/>
                  <w:noWrap w:val="0"/>
                  <w:vAlign w:val="center"/>
                </w:tcPr>
                <w:p>
                  <w:pPr>
                    <w:jc w:val="left"/>
                    <w:rPr>
                      <w:rFonts w:ascii="Times New Roman" w:hAnsi="Times New Roman" w:eastAsia="宋体" w:cs="Times New Roman"/>
                      <w:sz w:val="21"/>
                      <w:szCs w:val="21"/>
                      <w:highlight w:val="none"/>
                    </w:rPr>
                  </w:pPr>
                  <w:r>
                    <w:rPr>
                      <w:rFonts w:hint="eastAsia" w:cs="Times New Roman"/>
                      <w:sz w:val="21"/>
                      <w:szCs w:val="21"/>
                      <w:highlight w:val="none"/>
                      <w:lang w:eastAsia="zh-CN"/>
                    </w:rPr>
                    <w:t>原料仓库</w:t>
                  </w:r>
                  <w:r>
                    <w:rPr>
                      <w:rFonts w:ascii="Times New Roman" w:hAnsi="Times New Roman" w:eastAsia="宋体" w:cs="Times New Roman"/>
                      <w:sz w:val="21"/>
                      <w:szCs w:val="21"/>
                      <w:highlight w:val="none"/>
                    </w:rPr>
                    <w:t>：</w:t>
                  </w:r>
                  <w:r>
                    <w:rPr>
                      <w:rFonts w:hint="eastAsia" w:cs="Times New Roman"/>
                      <w:sz w:val="21"/>
                      <w:szCs w:val="21"/>
                      <w:highlight w:val="none"/>
                      <w:lang w:val="en-US" w:eastAsia="zh-CN"/>
                    </w:rPr>
                    <w:t>盐酸、片碱、润滑油</w:t>
                  </w:r>
                  <w:r>
                    <w:rPr>
                      <w:rFonts w:ascii="Times New Roman" w:hAnsi="Times New Roman" w:eastAsia="宋体" w:cs="Times New Roman"/>
                      <w:sz w:val="21"/>
                      <w:szCs w:val="21"/>
                      <w:highlight w:val="none"/>
                    </w:rPr>
                    <w:t xml:space="preserve">等 </w:t>
                  </w:r>
                </w:p>
                <w:p>
                  <w:pPr>
                    <w:jc w:val="left"/>
                    <w:rPr>
                      <w:rFonts w:ascii="Times New Roman" w:hAnsi="Times New Roman" w:eastAsia="宋体" w:cs="Times New Roman"/>
                      <w:sz w:val="21"/>
                      <w:szCs w:val="21"/>
                    </w:rPr>
                  </w:pPr>
                  <w:r>
                    <w:rPr>
                      <w:rFonts w:hint="eastAsia" w:ascii="Times New Roman" w:hAnsi="Times New Roman" w:eastAsia="宋体" w:cs="Times New Roman"/>
                      <w:bCs/>
                      <w:color w:val="auto"/>
                      <w:szCs w:val="21"/>
                      <w:highlight w:val="none"/>
                      <w:lang w:val="en-US" w:eastAsia="zh-CN"/>
                    </w:rPr>
                    <w:t>危废暂存间</w:t>
                  </w:r>
                  <w:r>
                    <w:rPr>
                      <w:rFonts w:ascii="Times New Roman" w:hAnsi="Times New Roman" w:eastAsia="宋体" w:cs="Times New Roman"/>
                      <w:sz w:val="21"/>
                      <w:szCs w:val="21"/>
                      <w:highlight w:val="none"/>
                    </w:rPr>
                    <w:t>：</w:t>
                  </w:r>
                  <w:r>
                    <w:rPr>
                      <w:rFonts w:hint="eastAsia" w:ascii="Times New Roman" w:hAnsi="Times New Roman" w:eastAsia="宋体" w:cs="Times New Roman"/>
                      <w:color w:val="auto"/>
                      <w:sz w:val="21"/>
                      <w:szCs w:val="21"/>
                      <w:highlight w:val="none"/>
                      <w:lang w:val="en-US" w:eastAsia="zh-CN"/>
                    </w:rPr>
                    <w:t>废漆渣</w:t>
                  </w:r>
                  <w:r>
                    <w:rPr>
                      <w:rFonts w:ascii="Times New Roman" w:hAnsi="Times New Roman" w:eastAsia="宋体" w:cs="Times New Roman"/>
                      <w:sz w:val="21"/>
                      <w:szCs w:val="21"/>
                      <w:highlight w:val="none"/>
                    </w:rPr>
                    <w:t>、</w:t>
                  </w:r>
                  <w:r>
                    <w:rPr>
                      <w:rFonts w:hint="eastAsia" w:ascii="Times New Roman" w:hAnsi="Times New Roman" w:eastAsia="宋体" w:cs="Times New Roman"/>
                      <w:color w:val="auto"/>
                      <w:sz w:val="21"/>
                      <w:szCs w:val="21"/>
                      <w:highlight w:val="none"/>
                      <w:lang w:val="en-US" w:eastAsia="zh-CN"/>
                    </w:rPr>
                    <w:t>废过滤棉</w:t>
                  </w:r>
                  <w:r>
                    <w:rPr>
                      <w:rFonts w:ascii="Times New Roman" w:hAnsi="Times New Roman" w:eastAsia="宋体" w:cs="Times New Roman"/>
                      <w:sz w:val="21"/>
                      <w:szCs w:val="21"/>
                      <w:highlight w:val="none"/>
                    </w:rPr>
                    <w:t>、废活性炭</w:t>
                  </w:r>
                  <w:r>
                    <w:rPr>
                      <w:rFonts w:hint="eastAsia" w:ascii="Times New Roman" w:hAnsi="Times New Roman" w:eastAsia="宋体" w:cs="Times New Roman"/>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破损的</w:t>
                  </w:r>
                  <w:r>
                    <w:rPr>
                      <w:rFonts w:hint="default" w:ascii="Times New Roman" w:hAnsi="Times New Roman" w:eastAsia="宋体" w:cs="Times New Roman"/>
                      <w:color w:val="auto"/>
                      <w:sz w:val="21"/>
                      <w:szCs w:val="21"/>
                      <w:highlight w:val="none"/>
                      <w:lang w:val="en-US" w:eastAsia="zh-CN"/>
                    </w:rPr>
                    <w:t>废包装桶</w:t>
                  </w:r>
                  <w:r>
                    <w:rPr>
                      <w:rFonts w:hint="eastAsia" w:ascii="Times New Roman" w:hAnsi="Times New Roman" w:eastAsia="宋体" w:cs="Times New Roman"/>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废液压油</w:t>
                  </w:r>
                  <w:r>
                    <w:rPr>
                      <w:rFonts w:ascii="Times New Roman" w:hAnsi="Times New Roman" w:eastAsia="宋体" w:cs="Times New Roman"/>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835" w:hRule="exact"/>
                <w:jc w:val="right"/>
              </w:trPr>
              <w:tc>
                <w:tcPr>
                  <w:tcW w:w="1692" w:type="dxa"/>
                  <w:tcBorders>
                    <w:tl2br w:val="nil"/>
                    <w:tr2bl w:val="nil"/>
                  </w:tcBorders>
                  <w:shd w:val="clear" w:color="auto" w:fill="FFFFFF"/>
                  <w:noWrap w:val="0"/>
                  <w:vAlign w:val="center"/>
                </w:tcPr>
                <w:p>
                  <w:pPr>
                    <w:jc w:val="center"/>
                    <w:rPr>
                      <w:sz w:val="21"/>
                      <w:szCs w:val="21"/>
                    </w:rPr>
                  </w:pPr>
                  <w:r>
                    <w:rPr>
                      <w:sz w:val="21"/>
                      <w:szCs w:val="21"/>
                    </w:rPr>
                    <w:t>环境影响途径及危 害后果（大气、地 表水、地下水等）</w:t>
                  </w:r>
                </w:p>
              </w:tc>
              <w:tc>
                <w:tcPr>
                  <w:tcW w:w="6692" w:type="dxa"/>
                  <w:gridSpan w:val="4"/>
                  <w:tcBorders>
                    <w:tl2br w:val="nil"/>
                    <w:tr2bl w:val="nil"/>
                  </w:tcBorders>
                  <w:shd w:val="clear" w:color="auto" w:fill="FFFFFF"/>
                  <w:noWrap w:val="0"/>
                  <w:vAlign w:val="center"/>
                </w:tcPr>
                <w:p>
                  <w:pPr>
                    <w:jc w:val="left"/>
                    <w:rPr>
                      <w:sz w:val="21"/>
                      <w:szCs w:val="21"/>
                    </w:rPr>
                  </w:pPr>
                  <w:r>
                    <w:rPr>
                      <w:sz w:val="21"/>
                      <w:szCs w:val="21"/>
                    </w:rPr>
                    <w:t>大气：发生火灾，影响周边居民健康； 地表水：泄漏进入雨水管网。</w:t>
                  </w:r>
                </w:p>
                <w:p>
                  <w:pPr>
                    <w:jc w:val="left"/>
                    <w:rPr>
                      <w:sz w:val="21"/>
                      <w:szCs w:val="21"/>
                    </w:rPr>
                  </w:pPr>
                  <w:r>
                    <w:rPr>
                      <w:sz w:val="21"/>
                      <w:szCs w:val="21"/>
                    </w:rPr>
                    <w:t>土壤及地下水：泄漏、防渗层损坏，污染土壤及地下水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4933" w:hRule="exact"/>
                <w:jc w:val="right"/>
              </w:trPr>
              <w:tc>
                <w:tcPr>
                  <w:tcW w:w="1692" w:type="dxa"/>
                  <w:tcBorders>
                    <w:tl2br w:val="nil"/>
                    <w:tr2bl w:val="nil"/>
                  </w:tcBorders>
                  <w:shd w:val="clear" w:color="auto" w:fill="FFFFFF"/>
                  <w:noWrap w:val="0"/>
                  <w:vAlign w:val="center"/>
                </w:tcPr>
                <w:p>
                  <w:pPr>
                    <w:jc w:val="center"/>
                    <w:rPr>
                      <w:sz w:val="21"/>
                      <w:szCs w:val="21"/>
                    </w:rPr>
                  </w:pPr>
                  <w:r>
                    <w:rPr>
                      <w:sz w:val="21"/>
                      <w:szCs w:val="21"/>
                    </w:rPr>
                    <w:t>风险防范措施要求</w:t>
                  </w:r>
                </w:p>
              </w:tc>
              <w:tc>
                <w:tcPr>
                  <w:tcW w:w="6692" w:type="dxa"/>
                  <w:gridSpan w:val="4"/>
                  <w:tcBorders>
                    <w:tl2br w:val="nil"/>
                    <w:tr2bl w:val="nil"/>
                  </w:tcBorders>
                  <w:shd w:val="clear" w:color="auto" w:fill="FFFFFF"/>
                  <w:noWrap w:val="0"/>
                  <w:vAlign w:val="center"/>
                </w:tcPr>
                <w:p>
                  <w:pPr>
                    <w:jc w:val="left"/>
                    <w:rPr>
                      <w:sz w:val="21"/>
                      <w:szCs w:val="21"/>
                    </w:rPr>
                  </w:pPr>
                  <w:r>
                    <w:rPr>
                      <w:sz w:val="21"/>
                      <w:szCs w:val="21"/>
                    </w:rPr>
                    <w:t>（1）生产过程的防范措施</w:t>
                  </w:r>
                </w:p>
                <w:p>
                  <w:pPr>
                    <w:jc w:val="left"/>
                    <w:rPr>
                      <w:sz w:val="21"/>
                      <w:szCs w:val="21"/>
                    </w:rPr>
                  </w:pPr>
                  <w:r>
                    <w:rPr>
                      <w:sz w:val="21"/>
                      <w:szCs w:val="21"/>
                    </w:rPr>
                    <w:t>生产厂房必须按照《建筑设计防火规范》及其它安全规范 建设、生产、管理。</w:t>
                  </w:r>
                </w:p>
                <w:p>
                  <w:pPr>
                    <w:jc w:val="left"/>
                    <w:rPr>
                      <w:sz w:val="21"/>
                      <w:szCs w:val="21"/>
                    </w:rPr>
                  </w:pPr>
                  <w:r>
                    <w:rPr>
                      <w:sz w:val="21"/>
                      <w:szCs w:val="21"/>
                    </w:rPr>
                    <w:t>建立安全生产岗位责任制。</w:t>
                  </w:r>
                </w:p>
                <w:p>
                  <w:pPr>
                    <w:jc w:val="left"/>
                    <w:rPr>
                      <w:sz w:val="21"/>
                      <w:szCs w:val="21"/>
                    </w:rPr>
                  </w:pPr>
                  <w:r>
                    <w:rPr>
                      <w:rFonts w:hint="eastAsia"/>
                      <w:sz w:val="21"/>
                      <w:szCs w:val="21"/>
                      <w:lang w:eastAsia="zh-CN"/>
                    </w:rPr>
                    <w:t>固体废物</w:t>
                  </w:r>
                  <w:r>
                    <w:rPr>
                      <w:sz w:val="21"/>
                      <w:szCs w:val="21"/>
                    </w:rPr>
                    <w:t>进行分类回收，严格区分来源和用途。建立预警机制，定期组织相关人员进行事故防范演习。</w:t>
                  </w:r>
                </w:p>
                <w:p>
                  <w:pPr>
                    <w:jc w:val="left"/>
                    <w:rPr>
                      <w:sz w:val="21"/>
                      <w:szCs w:val="21"/>
                    </w:rPr>
                  </w:pPr>
                  <w:r>
                    <w:rPr>
                      <w:sz w:val="21"/>
                      <w:szCs w:val="21"/>
                    </w:rPr>
                    <w:t>（2）</w:t>
                  </w:r>
                  <w:r>
                    <w:rPr>
                      <w:rFonts w:hint="eastAsia"/>
                      <w:sz w:val="21"/>
                      <w:szCs w:val="21"/>
                      <w:lang w:eastAsia="zh-CN"/>
                    </w:rPr>
                    <w:t>分区防渗</w:t>
                  </w:r>
                  <w:r>
                    <w:rPr>
                      <w:sz w:val="21"/>
                      <w:szCs w:val="21"/>
                    </w:rPr>
                    <w:t>措施</w:t>
                  </w:r>
                </w:p>
                <w:p>
                  <w:pPr>
                    <w:jc w:val="left"/>
                    <w:rPr>
                      <w:sz w:val="21"/>
                      <w:szCs w:val="21"/>
                    </w:rPr>
                  </w:pPr>
                  <w:r>
                    <w:rPr>
                      <w:rFonts w:hint="eastAsia"/>
                      <w:sz w:val="21"/>
                      <w:szCs w:val="21"/>
                      <w:lang w:eastAsia="zh-CN"/>
                    </w:rPr>
                    <w:t>危废暂存间、生产区域、原材料</w:t>
                  </w:r>
                  <w:r>
                    <w:rPr>
                      <w:sz w:val="21"/>
                      <w:szCs w:val="21"/>
                    </w:rPr>
                    <w:t>仓库地面采取</w:t>
                  </w:r>
                  <w:r>
                    <w:rPr>
                      <w:rFonts w:hint="eastAsia"/>
                      <w:sz w:val="21"/>
                      <w:szCs w:val="21"/>
                      <w:lang w:eastAsia="zh-CN"/>
                    </w:rPr>
                    <w:t>重点</w:t>
                  </w:r>
                  <w:r>
                    <w:rPr>
                      <w:sz w:val="21"/>
                      <w:szCs w:val="21"/>
                    </w:rPr>
                    <w:t>防渗、防腐措施；</w:t>
                  </w:r>
                  <w:r>
                    <w:rPr>
                      <w:rFonts w:hint="eastAsia" w:cs="Times New Roman"/>
                      <w:bCs/>
                      <w:color w:val="auto"/>
                      <w:szCs w:val="21"/>
                      <w:highlight w:val="none"/>
                      <w:lang w:eastAsia="zh-CN"/>
                    </w:rPr>
                    <w:t>一般固废间、</w:t>
                  </w:r>
                  <w:r>
                    <w:rPr>
                      <w:rFonts w:hint="eastAsia" w:ascii="Times New Roman" w:hAnsi="Times New Roman" w:eastAsia="宋体" w:cs="Times New Roman"/>
                      <w:bCs/>
                      <w:color w:val="auto"/>
                      <w:szCs w:val="21"/>
                      <w:highlight w:val="none"/>
                    </w:rPr>
                    <w:t>其他仓库区域</w:t>
                  </w:r>
                  <w:r>
                    <w:rPr>
                      <w:rFonts w:hint="eastAsia" w:cs="Times New Roman"/>
                      <w:bCs/>
                      <w:color w:val="auto"/>
                      <w:szCs w:val="21"/>
                      <w:highlight w:val="none"/>
                      <w:lang w:eastAsia="zh-CN"/>
                    </w:rPr>
                    <w:t>采取一般防渗措施；</w:t>
                  </w:r>
                  <w:r>
                    <w:rPr>
                      <w:rFonts w:hint="eastAsia"/>
                      <w:sz w:val="21"/>
                      <w:szCs w:val="21"/>
                      <w:lang w:eastAsia="zh-CN"/>
                    </w:rPr>
                    <w:t>打磨区域</w:t>
                  </w:r>
                  <w:r>
                    <w:rPr>
                      <w:sz w:val="21"/>
                      <w:szCs w:val="21"/>
                    </w:rPr>
                    <w:t>范围内地面配置一定的吸附物质</w:t>
                  </w:r>
                  <w:r>
                    <w:rPr>
                      <w:rFonts w:hint="eastAsia"/>
                      <w:sz w:val="21"/>
                      <w:szCs w:val="21"/>
                      <w:lang w:eastAsia="zh-CN"/>
                    </w:rPr>
                    <w:t>，防止润滑油滴漏</w:t>
                  </w:r>
                  <w:r>
                    <w:rPr>
                      <w:sz w:val="21"/>
                      <w:szCs w:val="21"/>
                    </w:rPr>
                    <w:t>。</w:t>
                  </w:r>
                </w:p>
                <w:p>
                  <w:pPr>
                    <w:jc w:val="left"/>
                    <w:rPr>
                      <w:sz w:val="21"/>
                      <w:szCs w:val="21"/>
                    </w:rPr>
                  </w:pPr>
                  <w:r>
                    <w:rPr>
                      <w:sz w:val="21"/>
                      <w:szCs w:val="21"/>
                    </w:rPr>
                    <w:t>（3）火灾的防范措施</w:t>
                  </w:r>
                </w:p>
                <w:p>
                  <w:pPr>
                    <w:jc w:val="left"/>
                    <w:rPr>
                      <w:sz w:val="21"/>
                      <w:szCs w:val="21"/>
                    </w:rPr>
                  </w:pPr>
                  <w:r>
                    <w:rPr>
                      <w:sz w:val="21"/>
                      <w:szCs w:val="21"/>
                    </w:rPr>
                    <w:t>设备的安全管理定期对设备进行安全检测。车间应保证废气处理装置正常稳定运行，同时车间通风换气，防止火灾爆炸的危险。危化品储存场所必须保持干燥并有相应的防火安全措施。严禁火源进入生产厂房和仓库内。</w:t>
                  </w:r>
                </w:p>
                <w:p>
                  <w:pPr>
                    <w:jc w:val="left"/>
                    <w:rPr>
                      <w:sz w:val="21"/>
                      <w:szCs w:val="21"/>
                    </w:rPr>
                  </w:pPr>
                  <w:r>
                    <w:rPr>
                      <w:sz w:val="21"/>
                      <w:szCs w:val="21"/>
                    </w:rPr>
                    <w:t>（4）危险废物管理与防范措施</w:t>
                  </w:r>
                </w:p>
                <w:p>
                  <w:pPr>
                    <w:jc w:val="left"/>
                    <w:rPr>
                      <w:sz w:val="21"/>
                      <w:szCs w:val="21"/>
                    </w:rPr>
                  </w:pPr>
                  <w:r>
                    <w:rPr>
                      <w:sz w:val="21"/>
                      <w:szCs w:val="21"/>
                    </w:rPr>
                    <w:t>加强操作人员环保意识，了解危废种类、收容要求及环境危害；建立健全危废台账制度，严格管理，责任到人；各种危废上贴有标签，分类储存；专人看管负责，每日巡查。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955" w:hRule="exact"/>
                <w:jc w:val="right"/>
              </w:trPr>
              <w:tc>
                <w:tcPr>
                  <w:tcW w:w="8384" w:type="dxa"/>
                  <w:gridSpan w:val="5"/>
                  <w:tcBorders>
                    <w:tl2br w:val="nil"/>
                    <w:tr2bl w:val="nil"/>
                  </w:tcBorders>
                  <w:shd w:val="clear" w:color="auto" w:fill="FFFFFF"/>
                  <w:noWrap w:val="0"/>
                  <w:vAlign w:val="center"/>
                </w:tcPr>
                <w:p>
                  <w:pPr>
                    <w:jc w:val="center"/>
                    <w:rPr>
                      <w:sz w:val="21"/>
                      <w:szCs w:val="21"/>
                    </w:rPr>
                  </w:pPr>
                  <w:r>
                    <w:rPr>
                      <w:sz w:val="21"/>
                      <w:szCs w:val="21"/>
                    </w:rPr>
                    <w:t>填表说明（列出相关信息及评价说明）：根据《建设项目环境风险评价技术导则》</w:t>
                  </w:r>
                  <w:r>
                    <w:rPr>
                      <w:sz w:val="21"/>
                      <w:szCs w:val="21"/>
                      <w:lang w:val="en-US" w:eastAsia="en-US"/>
                    </w:rPr>
                    <w:t>（HJ/T169-2018）</w:t>
                  </w:r>
                  <w:r>
                    <w:rPr>
                      <w:sz w:val="21"/>
                      <w:szCs w:val="21"/>
                    </w:rPr>
                    <w:t>和《重大危险源辨识》</w:t>
                  </w:r>
                  <w:r>
                    <w:rPr>
                      <w:sz w:val="21"/>
                      <w:szCs w:val="21"/>
                      <w:lang w:val="en-US" w:eastAsia="en-US"/>
                    </w:rPr>
                    <w:t>（GB18218-2018）</w:t>
                  </w:r>
                  <w:r>
                    <w:rPr>
                      <w:sz w:val="21"/>
                      <w:szCs w:val="21"/>
                    </w:rPr>
                    <w:t>，项目物质 风险识别根据本项目的储存量，不构成重大危险源。</w:t>
                  </w:r>
                </w:p>
              </w:tc>
            </w:tr>
          </w:tbl>
          <w:p>
            <w:pPr>
              <w:widowControl/>
              <w:spacing w:line="360" w:lineRule="auto"/>
              <w:jc w:val="left"/>
              <w:rPr>
                <w:rFonts w:hint="default" w:ascii="Times New Roman" w:hAnsi="Times New Roman" w:eastAsia="宋体" w:cs="Times New Roman"/>
                <w:color w:val="000000"/>
                <w:kern w:val="0"/>
                <w:sz w:val="24"/>
                <w:lang w:val="en-US" w:eastAsia="zh-CN" w:bidi="ar"/>
              </w:rPr>
            </w:pPr>
          </w:p>
          <w:p>
            <w:pPr>
              <w:widowControl/>
              <w:spacing w:line="360" w:lineRule="auto"/>
              <w:ind w:firstLine="480" w:firstLineChars="200"/>
              <w:jc w:val="left"/>
              <w:rPr>
                <w:rFonts w:hint="default" w:ascii="Times New Roman" w:hAnsi="Times New Roman" w:eastAsia="宋体" w:cs="Times New Roman"/>
                <w:color w:val="000000"/>
                <w:kern w:val="0"/>
                <w:sz w:val="24"/>
                <w:lang w:val="en-US" w:eastAsia="zh-CN" w:bidi="ar"/>
              </w:rPr>
            </w:pPr>
            <w:r>
              <w:rPr>
                <w:rFonts w:hint="default" w:ascii="Times New Roman" w:hAnsi="Times New Roman" w:eastAsia="宋体" w:cs="Times New Roman"/>
                <w:color w:val="000000"/>
                <w:kern w:val="0"/>
                <w:sz w:val="24"/>
                <w:lang w:val="en-US" w:eastAsia="zh-CN" w:bidi="ar"/>
              </w:rPr>
              <w:t>七、电磁辐射</w:t>
            </w:r>
          </w:p>
          <w:p>
            <w:pPr>
              <w:widowControl/>
              <w:spacing w:line="360" w:lineRule="auto"/>
              <w:ind w:firstLine="480" w:firstLineChars="200"/>
              <w:jc w:val="left"/>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本项目</w:t>
            </w:r>
            <w:r>
              <w:rPr>
                <w:kern w:val="0"/>
                <w:sz w:val="24"/>
              </w:rPr>
              <w:t>不涉及电磁辐射环境影响</w:t>
            </w:r>
            <w:r>
              <w:rPr>
                <w:rFonts w:hint="eastAsia"/>
                <w:kern w:val="0"/>
                <w:sz w:val="24"/>
              </w:rPr>
              <w:t>。</w:t>
            </w:r>
          </w:p>
          <w:p>
            <w:pPr>
              <w:widowControl/>
              <w:spacing w:line="360" w:lineRule="auto"/>
              <w:ind w:firstLine="480" w:firstLineChars="200"/>
              <w:jc w:val="left"/>
              <w:rPr>
                <w:rFonts w:hint="default" w:ascii="Times New Roman" w:hAnsi="Times New Roman" w:eastAsia="宋体" w:cs="Times New Roman"/>
                <w:color w:val="000000"/>
                <w:kern w:val="0"/>
                <w:sz w:val="24"/>
                <w:lang w:val="en-US" w:eastAsia="zh-CN" w:bidi="ar"/>
              </w:rPr>
            </w:pPr>
            <w:r>
              <w:rPr>
                <w:rFonts w:hint="eastAsia" w:ascii="Times New Roman" w:hAnsi="Times New Roman" w:eastAsia="宋体" w:cs="Times New Roman"/>
                <w:color w:val="000000"/>
                <w:kern w:val="0"/>
                <w:sz w:val="24"/>
                <w:lang w:val="en-US" w:eastAsia="zh-CN" w:bidi="ar"/>
              </w:rPr>
              <w:t>八</w:t>
            </w:r>
            <w:r>
              <w:rPr>
                <w:rFonts w:hint="default" w:ascii="Times New Roman" w:hAnsi="Times New Roman" w:eastAsia="宋体" w:cs="Times New Roman"/>
                <w:color w:val="000000"/>
                <w:kern w:val="0"/>
                <w:sz w:val="24"/>
                <w:lang w:val="en-US" w:eastAsia="zh-CN" w:bidi="ar"/>
              </w:rPr>
              <w:t>.生态</w:t>
            </w:r>
          </w:p>
          <w:p>
            <w:pPr>
              <w:widowControl/>
              <w:spacing w:line="360" w:lineRule="auto"/>
              <w:ind w:firstLine="480" w:firstLineChars="200"/>
              <w:jc w:val="left"/>
              <w:rPr>
                <w:rFonts w:hint="default" w:ascii="Times New Roman" w:hAnsi="Times New Roman" w:eastAsia="宋体" w:cs="Times New Roman"/>
                <w:color w:val="000000"/>
                <w:kern w:val="0"/>
                <w:sz w:val="24"/>
                <w:lang w:val="en-US" w:eastAsia="zh-CN" w:bidi="ar"/>
              </w:rPr>
            </w:pPr>
            <w:r>
              <w:rPr>
                <w:rFonts w:hint="eastAsia" w:hAnsi="宋体"/>
                <w:kern w:val="2"/>
                <w:sz w:val="24"/>
                <w:szCs w:val="24"/>
              </w:rPr>
              <w:t>本项目位于</w:t>
            </w:r>
            <w:r>
              <w:rPr>
                <w:rFonts w:hint="eastAsia"/>
                <w:sz w:val="24"/>
                <w:lang w:eastAsia="zh-CN"/>
              </w:rPr>
              <w:t>淮南经济技术开发区农科路</w:t>
            </w:r>
            <w:r>
              <w:rPr>
                <w:rFonts w:hint="eastAsia" w:hAnsi="宋体"/>
                <w:kern w:val="2"/>
                <w:sz w:val="24"/>
                <w:szCs w:val="24"/>
              </w:rPr>
              <w:t>，</w:t>
            </w:r>
            <w:r>
              <w:rPr>
                <w:rFonts w:hint="eastAsia"/>
                <w:bCs/>
                <w:sz w:val="24"/>
              </w:rPr>
              <w:t>项目租赁现有厂房</w:t>
            </w:r>
            <w:r>
              <w:rPr>
                <w:rFonts w:hint="eastAsia"/>
                <w:sz w:val="24"/>
                <w:szCs w:val="24"/>
              </w:rPr>
              <w:t>，</w:t>
            </w:r>
            <w:r>
              <w:rPr>
                <w:rFonts w:hint="default" w:ascii="Times New Roman" w:hAnsi="Times New Roman" w:eastAsia="宋体" w:cs="Times New Roman"/>
                <w:color w:val="000000"/>
                <w:kern w:val="0"/>
                <w:sz w:val="24"/>
                <w:lang w:val="en-US" w:eastAsia="zh-CN" w:bidi="ar"/>
              </w:rPr>
              <w:t>用地范围内不涉及生态环境保护目标。</w:t>
            </w:r>
          </w:p>
          <w:p>
            <w:pPr>
              <w:widowControl/>
              <w:spacing w:line="360" w:lineRule="auto"/>
              <w:ind w:firstLine="480" w:firstLineChars="200"/>
              <w:jc w:val="left"/>
              <w:rPr>
                <w:rFonts w:hint="default" w:ascii="Times New Roman" w:hAnsi="Times New Roman" w:eastAsia="宋体" w:cs="Times New Roman"/>
                <w:color w:val="000000"/>
                <w:kern w:val="0"/>
                <w:sz w:val="24"/>
                <w:lang w:val="en-US" w:eastAsia="zh-CN" w:bidi="ar"/>
              </w:rPr>
            </w:pPr>
            <w:r>
              <w:rPr>
                <w:rFonts w:hint="eastAsia" w:ascii="Times New Roman" w:hAnsi="Times New Roman" w:eastAsia="宋体" w:cs="Times New Roman"/>
                <w:color w:val="000000"/>
                <w:kern w:val="0"/>
                <w:sz w:val="24"/>
                <w:lang w:val="en-US" w:eastAsia="zh-CN" w:bidi="ar"/>
              </w:rPr>
              <w:t>九、</w:t>
            </w:r>
            <w:r>
              <w:rPr>
                <w:rFonts w:hint="default" w:ascii="Times New Roman" w:hAnsi="Times New Roman" w:eastAsia="宋体" w:cs="Times New Roman"/>
                <w:color w:val="000000"/>
                <w:kern w:val="0"/>
                <w:sz w:val="24"/>
                <w:lang w:val="en-US" w:eastAsia="zh-CN" w:bidi="ar"/>
              </w:rPr>
              <w:t>环保投资</w:t>
            </w:r>
          </w:p>
          <w:p>
            <w:pPr>
              <w:spacing w:before="60" w:line="360" w:lineRule="auto"/>
              <w:ind w:left="2879" w:leftChars="228" w:hanging="2400" w:hangingChars="1000"/>
              <w:jc w:val="both"/>
              <w:rPr>
                <w:rFonts w:hint="eastAsia"/>
                <w:color w:val="auto"/>
                <w:sz w:val="24"/>
                <w:lang w:eastAsia="zh-CN"/>
              </w:rPr>
            </w:pPr>
            <w:r>
              <w:rPr>
                <w:sz w:val="24"/>
              </w:rPr>
              <w:t>项目环保投资为</w:t>
            </w:r>
            <w:r>
              <w:rPr>
                <w:rFonts w:hint="eastAsia"/>
                <w:sz w:val="24"/>
                <w:lang w:val="en-US" w:eastAsia="zh-CN"/>
              </w:rPr>
              <w:t>50</w:t>
            </w:r>
            <w:r>
              <w:rPr>
                <w:sz w:val="24"/>
              </w:rPr>
              <w:t>万元，占总投资</w:t>
            </w:r>
            <w:r>
              <w:rPr>
                <w:rFonts w:hint="eastAsia"/>
                <w:sz w:val="24"/>
                <w:lang w:val="en-US" w:eastAsia="zh-CN"/>
              </w:rPr>
              <w:t>500</w:t>
            </w:r>
            <w:r>
              <w:rPr>
                <w:rFonts w:hint="eastAsia"/>
                <w:sz w:val="24"/>
              </w:rPr>
              <w:t>万</w:t>
            </w:r>
            <w:r>
              <w:rPr>
                <w:sz w:val="24"/>
              </w:rPr>
              <w:t>元的</w:t>
            </w:r>
            <w:r>
              <w:rPr>
                <w:rFonts w:hint="eastAsia"/>
                <w:sz w:val="24"/>
                <w:lang w:val="en-US" w:eastAsia="zh-CN"/>
              </w:rPr>
              <w:t>10</w:t>
            </w:r>
            <w:r>
              <w:rPr>
                <w:sz w:val="24"/>
              </w:rPr>
              <w:t>%，环保投资估算详见下表：</w:t>
            </w:r>
            <w:r>
              <w:rPr>
                <w:b/>
                <w:bCs/>
                <w:color w:val="auto"/>
                <w:sz w:val="21"/>
                <w:szCs w:val="21"/>
              </w:rPr>
              <w:t>表4-</w:t>
            </w:r>
            <w:r>
              <w:rPr>
                <w:rFonts w:hint="eastAsia"/>
                <w:b/>
                <w:bCs/>
                <w:color w:val="auto"/>
                <w:sz w:val="21"/>
                <w:szCs w:val="21"/>
                <w:lang w:val="en-US" w:eastAsia="zh-CN"/>
              </w:rPr>
              <w:t>24</w:t>
            </w:r>
            <w:r>
              <w:rPr>
                <w:b/>
                <w:bCs/>
                <w:color w:val="auto"/>
                <w:sz w:val="21"/>
                <w:szCs w:val="21"/>
              </w:rPr>
              <w:t>环保投资一览表</w:t>
            </w:r>
          </w:p>
          <w:tbl>
            <w:tblPr>
              <w:tblStyle w:val="28"/>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8"/>
              <w:gridCol w:w="4305"/>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068" w:type="dxa"/>
                  <w:noWrap w:val="0"/>
                  <w:vAlign w:val="center"/>
                </w:tcPr>
                <w:p>
                  <w:pPr>
                    <w:spacing w:line="280" w:lineRule="exact"/>
                    <w:jc w:val="center"/>
                    <w:rPr>
                      <w:color w:val="auto"/>
                      <w:szCs w:val="21"/>
                    </w:rPr>
                  </w:pPr>
                  <w:r>
                    <w:rPr>
                      <w:color w:val="auto"/>
                      <w:szCs w:val="21"/>
                    </w:rPr>
                    <w:t>类别</w:t>
                  </w:r>
                </w:p>
              </w:tc>
              <w:tc>
                <w:tcPr>
                  <w:tcW w:w="4305" w:type="dxa"/>
                  <w:noWrap w:val="0"/>
                  <w:vAlign w:val="center"/>
                </w:tcPr>
                <w:p>
                  <w:pPr>
                    <w:spacing w:line="280" w:lineRule="exact"/>
                    <w:jc w:val="center"/>
                    <w:rPr>
                      <w:color w:val="auto"/>
                      <w:szCs w:val="21"/>
                    </w:rPr>
                  </w:pPr>
                  <w:r>
                    <w:rPr>
                      <w:color w:val="auto"/>
                      <w:szCs w:val="21"/>
                    </w:rPr>
                    <w:t>投资内容</w:t>
                  </w:r>
                </w:p>
              </w:tc>
              <w:tc>
                <w:tcPr>
                  <w:tcW w:w="2086" w:type="dxa"/>
                  <w:noWrap w:val="0"/>
                  <w:vAlign w:val="top"/>
                </w:tcPr>
                <w:p>
                  <w:pPr>
                    <w:spacing w:line="280" w:lineRule="exact"/>
                    <w:jc w:val="center"/>
                    <w:rPr>
                      <w:color w:val="auto"/>
                      <w:szCs w:val="21"/>
                    </w:rPr>
                  </w:pPr>
                  <w:r>
                    <w:rPr>
                      <w:color w:val="auto"/>
                      <w:szCs w:val="21"/>
                    </w:rPr>
                    <w:t>投资额(万元)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068" w:type="dxa"/>
                  <w:noWrap w:val="0"/>
                  <w:vAlign w:val="center"/>
                </w:tcPr>
                <w:p>
                  <w:pPr>
                    <w:spacing w:line="280" w:lineRule="exact"/>
                    <w:jc w:val="center"/>
                    <w:rPr>
                      <w:color w:val="auto"/>
                      <w:szCs w:val="21"/>
                    </w:rPr>
                  </w:pPr>
                  <w:r>
                    <w:rPr>
                      <w:color w:val="auto"/>
                      <w:szCs w:val="21"/>
                    </w:rPr>
                    <w:t>固废</w:t>
                  </w:r>
                </w:p>
              </w:tc>
              <w:tc>
                <w:tcPr>
                  <w:tcW w:w="4305" w:type="dxa"/>
                  <w:noWrap w:val="0"/>
                  <w:vAlign w:val="center"/>
                </w:tcPr>
                <w:p>
                  <w:pPr>
                    <w:spacing w:line="280" w:lineRule="exact"/>
                    <w:jc w:val="center"/>
                    <w:rPr>
                      <w:color w:val="auto"/>
                      <w:szCs w:val="21"/>
                    </w:rPr>
                  </w:pPr>
                  <w:r>
                    <w:rPr>
                      <w:rFonts w:hint="eastAsia"/>
                      <w:color w:val="auto"/>
                      <w:szCs w:val="21"/>
                      <w:lang w:eastAsia="zh-CN"/>
                    </w:rPr>
                    <w:t>生活垃圾间、铁屑暂存间</w:t>
                  </w:r>
                  <w:r>
                    <w:rPr>
                      <w:color w:val="auto"/>
                      <w:szCs w:val="21"/>
                    </w:rPr>
                    <w:t>、危废暂存场所</w:t>
                  </w:r>
                </w:p>
              </w:tc>
              <w:tc>
                <w:tcPr>
                  <w:tcW w:w="2086" w:type="dxa"/>
                  <w:noWrap w:val="0"/>
                  <w:vAlign w:val="top"/>
                </w:tcPr>
                <w:p>
                  <w:pPr>
                    <w:spacing w:line="280" w:lineRule="exact"/>
                    <w:jc w:val="center"/>
                    <w:rPr>
                      <w:rFonts w:hint="eastAsia" w:eastAsia="宋体"/>
                      <w:color w:val="auto"/>
                      <w:szCs w:val="21"/>
                      <w:lang w:val="en-US" w:eastAsia="zh-CN"/>
                    </w:rPr>
                  </w:pPr>
                  <w:r>
                    <w:rPr>
                      <w:rFonts w:hint="eastAsia"/>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068" w:type="dxa"/>
                  <w:vMerge w:val="restart"/>
                  <w:noWrap w:val="0"/>
                  <w:vAlign w:val="center"/>
                </w:tcPr>
                <w:p>
                  <w:pPr>
                    <w:spacing w:line="280" w:lineRule="exact"/>
                    <w:jc w:val="center"/>
                    <w:rPr>
                      <w:color w:val="auto"/>
                      <w:szCs w:val="21"/>
                    </w:rPr>
                  </w:pPr>
                  <w:r>
                    <w:rPr>
                      <w:color w:val="auto"/>
                      <w:szCs w:val="21"/>
                    </w:rPr>
                    <w:t>废气</w:t>
                  </w:r>
                </w:p>
              </w:tc>
              <w:tc>
                <w:tcPr>
                  <w:tcW w:w="4305" w:type="dxa"/>
                  <w:noWrap w:val="0"/>
                  <w:vAlign w:val="center"/>
                </w:tcPr>
                <w:p>
                  <w:pPr>
                    <w:spacing w:line="280" w:lineRule="exact"/>
                    <w:jc w:val="center"/>
                    <w:rPr>
                      <w:rFonts w:hint="default" w:eastAsia="宋体"/>
                      <w:color w:val="auto"/>
                      <w:szCs w:val="21"/>
                      <w:lang w:val="en-US" w:eastAsia="zh-CN"/>
                    </w:rPr>
                  </w:pPr>
                  <w:r>
                    <w:rPr>
                      <w:rFonts w:hint="eastAsia"/>
                      <w:color w:val="auto"/>
                      <w:lang w:eastAsia="zh-CN"/>
                    </w:rPr>
                    <w:t>集气罩</w:t>
                  </w:r>
                  <w:r>
                    <w:rPr>
                      <w:rFonts w:hint="eastAsia"/>
                      <w:color w:val="auto"/>
                      <w:lang w:val="en-US" w:eastAsia="zh-CN"/>
                    </w:rPr>
                    <w:t>+碱液吸收塔+排气筒</w:t>
                  </w:r>
                </w:p>
              </w:tc>
              <w:tc>
                <w:tcPr>
                  <w:tcW w:w="2086" w:type="dxa"/>
                  <w:noWrap w:val="0"/>
                  <w:vAlign w:val="top"/>
                </w:tcPr>
                <w:p>
                  <w:pPr>
                    <w:spacing w:line="280" w:lineRule="exact"/>
                    <w:jc w:val="center"/>
                    <w:rPr>
                      <w:rFonts w:hint="default" w:eastAsia="宋体"/>
                      <w:color w:val="auto"/>
                      <w:szCs w:val="21"/>
                      <w:lang w:val="en-US" w:eastAsia="zh-CN"/>
                    </w:rPr>
                  </w:pPr>
                  <w:r>
                    <w:rPr>
                      <w:rFonts w:hint="eastAsia"/>
                      <w:color w:val="auto"/>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68" w:type="dxa"/>
                  <w:vMerge w:val="continue"/>
                  <w:noWrap w:val="0"/>
                  <w:vAlign w:val="center"/>
                </w:tcPr>
                <w:p>
                  <w:pPr>
                    <w:spacing w:line="280" w:lineRule="exact"/>
                    <w:jc w:val="center"/>
                    <w:rPr>
                      <w:color w:val="auto"/>
                      <w:szCs w:val="21"/>
                    </w:rPr>
                  </w:pPr>
                </w:p>
              </w:tc>
              <w:tc>
                <w:tcPr>
                  <w:tcW w:w="4305" w:type="dxa"/>
                  <w:noWrap w:val="0"/>
                  <w:vAlign w:val="center"/>
                </w:tcPr>
                <w:p>
                  <w:pPr>
                    <w:spacing w:line="280" w:lineRule="exact"/>
                    <w:jc w:val="center"/>
                    <w:rPr>
                      <w:color w:val="auto"/>
                    </w:rPr>
                  </w:pPr>
                  <w:r>
                    <w:rPr>
                      <w:rFonts w:hint="eastAsia"/>
                      <w:color w:val="auto"/>
                      <w:kern w:val="0"/>
                      <w:szCs w:val="21"/>
                      <w:lang w:eastAsia="zh-CN"/>
                    </w:rPr>
                    <w:t>袋式除尘器</w:t>
                  </w:r>
                </w:p>
              </w:tc>
              <w:tc>
                <w:tcPr>
                  <w:tcW w:w="2086" w:type="dxa"/>
                  <w:noWrap w:val="0"/>
                  <w:vAlign w:val="top"/>
                </w:tcPr>
                <w:p>
                  <w:pPr>
                    <w:spacing w:line="280" w:lineRule="exact"/>
                    <w:jc w:val="center"/>
                    <w:rPr>
                      <w:rFonts w:hint="default" w:eastAsia="宋体"/>
                      <w:color w:val="auto"/>
                      <w:szCs w:val="21"/>
                      <w:lang w:val="en-US" w:eastAsia="zh-CN"/>
                    </w:rPr>
                  </w:pPr>
                  <w:r>
                    <w:rPr>
                      <w:rFonts w:hint="eastAsia"/>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068" w:type="dxa"/>
                  <w:noWrap w:val="0"/>
                  <w:vAlign w:val="center"/>
                </w:tcPr>
                <w:p>
                  <w:pPr>
                    <w:spacing w:line="280" w:lineRule="exact"/>
                    <w:jc w:val="center"/>
                    <w:rPr>
                      <w:color w:val="auto"/>
                      <w:szCs w:val="21"/>
                    </w:rPr>
                  </w:pPr>
                  <w:r>
                    <w:rPr>
                      <w:color w:val="auto"/>
                      <w:szCs w:val="21"/>
                    </w:rPr>
                    <w:t>废水</w:t>
                  </w:r>
                </w:p>
              </w:tc>
              <w:tc>
                <w:tcPr>
                  <w:tcW w:w="4305" w:type="dxa"/>
                  <w:noWrap w:val="0"/>
                  <w:vAlign w:val="center"/>
                </w:tcPr>
                <w:p>
                  <w:pPr>
                    <w:spacing w:line="280" w:lineRule="exact"/>
                    <w:jc w:val="center"/>
                    <w:rPr>
                      <w:color w:val="auto"/>
                      <w:szCs w:val="21"/>
                    </w:rPr>
                  </w:pPr>
                  <w:r>
                    <w:rPr>
                      <w:color w:val="auto"/>
                      <w:szCs w:val="21"/>
                    </w:rPr>
                    <w:t>依托</w:t>
                  </w:r>
                  <w:r>
                    <w:rPr>
                      <w:rFonts w:hint="eastAsia"/>
                      <w:color w:val="auto"/>
                      <w:szCs w:val="21"/>
                      <w:lang w:eastAsia="zh-CN"/>
                    </w:rPr>
                    <w:t>租赁厂区</w:t>
                  </w:r>
                  <w:r>
                    <w:rPr>
                      <w:color w:val="auto"/>
                      <w:szCs w:val="21"/>
                    </w:rPr>
                    <w:t>化粪池</w:t>
                  </w:r>
                </w:p>
              </w:tc>
              <w:tc>
                <w:tcPr>
                  <w:tcW w:w="2086" w:type="dxa"/>
                  <w:noWrap w:val="0"/>
                  <w:vAlign w:val="top"/>
                </w:tcPr>
                <w:p>
                  <w:pPr>
                    <w:spacing w:line="280" w:lineRule="exact"/>
                    <w:jc w:val="center"/>
                    <w:rPr>
                      <w:rFonts w:hint="eastAsia" w:eastAsia="宋体"/>
                      <w:color w:val="auto"/>
                      <w:szCs w:val="21"/>
                      <w:lang w:val="en-US" w:eastAsia="zh-CN"/>
                    </w:rPr>
                  </w:pPr>
                  <w:r>
                    <w:rPr>
                      <w:rFonts w:hint="eastAsia"/>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068" w:type="dxa"/>
                  <w:noWrap w:val="0"/>
                  <w:vAlign w:val="center"/>
                </w:tcPr>
                <w:p>
                  <w:pPr>
                    <w:spacing w:line="280" w:lineRule="exact"/>
                    <w:jc w:val="center"/>
                    <w:rPr>
                      <w:rFonts w:hint="eastAsia" w:eastAsia="宋体"/>
                      <w:color w:val="auto"/>
                      <w:szCs w:val="21"/>
                      <w:lang w:eastAsia="zh-CN"/>
                    </w:rPr>
                  </w:pPr>
                  <w:r>
                    <w:rPr>
                      <w:rFonts w:hint="eastAsia"/>
                      <w:color w:val="auto"/>
                      <w:szCs w:val="21"/>
                      <w:lang w:eastAsia="zh-CN"/>
                    </w:rPr>
                    <w:t>噪声</w:t>
                  </w:r>
                </w:p>
              </w:tc>
              <w:tc>
                <w:tcPr>
                  <w:tcW w:w="4305" w:type="dxa"/>
                  <w:noWrap w:val="0"/>
                  <w:vAlign w:val="center"/>
                </w:tcPr>
                <w:p>
                  <w:pPr>
                    <w:spacing w:line="280" w:lineRule="exact"/>
                    <w:jc w:val="center"/>
                    <w:rPr>
                      <w:color w:val="auto"/>
                      <w:szCs w:val="21"/>
                    </w:rPr>
                  </w:pPr>
                  <w:r>
                    <w:rPr>
                      <w:rFonts w:hint="eastAsia"/>
                      <w:color w:val="auto"/>
                    </w:rPr>
                    <w:t>围墙降噪、</w:t>
                  </w:r>
                  <w:r>
                    <w:rPr>
                      <w:color w:val="auto"/>
                    </w:rPr>
                    <w:t>距离</w:t>
                  </w:r>
                  <w:r>
                    <w:rPr>
                      <w:rFonts w:hint="eastAsia"/>
                      <w:color w:val="auto"/>
                    </w:rPr>
                    <w:t>衰减、</w:t>
                  </w:r>
                  <w:r>
                    <w:rPr>
                      <w:color w:val="auto"/>
                    </w:rPr>
                    <w:t>绿化降噪</w:t>
                  </w:r>
                </w:p>
              </w:tc>
              <w:tc>
                <w:tcPr>
                  <w:tcW w:w="2086" w:type="dxa"/>
                  <w:noWrap w:val="0"/>
                  <w:vAlign w:val="top"/>
                </w:tcPr>
                <w:p>
                  <w:pPr>
                    <w:spacing w:line="280" w:lineRule="exact"/>
                    <w:jc w:val="center"/>
                    <w:rPr>
                      <w:rFonts w:hint="eastAsia" w:eastAsia="宋体"/>
                      <w:color w:val="auto"/>
                      <w:szCs w:val="21"/>
                      <w:lang w:val="en-US" w:eastAsia="zh-CN"/>
                    </w:rPr>
                  </w:pPr>
                  <w:r>
                    <w:rPr>
                      <w:rFonts w:hint="eastAsia"/>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373" w:type="dxa"/>
                  <w:gridSpan w:val="2"/>
                  <w:noWrap w:val="0"/>
                  <w:vAlign w:val="center"/>
                </w:tcPr>
                <w:p>
                  <w:pPr>
                    <w:spacing w:line="280" w:lineRule="exact"/>
                    <w:jc w:val="center"/>
                    <w:rPr>
                      <w:rFonts w:hint="eastAsia" w:eastAsia="宋体"/>
                      <w:color w:val="auto"/>
                      <w:szCs w:val="21"/>
                      <w:lang w:eastAsia="zh-CN"/>
                    </w:rPr>
                  </w:pPr>
                  <w:r>
                    <w:rPr>
                      <w:rFonts w:hint="eastAsia"/>
                      <w:color w:val="auto"/>
                      <w:szCs w:val="21"/>
                      <w:lang w:eastAsia="zh-CN"/>
                    </w:rPr>
                    <w:t>合计</w:t>
                  </w:r>
                </w:p>
              </w:tc>
              <w:tc>
                <w:tcPr>
                  <w:tcW w:w="2086" w:type="dxa"/>
                  <w:noWrap w:val="0"/>
                  <w:vAlign w:val="top"/>
                </w:tcPr>
                <w:p>
                  <w:pPr>
                    <w:spacing w:line="280" w:lineRule="exact"/>
                    <w:jc w:val="center"/>
                    <w:rPr>
                      <w:rFonts w:hint="default" w:eastAsia="宋体"/>
                      <w:color w:val="auto"/>
                      <w:szCs w:val="21"/>
                      <w:lang w:val="en-US" w:eastAsia="zh-CN"/>
                    </w:rPr>
                  </w:pPr>
                  <w:r>
                    <w:rPr>
                      <w:rFonts w:hint="eastAsia"/>
                      <w:color w:val="auto"/>
                      <w:szCs w:val="21"/>
                      <w:lang w:val="en-US" w:eastAsia="zh-CN"/>
                    </w:rPr>
                    <w:t>50</w:t>
                  </w:r>
                </w:p>
              </w:tc>
            </w:tr>
          </w:tbl>
          <w:p>
            <w:pPr>
              <w:pStyle w:val="87"/>
              <w:widowControl w:val="0"/>
              <w:numPr>
                <w:ilvl w:val="0"/>
                <w:numId w:val="0"/>
              </w:numPr>
              <w:jc w:val="both"/>
              <w:rPr>
                <w:rFonts w:hint="eastAsia"/>
                <w:sz w:val="24"/>
                <w:vertAlign w:val="baseline"/>
                <w:lang w:eastAsia="zh-CN"/>
              </w:rPr>
            </w:pPr>
          </w:p>
        </w:tc>
      </w:tr>
    </w:tbl>
    <w:p>
      <w:pPr>
        <w:pStyle w:val="87"/>
        <w:widowControl w:val="0"/>
        <w:numPr>
          <w:ilvl w:val="0"/>
          <w:numId w:val="0"/>
        </w:numPr>
        <w:jc w:val="both"/>
        <w:rPr>
          <w:rFonts w:hint="eastAsia"/>
          <w:sz w:val="24"/>
          <w:lang w:eastAsia="zh-CN"/>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pStyle w:val="5"/>
        <w:bidi w:val="0"/>
        <w:ind w:left="0" w:leftChars="0" w:firstLine="0" w:firstLineChars="0"/>
        <w:jc w:val="center"/>
      </w:pPr>
      <w:r>
        <w:rPr>
          <w:rFonts w:hint="eastAsia"/>
        </w:rPr>
        <w:t>五、</w:t>
      </w:r>
      <w:bookmarkStart w:id="32" w:name="_Hlk54167917"/>
      <w:r>
        <w:rPr>
          <w:rFonts w:hint="eastAsia"/>
        </w:rPr>
        <w:t>环境保护措施监督检查清单</w:t>
      </w:r>
      <w:bookmarkEnd w:id="32"/>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755"/>
        <w:gridCol w:w="1524"/>
        <w:gridCol w:w="1638"/>
        <w:gridCol w:w="21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778" w:type="dxa"/>
            <w:tcBorders>
              <w:tl2br w:val="single" w:color="auto" w:sz="4" w:space="0"/>
            </w:tcBorders>
            <w:noWrap w:val="0"/>
            <w:vAlign w:val="top"/>
          </w:tcPr>
          <w:p>
            <w:pPr>
              <w:adjustRightInd w:val="0"/>
              <w:snapToGrid w:val="0"/>
              <w:ind w:firstLine="840"/>
              <w:rPr>
                <w:rFonts w:hint="eastAsia" w:ascii="宋体" w:hAnsi="宋体" w:cs="宋体"/>
                <w:color w:val="auto"/>
                <w:szCs w:val="21"/>
              </w:rPr>
            </w:pPr>
            <w:r>
              <w:rPr>
                <w:rFonts w:hint="eastAsia" w:ascii="宋体" w:hAnsi="宋体" w:cs="宋体"/>
                <w:color w:val="auto"/>
                <w:szCs w:val="21"/>
              </w:rPr>
              <w:t>内容</w:t>
            </w:r>
          </w:p>
          <w:p>
            <w:pPr>
              <w:adjustRightInd w:val="0"/>
              <w:snapToGrid w:val="0"/>
              <w:rPr>
                <w:rFonts w:hint="eastAsia" w:ascii="宋体" w:hAnsi="宋体" w:cs="宋体"/>
                <w:color w:val="auto"/>
                <w:szCs w:val="21"/>
              </w:rPr>
            </w:pPr>
            <w:r>
              <w:rPr>
                <w:rFonts w:hint="eastAsia" w:ascii="宋体" w:hAnsi="宋体" w:cs="宋体"/>
                <w:color w:val="auto"/>
                <w:szCs w:val="21"/>
              </w:rPr>
              <w:t>要素</w:t>
            </w:r>
          </w:p>
        </w:tc>
        <w:tc>
          <w:tcPr>
            <w:tcW w:w="1755"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排放口(编号、</w:t>
            </w:r>
          </w:p>
          <w:p>
            <w:pPr>
              <w:adjustRightInd w:val="0"/>
              <w:snapToGrid w:val="0"/>
              <w:jc w:val="center"/>
              <w:rPr>
                <w:rFonts w:hint="eastAsia" w:ascii="宋体" w:hAnsi="宋体" w:cs="宋体"/>
                <w:color w:val="auto"/>
                <w:szCs w:val="21"/>
              </w:rPr>
            </w:pPr>
            <w:r>
              <w:rPr>
                <w:rFonts w:hint="eastAsia" w:ascii="宋体" w:hAnsi="宋体" w:cs="宋体"/>
                <w:color w:val="auto"/>
                <w:szCs w:val="21"/>
              </w:rPr>
              <w:t>名称)/污染源</w:t>
            </w:r>
          </w:p>
        </w:tc>
        <w:tc>
          <w:tcPr>
            <w:tcW w:w="1524"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污染物项目</w:t>
            </w:r>
          </w:p>
        </w:tc>
        <w:tc>
          <w:tcPr>
            <w:tcW w:w="1638"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环境保护措施</w:t>
            </w:r>
          </w:p>
        </w:tc>
        <w:tc>
          <w:tcPr>
            <w:tcW w:w="2105"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1778" w:type="dxa"/>
            <w:vMerge w:val="restart"/>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大气环境</w:t>
            </w:r>
          </w:p>
        </w:tc>
        <w:tc>
          <w:tcPr>
            <w:tcW w:w="1755" w:type="dxa"/>
            <w:noWrap w:val="0"/>
            <w:vAlign w:val="center"/>
          </w:tcPr>
          <w:p>
            <w:pPr>
              <w:pStyle w:val="60"/>
              <w:jc w:val="center"/>
              <w:rPr>
                <w:rFonts w:hint="default" w:ascii="宋体" w:hAnsi="宋体" w:eastAsia="宋体" w:cs="宋体"/>
                <w:color w:val="auto"/>
                <w:sz w:val="21"/>
                <w:szCs w:val="21"/>
                <w:lang w:val="en-US" w:eastAsia="zh-CN"/>
              </w:rPr>
            </w:pPr>
            <w:r>
              <w:rPr>
                <w:rFonts w:hint="eastAsia"/>
                <w:color w:val="auto"/>
                <w:sz w:val="21"/>
                <w:szCs w:val="21"/>
              </w:rPr>
              <w:t>DA0</w:t>
            </w:r>
            <w:r>
              <w:rPr>
                <w:rFonts w:hint="eastAsia"/>
                <w:color w:val="auto"/>
                <w:sz w:val="21"/>
                <w:szCs w:val="21"/>
                <w:lang w:val="en-US" w:eastAsia="zh-CN"/>
              </w:rPr>
              <w:t>0</w:t>
            </w:r>
            <w:r>
              <w:rPr>
                <w:rFonts w:hint="eastAsia"/>
                <w:color w:val="auto"/>
                <w:sz w:val="21"/>
                <w:szCs w:val="21"/>
              </w:rPr>
              <w:t>1</w:t>
            </w:r>
            <w:r>
              <w:rPr>
                <w:rFonts w:hint="eastAsia"/>
                <w:color w:val="auto"/>
                <w:sz w:val="21"/>
                <w:szCs w:val="21"/>
                <w:lang w:val="en-US" w:eastAsia="zh-CN"/>
              </w:rPr>
              <w:t>/酸雾</w:t>
            </w:r>
          </w:p>
        </w:tc>
        <w:tc>
          <w:tcPr>
            <w:tcW w:w="1524" w:type="dxa"/>
            <w:noWrap w:val="0"/>
            <w:vAlign w:val="center"/>
          </w:tcPr>
          <w:p>
            <w:pPr>
              <w:adjustRightInd w:val="0"/>
              <w:snapToGrid w:val="0"/>
              <w:jc w:val="center"/>
              <w:rPr>
                <w:rFonts w:hint="default" w:eastAsia="宋体"/>
                <w:color w:val="auto"/>
                <w:kern w:val="0"/>
                <w:szCs w:val="21"/>
                <w:lang w:val="en-US" w:eastAsia="zh-CN"/>
              </w:rPr>
            </w:pPr>
            <w:r>
              <w:rPr>
                <w:rFonts w:hint="eastAsia"/>
                <w:color w:val="auto"/>
                <w:kern w:val="0"/>
                <w:szCs w:val="21"/>
                <w:lang w:val="en-US" w:eastAsia="zh-CN"/>
              </w:rPr>
              <w:t>氯化氢</w:t>
            </w:r>
          </w:p>
        </w:tc>
        <w:tc>
          <w:tcPr>
            <w:tcW w:w="1638" w:type="dxa"/>
            <w:noWrap w:val="0"/>
            <w:vAlign w:val="center"/>
          </w:tcPr>
          <w:p>
            <w:pPr>
              <w:pStyle w:val="60"/>
              <w:jc w:val="center"/>
              <w:rPr>
                <w:rFonts w:hint="eastAsia" w:ascii="Times New Roman" w:hAnsi="Times New Roman" w:eastAsia="宋体" w:cs="Times New Roman"/>
                <w:color w:val="auto"/>
                <w:sz w:val="21"/>
                <w:szCs w:val="21"/>
                <w:lang w:val="en-US" w:eastAsia="zh-CN"/>
              </w:rPr>
            </w:pPr>
            <w:r>
              <w:rPr>
                <w:rFonts w:hint="eastAsia" w:cs="Times New Roman"/>
                <w:color w:val="auto"/>
                <w:kern w:val="0"/>
                <w:sz w:val="21"/>
                <w:szCs w:val="21"/>
                <w:lang w:val="en-US" w:eastAsia="zh-CN" w:bidi="ar-SA"/>
              </w:rPr>
              <w:t>集气罩+碱液吸收塔</w:t>
            </w:r>
            <w:r>
              <w:rPr>
                <w:rFonts w:hint="eastAsia" w:ascii="Times New Roman" w:hAnsi="Times New Roman" w:eastAsia="宋体" w:cs="Times New Roman"/>
                <w:color w:val="auto"/>
                <w:kern w:val="0"/>
                <w:sz w:val="21"/>
                <w:szCs w:val="21"/>
                <w:lang w:val="en-US" w:eastAsia="zh-CN" w:bidi="ar-SA"/>
              </w:rPr>
              <w:t>+DA001排气筒排放</w:t>
            </w:r>
          </w:p>
        </w:tc>
        <w:tc>
          <w:tcPr>
            <w:tcW w:w="2105" w:type="dxa"/>
            <w:vMerge w:val="restart"/>
            <w:noWrap w:val="0"/>
            <w:vAlign w:val="center"/>
          </w:tcPr>
          <w:p>
            <w:pPr>
              <w:widowControl/>
              <w:adjustRightInd w:val="0"/>
              <w:snapToGrid w:val="0"/>
              <w:jc w:val="center"/>
              <w:rPr>
                <w:rFonts w:hint="eastAsia" w:ascii="Times New Roman" w:hAnsi="Times New Roman" w:eastAsia="宋体" w:cs="Times New Roman"/>
                <w:color w:val="auto"/>
                <w:szCs w:val="21"/>
              </w:rPr>
            </w:pPr>
            <w:r>
              <w:rPr>
                <w:rFonts w:hint="default" w:ascii="Times New Roman" w:hAnsi="Times New Roman" w:eastAsia="宋体" w:cs="Times New Roman"/>
                <w:color w:val="auto"/>
                <w:lang w:eastAsia="zh-CN"/>
              </w:rPr>
              <w:t>《大气污染物综合排放标准》（GB16297-1996）</w:t>
            </w:r>
            <w:r>
              <w:rPr>
                <w:rFonts w:hint="eastAsia" w:cs="Times New Roman"/>
                <w:color w:val="auto"/>
                <w:lang w:val="en-US" w:eastAsia="zh-CN"/>
              </w:rPr>
              <w:t>表2</w:t>
            </w:r>
            <w:r>
              <w:rPr>
                <w:rFonts w:hint="default" w:ascii="Times New Roman" w:hAnsi="Times New Roman" w:eastAsia="宋体" w:cs="Times New Roman"/>
                <w:color w:val="auto"/>
                <w:lang w:eastAsia="zh-CN"/>
              </w:rPr>
              <w:t>中的二级标准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778" w:type="dxa"/>
            <w:vMerge w:val="continue"/>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pStyle w:val="60"/>
              <w:jc w:val="center"/>
              <w:rPr>
                <w:rFonts w:hint="default" w:eastAsia="宋体"/>
                <w:color w:val="auto"/>
                <w:sz w:val="21"/>
                <w:szCs w:val="21"/>
                <w:lang w:val="en-US" w:eastAsia="zh-CN"/>
              </w:rPr>
            </w:pPr>
            <w:r>
              <w:rPr>
                <w:rFonts w:hint="eastAsia"/>
                <w:color w:val="auto"/>
                <w:sz w:val="21"/>
                <w:szCs w:val="21"/>
                <w:lang w:val="en-US" w:eastAsia="zh-CN"/>
              </w:rPr>
              <w:t>打磨</w:t>
            </w:r>
          </w:p>
        </w:tc>
        <w:tc>
          <w:tcPr>
            <w:tcW w:w="1524" w:type="dxa"/>
            <w:noWrap w:val="0"/>
            <w:vAlign w:val="center"/>
          </w:tcPr>
          <w:p>
            <w:pPr>
              <w:adjustRightInd w:val="0"/>
              <w:snapToGrid w:val="0"/>
              <w:jc w:val="center"/>
              <w:rPr>
                <w:rFonts w:hint="eastAsia"/>
                <w:color w:val="auto"/>
                <w:kern w:val="0"/>
                <w:szCs w:val="21"/>
                <w:lang w:val="en-US" w:eastAsia="zh-CN"/>
              </w:rPr>
            </w:pPr>
            <w:r>
              <w:rPr>
                <w:rFonts w:hint="eastAsia"/>
                <w:color w:val="auto"/>
                <w:kern w:val="0"/>
                <w:szCs w:val="21"/>
                <w:lang w:val="en-US" w:eastAsia="zh-CN"/>
              </w:rPr>
              <w:t>颗粒物</w:t>
            </w:r>
          </w:p>
        </w:tc>
        <w:tc>
          <w:tcPr>
            <w:tcW w:w="1638" w:type="dxa"/>
            <w:noWrap w:val="0"/>
            <w:vAlign w:val="center"/>
          </w:tcPr>
          <w:p>
            <w:pPr>
              <w:pStyle w:val="60"/>
              <w:jc w:val="center"/>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袋式除尘器</w:t>
            </w:r>
            <w:r>
              <w:rPr>
                <w:rFonts w:hint="eastAsia" w:ascii="Times New Roman" w:hAnsi="Times New Roman" w:eastAsia="宋体" w:cs="Times New Roman"/>
                <w:color w:val="auto"/>
                <w:kern w:val="0"/>
                <w:sz w:val="21"/>
                <w:szCs w:val="21"/>
                <w:lang w:val="en-US" w:eastAsia="zh-CN" w:bidi="ar-SA"/>
              </w:rPr>
              <w:t>处理后车间无组织排放</w:t>
            </w:r>
          </w:p>
        </w:tc>
        <w:tc>
          <w:tcPr>
            <w:tcW w:w="2105" w:type="dxa"/>
            <w:vMerge w:val="continue"/>
            <w:noWrap w:val="0"/>
            <w:vAlign w:val="center"/>
          </w:tcPr>
          <w:p>
            <w:pPr>
              <w:widowControl/>
              <w:adjustRightInd w:val="0"/>
              <w:snapToGrid w:val="0"/>
              <w:jc w:val="center"/>
              <w:rPr>
                <w:rFonts w:hint="eastAsia" w:ascii="Times New Roman" w:hAnsi="Times New Roman" w:eastAsia="宋体" w:cs="Times New Roman"/>
                <w:color w:val="auto"/>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778"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地表水环境</w:t>
            </w:r>
          </w:p>
        </w:tc>
        <w:tc>
          <w:tcPr>
            <w:tcW w:w="1755" w:type="dxa"/>
            <w:noWrap w:val="0"/>
            <w:vAlign w:val="center"/>
          </w:tcPr>
          <w:p>
            <w:pPr>
              <w:pStyle w:val="60"/>
              <w:rPr>
                <w:color w:val="auto"/>
                <w:sz w:val="21"/>
                <w:szCs w:val="21"/>
              </w:rPr>
            </w:pPr>
            <w:r>
              <w:rPr>
                <w:rFonts w:hint="eastAsia"/>
                <w:color w:val="auto"/>
                <w:sz w:val="21"/>
                <w:szCs w:val="21"/>
              </w:rPr>
              <w:t>DW001</w:t>
            </w:r>
          </w:p>
        </w:tc>
        <w:tc>
          <w:tcPr>
            <w:tcW w:w="1524" w:type="dxa"/>
            <w:noWrap w:val="0"/>
            <w:vAlign w:val="center"/>
          </w:tcPr>
          <w:p>
            <w:pPr>
              <w:adjustRightInd w:val="0"/>
              <w:snapToGrid w:val="0"/>
              <w:jc w:val="center"/>
              <w:rPr>
                <w:rFonts w:hint="eastAsia" w:ascii="宋体" w:hAnsi="宋体" w:cs="宋体"/>
                <w:color w:val="0070C0"/>
                <w:szCs w:val="21"/>
              </w:rPr>
            </w:pPr>
            <w:r>
              <w:rPr>
                <w:rFonts w:hint="eastAsia" w:ascii="Times New Roman" w:hAnsi="Times New Roman" w:eastAsia="宋体" w:cs="Times New Roman"/>
                <w:color w:val="auto"/>
                <w:lang w:val="en-US" w:eastAsia="zh-CN"/>
              </w:rPr>
              <w:t>PH、COD、BOD</w:t>
            </w:r>
            <w:r>
              <w:rPr>
                <w:rFonts w:hint="eastAsia" w:ascii="Times New Roman" w:hAnsi="Times New Roman" w:eastAsia="宋体" w:cs="Times New Roman"/>
                <w:color w:val="auto"/>
                <w:vertAlign w:val="subscript"/>
                <w:lang w:val="en-US" w:eastAsia="zh-CN"/>
              </w:rPr>
              <w:t>5</w:t>
            </w:r>
            <w:r>
              <w:rPr>
                <w:rFonts w:hint="eastAsia" w:ascii="Times New Roman" w:hAnsi="Times New Roman" w:eastAsia="宋体" w:cs="Times New Roman"/>
                <w:color w:val="auto"/>
                <w:lang w:val="en-US" w:eastAsia="zh-CN"/>
              </w:rPr>
              <w:t>、NH</w:t>
            </w:r>
            <w:r>
              <w:rPr>
                <w:rFonts w:hint="eastAsia" w:ascii="Times New Roman" w:hAnsi="Times New Roman" w:eastAsia="宋体" w:cs="Times New Roman"/>
                <w:color w:val="auto"/>
                <w:vertAlign w:val="subscript"/>
                <w:lang w:val="en-US" w:eastAsia="zh-CN"/>
              </w:rPr>
              <w:t>3</w:t>
            </w:r>
            <w:r>
              <w:rPr>
                <w:rFonts w:hint="eastAsia" w:ascii="Times New Roman" w:hAnsi="Times New Roman" w:eastAsia="宋体" w:cs="Times New Roman"/>
                <w:color w:val="auto"/>
                <w:lang w:val="en-US" w:eastAsia="zh-CN"/>
              </w:rPr>
              <w:t>-N、SS</w:t>
            </w:r>
          </w:p>
        </w:tc>
        <w:tc>
          <w:tcPr>
            <w:tcW w:w="1638" w:type="dxa"/>
            <w:noWrap w:val="0"/>
            <w:vAlign w:val="center"/>
          </w:tcPr>
          <w:p>
            <w:pPr>
              <w:pStyle w:val="6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rPr>
              <w:t>项目</w:t>
            </w:r>
            <w:r>
              <w:rPr>
                <w:rFonts w:hint="eastAsia" w:ascii="Times New Roman" w:hAnsi="Times New Roman" w:eastAsia="宋体" w:cs="Times New Roman"/>
                <w:color w:val="auto"/>
                <w:sz w:val="21"/>
                <w:szCs w:val="21"/>
                <w:lang w:val="en-US" w:eastAsia="zh-CN"/>
              </w:rPr>
              <w:t>生活污水经</w:t>
            </w:r>
            <w:r>
              <w:rPr>
                <w:rFonts w:hint="eastAsia" w:ascii="Times New Roman" w:hAnsi="Times New Roman" w:eastAsia="宋体" w:cs="Times New Roman"/>
                <w:color w:val="auto"/>
                <w:sz w:val="21"/>
                <w:szCs w:val="21"/>
              </w:rPr>
              <w:t>化粪池预处理</w:t>
            </w:r>
            <w:r>
              <w:rPr>
                <w:rFonts w:hint="eastAsia" w:ascii="Times New Roman" w:hAnsi="Times New Roman" w:eastAsia="宋体" w:cs="Times New Roman"/>
                <w:color w:val="auto"/>
                <w:sz w:val="21"/>
                <w:szCs w:val="21"/>
                <w:lang w:val="en-US" w:eastAsia="zh-CN"/>
              </w:rPr>
              <w:t>后</w:t>
            </w:r>
            <w:r>
              <w:rPr>
                <w:rFonts w:hint="eastAsia" w:ascii="Times New Roman" w:hAnsi="Times New Roman" w:eastAsia="宋体" w:cs="Times New Roman"/>
                <w:color w:val="auto"/>
                <w:sz w:val="21"/>
                <w:szCs w:val="21"/>
              </w:rPr>
              <w:t>经污水管网进入淮南经济技术开发区工业污水处理厂处理，尾水排入淮河。</w:t>
            </w:r>
          </w:p>
        </w:tc>
        <w:tc>
          <w:tcPr>
            <w:tcW w:w="2105" w:type="dxa"/>
            <w:noWrap w:val="0"/>
            <w:vAlign w:val="center"/>
          </w:tcPr>
          <w:p>
            <w:pPr>
              <w:adjustRightInd w:val="0"/>
              <w:snapToGrid w:val="0"/>
              <w:jc w:val="center"/>
              <w:rPr>
                <w:color w:val="auto"/>
                <w:szCs w:val="21"/>
              </w:rPr>
            </w:pPr>
            <w:r>
              <w:rPr>
                <w:rFonts w:hint="default" w:ascii="Times New Roman" w:hAnsi="Times New Roman" w:eastAsia="宋体" w:cs="Times New Roman"/>
                <w:sz w:val="21"/>
                <w:szCs w:val="21"/>
              </w:rPr>
              <w:t>《污水排入城镇下水道水质标准》（CB/T31962-2015）中B等级标准</w:t>
            </w:r>
            <w:r>
              <w:rPr>
                <w:rFonts w:hint="eastAsia" w:cs="Times New Roman"/>
                <w:sz w:val="21"/>
                <w:szCs w:val="21"/>
                <w:lang w:eastAsia="zh-CN"/>
              </w:rPr>
              <w:t>、</w:t>
            </w:r>
            <w:r>
              <w:rPr>
                <w:rFonts w:hAnsi="宋体"/>
                <w:color w:val="auto"/>
                <w:kern w:val="0"/>
                <w:sz w:val="21"/>
                <w:szCs w:val="21"/>
                <w:lang w:bidi="ar"/>
              </w:rPr>
              <w:t>淮南经济技术开发区工业污水处理厂接管标准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1778"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声环境</w:t>
            </w:r>
          </w:p>
        </w:tc>
        <w:tc>
          <w:tcPr>
            <w:tcW w:w="1755" w:type="dxa"/>
            <w:noWrap w:val="0"/>
            <w:vAlign w:val="center"/>
          </w:tcPr>
          <w:p>
            <w:pPr>
              <w:pStyle w:val="60"/>
              <w:rPr>
                <w:rFonts w:hint="eastAsia" w:eastAsia="宋体"/>
                <w:color w:val="auto"/>
                <w:sz w:val="21"/>
                <w:szCs w:val="21"/>
                <w:lang w:eastAsia="zh-CN"/>
              </w:rPr>
            </w:pPr>
            <w:r>
              <w:rPr>
                <w:rFonts w:hint="eastAsia"/>
                <w:color w:val="auto"/>
                <w:sz w:val="21"/>
                <w:szCs w:val="21"/>
                <w:lang w:eastAsia="zh-CN"/>
              </w:rPr>
              <w:t>设备运行中产生的噪声</w:t>
            </w:r>
          </w:p>
        </w:tc>
        <w:tc>
          <w:tcPr>
            <w:tcW w:w="1524" w:type="dxa"/>
            <w:noWrap w:val="0"/>
            <w:vAlign w:val="center"/>
          </w:tcPr>
          <w:p>
            <w:pPr>
              <w:pStyle w:val="60"/>
              <w:rPr>
                <w:rFonts w:hint="eastAsia"/>
                <w:color w:val="auto"/>
                <w:sz w:val="21"/>
                <w:szCs w:val="21"/>
              </w:rPr>
            </w:pPr>
            <w:r>
              <w:rPr>
                <w:rFonts w:hint="eastAsia"/>
                <w:color w:val="auto"/>
                <w:sz w:val="21"/>
                <w:szCs w:val="21"/>
              </w:rPr>
              <w:t>LAeq</w:t>
            </w:r>
          </w:p>
        </w:tc>
        <w:tc>
          <w:tcPr>
            <w:tcW w:w="1638"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设备合理选型（低噪设备）、合理空间布局、基础减振、加强日常维护、厂房隔声等</w:t>
            </w:r>
          </w:p>
        </w:tc>
        <w:tc>
          <w:tcPr>
            <w:tcW w:w="2105" w:type="dxa"/>
            <w:noWrap w:val="0"/>
            <w:vAlign w:val="center"/>
          </w:tcPr>
          <w:p>
            <w:pPr>
              <w:adjustRightInd w:val="0"/>
              <w:snapToGrid w:val="0"/>
              <w:jc w:val="center"/>
              <w:rPr>
                <w:rFonts w:hint="eastAsia" w:ascii="宋体" w:hAnsi="宋体" w:cs="宋体"/>
                <w:color w:val="auto"/>
                <w:szCs w:val="21"/>
              </w:rPr>
            </w:pPr>
            <w:r>
              <w:rPr>
                <w:color w:val="auto"/>
                <w:szCs w:val="21"/>
              </w:rPr>
              <w:t>《工业企业厂界环境噪声排放标准》GB12348-2008 中3类标准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1778"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电磁辐射</w:t>
            </w:r>
          </w:p>
        </w:tc>
        <w:tc>
          <w:tcPr>
            <w:tcW w:w="7022" w:type="dxa"/>
            <w:gridSpan w:val="4"/>
            <w:noWrap w:val="0"/>
            <w:vAlign w:val="center"/>
          </w:tcPr>
          <w:p>
            <w:pPr>
              <w:adjustRightInd w:val="0"/>
              <w:snapToGrid w:val="0"/>
              <w:jc w:val="center"/>
              <w:rPr>
                <w:rFonts w:hint="eastAsia" w:ascii="宋体" w:hAnsi="宋体" w:cs="宋体"/>
                <w:color w:val="auto"/>
                <w:szCs w:val="21"/>
              </w:rPr>
            </w:pPr>
            <w:r>
              <w:rPr>
                <w:rFonts w:hint="eastAsia"/>
                <w:color w:val="auto"/>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noWrap w:val="0"/>
            <w:vAlign w:val="center"/>
          </w:tcPr>
          <w:p>
            <w:pPr>
              <w:pStyle w:val="60"/>
              <w:rPr>
                <w:rFonts w:hint="eastAsia"/>
                <w:color w:val="0070C0"/>
                <w:sz w:val="21"/>
                <w:szCs w:val="21"/>
              </w:rPr>
            </w:pPr>
            <w:r>
              <w:rPr>
                <w:rFonts w:hint="eastAsia"/>
                <w:color w:val="auto"/>
                <w:sz w:val="21"/>
                <w:szCs w:val="21"/>
              </w:rPr>
              <w:t>固体废物</w:t>
            </w:r>
          </w:p>
        </w:tc>
        <w:tc>
          <w:tcPr>
            <w:tcW w:w="7022" w:type="dxa"/>
            <w:gridSpan w:val="4"/>
            <w:noWrap w:val="0"/>
            <w:vAlign w:val="center"/>
          </w:tcPr>
          <w:p>
            <w:pPr>
              <w:widowControl/>
              <w:adjustRightInd w:val="0"/>
              <w:snapToGrid w:val="0"/>
              <w:jc w:val="center"/>
              <w:rPr>
                <w:color w:val="0070C0"/>
                <w:szCs w:val="21"/>
              </w:rPr>
            </w:pPr>
            <w:r>
              <w:rPr>
                <w:rFonts w:hint="eastAsia" w:ascii="Times New Roman" w:hAnsi="Times New Roman" w:eastAsia="宋体" w:cs="Times New Roman"/>
                <w:color w:val="auto"/>
                <w:szCs w:val="21"/>
                <w:lang w:val="en-US" w:eastAsia="zh-CN"/>
              </w:rPr>
              <w:t>生活垃圾委托</w:t>
            </w:r>
            <w:r>
              <w:rPr>
                <w:rFonts w:hint="eastAsia" w:ascii="Times New Roman" w:hAnsi="Times New Roman" w:eastAsia="宋体" w:cs="Times New Roman"/>
                <w:color w:val="auto"/>
                <w:szCs w:val="21"/>
              </w:rPr>
              <w:t>环卫处理</w:t>
            </w:r>
            <w:r>
              <w:rPr>
                <w:rFonts w:hint="eastAsia" w:ascii="Times New Roman" w:hAnsi="Times New Roman" w:eastAsia="宋体" w:cs="Times New Roman"/>
                <w:color w:val="auto"/>
                <w:szCs w:val="21"/>
                <w:lang w:val="en-US" w:eastAsia="zh-CN"/>
              </w:rPr>
              <w:t>，含油抹布混入生活垃圾委托环卫处理，废</w:t>
            </w:r>
            <w:r>
              <w:rPr>
                <w:rFonts w:hint="eastAsia" w:cs="Times New Roman"/>
                <w:color w:val="auto"/>
                <w:szCs w:val="21"/>
                <w:lang w:val="en-US" w:eastAsia="zh-CN"/>
              </w:rPr>
              <w:t>铁屑</w:t>
            </w:r>
            <w:r>
              <w:rPr>
                <w:rFonts w:hint="eastAsia" w:ascii="Times New Roman" w:hAnsi="Times New Roman" w:eastAsia="宋体" w:cs="Times New Roman"/>
                <w:color w:val="auto"/>
                <w:szCs w:val="21"/>
                <w:lang w:val="en-US" w:eastAsia="zh-CN"/>
              </w:rPr>
              <w:t>、暂存一般固废暂存库，</w:t>
            </w:r>
            <w:r>
              <w:rPr>
                <w:rFonts w:hint="eastAsia" w:ascii="Times New Roman" w:hAnsi="Times New Roman" w:eastAsia="宋体" w:cs="Times New Roman"/>
                <w:color w:val="auto"/>
                <w:szCs w:val="21"/>
              </w:rPr>
              <w:t>外售给物资回收单位</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 w:val="21"/>
                <w:szCs w:val="21"/>
                <w:lang w:val="en-US" w:eastAsia="zh-CN"/>
              </w:rPr>
              <w:t>废</w:t>
            </w:r>
            <w:r>
              <w:rPr>
                <w:rFonts w:hint="eastAsia" w:cs="Times New Roman"/>
                <w:color w:val="auto"/>
                <w:sz w:val="21"/>
                <w:szCs w:val="21"/>
                <w:lang w:val="en-US" w:eastAsia="zh-CN"/>
              </w:rPr>
              <w:t>包装</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废</w:t>
            </w:r>
            <w:r>
              <w:rPr>
                <w:rFonts w:hint="eastAsia" w:cs="Times New Roman"/>
                <w:color w:val="auto"/>
                <w:szCs w:val="21"/>
                <w:lang w:val="en-US" w:eastAsia="zh-CN"/>
              </w:rPr>
              <w:t>润滑油</w:t>
            </w:r>
            <w:r>
              <w:rPr>
                <w:rFonts w:hint="eastAsia" w:ascii="Times New Roman" w:hAnsi="Times New Roman" w:eastAsia="宋体" w:cs="Times New Roman"/>
                <w:color w:val="auto"/>
                <w:szCs w:val="21"/>
                <w:lang w:val="en-US" w:eastAsia="zh-CN"/>
              </w:rPr>
              <w:t>、</w:t>
            </w:r>
            <w:r>
              <w:rPr>
                <w:rFonts w:hint="eastAsia" w:cs="Times New Roman"/>
                <w:color w:val="auto"/>
                <w:sz w:val="21"/>
                <w:szCs w:val="21"/>
                <w:lang w:val="en-US" w:eastAsia="zh-CN"/>
              </w:rPr>
              <w:t>污泥</w:t>
            </w:r>
            <w:r>
              <w:rPr>
                <w:rFonts w:hint="eastAsia" w:ascii="Times New Roman" w:hAnsi="Times New Roman" w:eastAsia="宋体" w:cs="Times New Roman"/>
                <w:color w:val="auto"/>
                <w:szCs w:val="21"/>
                <w:lang w:val="en-US" w:eastAsia="zh-CN"/>
              </w:rPr>
              <w:t>暂存危废暂存间，委托有资质单位进行处置</w:t>
            </w: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项目</w:t>
            </w:r>
            <w:r>
              <w:rPr>
                <w:rFonts w:hint="eastAsia" w:ascii="Times New Roman" w:hAnsi="Times New Roman" w:eastAsia="宋体" w:cs="Times New Roman"/>
                <w:color w:val="auto"/>
                <w:szCs w:val="21"/>
              </w:rPr>
              <w:t>建设</w:t>
            </w:r>
            <w:r>
              <w:rPr>
                <w:color w:val="auto"/>
                <w:szCs w:val="21"/>
              </w:rPr>
              <w:t>面积</w:t>
            </w:r>
            <w:r>
              <w:rPr>
                <w:rFonts w:hint="eastAsia"/>
                <w:color w:val="auto"/>
                <w:szCs w:val="21"/>
                <w:lang w:val="en-US" w:eastAsia="zh-CN"/>
              </w:rPr>
              <w:t>6.5</w:t>
            </w:r>
            <w:r>
              <w:rPr>
                <w:rFonts w:hint="eastAsia"/>
                <w:color w:val="auto"/>
                <w:szCs w:val="21"/>
              </w:rPr>
              <w:t>m</w:t>
            </w:r>
            <w:r>
              <w:rPr>
                <w:rFonts w:hint="eastAsia"/>
                <w:color w:val="auto"/>
                <w:szCs w:val="21"/>
                <w:vertAlign w:val="superscript"/>
              </w:rPr>
              <w:t>2</w:t>
            </w:r>
            <w:r>
              <w:rPr>
                <w:rFonts w:hint="eastAsia"/>
                <w:color w:val="auto"/>
                <w:szCs w:val="21"/>
              </w:rPr>
              <w:t>危废暂存库</w:t>
            </w:r>
            <w:r>
              <w:rPr>
                <w:rFonts w:hint="eastAsia"/>
                <w:color w:val="auto"/>
                <w:szCs w:val="21"/>
                <w:lang w:eastAsia="zh-CN"/>
              </w:rPr>
              <w:t>，</w:t>
            </w:r>
            <w:r>
              <w:rPr>
                <w:rFonts w:hint="eastAsia"/>
                <w:color w:val="auto"/>
                <w:szCs w:val="21"/>
                <w:lang w:val="en-US" w:eastAsia="zh-CN"/>
              </w:rPr>
              <w:t>5</w:t>
            </w:r>
            <w:r>
              <w:rPr>
                <w:rFonts w:hint="eastAsia"/>
                <w:color w:val="auto"/>
                <w:szCs w:val="21"/>
              </w:rPr>
              <w:t>m</w:t>
            </w:r>
            <w:r>
              <w:rPr>
                <w:rFonts w:hint="eastAsia"/>
                <w:color w:val="auto"/>
                <w:szCs w:val="21"/>
                <w:vertAlign w:val="superscript"/>
              </w:rPr>
              <w:t>2</w:t>
            </w:r>
            <w:r>
              <w:rPr>
                <w:rFonts w:hint="eastAsia"/>
                <w:color w:val="auto"/>
                <w:szCs w:val="21"/>
              </w:rPr>
              <w:t>一般工业废物暂存库。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1778"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土壤及地下水</w:t>
            </w:r>
          </w:p>
          <w:p>
            <w:pPr>
              <w:adjustRightInd w:val="0"/>
              <w:snapToGrid w:val="0"/>
              <w:jc w:val="center"/>
              <w:rPr>
                <w:rFonts w:hint="eastAsia" w:ascii="宋体" w:hAnsi="宋体" w:cs="宋体"/>
                <w:color w:val="auto"/>
                <w:szCs w:val="21"/>
              </w:rPr>
            </w:pPr>
            <w:r>
              <w:rPr>
                <w:rFonts w:hint="eastAsia" w:ascii="宋体" w:hAnsi="宋体" w:cs="宋体"/>
                <w:color w:val="auto"/>
                <w:szCs w:val="21"/>
              </w:rPr>
              <w:t>污染防治措施</w:t>
            </w:r>
          </w:p>
        </w:tc>
        <w:tc>
          <w:tcPr>
            <w:tcW w:w="7022" w:type="dxa"/>
            <w:gridSpan w:val="4"/>
            <w:noWrap w:val="0"/>
            <w:vAlign w:val="center"/>
          </w:tcPr>
          <w:p>
            <w:pPr>
              <w:adjustRightInd w:val="0"/>
              <w:snapToGrid w:val="0"/>
              <w:jc w:val="both"/>
              <w:rPr>
                <w:rFonts w:ascii="宋体" w:hAnsi="宋体" w:cs="宋体"/>
                <w:color w:val="auto"/>
                <w:szCs w:val="21"/>
              </w:rPr>
            </w:pPr>
            <w:r>
              <w:rPr>
                <w:rFonts w:hint="eastAsia" w:ascii="宋体" w:hAnsi="宋体" w:cs="宋体"/>
                <w:szCs w:val="21"/>
              </w:rPr>
              <w:t>采取分区防渗措施，</w:t>
            </w:r>
            <w:r>
              <w:rPr>
                <w:rFonts w:hint="eastAsia" w:ascii="宋体" w:hAnsi="宋体" w:eastAsia="宋体" w:cs="宋体"/>
                <w:szCs w:val="21"/>
              </w:rPr>
              <w:t>从原料储存、生产过程、污染处理等全过程控制各种有毒有害原辅材料</w:t>
            </w:r>
            <w:r>
              <w:rPr>
                <w:rFonts w:hint="eastAsia" w:ascii="宋体" w:hAnsi="宋体" w:cs="宋体"/>
                <w:szCs w:val="21"/>
                <w:lang w:eastAsia="zh-CN"/>
              </w:rPr>
              <w:t>渗漏</w:t>
            </w:r>
            <w:r>
              <w:rPr>
                <w:rFonts w:hint="eastAsia" w:ascii="宋体" w:hAnsi="宋体" w:eastAsia="宋体" w:cs="宋体"/>
                <w:szCs w:val="21"/>
              </w:rPr>
              <w:t>，同时对有害物质可能</w:t>
            </w:r>
            <w:r>
              <w:rPr>
                <w:rFonts w:hint="eastAsia" w:ascii="宋体" w:hAnsi="宋体" w:cs="宋体"/>
                <w:szCs w:val="21"/>
                <w:lang w:eastAsia="zh-CN"/>
              </w:rPr>
              <w:t>渗漏</w:t>
            </w:r>
            <w:r>
              <w:rPr>
                <w:rFonts w:hint="eastAsia" w:ascii="宋体" w:hAnsi="宋体" w:eastAsia="宋体" w:cs="宋体"/>
                <w:szCs w:val="21"/>
              </w:rPr>
              <w:t>到地面的区域采取防渗措施，阻止其渗入地下水</w:t>
            </w:r>
            <w:r>
              <w:rPr>
                <w:rFonts w:hint="eastAsia" w:ascii="宋体" w:hAnsi="宋体" w:cs="宋体"/>
                <w:szCs w:val="21"/>
                <w:lang w:eastAsia="zh-CN"/>
              </w:rPr>
              <w:t>及土壤</w:t>
            </w:r>
            <w:r>
              <w:rPr>
                <w:rFonts w:hint="eastAsia" w:ascii="宋体" w:hAnsi="宋体" w:eastAsia="宋体" w:cs="宋体"/>
                <w:szCs w:val="21"/>
              </w:rPr>
              <w:t>中，即从源头到末端全方位采取控制措施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生态保护措施</w:t>
            </w:r>
          </w:p>
        </w:tc>
        <w:tc>
          <w:tcPr>
            <w:tcW w:w="7022" w:type="dxa"/>
            <w:gridSpan w:val="4"/>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1778" w:type="dxa"/>
            <w:noWrap w:val="0"/>
            <w:vAlign w:val="center"/>
          </w:tcPr>
          <w:p>
            <w:pPr>
              <w:adjustRightInd w:val="0"/>
              <w:snapToGrid w:val="0"/>
              <w:jc w:val="center"/>
              <w:rPr>
                <w:rFonts w:ascii="宋体" w:hAnsi="宋体" w:cs="宋体"/>
                <w:color w:val="auto"/>
                <w:spacing w:val="-8"/>
                <w:szCs w:val="21"/>
              </w:rPr>
            </w:pPr>
            <w:r>
              <w:rPr>
                <w:rFonts w:hint="eastAsia" w:ascii="宋体" w:hAnsi="宋体" w:cs="宋体"/>
                <w:color w:val="auto"/>
                <w:spacing w:val="-8"/>
                <w:szCs w:val="21"/>
              </w:rPr>
              <w:t>环境风险</w:t>
            </w:r>
          </w:p>
          <w:p>
            <w:pPr>
              <w:adjustRightInd w:val="0"/>
              <w:snapToGrid w:val="0"/>
              <w:jc w:val="center"/>
              <w:rPr>
                <w:rFonts w:hint="eastAsia" w:ascii="宋体" w:hAnsi="宋体" w:cs="宋体"/>
                <w:color w:val="auto"/>
                <w:spacing w:val="-8"/>
                <w:szCs w:val="21"/>
              </w:rPr>
            </w:pPr>
            <w:r>
              <w:rPr>
                <w:rFonts w:hint="eastAsia" w:ascii="宋体" w:hAnsi="宋体" w:cs="宋体"/>
                <w:color w:val="auto"/>
                <w:spacing w:val="-8"/>
                <w:szCs w:val="21"/>
              </w:rPr>
              <w:t>防范措施</w:t>
            </w:r>
          </w:p>
        </w:tc>
        <w:tc>
          <w:tcPr>
            <w:tcW w:w="7022" w:type="dxa"/>
            <w:gridSpan w:val="4"/>
            <w:noWrap w:val="0"/>
            <w:vAlign w:val="center"/>
          </w:tcPr>
          <w:p>
            <w:pPr>
              <w:adjustRightInd w:val="0"/>
              <w:snapToGrid w:val="0"/>
              <w:jc w:val="both"/>
              <w:rPr>
                <w:rFonts w:ascii="宋体" w:hAnsi="宋体" w:cs="宋体"/>
                <w:color w:val="auto"/>
                <w:szCs w:val="21"/>
              </w:rPr>
            </w:pPr>
            <w:r>
              <w:rPr>
                <w:rFonts w:hint="eastAsia" w:ascii="宋体" w:hAnsi="宋体" w:eastAsia="宋体" w:cs="宋体"/>
                <w:szCs w:val="21"/>
              </w:rPr>
              <w:t>采取制定管理制度、加强生产管理等措施对环境风险进行防范。环境风险物质按规范要求使用、贮存和管理原辅材料，地面进行防渗处理，安排专人巡查，设置灭火器、消防沙等应急物资。加强废水、废气处理设施和各类生产设备的检修及保养，提高管理人员素质，并设置事故应急措施及管理制度，确保设备长期处于良好状态，使设备达到预期的处理效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50" w:hRule="atLeast"/>
          <w:jc w:val="center"/>
        </w:trPr>
        <w:tc>
          <w:tcPr>
            <w:tcW w:w="1778" w:type="dxa"/>
            <w:noWrap w:val="0"/>
            <w:vAlign w:val="center"/>
          </w:tcPr>
          <w:p>
            <w:pPr>
              <w:adjustRightInd w:val="0"/>
              <w:snapToGrid w:val="0"/>
              <w:jc w:val="center"/>
              <w:rPr>
                <w:rFonts w:ascii="宋体" w:hAnsi="宋体" w:cs="宋体"/>
                <w:color w:val="auto"/>
                <w:spacing w:val="-8"/>
                <w:szCs w:val="21"/>
              </w:rPr>
            </w:pPr>
            <w:r>
              <w:rPr>
                <w:rFonts w:hint="eastAsia" w:ascii="宋体" w:hAnsi="宋体" w:cs="宋体"/>
                <w:color w:val="auto"/>
                <w:spacing w:val="-8"/>
                <w:szCs w:val="21"/>
              </w:rPr>
              <w:t>其他环境</w:t>
            </w:r>
          </w:p>
          <w:p>
            <w:pPr>
              <w:adjustRightInd w:val="0"/>
              <w:snapToGrid w:val="0"/>
              <w:jc w:val="center"/>
              <w:rPr>
                <w:rFonts w:hint="eastAsia" w:ascii="宋体" w:hAnsi="宋体" w:cs="宋体"/>
                <w:color w:val="auto"/>
                <w:spacing w:val="-8"/>
                <w:szCs w:val="21"/>
              </w:rPr>
            </w:pPr>
            <w:r>
              <w:rPr>
                <w:rFonts w:hint="eastAsia" w:ascii="宋体" w:hAnsi="宋体" w:cs="宋体"/>
                <w:color w:val="auto"/>
                <w:spacing w:val="-8"/>
                <w:szCs w:val="21"/>
              </w:rPr>
              <w:t>管理要求</w:t>
            </w:r>
          </w:p>
        </w:tc>
        <w:tc>
          <w:tcPr>
            <w:tcW w:w="7022" w:type="dxa"/>
            <w:gridSpan w:val="4"/>
            <w:noWrap w:val="0"/>
            <w:vAlign w:val="center"/>
          </w:tcPr>
          <w:p>
            <w:pPr>
              <w:adjustRightInd w:val="0"/>
              <w:snapToGrid w:val="0"/>
              <w:ind w:firstLine="420" w:firstLineChars="200"/>
              <w:jc w:val="left"/>
              <w:rPr>
                <w:rFonts w:hint="eastAsia"/>
                <w:color w:val="auto"/>
              </w:rPr>
            </w:pPr>
            <w:r>
              <w:rPr>
                <w:rFonts w:hint="eastAsia"/>
                <w:color w:val="auto"/>
              </w:rPr>
              <w:t>落实专人负责制度，废气处理设施需有专人维护保养并挂牌明示。做好废气设施的日常运行记录，建立健全管理台账，了解处理设施的动态信息，确保废气处理设施的正常运行。</w:t>
            </w:r>
          </w:p>
          <w:p>
            <w:pPr>
              <w:pStyle w:val="2"/>
              <w:jc w:val="left"/>
              <w:rPr>
                <w:color w:val="auto"/>
                <w:lang w:val="en-US" w:eastAsia="zh-CN"/>
              </w:rPr>
            </w:pPr>
          </w:p>
          <w:p>
            <w:pPr>
              <w:jc w:val="left"/>
              <w:rPr>
                <w:color w:val="auto"/>
              </w:rPr>
            </w:pPr>
          </w:p>
          <w:p>
            <w:pPr>
              <w:pStyle w:val="8"/>
              <w:jc w:val="left"/>
              <w:rPr>
                <w:color w:val="auto"/>
              </w:rPr>
            </w:pPr>
          </w:p>
          <w:p>
            <w:pPr>
              <w:jc w:val="center"/>
              <w:rPr>
                <w:color w:val="auto"/>
              </w:rPr>
            </w:pPr>
          </w:p>
          <w:p>
            <w:pPr>
              <w:pStyle w:val="8"/>
              <w:jc w:val="center"/>
              <w:rPr>
                <w:color w:val="auto"/>
              </w:rPr>
            </w:pPr>
          </w:p>
          <w:p>
            <w:pPr>
              <w:jc w:val="center"/>
              <w:rPr>
                <w:color w:val="auto"/>
              </w:rPr>
            </w:pPr>
          </w:p>
          <w:p>
            <w:pPr>
              <w:pStyle w:val="8"/>
              <w:jc w:val="center"/>
              <w:rPr>
                <w:color w:val="auto"/>
              </w:rPr>
            </w:pPr>
          </w:p>
          <w:p>
            <w:pPr>
              <w:jc w:val="center"/>
              <w:rPr>
                <w:color w:val="auto"/>
              </w:rPr>
            </w:pPr>
          </w:p>
          <w:p>
            <w:pPr>
              <w:pStyle w:val="8"/>
              <w:jc w:val="center"/>
              <w:rPr>
                <w:color w:val="auto"/>
              </w:rPr>
            </w:pPr>
          </w:p>
          <w:p>
            <w:pPr>
              <w:jc w:val="center"/>
              <w:rPr>
                <w:color w:val="auto"/>
              </w:rPr>
            </w:pPr>
          </w:p>
          <w:p>
            <w:pPr>
              <w:pStyle w:val="87"/>
              <w:ind w:firstLine="420"/>
              <w:jc w:val="center"/>
              <w:rPr>
                <w:color w:val="auto"/>
              </w:rPr>
            </w:pPr>
          </w:p>
          <w:p>
            <w:pPr>
              <w:pStyle w:val="87"/>
              <w:ind w:firstLine="420"/>
              <w:jc w:val="center"/>
              <w:rPr>
                <w:color w:val="auto"/>
              </w:rPr>
            </w:pPr>
          </w:p>
          <w:p>
            <w:pPr>
              <w:pStyle w:val="87"/>
              <w:ind w:firstLine="420"/>
              <w:jc w:val="center"/>
              <w:rPr>
                <w:color w:val="auto"/>
              </w:rPr>
            </w:pPr>
          </w:p>
          <w:p>
            <w:pPr>
              <w:pStyle w:val="87"/>
              <w:ind w:firstLine="420"/>
              <w:jc w:val="center"/>
              <w:rPr>
                <w:color w:val="auto"/>
              </w:rPr>
            </w:pPr>
          </w:p>
          <w:p>
            <w:pPr>
              <w:jc w:val="center"/>
              <w:rPr>
                <w:color w:val="auto"/>
              </w:rPr>
            </w:pPr>
          </w:p>
          <w:p>
            <w:pPr>
              <w:pStyle w:val="8"/>
              <w:jc w:val="center"/>
              <w:rPr>
                <w:color w:val="auto"/>
              </w:rPr>
            </w:pPr>
          </w:p>
          <w:p>
            <w:pPr>
              <w:jc w:val="center"/>
              <w:rPr>
                <w:color w:val="auto"/>
              </w:rPr>
            </w:pPr>
          </w:p>
          <w:p>
            <w:pPr>
              <w:pStyle w:val="8"/>
              <w:jc w:val="center"/>
              <w:rPr>
                <w:color w:val="auto"/>
              </w:rPr>
            </w:pPr>
          </w:p>
        </w:tc>
      </w:tr>
    </w:tbl>
    <w:p>
      <w:pPr>
        <w:pStyle w:val="24"/>
        <w:jc w:val="center"/>
        <w:outlineLvl w:val="0"/>
        <w:rPr>
          <w:rFonts w:ascii="黑体" w:hAnsi="黑体" w:eastAsia="黑体"/>
          <w:snapToGrid w:val="0"/>
          <w:sz w:val="30"/>
          <w:szCs w:val="30"/>
        </w:rPr>
      </w:pPr>
      <w:r>
        <w:rPr>
          <w:snapToGrid w:val="0"/>
        </w:rPr>
        <w:br w:type="page"/>
      </w:r>
      <w:r>
        <w:rPr>
          <w:rStyle w:val="35"/>
          <w:rFonts w:hint="eastAsia"/>
        </w:rPr>
        <w:t>六、结论</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top"/>
          </w:tcPr>
          <w:p>
            <w:pPr>
              <w:pStyle w:val="15"/>
              <w:ind w:firstLine="480" w:firstLineChars="200"/>
              <w:jc w:val="both"/>
              <w:rPr>
                <w:sz w:val="24"/>
                <w:szCs w:val="24"/>
                <w:lang w:val="en-US" w:eastAsia="zh-CN"/>
              </w:rPr>
            </w:pPr>
            <w:r>
              <w:rPr>
                <w:rFonts w:hint="eastAsia"/>
                <w:sz w:val="24"/>
                <w:szCs w:val="24"/>
                <w:lang w:val="en-US" w:eastAsia="zh-CN"/>
              </w:rPr>
              <w:t>综上所述，淮南市茂本商贸有限公司“液压支架维修项目”</w:t>
            </w:r>
            <w:r>
              <w:rPr>
                <w:sz w:val="24"/>
                <w:szCs w:val="24"/>
                <w:lang w:val="en-US" w:eastAsia="zh-CN"/>
              </w:rPr>
              <w:t>符合</w:t>
            </w:r>
            <w:r>
              <w:rPr>
                <w:rFonts w:hint="eastAsia"/>
                <w:sz w:val="24"/>
                <w:szCs w:val="24"/>
                <w:lang w:val="en-US" w:eastAsia="zh-CN"/>
              </w:rPr>
              <w:t>相关产业政策，项目选址符合各项规划，且不涉及生态保护红线，符合“三线一单”的管控要求。</w:t>
            </w:r>
            <w:r>
              <w:rPr>
                <w:sz w:val="24"/>
                <w:szCs w:val="24"/>
                <w:lang w:val="en-US" w:eastAsia="zh-CN"/>
              </w:rPr>
              <w:t>建设单位</w:t>
            </w:r>
            <w:r>
              <w:rPr>
                <w:rFonts w:hint="eastAsia"/>
                <w:sz w:val="24"/>
                <w:szCs w:val="24"/>
                <w:lang w:val="en-US" w:eastAsia="zh-CN"/>
              </w:rPr>
              <w:t>需</w:t>
            </w:r>
            <w:r>
              <w:rPr>
                <w:sz w:val="24"/>
                <w:szCs w:val="24"/>
                <w:lang w:val="en-US" w:eastAsia="zh-CN"/>
              </w:rPr>
              <w:t>认真落实本报告提出的各项污染防治措施，切实做到“三同时”，加强环境管理，做好环境污染防治工作，项目营运过程中各污染物均能达标排放，</w:t>
            </w:r>
            <w:r>
              <w:rPr>
                <w:rFonts w:hint="eastAsia"/>
                <w:sz w:val="24"/>
                <w:szCs w:val="24"/>
                <w:lang w:val="en-US" w:eastAsia="zh-CN"/>
              </w:rPr>
              <w:t>做到“三废”达标排放，</w:t>
            </w:r>
            <w:r>
              <w:rPr>
                <w:sz w:val="24"/>
                <w:szCs w:val="24"/>
                <w:lang w:val="en-US" w:eastAsia="zh-CN"/>
              </w:rPr>
              <w:t>可满足当地环境质量要求，对区域环境造成影响较小。</w:t>
            </w:r>
          </w:p>
          <w:p>
            <w:pPr>
              <w:pStyle w:val="15"/>
              <w:ind w:firstLine="480" w:firstLineChars="200"/>
              <w:jc w:val="both"/>
              <w:rPr>
                <w:lang w:val="en-US" w:eastAsia="zh-CN"/>
              </w:rPr>
            </w:pPr>
            <w:r>
              <w:rPr>
                <w:sz w:val="24"/>
                <w:szCs w:val="24"/>
                <w:lang w:val="en-US" w:eastAsia="zh-CN"/>
              </w:rPr>
              <w:t>因此，从环境</w:t>
            </w:r>
            <w:r>
              <w:rPr>
                <w:rFonts w:hint="eastAsia"/>
                <w:sz w:val="24"/>
                <w:szCs w:val="24"/>
                <w:lang w:val="en-US" w:eastAsia="zh-CN"/>
              </w:rPr>
              <w:t>影响</w:t>
            </w:r>
            <w:r>
              <w:rPr>
                <w:sz w:val="24"/>
                <w:szCs w:val="24"/>
                <w:lang w:val="en-US" w:eastAsia="zh-CN"/>
              </w:rPr>
              <w:t>角度看，该项目是可行的。</w:t>
            </w:r>
          </w:p>
        </w:tc>
      </w:tr>
    </w:tbl>
    <w:p>
      <w:pPr>
        <w:rPr>
          <w:rFonts w:ascii="宋体"/>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24"/>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textAlignment w:val="auto"/>
        <w:outlineLvl w:val="0"/>
        <w:rPr>
          <w:rFonts w:hint="eastAsia" w:ascii="黑体" w:hAnsi="黑体" w:eastAsia="黑体"/>
          <w:snapToGrid w:val="0"/>
          <w:color w:val="auto"/>
          <w:sz w:val="32"/>
          <w:szCs w:val="32"/>
        </w:rPr>
      </w:pPr>
      <w:r>
        <w:rPr>
          <w:rFonts w:hint="eastAsia" w:ascii="黑体" w:hAnsi="黑体" w:eastAsia="黑体"/>
          <w:snapToGrid w:val="0"/>
          <w:color w:val="auto"/>
          <w:sz w:val="32"/>
          <w:szCs w:val="32"/>
        </w:rPr>
        <w:t>附表</w:t>
      </w:r>
    </w:p>
    <w:p>
      <w:pPr>
        <w:pStyle w:val="24"/>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jc w:val="center"/>
        <w:textAlignment w:val="auto"/>
        <w:outlineLvl w:val="0"/>
        <w:rPr>
          <w:rFonts w:hint="eastAsia" w:ascii="方正小标宋_GBK" w:hAnsi="黑体" w:eastAsia="方正小标宋_GBK"/>
          <w:snapToGrid w:val="0"/>
          <w:color w:val="auto"/>
          <w:sz w:val="21"/>
          <w:szCs w:val="21"/>
        </w:rPr>
      </w:pPr>
      <w:r>
        <w:rPr>
          <w:rFonts w:hint="eastAsia" w:ascii="方正小标宋_GBK" w:hAnsi="黑体" w:eastAsia="方正小标宋_GBK"/>
          <w:snapToGrid w:val="0"/>
          <w:color w:val="auto"/>
          <w:sz w:val="21"/>
          <w:szCs w:val="21"/>
        </w:rPr>
        <w:t>建设项目污染物排放量汇总表</w:t>
      </w:r>
    </w:p>
    <w:tbl>
      <w:tblPr>
        <w:tblStyle w:val="28"/>
        <w:tblW w:w="1354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733"/>
        <w:gridCol w:w="1027"/>
        <w:gridCol w:w="1418"/>
        <w:gridCol w:w="1141"/>
        <w:gridCol w:w="1519"/>
        <w:gridCol w:w="1500"/>
        <w:gridCol w:w="1334"/>
        <w:gridCol w:w="1866"/>
        <w:gridCol w:w="14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561" w:type="dxa"/>
            <w:tcBorders>
              <w:tl2br w:val="single" w:color="auto" w:sz="4" w:space="0"/>
            </w:tcBorders>
            <w:noWrap w:val="0"/>
            <w:tcMar>
              <w:left w:w="28" w:type="dxa"/>
              <w:right w:w="28" w:type="dxa"/>
            </w:tcMar>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6"/>
                <w:kern w:val="21"/>
                <w:szCs w:val="21"/>
                <w:lang w:val="en-US" w:eastAsia="zh-CN"/>
              </w:rPr>
            </w:pPr>
            <w:r>
              <w:rPr>
                <w:rFonts w:ascii="Times New Roman"/>
                <w:snapToGrid w:val="0"/>
                <w:color w:val="auto"/>
                <w:spacing w:val="-6"/>
                <w:kern w:val="21"/>
                <w:szCs w:val="21"/>
                <w:lang w:val="en-US" w:eastAsia="zh-CN"/>
              </w:rPr>
              <w:t xml:space="preserve">     项目</w:t>
            </w:r>
          </w:p>
          <w:p>
            <w:pPr>
              <w:pStyle w:val="65"/>
              <w:keepNext w:val="0"/>
              <w:keepLines w:val="0"/>
              <w:pageBreakBefore w:val="0"/>
              <w:widowControl w:val="0"/>
              <w:kinsoku/>
              <w:wordWrap/>
              <w:overflowPunct/>
              <w:topLinePunct w:val="0"/>
              <w:bidi w:val="0"/>
              <w:spacing w:beforeLines="0" w:afterLines="0" w:line="240" w:lineRule="auto"/>
              <w:jc w:val="both"/>
              <w:rPr>
                <w:rFonts w:ascii="Times New Roman"/>
                <w:snapToGrid w:val="0"/>
                <w:color w:val="auto"/>
                <w:spacing w:val="-6"/>
                <w:kern w:val="21"/>
                <w:szCs w:val="21"/>
                <w:lang w:val="en-US" w:eastAsia="zh-CN"/>
              </w:rPr>
            </w:pPr>
            <w:r>
              <w:rPr>
                <w:rFonts w:ascii="Times New Roman"/>
                <w:snapToGrid w:val="0"/>
                <w:color w:val="auto"/>
                <w:spacing w:val="-6"/>
                <w:kern w:val="21"/>
                <w:szCs w:val="21"/>
                <w:lang w:val="en-US" w:eastAsia="zh-CN"/>
              </w:rPr>
              <w:t>分类</w:t>
            </w:r>
          </w:p>
        </w:tc>
        <w:tc>
          <w:tcPr>
            <w:tcW w:w="1760" w:type="dxa"/>
            <w:gridSpan w:val="2"/>
            <w:noWrap w:val="0"/>
            <w:tcMar>
              <w:left w:w="28" w:type="dxa"/>
              <w:right w:w="28" w:type="dxa"/>
            </w:tcMar>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6"/>
                <w:kern w:val="21"/>
                <w:szCs w:val="21"/>
                <w:lang w:val="en-US" w:eastAsia="zh-CN"/>
              </w:rPr>
            </w:pPr>
            <w:r>
              <w:rPr>
                <w:rFonts w:ascii="Times New Roman"/>
                <w:snapToGrid w:val="0"/>
                <w:color w:val="auto"/>
                <w:spacing w:val="-6"/>
                <w:kern w:val="21"/>
                <w:szCs w:val="21"/>
                <w:lang w:val="en-US" w:eastAsia="zh-CN"/>
              </w:rPr>
              <w:t>污染物名称</w:t>
            </w:r>
          </w:p>
        </w:tc>
        <w:tc>
          <w:tcPr>
            <w:tcW w:w="1418" w:type="dxa"/>
            <w:noWrap w:val="0"/>
            <w:tcMar>
              <w:left w:w="28" w:type="dxa"/>
              <w:right w:w="28" w:type="dxa"/>
            </w:tcMar>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6"/>
                <w:kern w:val="21"/>
                <w:szCs w:val="21"/>
                <w:lang w:val="en-US" w:eastAsia="zh-CN"/>
              </w:rPr>
            </w:pPr>
            <w:r>
              <w:rPr>
                <w:rFonts w:ascii="Times New Roman"/>
                <w:snapToGrid w:val="0"/>
                <w:color w:val="auto"/>
                <w:spacing w:val="-6"/>
                <w:kern w:val="21"/>
                <w:szCs w:val="21"/>
                <w:lang w:val="en-US" w:eastAsia="zh-CN"/>
              </w:rPr>
              <w:t>现有工程</w:t>
            </w:r>
          </w:p>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6"/>
                <w:kern w:val="21"/>
                <w:szCs w:val="21"/>
                <w:lang w:val="en-US" w:eastAsia="zh-CN"/>
              </w:rPr>
            </w:pPr>
            <w:r>
              <w:rPr>
                <w:rFonts w:ascii="Times New Roman"/>
                <w:snapToGrid w:val="0"/>
                <w:color w:val="auto"/>
                <w:spacing w:val="-6"/>
                <w:kern w:val="21"/>
                <w:szCs w:val="21"/>
                <w:lang w:val="en-US" w:eastAsia="zh-CN"/>
              </w:rPr>
              <w:t>排放量（固体废物产生量）</w:t>
            </w:r>
            <w:r>
              <w:rPr>
                <w:rFonts w:ascii="Times New Roman"/>
                <w:snapToGrid w:val="0"/>
                <w:color w:val="auto"/>
                <w:spacing w:val="-6"/>
                <w:kern w:val="21"/>
                <w:szCs w:val="21"/>
                <w:lang w:val="en-US" w:eastAsia="zh-CN"/>
              </w:rPr>
              <w:fldChar w:fldCharType="begin"/>
            </w:r>
            <w:r>
              <w:rPr>
                <w:rFonts w:ascii="Times New Roman"/>
                <w:snapToGrid w:val="0"/>
                <w:color w:val="auto"/>
                <w:spacing w:val="-6"/>
                <w:kern w:val="21"/>
                <w:szCs w:val="21"/>
                <w:lang w:val="en-US" w:eastAsia="zh-CN"/>
              </w:rPr>
              <w:instrText xml:space="preserve"> = 1 \* GB3 \* MERGEFORMAT </w:instrText>
            </w:r>
            <w:r>
              <w:rPr>
                <w:rFonts w:ascii="Times New Roman"/>
                <w:snapToGrid w:val="0"/>
                <w:color w:val="auto"/>
                <w:spacing w:val="-6"/>
                <w:kern w:val="21"/>
                <w:szCs w:val="21"/>
                <w:lang w:val="en-US" w:eastAsia="zh-CN"/>
              </w:rPr>
              <w:fldChar w:fldCharType="separate"/>
            </w:r>
            <w:r>
              <w:rPr>
                <w:rFonts w:ascii="Times New Roman"/>
                <w:color w:val="auto"/>
                <w:kern w:val="2"/>
                <w:szCs w:val="21"/>
                <w:lang w:val="en-US" w:eastAsia="zh-CN"/>
              </w:rPr>
              <w:t>①</w:t>
            </w:r>
            <w:r>
              <w:rPr>
                <w:rFonts w:ascii="Times New Roman"/>
                <w:snapToGrid w:val="0"/>
                <w:color w:val="auto"/>
                <w:spacing w:val="-6"/>
                <w:kern w:val="21"/>
                <w:szCs w:val="21"/>
                <w:lang w:val="en-US" w:eastAsia="zh-CN"/>
              </w:rPr>
              <w:fldChar w:fldCharType="end"/>
            </w:r>
          </w:p>
        </w:tc>
        <w:tc>
          <w:tcPr>
            <w:tcW w:w="1141" w:type="dxa"/>
            <w:noWrap w:val="0"/>
            <w:tcMar>
              <w:left w:w="28" w:type="dxa"/>
              <w:right w:w="28" w:type="dxa"/>
            </w:tcMar>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6"/>
                <w:kern w:val="21"/>
                <w:szCs w:val="21"/>
                <w:lang w:val="en-US" w:eastAsia="zh-CN"/>
              </w:rPr>
            </w:pPr>
            <w:r>
              <w:rPr>
                <w:rFonts w:ascii="Times New Roman"/>
                <w:snapToGrid w:val="0"/>
                <w:color w:val="auto"/>
                <w:spacing w:val="-6"/>
                <w:kern w:val="21"/>
                <w:szCs w:val="21"/>
                <w:lang w:val="en-US" w:eastAsia="zh-CN"/>
              </w:rPr>
              <w:t>现有工程</w:t>
            </w:r>
          </w:p>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6"/>
                <w:kern w:val="21"/>
                <w:szCs w:val="21"/>
                <w:lang w:val="en-US" w:eastAsia="zh-CN"/>
              </w:rPr>
            </w:pPr>
            <w:r>
              <w:rPr>
                <w:rFonts w:ascii="Times New Roman"/>
                <w:snapToGrid w:val="0"/>
                <w:color w:val="auto"/>
                <w:spacing w:val="-6"/>
                <w:kern w:val="21"/>
                <w:szCs w:val="21"/>
                <w:lang w:val="en-US" w:eastAsia="zh-CN"/>
              </w:rPr>
              <w:t>许可排放量</w:t>
            </w:r>
          </w:p>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6"/>
                <w:kern w:val="21"/>
                <w:szCs w:val="21"/>
                <w:lang w:val="en-US" w:eastAsia="zh-CN"/>
              </w:rPr>
            </w:pPr>
            <w:r>
              <w:rPr>
                <w:rFonts w:ascii="Times New Roman"/>
                <w:snapToGrid w:val="0"/>
                <w:color w:val="auto"/>
                <w:spacing w:val="-6"/>
                <w:kern w:val="21"/>
                <w:szCs w:val="21"/>
                <w:lang w:val="en-US" w:eastAsia="zh-CN"/>
              </w:rPr>
              <w:fldChar w:fldCharType="begin"/>
            </w:r>
            <w:r>
              <w:rPr>
                <w:rFonts w:ascii="Times New Roman"/>
                <w:snapToGrid w:val="0"/>
                <w:color w:val="auto"/>
                <w:spacing w:val="-6"/>
                <w:kern w:val="21"/>
                <w:szCs w:val="21"/>
                <w:lang w:val="en-US" w:eastAsia="zh-CN"/>
              </w:rPr>
              <w:instrText xml:space="preserve"> = 2 \* GB3 \* MERGEFORMAT </w:instrText>
            </w:r>
            <w:r>
              <w:rPr>
                <w:rFonts w:ascii="Times New Roman"/>
                <w:snapToGrid w:val="0"/>
                <w:color w:val="auto"/>
                <w:spacing w:val="-6"/>
                <w:kern w:val="21"/>
                <w:szCs w:val="21"/>
                <w:lang w:val="en-US" w:eastAsia="zh-CN"/>
              </w:rPr>
              <w:fldChar w:fldCharType="separate"/>
            </w:r>
            <w:r>
              <w:rPr>
                <w:rFonts w:ascii="Times New Roman"/>
                <w:snapToGrid w:val="0"/>
                <w:color w:val="auto"/>
                <w:spacing w:val="-6"/>
                <w:kern w:val="21"/>
                <w:szCs w:val="21"/>
                <w:lang w:val="en-US" w:eastAsia="zh-CN"/>
              </w:rPr>
              <w:t>②</w:t>
            </w:r>
            <w:r>
              <w:rPr>
                <w:rFonts w:ascii="Times New Roman"/>
                <w:snapToGrid w:val="0"/>
                <w:color w:val="auto"/>
                <w:spacing w:val="-6"/>
                <w:kern w:val="21"/>
                <w:szCs w:val="21"/>
                <w:lang w:val="en-US" w:eastAsia="zh-CN"/>
              </w:rPr>
              <w:fldChar w:fldCharType="end"/>
            </w:r>
          </w:p>
        </w:tc>
        <w:tc>
          <w:tcPr>
            <w:tcW w:w="1519" w:type="dxa"/>
            <w:noWrap w:val="0"/>
            <w:tcMar>
              <w:left w:w="28" w:type="dxa"/>
              <w:right w:w="28" w:type="dxa"/>
            </w:tcMar>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6"/>
                <w:kern w:val="21"/>
                <w:szCs w:val="21"/>
                <w:lang w:val="en-US" w:eastAsia="zh-CN"/>
              </w:rPr>
            </w:pPr>
            <w:r>
              <w:rPr>
                <w:rFonts w:ascii="Times New Roman"/>
                <w:snapToGrid w:val="0"/>
                <w:color w:val="auto"/>
                <w:spacing w:val="-6"/>
                <w:kern w:val="21"/>
                <w:szCs w:val="21"/>
                <w:lang w:val="en-US" w:eastAsia="zh-CN"/>
              </w:rPr>
              <w:t>在建工程</w:t>
            </w:r>
          </w:p>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6"/>
                <w:kern w:val="21"/>
                <w:szCs w:val="21"/>
                <w:lang w:val="en-US" w:eastAsia="zh-CN"/>
              </w:rPr>
            </w:pPr>
            <w:r>
              <w:rPr>
                <w:rFonts w:ascii="Times New Roman"/>
                <w:snapToGrid w:val="0"/>
                <w:color w:val="auto"/>
                <w:spacing w:val="-6"/>
                <w:kern w:val="21"/>
                <w:szCs w:val="21"/>
                <w:lang w:val="en-US" w:eastAsia="zh-CN"/>
              </w:rPr>
              <w:t>排放量（固体废物产生量）</w:t>
            </w:r>
            <w:r>
              <w:rPr>
                <w:rFonts w:ascii="Times New Roman"/>
                <w:snapToGrid w:val="0"/>
                <w:color w:val="auto"/>
                <w:spacing w:val="-6"/>
                <w:kern w:val="21"/>
                <w:szCs w:val="21"/>
                <w:lang w:val="en-US" w:eastAsia="zh-CN"/>
              </w:rPr>
              <w:fldChar w:fldCharType="begin"/>
            </w:r>
            <w:r>
              <w:rPr>
                <w:rFonts w:ascii="Times New Roman"/>
                <w:snapToGrid w:val="0"/>
                <w:color w:val="auto"/>
                <w:spacing w:val="-6"/>
                <w:kern w:val="21"/>
                <w:szCs w:val="21"/>
                <w:lang w:val="en-US" w:eastAsia="zh-CN"/>
              </w:rPr>
              <w:instrText xml:space="preserve"> = 3 \* GB3 \* MERGEFORMAT </w:instrText>
            </w:r>
            <w:r>
              <w:rPr>
                <w:rFonts w:ascii="Times New Roman"/>
                <w:snapToGrid w:val="0"/>
                <w:color w:val="auto"/>
                <w:spacing w:val="-6"/>
                <w:kern w:val="21"/>
                <w:szCs w:val="21"/>
                <w:lang w:val="en-US" w:eastAsia="zh-CN"/>
              </w:rPr>
              <w:fldChar w:fldCharType="separate"/>
            </w:r>
            <w:r>
              <w:rPr>
                <w:rFonts w:ascii="Times New Roman"/>
                <w:color w:val="auto"/>
                <w:kern w:val="2"/>
                <w:szCs w:val="21"/>
                <w:lang w:val="en-US" w:eastAsia="zh-CN"/>
              </w:rPr>
              <w:t>③</w:t>
            </w:r>
            <w:r>
              <w:rPr>
                <w:rFonts w:ascii="Times New Roman"/>
                <w:snapToGrid w:val="0"/>
                <w:color w:val="auto"/>
                <w:spacing w:val="-6"/>
                <w:kern w:val="21"/>
                <w:szCs w:val="21"/>
                <w:lang w:val="en-US" w:eastAsia="zh-CN"/>
              </w:rPr>
              <w:fldChar w:fldCharType="end"/>
            </w:r>
          </w:p>
        </w:tc>
        <w:tc>
          <w:tcPr>
            <w:tcW w:w="1500" w:type="dxa"/>
            <w:noWrap w:val="0"/>
            <w:tcMar>
              <w:left w:w="28" w:type="dxa"/>
              <w:right w:w="28" w:type="dxa"/>
            </w:tcMar>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6"/>
                <w:kern w:val="21"/>
                <w:szCs w:val="21"/>
                <w:lang w:val="en-US" w:eastAsia="zh-CN"/>
              </w:rPr>
            </w:pPr>
            <w:r>
              <w:rPr>
                <w:rFonts w:ascii="Times New Roman"/>
                <w:snapToGrid w:val="0"/>
                <w:color w:val="auto"/>
                <w:spacing w:val="-6"/>
                <w:kern w:val="21"/>
                <w:szCs w:val="21"/>
                <w:lang w:val="en-US" w:eastAsia="zh-CN"/>
              </w:rPr>
              <w:t>本项目</w:t>
            </w:r>
          </w:p>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6"/>
                <w:kern w:val="21"/>
                <w:szCs w:val="21"/>
                <w:lang w:val="en-US" w:eastAsia="zh-CN"/>
              </w:rPr>
            </w:pPr>
            <w:r>
              <w:rPr>
                <w:rFonts w:ascii="Times New Roman"/>
                <w:snapToGrid w:val="0"/>
                <w:color w:val="auto"/>
                <w:spacing w:val="-6"/>
                <w:kern w:val="21"/>
                <w:szCs w:val="21"/>
                <w:lang w:val="en-US" w:eastAsia="zh-CN"/>
              </w:rPr>
              <w:t>排放量（固体废物产生量）</w:t>
            </w:r>
            <w:r>
              <w:rPr>
                <w:rFonts w:ascii="Times New Roman"/>
                <w:snapToGrid w:val="0"/>
                <w:color w:val="auto"/>
                <w:spacing w:val="-6"/>
                <w:kern w:val="21"/>
                <w:szCs w:val="21"/>
                <w:lang w:val="en-US" w:eastAsia="zh-CN"/>
              </w:rPr>
              <w:fldChar w:fldCharType="begin"/>
            </w:r>
            <w:r>
              <w:rPr>
                <w:rFonts w:ascii="Times New Roman"/>
                <w:snapToGrid w:val="0"/>
                <w:color w:val="auto"/>
                <w:spacing w:val="-6"/>
                <w:kern w:val="21"/>
                <w:szCs w:val="21"/>
                <w:lang w:val="en-US" w:eastAsia="zh-CN"/>
              </w:rPr>
              <w:instrText xml:space="preserve"> = 4 \* GB3 \* MERGEFORMAT </w:instrText>
            </w:r>
            <w:r>
              <w:rPr>
                <w:rFonts w:ascii="Times New Roman"/>
                <w:snapToGrid w:val="0"/>
                <w:color w:val="auto"/>
                <w:spacing w:val="-6"/>
                <w:kern w:val="21"/>
                <w:szCs w:val="21"/>
                <w:lang w:val="en-US" w:eastAsia="zh-CN"/>
              </w:rPr>
              <w:fldChar w:fldCharType="separate"/>
            </w:r>
            <w:r>
              <w:rPr>
                <w:rFonts w:ascii="Times New Roman"/>
                <w:color w:val="auto"/>
                <w:kern w:val="2"/>
                <w:szCs w:val="21"/>
                <w:lang w:val="en-US" w:eastAsia="zh-CN"/>
              </w:rPr>
              <w:t>④</w:t>
            </w:r>
            <w:r>
              <w:rPr>
                <w:rFonts w:ascii="Times New Roman"/>
                <w:snapToGrid w:val="0"/>
                <w:color w:val="auto"/>
                <w:spacing w:val="-6"/>
                <w:kern w:val="21"/>
                <w:szCs w:val="21"/>
                <w:lang w:val="en-US" w:eastAsia="zh-CN"/>
              </w:rPr>
              <w:fldChar w:fldCharType="end"/>
            </w:r>
          </w:p>
        </w:tc>
        <w:tc>
          <w:tcPr>
            <w:tcW w:w="1334" w:type="dxa"/>
            <w:noWrap w:val="0"/>
            <w:tcMar>
              <w:left w:w="28" w:type="dxa"/>
              <w:right w:w="28" w:type="dxa"/>
            </w:tcMar>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16"/>
                <w:kern w:val="21"/>
                <w:szCs w:val="21"/>
                <w:lang w:val="en-US" w:eastAsia="zh-CN"/>
              </w:rPr>
            </w:pPr>
            <w:r>
              <w:rPr>
                <w:rFonts w:ascii="Times New Roman"/>
                <w:snapToGrid w:val="0"/>
                <w:color w:val="auto"/>
                <w:spacing w:val="-16"/>
                <w:kern w:val="21"/>
                <w:szCs w:val="21"/>
                <w:lang w:val="en-US" w:eastAsia="zh-CN"/>
              </w:rPr>
              <w:t>以新带老削减量</w:t>
            </w:r>
          </w:p>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16"/>
                <w:kern w:val="21"/>
                <w:szCs w:val="21"/>
                <w:lang w:val="en-US" w:eastAsia="zh-CN"/>
              </w:rPr>
            </w:pPr>
            <w:r>
              <w:rPr>
                <w:rFonts w:ascii="Times New Roman"/>
                <w:snapToGrid w:val="0"/>
                <w:color w:val="auto"/>
                <w:spacing w:val="-16"/>
                <w:kern w:val="21"/>
                <w:szCs w:val="21"/>
                <w:lang w:val="en-US" w:eastAsia="zh-CN"/>
              </w:rPr>
              <w:t>（新建项目不填）</w:t>
            </w:r>
            <w:r>
              <w:rPr>
                <w:rFonts w:ascii="Times New Roman"/>
                <w:snapToGrid w:val="0"/>
                <w:color w:val="auto"/>
                <w:spacing w:val="-16"/>
                <w:kern w:val="21"/>
                <w:szCs w:val="21"/>
                <w:lang w:val="en-US" w:eastAsia="zh-CN"/>
              </w:rPr>
              <w:fldChar w:fldCharType="begin"/>
            </w:r>
            <w:r>
              <w:rPr>
                <w:rFonts w:ascii="Times New Roman"/>
                <w:snapToGrid w:val="0"/>
                <w:color w:val="auto"/>
                <w:spacing w:val="-16"/>
                <w:kern w:val="21"/>
                <w:szCs w:val="21"/>
                <w:lang w:val="en-US" w:eastAsia="zh-CN"/>
              </w:rPr>
              <w:instrText xml:space="preserve"> = 5 \* GB3 \* MERGEFORMAT </w:instrText>
            </w:r>
            <w:r>
              <w:rPr>
                <w:rFonts w:ascii="Times New Roman"/>
                <w:snapToGrid w:val="0"/>
                <w:color w:val="auto"/>
                <w:spacing w:val="-16"/>
                <w:kern w:val="21"/>
                <w:szCs w:val="21"/>
                <w:lang w:val="en-US" w:eastAsia="zh-CN"/>
              </w:rPr>
              <w:fldChar w:fldCharType="separate"/>
            </w:r>
            <w:r>
              <w:rPr>
                <w:rFonts w:ascii="Times New Roman"/>
                <w:color w:val="auto"/>
                <w:kern w:val="2"/>
                <w:szCs w:val="21"/>
                <w:lang w:val="en-US" w:eastAsia="zh-CN"/>
              </w:rPr>
              <w:t>⑤</w:t>
            </w:r>
            <w:r>
              <w:rPr>
                <w:rFonts w:ascii="Times New Roman"/>
                <w:snapToGrid w:val="0"/>
                <w:color w:val="auto"/>
                <w:spacing w:val="-16"/>
                <w:kern w:val="21"/>
                <w:szCs w:val="21"/>
                <w:lang w:val="en-US" w:eastAsia="zh-CN"/>
              </w:rPr>
              <w:fldChar w:fldCharType="end"/>
            </w:r>
          </w:p>
        </w:tc>
        <w:tc>
          <w:tcPr>
            <w:tcW w:w="1866" w:type="dxa"/>
            <w:noWrap w:val="0"/>
            <w:tcMar>
              <w:left w:w="28" w:type="dxa"/>
              <w:right w:w="28" w:type="dxa"/>
            </w:tcMar>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16"/>
                <w:kern w:val="21"/>
                <w:szCs w:val="21"/>
                <w:lang w:val="en-US" w:eastAsia="zh-CN"/>
              </w:rPr>
            </w:pPr>
            <w:r>
              <w:rPr>
                <w:rFonts w:ascii="Times New Roman"/>
                <w:snapToGrid w:val="0"/>
                <w:color w:val="auto"/>
                <w:spacing w:val="-16"/>
                <w:kern w:val="21"/>
                <w:szCs w:val="21"/>
                <w:lang w:val="en-US" w:eastAsia="zh-CN"/>
              </w:rPr>
              <w:t>本项目建成后</w:t>
            </w:r>
          </w:p>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16"/>
                <w:kern w:val="21"/>
                <w:szCs w:val="21"/>
                <w:lang w:val="en-US" w:eastAsia="zh-CN"/>
              </w:rPr>
            </w:pPr>
            <w:r>
              <w:rPr>
                <w:rFonts w:ascii="Times New Roman"/>
                <w:snapToGrid w:val="0"/>
                <w:color w:val="auto"/>
                <w:spacing w:val="-16"/>
                <w:kern w:val="21"/>
                <w:szCs w:val="21"/>
                <w:lang w:val="en-US" w:eastAsia="zh-CN"/>
              </w:rPr>
              <w:t>全厂排放量（固体废物产生量）</w:t>
            </w:r>
            <w:r>
              <w:rPr>
                <w:rFonts w:ascii="Times New Roman"/>
                <w:snapToGrid w:val="0"/>
                <w:color w:val="auto"/>
                <w:spacing w:val="-16"/>
                <w:kern w:val="21"/>
                <w:szCs w:val="21"/>
                <w:lang w:val="en-US" w:eastAsia="zh-CN"/>
              </w:rPr>
              <w:fldChar w:fldCharType="begin"/>
            </w:r>
            <w:r>
              <w:rPr>
                <w:rFonts w:ascii="Times New Roman"/>
                <w:snapToGrid w:val="0"/>
                <w:color w:val="auto"/>
                <w:spacing w:val="-16"/>
                <w:kern w:val="21"/>
                <w:szCs w:val="21"/>
                <w:lang w:val="en-US" w:eastAsia="zh-CN"/>
              </w:rPr>
              <w:instrText xml:space="preserve"> = 6 \* GB3 \* MERGEFORMAT </w:instrText>
            </w:r>
            <w:r>
              <w:rPr>
                <w:rFonts w:ascii="Times New Roman"/>
                <w:snapToGrid w:val="0"/>
                <w:color w:val="auto"/>
                <w:spacing w:val="-16"/>
                <w:kern w:val="21"/>
                <w:szCs w:val="21"/>
                <w:lang w:val="en-US" w:eastAsia="zh-CN"/>
              </w:rPr>
              <w:fldChar w:fldCharType="separate"/>
            </w:r>
            <w:r>
              <w:rPr>
                <w:rFonts w:ascii="Times New Roman"/>
                <w:color w:val="auto"/>
                <w:kern w:val="2"/>
                <w:szCs w:val="21"/>
                <w:lang w:val="en-US" w:eastAsia="zh-CN"/>
              </w:rPr>
              <w:t>⑥</w:t>
            </w:r>
            <w:r>
              <w:rPr>
                <w:rFonts w:ascii="Times New Roman"/>
                <w:snapToGrid w:val="0"/>
                <w:color w:val="auto"/>
                <w:spacing w:val="-16"/>
                <w:kern w:val="21"/>
                <w:szCs w:val="21"/>
                <w:lang w:val="en-US" w:eastAsia="zh-CN"/>
              </w:rPr>
              <w:fldChar w:fldCharType="end"/>
            </w:r>
          </w:p>
        </w:tc>
        <w:tc>
          <w:tcPr>
            <w:tcW w:w="1450" w:type="dxa"/>
            <w:noWrap w:val="0"/>
            <w:tcMar>
              <w:left w:w="28" w:type="dxa"/>
              <w:right w:w="28" w:type="dxa"/>
            </w:tcMar>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6"/>
                <w:kern w:val="21"/>
                <w:szCs w:val="21"/>
                <w:lang w:val="en-US" w:eastAsia="zh-CN"/>
              </w:rPr>
            </w:pPr>
            <w:r>
              <w:rPr>
                <w:rFonts w:ascii="Times New Roman"/>
                <w:snapToGrid w:val="0"/>
                <w:color w:val="auto"/>
                <w:spacing w:val="-6"/>
                <w:kern w:val="21"/>
                <w:szCs w:val="21"/>
                <w:lang w:val="en-US" w:eastAsia="zh-CN"/>
              </w:rPr>
              <w:t>变化量</w:t>
            </w:r>
          </w:p>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spacing w:val="-6"/>
                <w:kern w:val="21"/>
                <w:szCs w:val="21"/>
                <w:lang w:val="en-US" w:eastAsia="zh-CN"/>
              </w:rPr>
            </w:pPr>
            <w:r>
              <w:rPr>
                <w:rFonts w:ascii="Times New Roman"/>
                <w:snapToGrid w:val="0"/>
                <w:color w:val="auto"/>
                <w:spacing w:val="-6"/>
                <w:kern w:val="21"/>
                <w:szCs w:val="21"/>
                <w:lang w:val="en-US" w:eastAsia="zh-CN"/>
              </w:rPr>
              <w:fldChar w:fldCharType="begin"/>
            </w:r>
            <w:r>
              <w:rPr>
                <w:rFonts w:ascii="Times New Roman"/>
                <w:snapToGrid w:val="0"/>
                <w:color w:val="auto"/>
                <w:spacing w:val="-6"/>
                <w:kern w:val="21"/>
                <w:szCs w:val="21"/>
                <w:lang w:val="en-US" w:eastAsia="zh-CN"/>
              </w:rPr>
              <w:instrText xml:space="preserve"> = 7 \* GB3 \* MERGEFORMAT </w:instrText>
            </w:r>
            <w:r>
              <w:rPr>
                <w:rFonts w:ascii="Times New Roman"/>
                <w:snapToGrid w:val="0"/>
                <w:color w:val="auto"/>
                <w:spacing w:val="-6"/>
                <w:kern w:val="21"/>
                <w:szCs w:val="21"/>
                <w:lang w:val="en-US" w:eastAsia="zh-CN"/>
              </w:rPr>
              <w:fldChar w:fldCharType="separate"/>
            </w:r>
            <w:r>
              <w:rPr>
                <w:rFonts w:ascii="Times New Roman"/>
                <w:color w:val="auto"/>
                <w:kern w:val="2"/>
                <w:szCs w:val="21"/>
                <w:lang w:val="en-US" w:eastAsia="zh-CN"/>
              </w:rPr>
              <w:t>⑦</w:t>
            </w:r>
            <w:r>
              <w:rPr>
                <w:rFonts w:ascii="Times New Roman"/>
                <w:snapToGrid w:val="0"/>
                <w:color w:val="auto"/>
                <w:spacing w:val="-6"/>
                <w:kern w:val="21"/>
                <w:szCs w:val="21"/>
                <w:lang w:val="en-US" w:eastAsia="zh-CN"/>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61" w:type="dxa"/>
            <w:vMerge w:val="restart"/>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kern w:val="21"/>
                <w:szCs w:val="21"/>
                <w:lang w:val="en-US" w:eastAsia="zh-CN"/>
              </w:rPr>
            </w:pPr>
            <w:r>
              <w:rPr>
                <w:rFonts w:ascii="Times New Roman"/>
                <w:snapToGrid w:val="0"/>
                <w:color w:val="auto"/>
                <w:kern w:val="21"/>
                <w:szCs w:val="21"/>
                <w:lang w:val="en-US" w:eastAsia="zh-CN"/>
              </w:rPr>
              <w:t>废气</w:t>
            </w:r>
          </w:p>
        </w:tc>
        <w:tc>
          <w:tcPr>
            <w:tcW w:w="733" w:type="dxa"/>
            <w:vMerge w:val="restart"/>
            <w:noWrap w:val="0"/>
            <w:vAlign w:val="center"/>
          </w:tcPr>
          <w:p>
            <w:pPr>
              <w:keepNext w:val="0"/>
              <w:keepLines w:val="0"/>
              <w:pageBreakBefore w:val="0"/>
              <w:widowControl w:val="0"/>
              <w:kinsoku/>
              <w:wordWrap/>
              <w:overflowPunct/>
              <w:topLinePunct w:val="0"/>
              <w:bidi w:val="0"/>
              <w:spacing w:line="240" w:lineRule="auto"/>
              <w:jc w:val="center"/>
              <w:rPr>
                <w:color w:val="auto"/>
                <w:szCs w:val="21"/>
              </w:rPr>
            </w:pPr>
            <w:r>
              <w:rPr>
                <w:rFonts w:hint="eastAsia"/>
                <w:snapToGrid w:val="0"/>
                <w:color w:val="auto"/>
                <w:kern w:val="21"/>
                <w:szCs w:val="21"/>
                <w:lang w:val="en-US" w:eastAsia="zh-CN"/>
              </w:rPr>
              <w:t>氯化氢</w:t>
            </w:r>
          </w:p>
        </w:tc>
        <w:tc>
          <w:tcPr>
            <w:tcW w:w="1027"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有组织</w:t>
            </w:r>
          </w:p>
        </w:tc>
        <w:tc>
          <w:tcPr>
            <w:tcW w:w="1418"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kern w:val="21"/>
                <w:szCs w:val="21"/>
                <w:lang w:val="en-US" w:eastAsia="zh-CN"/>
              </w:rPr>
            </w:pPr>
            <w:r>
              <w:rPr>
                <w:rFonts w:ascii="Times New Roman"/>
                <w:snapToGrid w:val="0"/>
                <w:color w:val="auto"/>
                <w:kern w:val="21"/>
                <w:szCs w:val="21"/>
                <w:lang w:val="en-US" w:eastAsia="zh-CN"/>
              </w:rPr>
              <w:t>0</w:t>
            </w:r>
          </w:p>
        </w:tc>
        <w:tc>
          <w:tcPr>
            <w:tcW w:w="1141"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kern w:val="21"/>
                <w:szCs w:val="21"/>
                <w:lang w:val="en-US" w:eastAsia="zh-CN"/>
              </w:rPr>
            </w:pPr>
            <w:r>
              <w:rPr>
                <w:rFonts w:ascii="Times New Roman"/>
                <w:snapToGrid w:val="0"/>
                <w:color w:val="auto"/>
                <w:kern w:val="21"/>
                <w:szCs w:val="21"/>
                <w:lang w:val="en-US" w:eastAsia="zh-CN"/>
              </w:rPr>
              <w:t>0</w:t>
            </w:r>
          </w:p>
        </w:tc>
        <w:tc>
          <w:tcPr>
            <w:tcW w:w="1519"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kern w:val="21"/>
                <w:szCs w:val="21"/>
                <w:lang w:val="en-US" w:eastAsia="zh-CN"/>
              </w:rPr>
            </w:pPr>
            <w:r>
              <w:rPr>
                <w:rFonts w:ascii="Times New Roman"/>
                <w:snapToGrid w:val="0"/>
                <w:color w:val="auto"/>
                <w:kern w:val="21"/>
                <w:szCs w:val="21"/>
                <w:lang w:val="en-US" w:eastAsia="zh-CN"/>
              </w:rPr>
              <w:t>0</w:t>
            </w:r>
          </w:p>
        </w:tc>
        <w:tc>
          <w:tcPr>
            <w:tcW w:w="1500"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hAnsi="Times New Roman" w:eastAsia="宋体" w:cs="Times New Roman"/>
                <w:snapToGrid w:val="0"/>
                <w:color w:val="auto"/>
                <w:kern w:val="21"/>
                <w:szCs w:val="21"/>
                <w:lang w:val="en-US" w:eastAsia="zh-CN"/>
              </w:rPr>
            </w:pPr>
            <w:r>
              <w:rPr>
                <w:rFonts w:hint="eastAsia" w:ascii="Times New Roman" w:cs="Times New Roman"/>
                <w:snapToGrid w:val="0"/>
                <w:color w:val="auto"/>
                <w:kern w:val="21"/>
                <w:szCs w:val="21"/>
                <w:lang w:val="en-US" w:eastAsia="zh-CN"/>
              </w:rPr>
              <w:t>0.19</w:t>
            </w:r>
            <w:r>
              <w:rPr>
                <w:rFonts w:ascii="Times New Roman" w:hAnsi="Times New Roman" w:eastAsia="宋体" w:cs="Times New Roman"/>
                <w:snapToGrid w:val="0"/>
                <w:color w:val="auto"/>
                <w:kern w:val="21"/>
                <w:szCs w:val="21"/>
                <w:lang w:val="en-US" w:eastAsia="zh-CN"/>
              </w:rPr>
              <w:t>t/a</w:t>
            </w:r>
          </w:p>
        </w:tc>
        <w:tc>
          <w:tcPr>
            <w:tcW w:w="1334"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hAnsi="Times New Roman" w:eastAsia="宋体" w:cs="Times New Roman"/>
                <w:snapToGrid w:val="0"/>
                <w:color w:val="auto"/>
                <w:kern w:val="21"/>
                <w:szCs w:val="21"/>
                <w:lang w:val="en-US" w:eastAsia="zh-CN"/>
              </w:rPr>
            </w:pPr>
            <w:r>
              <w:rPr>
                <w:rFonts w:ascii="Times New Roman" w:hAnsi="Times New Roman" w:eastAsia="宋体" w:cs="Times New Roman"/>
                <w:snapToGrid w:val="0"/>
                <w:color w:val="auto"/>
                <w:kern w:val="21"/>
                <w:szCs w:val="21"/>
                <w:lang w:val="en-US" w:eastAsia="zh-CN"/>
              </w:rPr>
              <w:t>0</w:t>
            </w:r>
          </w:p>
        </w:tc>
        <w:tc>
          <w:tcPr>
            <w:tcW w:w="1866" w:type="dxa"/>
            <w:noWrap w:val="0"/>
            <w:vAlign w:val="center"/>
          </w:tcPr>
          <w:p>
            <w:pPr>
              <w:pStyle w:val="65"/>
              <w:keepNext w:val="0"/>
              <w:keepLines w:val="0"/>
              <w:pageBreakBefore w:val="0"/>
              <w:widowControl w:val="0"/>
              <w:kinsoku/>
              <w:wordWrap/>
              <w:overflowPunct/>
              <w:topLinePunct w:val="0"/>
              <w:bidi w:val="0"/>
              <w:spacing w:beforeLines="0" w:afterLines="0" w:line="240" w:lineRule="auto"/>
              <w:ind w:firstLine="0" w:firstLineChars="0"/>
              <w:rPr>
                <w:rFonts w:hint="eastAsia" w:ascii="Times New Roman" w:hAnsi="Times New Roman" w:eastAsia="宋体" w:cs="Times New Roman"/>
                <w:snapToGrid w:val="0"/>
                <w:color w:val="auto"/>
                <w:kern w:val="21"/>
                <w:szCs w:val="21"/>
                <w:lang w:val="en-US" w:eastAsia="zh-CN"/>
              </w:rPr>
            </w:pPr>
            <w:r>
              <w:rPr>
                <w:rFonts w:hint="eastAsia" w:ascii="Times New Roman" w:cs="Times New Roman"/>
                <w:snapToGrid w:val="0"/>
                <w:color w:val="auto"/>
                <w:kern w:val="21"/>
                <w:szCs w:val="21"/>
                <w:lang w:val="en-US" w:eastAsia="zh-CN"/>
              </w:rPr>
              <w:t>0.19</w:t>
            </w:r>
            <w:r>
              <w:rPr>
                <w:rFonts w:ascii="Times New Roman" w:hAnsi="Times New Roman" w:eastAsia="宋体" w:cs="Times New Roman"/>
                <w:snapToGrid w:val="0"/>
                <w:color w:val="auto"/>
                <w:kern w:val="21"/>
                <w:szCs w:val="21"/>
                <w:lang w:val="en-US" w:eastAsia="zh-CN"/>
              </w:rPr>
              <w:t>t/a</w:t>
            </w:r>
          </w:p>
        </w:tc>
        <w:tc>
          <w:tcPr>
            <w:tcW w:w="1450" w:type="dxa"/>
            <w:noWrap w:val="0"/>
            <w:vAlign w:val="center"/>
          </w:tcPr>
          <w:p>
            <w:pPr>
              <w:pStyle w:val="65"/>
              <w:keepNext w:val="0"/>
              <w:keepLines w:val="0"/>
              <w:pageBreakBefore w:val="0"/>
              <w:widowControl w:val="0"/>
              <w:kinsoku/>
              <w:wordWrap/>
              <w:overflowPunct/>
              <w:topLinePunct w:val="0"/>
              <w:bidi w:val="0"/>
              <w:spacing w:beforeLines="0" w:afterLines="0" w:line="240" w:lineRule="auto"/>
              <w:ind w:firstLine="0" w:firstLineChars="0"/>
              <w:rPr>
                <w:rFonts w:hint="eastAsia" w:ascii="Times New Roman" w:hAnsi="Times New Roman" w:eastAsia="宋体" w:cs="Times New Roman"/>
                <w:snapToGrid w:val="0"/>
                <w:color w:val="auto"/>
                <w:kern w:val="21"/>
                <w:szCs w:val="21"/>
                <w:lang w:val="en-US" w:eastAsia="zh-CN"/>
              </w:rPr>
            </w:pPr>
            <w:r>
              <w:rPr>
                <w:rFonts w:hint="eastAsia" w:ascii="Times New Roman" w:cs="Times New Roman"/>
                <w:snapToGrid w:val="0"/>
                <w:color w:val="auto"/>
                <w:kern w:val="21"/>
                <w:szCs w:val="21"/>
                <w:lang w:val="en-US" w:eastAsia="zh-CN"/>
              </w:rPr>
              <w:t>+0.19</w:t>
            </w:r>
            <w:r>
              <w:rPr>
                <w:rFonts w:ascii="Times New Roman" w:hAnsi="Times New Roman" w:eastAsia="宋体" w:cs="Times New Roman"/>
                <w:snapToGrid w:val="0"/>
                <w:color w:val="auto"/>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61" w:type="dxa"/>
            <w:vMerge w:val="continue"/>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kern w:val="21"/>
                <w:szCs w:val="21"/>
                <w:lang w:val="en-US" w:eastAsia="zh-CN"/>
              </w:rPr>
            </w:pPr>
          </w:p>
        </w:tc>
        <w:tc>
          <w:tcPr>
            <w:tcW w:w="733" w:type="dxa"/>
            <w:vMerge w:val="continue"/>
            <w:noWrap w:val="0"/>
            <w:vAlign w:val="center"/>
          </w:tcPr>
          <w:p>
            <w:pPr>
              <w:keepNext w:val="0"/>
              <w:keepLines w:val="0"/>
              <w:pageBreakBefore w:val="0"/>
              <w:widowControl w:val="0"/>
              <w:kinsoku/>
              <w:wordWrap/>
              <w:overflowPunct/>
              <w:topLinePunct w:val="0"/>
              <w:bidi w:val="0"/>
              <w:spacing w:line="240" w:lineRule="auto"/>
              <w:jc w:val="center"/>
              <w:rPr>
                <w:color w:val="auto"/>
                <w:szCs w:val="21"/>
              </w:rPr>
            </w:pPr>
          </w:p>
        </w:tc>
        <w:tc>
          <w:tcPr>
            <w:tcW w:w="1027" w:type="dxa"/>
            <w:noWrap w:val="0"/>
            <w:vAlign w:val="center"/>
          </w:tcPr>
          <w:p>
            <w:pPr>
              <w:keepNext w:val="0"/>
              <w:keepLines w:val="0"/>
              <w:pageBreakBefore w:val="0"/>
              <w:widowControl w:val="0"/>
              <w:kinsoku/>
              <w:wordWrap/>
              <w:overflowPunct/>
              <w:topLinePunct w:val="0"/>
              <w:bidi w:val="0"/>
              <w:spacing w:line="240" w:lineRule="auto"/>
              <w:jc w:val="center"/>
              <w:rPr>
                <w:rFonts w:hint="eastAsia" w:eastAsia="宋体"/>
                <w:color w:val="auto"/>
                <w:szCs w:val="21"/>
                <w:lang w:val="en-US" w:eastAsia="zh-CN"/>
              </w:rPr>
            </w:pPr>
            <w:r>
              <w:rPr>
                <w:rFonts w:hint="eastAsia"/>
                <w:color w:val="auto"/>
                <w:szCs w:val="21"/>
                <w:lang w:val="en-US" w:eastAsia="zh-CN"/>
              </w:rPr>
              <w:t>无组织</w:t>
            </w:r>
          </w:p>
        </w:tc>
        <w:tc>
          <w:tcPr>
            <w:tcW w:w="1418"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kern w:val="21"/>
                <w:szCs w:val="21"/>
                <w:lang w:val="en-US" w:eastAsia="zh-CN"/>
              </w:rPr>
            </w:pPr>
            <w:r>
              <w:rPr>
                <w:rFonts w:ascii="Times New Roman"/>
                <w:snapToGrid w:val="0"/>
                <w:color w:val="auto"/>
                <w:kern w:val="21"/>
                <w:szCs w:val="21"/>
                <w:lang w:val="en-US" w:eastAsia="zh-CN"/>
              </w:rPr>
              <w:t>0</w:t>
            </w:r>
          </w:p>
        </w:tc>
        <w:tc>
          <w:tcPr>
            <w:tcW w:w="1141"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kern w:val="21"/>
                <w:szCs w:val="21"/>
                <w:lang w:val="en-US" w:eastAsia="zh-CN"/>
              </w:rPr>
            </w:pPr>
            <w:r>
              <w:rPr>
                <w:rFonts w:ascii="Times New Roman"/>
                <w:snapToGrid w:val="0"/>
                <w:color w:val="auto"/>
                <w:kern w:val="21"/>
                <w:szCs w:val="21"/>
                <w:lang w:val="en-US" w:eastAsia="zh-CN"/>
              </w:rPr>
              <w:t>0</w:t>
            </w:r>
          </w:p>
        </w:tc>
        <w:tc>
          <w:tcPr>
            <w:tcW w:w="1519"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kern w:val="21"/>
                <w:szCs w:val="21"/>
                <w:lang w:val="en-US" w:eastAsia="zh-CN"/>
              </w:rPr>
            </w:pPr>
            <w:r>
              <w:rPr>
                <w:rFonts w:ascii="Times New Roman"/>
                <w:snapToGrid w:val="0"/>
                <w:color w:val="auto"/>
                <w:kern w:val="21"/>
                <w:szCs w:val="21"/>
                <w:lang w:val="en-US" w:eastAsia="zh-CN"/>
              </w:rPr>
              <w:t>0</w:t>
            </w:r>
          </w:p>
        </w:tc>
        <w:tc>
          <w:tcPr>
            <w:tcW w:w="1500"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hAnsi="Times New Roman" w:eastAsia="宋体" w:cs="Times New Roman"/>
                <w:snapToGrid w:val="0"/>
                <w:color w:val="auto"/>
                <w:kern w:val="21"/>
                <w:szCs w:val="21"/>
                <w:lang w:val="en-US" w:eastAsia="zh-CN"/>
              </w:rPr>
            </w:pPr>
            <w:r>
              <w:rPr>
                <w:rFonts w:hint="eastAsia" w:ascii="Times New Roman" w:cs="Times New Roman"/>
                <w:snapToGrid w:val="0"/>
                <w:color w:val="auto"/>
                <w:kern w:val="21"/>
                <w:szCs w:val="21"/>
                <w:lang w:val="en-US" w:eastAsia="zh-CN"/>
              </w:rPr>
              <w:t>0.211</w:t>
            </w:r>
            <w:r>
              <w:rPr>
                <w:rFonts w:ascii="Times New Roman" w:hAnsi="Times New Roman" w:eastAsia="宋体" w:cs="Times New Roman"/>
                <w:snapToGrid w:val="0"/>
                <w:color w:val="auto"/>
                <w:kern w:val="21"/>
                <w:szCs w:val="21"/>
                <w:lang w:val="en-US" w:eastAsia="zh-CN"/>
              </w:rPr>
              <w:t>t/a</w:t>
            </w:r>
          </w:p>
        </w:tc>
        <w:tc>
          <w:tcPr>
            <w:tcW w:w="1334"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hAnsi="Times New Roman" w:eastAsia="宋体" w:cs="Times New Roman"/>
                <w:snapToGrid w:val="0"/>
                <w:color w:val="auto"/>
                <w:kern w:val="21"/>
                <w:szCs w:val="21"/>
                <w:lang w:val="en-US" w:eastAsia="zh-CN"/>
              </w:rPr>
            </w:pPr>
            <w:r>
              <w:rPr>
                <w:rFonts w:ascii="Times New Roman" w:hAnsi="Times New Roman" w:eastAsia="宋体" w:cs="Times New Roman"/>
                <w:snapToGrid w:val="0"/>
                <w:color w:val="auto"/>
                <w:kern w:val="21"/>
                <w:szCs w:val="21"/>
                <w:lang w:val="en-US" w:eastAsia="zh-CN"/>
              </w:rPr>
              <w:t>0</w:t>
            </w:r>
          </w:p>
        </w:tc>
        <w:tc>
          <w:tcPr>
            <w:tcW w:w="1866" w:type="dxa"/>
            <w:noWrap w:val="0"/>
            <w:vAlign w:val="center"/>
          </w:tcPr>
          <w:p>
            <w:pPr>
              <w:pStyle w:val="65"/>
              <w:keepNext w:val="0"/>
              <w:keepLines w:val="0"/>
              <w:pageBreakBefore w:val="0"/>
              <w:widowControl w:val="0"/>
              <w:kinsoku/>
              <w:wordWrap/>
              <w:overflowPunct/>
              <w:topLinePunct w:val="0"/>
              <w:bidi w:val="0"/>
              <w:spacing w:beforeLines="0" w:afterLines="0" w:line="240" w:lineRule="auto"/>
              <w:ind w:firstLine="0" w:firstLineChars="0"/>
              <w:rPr>
                <w:rFonts w:hint="eastAsia" w:ascii="Times New Roman" w:hAnsi="Times New Roman" w:eastAsia="宋体" w:cs="Times New Roman"/>
                <w:snapToGrid w:val="0"/>
                <w:color w:val="auto"/>
                <w:kern w:val="21"/>
                <w:szCs w:val="21"/>
                <w:lang w:val="en-US" w:eastAsia="zh-CN"/>
              </w:rPr>
            </w:pPr>
            <w:r>
              <w:rPr>
                <w:rFonts w:hint="eastAsia" w:ascii="Times New Roman" w:cs="Times New Roman"/>
                <w:snapToGrid w:val="0"/>
                <w:color w:val="auto"/>
                <w:kern w:val="21"/>
                <w:szCs w:val="21"/>
                <w:lang w:val="en-US" w:eastAsia="zh-CN"/>
              </w:rPr>
              <w:t>0.211</w:t>
            </w:r>
            <w:r>
              <w:rPr>
                <w:rFonts w:ascii="Times New Roman" w:hAnsi="Times New Roman" w:eastAsia="宋体" w:cs="Times New Roman"/>
                <w:snapToGrid w:val="0"/>
                <w:color w:val="auto"/>
                <w:kern w:val="21"/>
                <w:szCs w:val="21"/>
                <w:lang w:val="en-US" w:eastAsia="zh-CN"/>
              </w:rPr>
              <w:t>t/a</w:t>
            </w:r>
          </w:p>
        </w:tc>
        <w:tc>
          <w:tcPr>
            <w:tcW w:w="1450" w:type="dxa"/>
            <w:noWrap w:val="0"/>
            <w:vAlign w:val="center"/>
          </w:tcPr>
          <w:p>
            <w:pPr>
              <w:pStyle w:val="65"/>
              <w:keepNext w:val="0"/>
              <w:keepLines w:val="0"/>
              <w:pageBreakBefore w:val="0"/>
              <w:widowControl w:val="0"/>
              <w:kinsoku/>
              <w:wordWrap/>
              <w:overflowPunct/>
              <w:topLinePunct w:val="0"/>
              <w:bidi w:val="0"/>
              <w:spacing w:beforeLines="0" w:afterLines="0" w:line="240" w:lineRule="auto"/>
              <w:ind w:firstLine="0" w:firstLineChars="0"/>
              <w:rPr>
                <w:rFonts w:hint="eastAsia" w:ascii="Times New Roman" w:hAnsi="Times New Roman" w:eastAsia="宋体" w:cs="Times New Roman"/>
                <w:snapToGrid w:val="0"/>
                <w:color w:val="auto"/>
                <w:kern w:val="21"/>
                <w:szCs w:val="21"/>
                <w:lang w:val="en-US" w:eastAsia="zh-CN"/>
              </w:rPr>
            </w:pPr>
            <w:r>
              <w:rPr>
                <w:rFonts w:hint="eastAsia" w:ascii="Times New Roman" w:cs="Times New Roman"/>
                <w:snapToGrid w:val="0"/>
                <w:color w:val="auto"/>
                <w:kern w:val="21"/>
                <w:szCs w:val="21"/>
                <w:lang w:val="en-US" w:eastAsia="zh-CN"/>
              </w:rPr>
              <w:t>+0.211</w:t>
            </w:r>
            <w:r>
              <w:rPr>
                <w:rFonts w:ascii="Times New Roman" w:hAnsi="Times New Roman" w:eastAsia="宋体" w:cs="Times New Roman"/>
                <w:snapToGrid w:val="0"/>
                <w:color w:val="auto"/>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61" w:type="dxa"/>
            <w:vMerge w:val="continue"/>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kern w:val="21"/>
                <w:szCs w:val="21"/>
                <w:lang w:val="en-US" w:eastAsia="zh-CN"/>
              </w:rPr>
            </w:pPr>
          </w:p>
        </w:tc>
        <w:tc>
          <w:tcPr>
            <w:tcW w:w="733" w:type="dxa"/>
            <w:noWrap w:val="0"/>
            <w:vAlign w:val="center"/>
          </w:tcPr>
          <w:p>
            <w:pPr>
              <w:keepNext w:val="0"/>
              <w:keepLines w:val="0"/>
              <w:pageBreakBefore w:val="0"/>
              <w:widowControl w:val="0"/>
              <w:kinsoku/>
              <w:wordWrap/>
              <w:overflowPunct/>
              <w:topLinePunct w:val="0"/>
              <w:bidi w:val="0"/>
              <w:spacing w:line="240" w:lineRule="auto"/>
              <w:jc w:val="center"/>
              <w:rPr>
                <w:rFonts w:hint="eastAsia" w:eastAsia="宋体"/>
                <w:color w:val="auto"/>
                <w:szCs w:val="21"/>
                <w:lang w:eastAsia="zh-CN"/>
              </w:rPr>
            </w:pPr>
            <w:r>
              <w:rPr>
                <w:rFonts w:hint="eastAsia"/>
                <w:color w:val="auto"/>
                <w:szCs w:val="21"/>
                <w:lang w:eastAsia="zh-CN"/>
              </w:rPr>
              <w:t>颗粒物</w:t>
            </w:r>
          </w:p>
        </w:tc>
        <w:tc>
          <w:tcPr>
            <w:tcW w:w="1027" w:type="dxa"/>
            <w:noWrap w:val="0"/>
            <w:vAlign w:val="center"/>
          </w:tcPr>
          <w:p>
            <w:pPr>
              <w:keepNext w:val="0"/>
              <w:keepLines w:val="0"/>
              <w:pageBreakBefore w:val="0"/>
              <w:widowControl w:val="0"/>
              <w:kinsoku/>
              <w:wordWrap/>
              <w:overflowPunct/>
              <w:topLinePunct w:val="0"/>
              <w:bidi w:val="0"/>
              <w:spacing w:line="240" w:lineRule="auto"/>
              <w:jc w:val="center"/>
              <w:rPr>
                <w:rFonts w:hint="eastAsia"/>
                <w:color w:val="auto"/>
                <w:szCs w:val="21"/>
                <w:lang w:val="en-US" w:eastAsia="zh-CN"/>
              </w:rPr>
            </w:pPr>
            <w:r>
              <w:rPr>
                <w:rFonts w:hint="eastAsia"/>
                <w:color w:val="auto"/>
                <w:szCs w:val="21"/>
                <w:lang w:val="en-US" w:eastAsia="zh-CN"/>
              </w:rPr>
              <w:t>无组织</w:t>
            </w:r>
          </w:p>
        </w:tc>
        <w:tc>
          <w:tcPr>
            <w:tcW w:w="1418" w:type="dxa"/>
            <w:noWrap w:val="0"/>
            <w:vAlign w:val="center"/>
          </w:tcPr>
          <w:p>
            <w:pPr>
              <w:pStyle w:val="65"/>
              <w:keepNext w:val="0"/>
              <w:keepLines w:val="0"/>
              <w:pageBreakBefore w:val="0"/>
              <w:widowControl w:val="0"/>
              <w:kinsoku/>
              <w:wordWrap/>
              <w:overflowPunct/>
              <w:topLinePunct w:val="0"/>
              <w:bidi w:val="0"/>
              <w:spacing w:beforeLines="0" w:afterLines="0" w:line="240" w:lineRule="auto"/>
              <w:ind w:firstLine="0" w:firstLineChars="0"/>
              <w:rPr>
                <w:rFonts w:ascii="Times New Roman"/>
                <w:snapToGrid w:val="0"/>
                <w:color w:val="auto"/>
                <w:kern w:val="21"/>
                <w:szCs w:val="21"/>
                <w:lang w:val="en-US" w:eastAsia="zh-CN"/>
              </w:rPr>
            </w:pPr>
            <w:r>
              <w:rPr>
                <w:rFonts w:ascii="Times New Roman"/>
                <w:snapToGrid w:val="0"/>
                <w:color w:val="auto"/>
                <w:kern w:val="21"/>
                <w:szCs w:val="21"/>
                <w:lang w:val="en-US" w:eastAsia="zh-CN"/>
              </w:rPr>
              <w:t>0</w:t>
            </w:r>
          </w:p>
        </w:tc>
        <w:tc>
          <w:tcPr>
            <w:tcW w:w="1141" w:type="dxa"/>
            <w:noWrap w:val="0"/>
            <w:vAlign w:val="center"/>
          </w:tcPr>
          <w:p>
            <w:pPr>
              <w:pStyle w:val="65"/>
              <w:keepNext w:val="0"/>
              <w:keepLines w:val="0"/>
              <w:pageBreakBefore w:val="0"/>
              <w:widowControl w:val="0"/>
              <w:kinsoku/>
              <w:wordWrap/>
              <w:overflowPunct/>
              <w:topLinePunct w:val="0"/>
              <w:bidi w:val="0"/>
              <w:spacing w:beforeLines="0" w:afterLines="0" w:line="240" w:lineRule="auto"/>
              <w:ind w:firstLine="0" w:firstLineChars="0"/>
              <w:rPr>
                <w:rFonts w:ascii="Times New Roman"/>
                <w:snapToGrid w:val="0"/>
                <w:color w:val="auto"/>
                <w:kern w:val="21"/>
                <w:szCs w:val="21"/>
                <w:lang w:val="en-US" w:eastAsia="zh-CN"/>
              </w:rPr>
            </w:pPr>
            <w:r>
              <w:rPr>
                <w:rFonts w:ascii="Times New Roman"/>
                <w:snapToGrid w:val="0"/>
                <w:color w:val="auto"/>
                <w:kern w:val="21"/>
                <w:szCs w:val="21"/>
                <w:lang w:val="en-US" w:eastAsia="zh-CN"/>
              </w:rPr>
              <w:t>0</w:t>
            </w:r>
          </w:p>
        </w:tc>
        <w:tc>
          <w:tcPr>
            <w:tcW w:w="1519" w:type="dxa"/>
            <w:noWrap w:val="0"/>
            <w:vAlign w:val="center"/>
          </w:tcPr>
          <w:p>
            <w:pPr>
              <w:pStyle w:val="65"/>
              <w:keepNext w:val="0"/>
              <w:keepLines w:val="0"/>
              <w:pageBreakBefore w:val="0"/>
              <w:widowControl w:val="0"/>
              <w:kinsoku/>
              <w:wordWrap/>
              <w:overflowPunct/>
              <w:topLinePunct w:val="0"/>
              <w:bidi w:val="0"/>
              <w:spacing w:beforeLines="0" w:afterLines="0" w:line="240" w:lineRule="auto"/>
              <w:ind w:firstLine="0" w:firstLineChars="0"/>
              <w:rPr>
                <w:rFonts w:ascii="Times New Roman"/>
                <w:snapToGrid w:val="0"/>
                <w:color w:val="auto"/>
                <w:kern w:val="21"/>
                <w:szCs w:val="21"/>
                <w:lang w:val="en-US" w:eastAsia="zh-CN"/>
              </w:rPr>
            </w:pPr>
            <w:r>
              <w:rPr>
                <w:rFonts w:ascii="Times New Roman"/>
                <w:snapToGrid w:val="0"/>
                <w:color w:val="auto"/>
                <w:kern w:val="21"/>
                <w:szCs w:val="21"/>
                <w:lang w:val="en-US" w:eastAsia="zh-CN"/>
              </w:rPr>
              <w:t>0</w:t>
            </w:r>
          </w:p>
        </w:tc>
        <w:tc>
          <w:tcPr>
            <w:tcW w:w="1500"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hint="eastAsia" w:ascii="Times New Roman" w:hAnsi="Times New Roman" w:eastAsia="宋体" w:cs="Times New Roman"/>
                <w:snapToGrid w:val="0"/>
                <w:color w:val="auto"/>
                <w:kern w:val="21"/>
                <w:szCs w:val="21"/>
                <w:lang w:val="en-US" w:eastAsia="zh-CN"/>
              </w:rPr>
            </w:pPr>
            <w:r>
              <w:rPr>
                <w:rFonts w:hint="eastAsia" w:ascii="Times New Roman" w:cs="Times New Roman"/>
                <w:lang w:val="en-US" w:eastAsia="zh-CN"/>
              </w:rPr>
              <w:t>0.16</w:t>
            </w:r>
            <w:r>
              <w:rPr>
                <w:rFonts w:ascii="Times New Roman" w:hAnsi="Times New Roman" w:eastAsia="宋体" w:cs="Times New Roman"/>
                <w:snapToGrid w:val="0"/>
                <w:color w:val="auto"/>
                <w:kern w:val="21"/>
                <w:szCs w:val="21"/>
                <w:lang w:val="en-US" w:eastAsia="zh-CN"/>
              </w:rPr>
              <w:t>t/a</w:t>
            </w:r>
          </w:p>
        </w:tc>
        <w:tc>
          <w:tcPr>
            <w:tcW w:w="1334" w:type="dxa"/>
            <w:noWrap w:val="0"/>
            <w:vAlign w:val="center"/>
          </w:tcPr>
          <w:p>
            <w:pPr>
              <w:pStyle w:val="65"/>
              <w:keepNext w:val="0"/>
              <w:keepLines w:val="0"/>
              <w:pageBreakBefore w:val="0"/>
              <w:widowControl w:val="0"/>
              <w:kinsoku/>
              <w:wordWrap/>
              <w:overflowPunct/>
              <w:topLinePunct w:val="0"/>
              <w:bidi w:val="0"/>
              <w:spacing w:beforeLines="0" w:afterLines="0" w:line="240" w:lineRule="auto"/>
              <w:ind w:firstLine="0" w:firstLineChars="0"/>
              <w:rPr>
                <w:rFonts w:ascii="Times New Roman" w:hAnsi="Times New Roman" w:eastAsia="宋体" w:cs="Times New Roman"/>
                <w:snapToGrid w:val="0"/>
                <w:color w:val="auto"/>
                <w:kern w:val="21"/>
                <w:szCs w:val="21"/>
                <w:lang w:val="en-US" w:eastAsia="zh-CN"/>
              </w:rPr>
            </w:pPr>
            <w:r>
              <w:rPr>
                <w:rFonts w:ascii="Times New Roman"/>
                <w:snapToGrid w:val="0"/>
                <w:color w:val="auto"/>
                <w:kern w:val="21"/>
                <w:szCs w:val="21"/>
                <w:lang w:val="en-US" w:eastAsia="zh-CN"/>
              </w:rPr>
              <w:t>0</w:t>
            </w:r>
          </w:p>
        </w:tc>
        <w:tc>
          <w:tcPr>
            <w:tcW w:w="1866" w:type="dxa"/>
            <w:noWrap w:val="0"/>
            <w:vAlign w:val="center"/>
          </w:tcPr>
          <w:p>
            <w:pPr>
              <w:pStyle w:val="65"/>
              <w:keepNext w:val="0"/>
              <w:keepLines w:val="0"/>
              <w:pageBreakBefore w:val="0"/>
              <w:widowControl w:val="0"/>
              <w:kinsoku/>
              <w:wordWrap/>
              <w:overflowPunct/>
              <w:topLinePunct w:val="0"/>
              <w:bidi w:val="0"/>
              <w:spacing w:beforeLines="0" w:afterLines="0" w:line="240" w:lineRule="auto"/>
              <w:ind w:firstLine="0" w:firstLineChars="0"/>
              <w:rPr>
                <w:rFonts w:hint="eastAsia" w:ascii="Times New Roman" w:hAnsi="Times New Roman" w:eastAsia="宋体" w:cs="Times New Roman"/>
                <w:snapToGrid w:val="0"/>
                <w:color w:val="auto"/>
                <w:kern w:val="21"/>
                <w:szCs w:val="21"/>
                <w:lang w:val="en-US" w:eastAsia="zh-CN"/>
              </w:rPr>
            </w:pPr>
            <w:r>
              <w:rPr>
                <w:rFonts w:hint="eastAsia" w:ascii="Times New Roman" w:cs="Times New Roman"/>
                <w:lang w:val="en-US" w:eastAsia="zh-CN"/>
              </w:rPr>
              <w:t>0.16</w:t>
            </w:r>
            <w:r>
              <w:rPr>
                <w:rFonts w:ascii="Times New Roman" w:hAnsi="Times New Roman" w:eastAsia="宋体" w:cs="Times New Roman"/>
                <w:snapToGrid w:val="0"/>
                <w:color w:val="auto"/>
                <w:kern w:val="21"/>
                <w:szCs w:val="21"/>
                <w:lang w:val="en-US" w:eastAsia="zh-CN"/>
              </w:rPr>
              <w:t>t/a</w:t>
            </w:r>
          </w:p>
        </w:tc>
        <w:tc>
          <w:tcPr>
            <w:tcW w:w="1450" w:type="dxa"/>
            <w:noWrap w:val="0"/>
            <w:vAlign w:val="center"/>
          </w:tcPr>
          <w:p>
            <w:pPr>
              <w:pStyle w:val="65"/>
              <w:keepNext w:val="0"/>
              <w:keepLines w:val="0"/>
              <w:pageBreakBefore w:val="0"/>
              <w:widowControl w:val="0"/>
              <w:kinsoku/>
              <w:wordWrap/>
              <w:overflowPunct/>
              <w:topLinePunct w:val="0"/>
              <w:bidi w:val="0"/>
              <w:spacing w:beforeLines="0" w:afterLines="0" w:line="240" w:lineRule="auto"/>
              <w:ind w:firstLine="0" w:firstLineChars="0"/>
              <w:rPr>
                <w:rFonts w:hint="eastAsia" w:ascii="Times New Roman" w:hAnsi="Times New Roman" w:eastAsia="宋体" w:cs="Times New Roman"/>
                <w:snapToGrid w:val="0"/>
                <w:color w:val="auto"/>
                <w:kern w:val="21"/>
                <w:szCs w:val="21"/>
                <w:lang w:val="en-US" w:eastAsia="zh-CN"/>
              </w:rPr>
            </w:pPr>
            <w:r>
              <w:rPr>
                <w:rFonts w:hint="eastAsia" w:ascii="Times New Roman" w:cs="Times New Roman"/>
                <w:snapToGrid w:val="0"/>
                <w:color w:val="auto"/>
                <w:kern w:val="21"/>
                <w:szCs w:val="21"/>
                <w:lang w:val="en-US" w:eastAsia="zh-CN"/>
              </w:rPr>
              <w:t>+</w:t>
            </w:r>
            <w:r>
              <w:rPr>
                <w:rFonts w:hint="eastAsia" w:ascii="Times New Roman" w:cs="Times New Roman"/>
                <w:lang w:val="en-US" w:eastAsia="zh-CN"/>
              </w:rPr>
              <w:t>0.16</w:t>
            </w:r>
            <w:r>
              <w:rPr>
                <w:rFonts w:ascii="Times New Roman" w:hAnsi="Times New Roman" w:eastAsia="宋体" w:cs="Times New Roman"/>
                <w:snapToGrid w:val="0"/>
                <w:color w:val="auto"/>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61" w:type="dxa"/>
            <w:vMerge w:val="restart"/>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0070C0"/>
                <w:kern w:val="21"/>
                <w:szCs w:val="21"/>
                <w:lang w:val="en-US" w:eastAsia="zh-CN"/>
              </w:rPr>
            </w:pPr>
            <w:r>
              <w:rPr>
                <w:rFonts w:ascii="Times New Roman"/>
                <w:snapToGrid w:val="0"/>
                <w:color w:val="auto"/>
                <w:kern w:val="21"/>
                <w:szCs w:val="21"/>
                <w:lang w:val="en-US" w:eastAsia="zh-CN"/>
              </w:rPr>
              <w:t>废水</w:t>
            </w:r>
          </w:p>
        </w:tc>
        <w:tc>
          <w:tcPr>
            <w:tcW w:w="1760" w:type="dxa"/>
            <w:gridSpan w:val="2"/>
            <w:noWrap w:val="0"/>
            <w:vAlign w:val="center"/>
          </w:tcPr>
          <w:p>
            <w:pPr>
              <w:keepNext w:val="0"/>
              <w:keepLines w:val="0"/>
              <w:pageBreakBefore w:val="0"/>
              <w:widowControl w:val="0"/>
              <w:kinsoku/>
              <w:wordWrap/>
              <w:overflowPunct/>
              <w:topLinePunct w:val="0"/>
              <w:bidi w:val="0"/>
              <w:spacing w:line="240" w:lineRule="auto"/>
              <w:jc w:val="center"/>
              <w:rPr>
                <w:rFonts w:ascii="Times New Roman"/>
                <w:snapToGrid w:val="0"/>
                <w:color w:val="0070C0"/>
                <w:kern w:val="21"/>
                <w:szCs w:val="21"/>
                <w:lang w:val="en-US" w:eastAsia="zh-CN"/>
              </w:rPr>
            </w:pPr>
            <w:r>
              <w:rPr>
                <w:rFonts w:hint="eastAsia" w:ascii="Times New Roman" w:hAnsi="Times New Roman" w:eastAsia="宋体" w:cs="Times New Roman"/>
                <w:color w:val="auto"/>
                <w:lang w:val="en-US" w:eastAsia="zh-CN"/>
              </w:rPr>
              <w:t>COD</w:t>
            </w:r>
          </w:p>
        </w:tc>
        <w:tc>
          <w:tcPr>
            <w:tcW w:w="1418"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kern w:val="21"/>
                <w:szCs w:val="21"/>
                <w:lang w:val="en-US" w:eastAsia="zh-CN"/>
              </w:rPr>
            </w:pPr>
            <w:r>
              <w:rPr>
                <w:rFonts w:ascii="Times New Roman"/>
                <w:snapToGrid w:val="0"/>
                <w:color w:val="auto"/>
                <w:kern w:val="21"/>
                <w:szCs w:val="21"/>
                <w:lang w:val="en-US" w:eastAsia="zh-CN"/>
              </w:rPr>
              <w:t>0</w:t>
            </w:r>
          </w:p>
        </w:tc>
        <w:tc>
          <w:tcPr>
            <w:tcW w:w="1141"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kern w:val="21"/>
                <w:szCs w:val="21"/>
                <w:lang w:val="en-US" w:eastAsia="zh-CN"/>
              </w:rPr>
            </w:pPr>
            <w:r>
              <w:rPr>
                <w:rFonts w:ascii="Times New Roman"/>
                <w:snapToGrid w:val="0"/>
                <w:color w:val="auto"/>
                <w:kern w:val="21"/>
                <w:szCs w:val="21"/>
                <w:lang w:val="en-US" w:eastAsia="zh-CN"/>
              </w:rPr>
              <w:t>0</w:t>
            </w:r>
          </w:p>
        </w:tc>
        <w:tc>
          <w:tcPr>
            <w:tcW w:w="1519"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kern w:val="21"/>
                <w:szCs w:val="21"/>
                <w:lang w:val="en-US" w:eastAsia="zh-CN"/>
              </w:rPr>
            </w:pPr>
            <w:r>
              <w:rPr>
                <w:rFonts w:ascii="Times New Roman"/>
                <w:snapToGrid w:val="0"/>
                <w:color w:val="auto"/>
                <w:kern w:val="21"/>
                <w:szCs w:val="21"/>
                <w:lang w:val="en-US" w:eastAsia="zh-CN"/>
              </w:rPr>
              <w:t>0</w:t>
            </w:r>
          </w:p>
        </w:tc>
        <w:tc>
          <w:tcPr>
            <w:tcW w:w="1500" w:type="dxa"/>
            <w:noWrap w:val="0"/>
            <w:vAlign w:val="center"/>
          </w:tcPr>
          <w:p>
            <w:pPr>
              <w:jc w:val="center"/>
              <w:rPr>
                <w:rFonts w:hint="eastAsia" w:ascii="Times New Roman" w:hAnsi="Times New Roman" w:eastAsia="宋体" w:cs="Times New Roman"/>
                <w:snapToGrid w:val="0"/>
                <w:color w:val="auto"/>
                <w:kern w:val="21"/>
                <w:szCs w:val="21"/>
                <w:lang w:val="en-US" w:eastAsia="zh-CN"/>
              </w:rPr>
            </w:pPr>
            <w:r>
              <w:rPr>
                <w:rFonts w:hint="eastAsia" w:cs="Times New Roman"/>
                <w:color w:val="auto"/>
                <w:lang w:val="en-US" w:eastAsia="zh-CN"/>
              </w:rPr>
              <w:t>0.024</w:t>
            </w:r>
            <w:r>
              <w:rPr>
                <w:rFonts w:ascii="Times New Roman" w:hAnsi="Times New Roman" w:eastAsia="宋体" w:cs="Times New Roman"/>
                <w:snapToGrid w:val="0"/>
                <w:color w:val="auto"/>
                <w:kern w:val="21"/>
                <w:szCs w:val="21"/>
                <w:lang w:val="en-US" w:eastAsia="zh-CN"/>
              </w:rPr>
              <w:t>t/a</w:t>
            </w:r>
          </w:p>
        </w:tc>
        <w:tc>
          <w:tcPr>
            <w:tcW w:w="1334"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hAnsi="Times New Roman" w:eastAsia="宋体" w:cs="Times New Roman"/>
                <w:snapToGrid w:val="0"/>
                <w:color w:val="auto"/>
                <w:kern w:val="21"/>
                <w:szCs w:val="21"/>
                <w:lang w:val="en-US" w:eastAsia="zh-CN"/>
              </w:rPr>
            </w:pPr>
            <w:r>
              <w:rPr>
                <w:rFonts w:ascii="Times New Roman" w:hAnsi="Times New Roman" w:eastAsia="宋体" w:cs="Times New Roman"/>
                <w:snapToGrid w:val="0"/>
                <w:color w:val="auto"/>
                <w:kern w:val="21"/>
                <w:szCs w:val="21"/>
                <w:lang w:val="en-US" w:eastAsia="zh-CN"/>
              </w:rPr>
              <w:t>0</w:t>
            </w:r>
          </w:p>
        </w:tc>
        <w:tc>
          <w:tcPr>
            <w:tcW w:w="1866" w:type="dxa"/>
            <w:noWrap w:val="0"/>
            <w:vAlign w:val="center"/>
          </w:tcPr>
          <w:p>
            <w:pPr>
              <w:jc w:val="center"/>
              <w:rPr>
                <w:rFonts w:ascii="Times New Roman" w:hAnsi="Times New Roman" w:eastAsia="宋体" w:cs="Times New Roman"/>
                <w:snapToGrid w:val="0"/>
                <w:color w:val="auto"/>
                <w:kern w:val="21"/>
                <w:szCs w:val="21"/>
                <w:lang w:val="en-US" w:eastAsia="zh-CN"/>
              </w:rPr>
            </w:pPr>
            <w:r>
              <w:rPr>
                <w:rFonts w:hint="eastAsia" w:cs="Times New Roman"/>
                <w:color w:val="auto"/>
                <w:lang w:val="en-US" w:eastAsia="zh-CN"/>
              </w:rPr>
              <w:t>0.024</w:t>
            </w:r>
            <w:r>
              <w:rPr>
                <w:rFonts w:ascii="Times New Roman" w:hAnsi="Times New Roman" w:eastAsia="宋体" w:cs="Times New Roman"/>
                <w:snapToGrid w:val="0"/>
                <w:color w:val="auto"/>
                <w:kern w:val="21"/>
                <w:szCs w:val="21"/>
                <w:lang w:val="en-US" w:eastAsia="zh-CN"/>
              </w:rPr>
              <w:t>t/a</w:t>
            </w:r>
          </w:p>
        </w:tc>
        <w:tc>
          <w:tcPr>
            <w:tcW w:w="1450" w:type="dxa"/>
            <w:noWrap w:val="0"/>
            <w:vAlign w:val="center"/>
          </w:tcPr>
          <w:p>
            <w:pPr>
              <w:jc w:val="center"/>
              <w:rPr>
                <w:rFonts w:ascii="Times New Roman" w:hAnsi="Times New Roman" w:eastAsia="宋体" w:cs="Times New Roman"/>
                <w:snapToGrid w:val="0"/>
                <w:color w:val="auto"/>
                <w:kern w:val="21"/>
                <w:szCs w:val="21"/>
                <w:lang w:val="en-US" w:eastAsia="zh-CN"/>
              </w:rPr>
            </w:pPr>
            <w:r>
              <w:rPr>
                <w:rFonts w:hint="eastAsia" w:ascii="Times New Roman" w:cs="Times New Roman"/>
                <w:snapToGrid w:val="0"/>
                <w:color w:val="auto"/>
                <w:kern w:val="21"/>
                <w:szCs w:val="21"/>
                <w:lang w:val="en-US" w:eastAsia="zh-CN"/>
              </w:rPr>
              <w:t>+</w:t>
            </w:r>
            <w:r>
              <w:rPr>
                <w:rFonts w:hint="eastAsia" w:cs="Times New Roman"/>
                <w:color w:val="auto"/>
                <w:lang w:val="en-US" w:eastAsia="zh-CN"/>
              </w:rPr>
              <w:t>0.024</w:t>
            </w:r>
            <w:r>
              <w:rPr>
                <w:rFonts w:ascii="Times New Roman" w:hAnsi="Times New Roman" w:eastAsia="宋体" w:cs="Times New Roman"/>
                <w:snapToGrid w:val="0"/>
                <w:color w:val="auto"/>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61" w:type="dxa"/>
            <w:vMerge w:val="continue"/>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0070C0"/>
                <w:kern w:val="21"/>
                <w:szCs w:val="21"/>
                <w:lang w:val="en-US" w:eastAsia="zh-CN"/>
              </w:rPr>
            </w:pPr>
          </w:p>
        </w:tc>
        <w:tc>
          <w:tcPr>
            <w:tcW w:w="1760" w:type="dxa"/>
            <w:gridSpan w:val="2"/>
            <w:noWrap w:val="0"/>
            <w:vAlign w:val="center"/>
          </w:tcPr>
          <w:p>
            <w:pPr>
              <w:keepNext w:val="0"/>
              <w:keepLines w:val="0"/>
              <w:pageBreakBefore w:val="0"/>
              <w:widowControl w:val="0"/>
              <w:kinsoku/>
              <w:wordWrap/>
              <w:overflowPunct/>
              <w:topLinePunct w:val="0"/>
              <w:bidi w:val="0"/>
              <w:spacing w:line="240" w:lineRule="auto"/>
              <w:jc w:val="center"/>
              <w:rPr>
                <w:rFonts w:ascii="Times New Roman"/>
                <w:snapToGrid w:val="0"/>
                <w:color w:val="0070C0"/>
                <w:kern w:val="21"/>
                <w:szCs w:val="21"/>
                <w:lang w:val="en-US" w:eastAsia="zh-CN"/>
              </w:rPr>
            </w:pPr>
            <w:r>
              <w:rPr>
                <w:rFonts w:hint="eastAsia" w:ascii="Times New Roman" w:hAnsi="Times New Roman" w:eastAsia="宋体" w:cs="Times New Roman"/>
                <w:color w:val="auto"/>
                <w:lang w:val="en-US" w:eastAsia="zh-CN"/>
              </w:rPr>
              <w:t>BOD</w:t>
            </w:r>
            <w:r>
              <w:rPr>
                <w:rFonts w:hint="eastAsia" w:ascii="Times New Roman" w:hAnsi="Times New Roman" w:eastAsia="宋体" w:cs="Times New Roman"/>
                <w:color w:val="auto"/>
                <w:vertAlign w:val="subscript"/>
                <w:lang w:val="en-US" w:eastAsia="zh-CN"/>
              </w:rPr>
              <w:t>5</w:t>
            </w:r>
          </w:p>
        </w:tc>
        <w:tc>
          <w:tcPr>
            <w:tcW w:w="1418"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kern w:val="21"/>
                <w:szCs w:val="21"/>
                <w:lang w:val="en-US" w:eastAsia="zh-CN"/>
              </w:rPr>
            </w:pPr>
            <w:r>
              <w:rPr>
                <w:rFonts w:ascii="Times New Roman"/>
                <w:snapToGrid w:val="0"/>
                <w:color w:val="auto"/>
                <w:kern w:val="21"/>
                <w:szCs w:val="21"/>
                <w:lang w:val="en-US" w:eastAsia="zh-CN"/>
              </w:rPr>
              <w:t>0</w:t>
            </w:r>
          </w:p>
        </w:tc>
        <w:tc>
          <w:tcPr>
            <w:tcW w:w="1141"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kern w:val="21"/>
                <w:szCs w:val="21"/>
                <w:lang w:val="en-US" w:eastAsia="zh-CN"/>
              </w:rPr>
            </w:pPr>
            <w:r>
              <w:rPr>
                <w:rFonts w:ascii="Times New Roman"/>
                <w:snapToGrid w:val="0"/>
                <w:color w:val="auto"/>
                <w:kern w:val="21"/>
                <w:szCs w:val="21"/>
                <w:lang w:val="en-US" w:eastAsia="zh-CN"/>
              </w:rPr>
              <w:t>0</w:t>
            </w:r>
          </w:p>
        </w:tc>
        <w:tc>
          <w:tcPr>
            <w:tcW w:w="1519"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kern w:val="21"/>
                <w:szCs w:val="21"/>
                <w:lang w:val="en-US" w:eastAsia="zh-CN"/>
              </w:rPr>
            </w:pPr>
            <w:r>
              <w:rPr>
                <w:rFonts w:ascii="Times New Roman"/>
                <w:snapToGrid w:val="0"/>
                <w:color w:val="auto"/>
                <w:kern w:val="21"/>
                <w:szCs w:val="21"/>
                <w:lang w:val="en-US" w:eastAsia="zh-CN"/>
              </w:rPr>
              <w:t>0</w:t>
            </w:r>
          </w:p>
        </w:tc>
        <w:tc>
          <w:tcPr>
            <w:tcW w:w="1500" w:type="dxa"/>
            <w:noWrap w:val="0"/>
            <w:vAlign w:val="center"/>
          </w:tcPr>
          <w:p>
            <w:pPr>
              <w:jc w:val="center"/>
              <w:rPr>
                <w:rFonts w:hint="eastAsia" w:ascii="Times New Roman" w:hAnsi="Times New Roman" w:eastAsia="宋体" w:cs="Times New Roman"/>
                <w:snapToGrid w:val="0"/>
                <w:color w:val="auto"/>
                <w:kern w:val="21"/>
                <w:szCs w:val="21"/>
                <w:lang w:val="en-US" w:eastAsia="zh-CN"/>
              </w:rPr>
            </w:pPr>
            <w:r>
              <w:rPr>
                <w:rFonts w:hint="eastAsia" w:cs="Times New Roman"/>
                <w:color w:val="auto"/>
                <w:lang w:val="en-US" w:eastAsia="zh-CN"/>
              </w:rPr>
              <w:t>0.0067</w:t>
            </w:r>
            <w:r>
              <w:rPr>
                <w:rFonts w:ascii="Times New Roman" w:hAnsi="Times New Roman" w:eastAsia="宋体" w:cs="Times New Roman"/>
                <w:snapToGrid w:val="0"/>
                <w:color w:val="auto"/>
                <w:kern w:val="21"/>
                <w:szCs w:val="21"/>
                <w:lang w:val="en-US" w:eastAsia="zh-CN"/>
              </w:rPr>
              <w:t>t/a</w:t>
            </w:r>
          </w:p>
        </w:tc>
        <w:tc>
          <w:tcPr>
            <w:tcW w:w="1334"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hAnsi="Times New Roman" w:eastAsia="宋体" w:cs="Times New Roman"/>
                <w:snapToGrid w:val="0"/>
                <w:color w:val="auto"/>
                <w:kern w:val="21"/>
                <w:szCs w:val="21"/>
                <w:lang w:val="en-US" w:eastAsia="zh-CN"/>
              </w:rPr>
            </w:pPr>
            <w:r>
              <w:rPr>
                <w:rFonts w:ascii="Times New Roman" w:hAnsi="Times New Roman" w:eastAsia="宋体" w:cs="Times New Roman"/>
                <w:snapToGrid w:val="0"/>
                <w:color w:val="auto"/>
                <w:kern w:val="21"/>
                <w:szCs w:val="21"/>
                <w:lang w:val="en-US" w:eastAsia="zh-CN"/>
              </w:rPr>
              <w:t>0</w:t>
            </w:r>
          </w:p>
        </w:tc>
        <w:tc>
          <w:tcPr>
            <w:tcW w:w="1866" w:type="dxa"/>
            <w:noWrap w:val="0"/>
            <w:vAlign w:val="center"/>
          </w:tcPr>
          <w:p>
            <w:pPr>
              <w:jc w:val="center"/>
              <w:rPr>
                <w:rFonts w:ascii="Times New Roman" w:hAnsi="Times New Roman" w:eastAsia="宋体" w:cs="Times New Roman"/>
                <w:snapToGrid w:val="0"/>
                <w:color w:val="auto"/>
                <w:kern w:val="21"/>
                <w:szCs w:val="21"/>
                <w:lang w:val="en-US" w:eastAsia="zh-CN"/>
              </w:rPr>
            </w:pPr>
            <w:r>
              <w:rPr>
                <w:rFonts w:hint="eastAsia" w:cs="Times New Roman"/>
                <w:color w:val="auto"/>
                <w:lang w:val="en-US" w:eastAsia="zh-CN"/>
              </w:rPr>
              <w:t>0.0067</w:t>
            </w:r>
            <w:r>
              <w:rPr>
                <w:rFonts w:ascii="Times New Roman" w:hAnsi="Times New Roman" w:eastAsia="宋体" w:cs="Times New Roman"/>
                <w:snapToGrid w:val="0"/>
                <w:color w:val="auto"/>
                <w:kern w:val="21"/>
                <w:szCs w:val="21"/>
                <w:lang w:val="en-US" w:eastAsia="zh-CN"/>
              </w:rPr>
              <w:t>t/a</w:t>
            </w:r>
          </w:p>
        </w:tc>
        <w:tc>
          <w:tcPr>
            <w:tcW w:w="1450" w:type="dxa"/>
            <w:noWrap w:val="0"/>
            <w:vAlign w:val="center"/>
          </w:tcPr>
          <w:p>
            <w:pPr>
              <w:jc w:val="center"/>
              <w:rPr>
                <w:rFonts w:ascii="Times New Roman" w:hAnsi="Times New Roman" w:eastAsia="宋体" w:cs="Times New Roman"/>
                <w:snapToGrid w:val="0"/>
                <w:color w:val="auto"/>
                <w:kern w:val="21"/>
                <w:szCs w:val="21"/>
                <w:lang w:val="en-US" w:eastAsia="zh-CN"/>
              </w:rPr>
            </w:pPr>
            <w:r>
              <w:rPr>
                <w:rFonts w:hint="eastAsia" w:ascii="Times New Roman" w:cs="Times New Roman"/>
                <w:snapToGrid w:val="0"/>
                <w:color w:val="auto"/>
                <w:kern w:val="21"/>
                <w:szCs w:val="21"/>
                <w:lang w:val="en-US" w:eastAsia="zh-CN"/>
              </w:rPr>
              <w:t>+</w:t>
            </w:r>
            <w:r>
              <w:rPr>
                <w:rFonts w:hint="eastAsia" w:cs="Times New Roman"/>
                <w:color w:val="auto"/>
                <w:lang w:val="en-US" w:eastAsia="zh-CN"/>
              </w:rPr>
              <w:t>0.0067</w:t>
            </w:r>
            <w:r>
              <w:rPr>
                <w:rFonts w:ascii="Times New Roman" w:hAnsi="Times New Roman" w:eastAsia="宋体" w:cs="Times New Roman"/>
                <w:snapToGrid w:val="0"/>
                <w:color w:val="auto"/>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61" w:type="dxa"/>
            <w:vMerge w:val="continue"/>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0070C0"/>
                <w:kern w:val="21"/>
                <w:szCs w:val="21"/>
                <w:lang w:val="en-US" w:eastAsia="zh-CN"/>
              </w:rPr>
            </w:pPr>
          </w:p>
        </w:tc>
        <w:tc>
          <w:tcPr>
            <w:tcW w:w="1760" w:type="dxa"/>
            <w:gridSpan w:val="2"/>
            <w:noWrap w:val="0"/>
            <w:vAlign w:val="center"/>
          </w:tcPr>
          <w:p>
            <w:pPr>
              <w:keepNext w:val="0"/>
              <w:keepLines w:val="0"/>
              <w:pageBreakBefore w:val="0"/>
              <w:widowControl w:val="0"/>
              <w:kinsoku/>
              <w:wordWrap/>
              <w:overflowPunct/>
              <w:topLinePunct w:val="0"/>
              <w:bidi w:val="0"/>
              <w:spacing w:line="240" w:lineRule="auto"/>
              <w:jc w:val="center"/>
              <w:rPr>
                <w:rFonts w:ascii="Times New Roman"/>
                <w:snapToGrid w:val="0"/>
                <w:color w:val="0070C0"/>
                <w:kern w:val="21"/>
                <w:szCs w:val="21"/>
                <w:lang w:val="en-US" w:eastAsia="zh-CN"/>
              </w:rPr>
            </w:pPr>
            <w:r>
              <w:rPr>
                <w:rFonts w:hint="eastAsia" w:ascii="Times New Roman" w:hAnsi="Times New Roman" w:eastAsia="宋体" w:cs="Times New Roman"/>
                <w:color w:val="auto"/>
                <w:lang w:val="en-US" w:eastAsia="zh-CN"/>
              </w:rPr>
              <w:t>NH</w:t>
            </w:r>
            <w:r>
              <w:rPr>
                <w:rFonts w:hint="eastAsia" w:ascii="Times New Roman" w:hAnsi="Times New Roman" w:eastAsia="宋体" w:cs="Times New Roman"/>
                <w:color w:val="auto"/>
                <w:vertAlign w:val="subscript"/>
                <w:lang w:val="en-US" w:eastAsia="zh-CN"/>
              </w:rPr>
              <w:t>3</w:t>
            </w:r>
            <w:r>
              <w:rPr>
                <w:rFonts w:hint="eastAsia" w:ascii="Times New Roman" w:hAnsi="Times New Roman" w:eastAsia="宋体" w:cs="Times New Roman"/>
                <w:color w:val="auto"/>
                <w:lang w:val="en-US" w:eastAsia="zh-CN"/>
              </w:rPr>
              <w:t>-N</w:t>
            </w:r>
          </w:p>
        </w:tc>
        <w:tc>
          <w:tcPr>
            <w:tcW w:w="1418"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141"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519"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500" w:type="dxa"/>
            <w:noWrap w:val="0"/>
            <w:vAlign w:val="center"/>
          </w:tcPr>
          <w:p>
            <w:pPr>
              <w:jc w:val="center"/>
              <w:rPr>
                <w:rFonts w:hint="eastAsia" w:ascii="Times New Roman" w:hAnsi="Times New Roman" w:eastAsia="宋体" w:cs="Times New Roman"/>
                <w:snapToGrid w:val="0"/>
                <w:color w:val="auto"/>
                <w:kern w:val="21"/>
                <w:szCs w:val="21"/>
                <w:lang w:val="en-US" w:eastAsia="zh-CN"/>
              </w:rPr>
            </w:pPr>
            <w:r>
              <w:rPr>
                <w:rFonts w:hint="eastAsia" w:cs="Times New Roman"/>
                <w:color w:val="auto"/>
                <w:lang w:val="en-US" w:eastAsia="zh-CN"/>
              </w:rPr>
              <w:t>0.0024</w:t>
            </w:r>
            <w:r>
              <w:rPr>
                <w:rFonts w:ascii="Times New Roman" w:hAnsi="Times New Roman" w:eastAsia="宋体" w:cs="Times New Roman"/>
                <w:snapToGrid w:val="0"/>
                <w:color w:val="auto"/>
                <w:kern w:val="21"/>
                <w:szCs w:val="21"/>
                <w:lang w:val="en-US" w:eastAsia="zh-CN"/>
              </w:rPr>
              <w:t>t/a</w:t>
            </w:r>
          </w:p>
        </w:tc>
        <w:tc>
          <w:tcPr>
            <w:tcW w:w="1334"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hAnsi="Times New Roman" w:eastAsia="宋体" w:cs="Times New Roman"/>
                <w:snapToGrid w:val="0"/>
                <w:color w:val="auto"/>
                <w:kern w:val="21"/>
                <w:szCs w:val="21"/>
                <w:lang w:val="en-US" w:eastAsia="zh-CN"/>
              </w:rPr>
            </w:pPr>
            <w:r>
              <w:rPr>
                <w:rFonts w:ascii="Times New Roman" w:hAnsi="Times New Roman" w:eastAsia="宋体" w:cs="Times New Roman"/>
                <w:snapToGrid w:val="0"/>
                <w:color w:val="auto"/>
                <w:kern w:val="21"/>
                <w:szCs w:val="21"/>
                <w:lang w:val="en-US" w:eastAsia="zh-CN"/>
              </w:rPr>
              <w:t>0</w:t>
            </w:r>
          </w:p>
        </w:tc>
        <w:tc>
          <w:tcPr>
            <w:tcW w:w="1866" w:type="dxa"/>
            <w:noWrap w:val="0"/>
            <w:vAlign w:val="center"/>
          </w:tcPr>
          <w:p>
            <w:pPr>
              <w:jc w:val="center"/>
              <w:rPr>
                <w:rFonts w:ascii="Times New Roman" w:hAnsi="Times New Roman" w:eastAsia="宋体" w:cs="Times New Roman"/>
                <w:snapToGrid w:val="0"/>
                <w:color w:val="auto"/>
                <w:kern w:val="21"/>
                <w:szCs w:val="21"/>
                <w:lang w:val="en-US" w:eastAsia="zh-CN"/>
              </w:rPr>
            </w:pPr>
            <w:r>
              <w:rPr>
                <w:rFonts w:hint="eastAsia" w:cs="Times New Roman"/>
                <w:color w:val="auto"/>
                <w:lang w:val="en-US" w:eastAsia="zh-CN"/>
              </w:rPr>
              <w:t>0.0024</w:t>
            </w:r>
            <w:r>
              <w:rPr>
                <w:rFonts w:ascii="Times New Roman" w:hAnsi="Times New Roman" w:eastAsia="宋体" w:cs="Times New Roman"/>
                <w:snapToGrid w:val="0"/>
                <w:color w:val="auto"/>
                <w:kern w:val="21"/>
                <w:szCs w:val="21"/>
                <w:lang w:val="en-US" w:eastAsia="zh-CN"/>
              </w:rPr>
              <w:t>t/a</w:t>
            </w:r>
          </w:p>
        </w:tc>
        <w:tc>
          <w:tcPr>
            <w:tcW w:w="1450" w:type="dxa"/>
            <w:noWrap w:val="0"/>
            <w:vAlign w:val="center"/>
          </w:tcPr>
          <w:p>
            <w:pPr>
              <w:jc w:val="center"/>
              <w:rPr>
                <w:rFonts w:ascii="Times New Roman" w:hAnsi="Times New Roman" w:eastAsia="宋体" w:cs="Times New Roman"/>
                <w:snapToGrid w:val="0"/>
                <w:color w:val="auto"/>
                <w:kern w:val="21"/>
                <w:szCs w:val="21"/>
                <w:lang w:val="en-US" w:eastAsia="zh-CN"/>
              </w:rPr>
            </w:pPr>
            <w:r>
              <w:rPr>
                <w:rFonts w:hint="eastAsia" w:ascii="Times New Roman" w:cs="Times New Roman"/>
                <w:snapToGrid w:val="0"/>
                <w:color w:val="auto"/>
                <w:kern w:val="21"/>
                <w:szCs w:val="21"/>
                <w:lang w:val="en-US" w:eastAsia="zh-CN"/>
              </w:rPr>
              <w:t>+</w:t>
            </w:r>
            <w:r>
              <w:rPr>
                <w:rFonts w:hint="eastAsia" w:cs="Times New Roman"/>
                <w:color w:val="auto"/>
                <w:lang w:val="en-US" w:eastAsia="zh-CN"/>
              </w:rPr>
              <w:t>0.0024</w:t>
            </w:r>
            <w:r>
              <w:rPr>
                <w:rFonts w:ascii="Times New Roman" w:hAnsi="Times New Roman" w:eastAsia="宋体" w:cs="Times New Roman"/>
                <w:snapToGrid w:val="0"/>
                <w:color w:val="auto"/>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61" w:type="dxa"/>
            <w:vMerge w:val="continue"/>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0070C0"/>
                <w:kern w:val="21"/>
                <w:szCs w:val="21"/>
                <w:lang w:val="en-US" w:eastAsia="zh-CN"/>
              </w:rPr>
            </w:pPr>
          </w:p>
        </w:tc>
        <w:tc>
          <w:tcPr>
            <w:tcW w:w="1760" w:type="dxa"/>
            <w:gridSpan w:val="2"/>
            <w:noWrap w:val="0"/>
            <w:vAlign w:val="center"/>
          </w:tcPr>
          <w:p>
            <w:pPr>
              <w:keepNext w:val="0"/>
              <w:keepLines w:val="0"/>
              <w:pageBreakBefore w:val="0"/>
              <w:widowControl w:val="0"/>
              <w:kinsoku/>
              <w:wordWrap/>
              <w:overflowPunct/>
              <w:topLinePunct w:val="0"/>
              <w:bidi w:val="0"/>
              <w:spacing w:line="240" w:lineRule="auto"/>
              <w:jc w:val="center"/>
              <w:rPr>
                <w:rFonts w:ascii="Times New Roman"/>
                <w:snapToGrid w:val="0"/>
                <w:color w:val="0070C0"/>
                <w:kern w:val="21"/>
                <w:szCs w:val="21"/>
                <w:lang w:val="en-US" w:eastAsia="zh-CN"/>
              </w:rPr>
            </w:pPr>
            <w:r>
              <w:rPr>
                <w:rFonts w:hint="eastAsia" w:ascii="Times New Roman" w:hAnsi="Times New Roman" w:eastAsia="宋体" w:cs="Times New Roman"/>
                <w:color w:val="auto"/>
                <w:lang w:val="en-US" w:eastAsia="zh-CN"/>
              </w:rPr>
              <w:t>SS</w:t>
            </w:r>
          </w:p>
        </w:tc>
        <w:tc>
          <w:tcPr>
            <w:tcW w:w="1418"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141"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519"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500" w:type="dxa"/>
            <w:noWrap w:val="0"/>
            <w:vAlign w:val="center"/>
          </w:tcPr>
          <w:p>
            <w:pPr>
              <w:jc w:val="center"/>
              <w:rPr>
                <w:rFonts w:hint="eastAsia" w:ascii="Times New Roman" w:hAnsi="Times New Roman" w:eastAsia="宋体" w:cs="Times New Roman"/>
                <w:snapToGrid w:val="0"/>
                <w:color w:val="auto"/>
                <w:kern w:val="21"/>
                <w:szCs w:val="21"/>
                <w:lang w:val="en-US" w:eastAsia="zh-CN"/>
              </w:rPr>
            </w:pPr>
            <w:r>
              <w:rPr>
                <w:rFonts w:hint="eastAsia" w:cs="Times New Roman"/>
                <w:color w:val="auto"/>
                <w:lang w:val="en-US" w:eastAsia="zh-CN"/>
              </w:rPr>
              <w:t>0.0144</w:t>
            </w:r>
            <w:r>
              <w:rPr>
                <w:rFonts w:ascii="Times New Roman" w:hAnsi="Times New Roman" w:eastAsia="宋体" w:cs="Times New Roman"/>
                <w:snapToGrid w:val="0"/>
                <w:color w:val="auto"/>
                <w:kern w:val="21"/>
                <w:szCs w:val="21"/>
                <w:lang w:val="en-US" w:eastAsia="zh-CN"/>
              </w:rPr>
              <w:t>t/a</w:t>
            </w:r>
          </w:p>
        </w:tc>
        <w:tc>
          <w:tcPr>
            <w:tcW w:w="1334"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hAnsi="Times New Roman" w:eastAsia="宋体" w:cs="Times New Roman"/>
                <w:snapToGrid w:val="0"/>
                <w:color w:val="auto"/>
                <w:kern w:val="21"/>
                <w:szCs w:val="21"/>
                <w:lang w:val="en-US" w:eastAsia="zh-CN"/>
              </w:rPr>
            </w:pPr>
            <w:r>
              <w:rPr>
                <w:rFonts w:ascii="Times New Roman" w:hAnsi="Times New Roman" w:eastAsia="宋体" w:cs="Times New Roman"/>
                <w:snapToGrid w:val="0"/>
                <w:color w:val="auto"/>
                <w:kern w:val="21"/>
                <w:szCs w:val="21"/>
                <w:lang w:val="en-US" w:eastAsia="zh-CN"/>
              </w:rPr>
              <w:t>0</w:t>
            </w:r>
          </w:p>
        </w:tc>
        <w:tc>
          <w:tcPr>
            <w:tcW w:w="1866" w:type="dxa"/>
            <w:noWrap w:val="0"/>
            <w:vAlign w:val="center"/>
          </w:tcPr>
          <w:p>
            <w:pPr>
              <w:jc w:val="center"/>
              <w:rPr>
                <w:rFonts w:ascii="Times New Roman" w:hAnsi="Times New Roman" w:eastAsia="宋体" w:cs="Times New Roman"/>
                <w:snapToGrid w:val="0"/>
                <w:color w:val="auto"/>
                <w:kern w:val="21"/>
                <w:szCs w:val="21"/>
                <w:lang w:val="en-US" w:eastAsia="zh-CN"/>
              </w:rPr>
            </w:pPr>
            <w:r>
              <w:rPr>
                <w:rFonts w:hint="eastAsia" w:cs="Times New Roman"/>
                <w:color w:val="auto"/>
                <w:lang w:val="en-US" w:eastAsia="zh-CN"/>
              </w:rPr>
              <w:t>0.0144</w:t>
            </w:r>
            <w:r>
              <w:rPr>
                <w:rFonts w:ascii="Times New Roman" w:hAnsi="Times New Roman" w:eastAsia="宋体" w:cs="Times New Roman"/>
                <w:snapToGrid w:val="0"/>
                <w:color w:val="auto"/>
                <w:kern w:val="21"/>
                <w:szCs w:val="21"/>
                <w:lang w:val="en-US" w:eastAsia="zh-CN"/>
              </w:rPr>
              <w:t>t/a</w:t>
            </w:r>
          </w:p>
        </w:tc>
        <w:tc>
          <w:tcPr>
            <w:tcW w:w="1450" w:type="dxa"/>
            <w:noWrap w:val="0"/>
            <w:vAlign w:val="center"/>
          </w:tcPr>
          <w:p>
            <w:pPr>
              <w:jc w:val="center"/>
              <w:rPr>
                <w:rFonts w:ascii="Times New Roman" w:hAnsi="Times New Roman" w:eastAsia="宋体" w:cs="Times New Roman"/>
                <w:snapToGrid w:val="0"/>
                <w:color w:val="auto"/>
                <w:kern w:val="21"/>
                <w:szCs w:val="21"/>
                <w:lang w:val="en-US" w:eastAsia="zh-CN"/>
              </w:rPr>
            </w:pPr>
            <w:r>
              <w:rPr>
                <w:rFonts w:hint="eastAsia" w:ascii="Times New Roman" w:cs="Times New Roman"/>
                <w:snapToGrid w:val="0"/>
                <w:color w:val="auto"/>
                <w:kern w:val="21"/>
                <w:szCs w:val="21"/>
                <w:lang w:val="en-US" w:eastAsia="zh-CN"/>
              </w:rPr>
              <w:t>+</w:t>
            </w:r>
            <w:r>
              <w:rPr>
                <w:rFonts w:hint="eastAsia" w:cs="Times New Roman"/>
                <w:color w:val="auto"/>
                <w:lang w:val="en-US" w:eastAsia="zh-CN"/>
              </w:rPr>
              <w:t>0.0144</w:t>
            </w:r>
            <w:r>
              <w:rPr>
                <w:rFonts w:ascii="Times New Roman" w:hAnsi="Times New Roman" w:eastAsia="宋体" w:cs="Times New Roman"/>
                <w:snapToGrid w:val="0"/>
                <w:color w:val="auto"/>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61" w:type="dxa"/>
            <w:vMerge w:val="restart"/>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auto"/>
                <w:kern w:val="21"/>
                <w:szCs w:val="21"/>
                <w:lang w:val="en-US" w:eastAsia="zh-CN"/>
              </w:rPr>
            </w:pPr>
            <w:r>
              <w:rPr>
                <w:rFonts w:ascii="Times New Roman"/>
                <w:snapToGrid w:val="0"/>
                <w:color w:val="auto"/>
                <w:kern w:val="21"/>
                <w:szCs w:val="21"/>
                <w:lang w:val="en-US" w:eastAsia="zh-CN"/>
              </w:rPr>
              <w:t>一般工业</w:t>
            </w:r>
          </w:p>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0070C0"/>
                <w:kern w:val="21"/>
                <w:szCs w:val="21"/>
                <w:lang w:val="en-US" w:eastAsia="zh-CN"/>
              </w:rPr>
            </w:pPr>
            <w:r>
              <w:rPr>
                <w:rFonts w:ascii="Times New Roman"/>
                <w:snapToGrid w:val="0"/>
                <w:color w:val="auto"/>
                <w:kern w:val="21"/>
                <w:szCs w:val="21"/>
                <w:lang w:val="en-US" w:eastAsia="zh-CN"/>
              </w:rPr>
              <w:t>固体废物</w:t>
            </w:r>
          </w:p>
        </w:tc>
        <w:tc>
          <w:tcPr>
            <w:tcW w:w="1760" w:type="dxa"/>
            <w:gridSpan w:val="2"/>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hAnsi="Times New Roman" w:eastAsia="宋体" w:cs="Times New Roman"/>
                <w:snapToGrid w:val="0"/>
                <w:color w:val="auto"/>
                <w:kern w:val="21"/>
                <w:szCs w:val="21"/>
                <w:lang w:val="en-US" w:eastAsia="zh-CN"/>
              </w:rPr>
            </w:pPr>
            <w:r>
              <w:rPr>
                <w:rFonts w:ascii="Times New Roman" w:hAnsi="Times New Roman" w:eastAsia="宋体" w:cs="Times New Roman"/>
                <w:snapToGrid w:val="0"/>
                <w:color w:val="auto"/>
                <w:kern w:val="21"/>
                <w:szCs w:val="21"/>
                <w:lang w:val="en-US" w:eastAsia="zh-CN"/>
              </w:rPr>
              <w:t>生活垃圾</w:t>
            </w:r>
          </w:p>
        </w:tc>
        <w:tc>
          <w:tcPr>
            <w:tcW w:w="1418"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141"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519"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500"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hint="default" w:ascii="Times New Roman" w:hAnsi="Times New Roman" w:eastAsia="宋体" w:cs="Times New Roman"/>
                <w:snapToGrid w:val="0"/>
                <w:color w:val="auto"/>
                <w:kern w:val="21"/>
                <w:szCs w:val="21"/>
                <w:lang w:val="en-US" w:eastAsia="zh-CN"/>
              </w:rPr>
            </w:pPr>
            <w:r>
              <w:rPr>
                <w:rFonts w:hint="eastAsia" w:ascii="Times New Roman" w:cs="Times New Roman"/>
                <w:snapToGrid w:val="0"/>
                <w:color w:val="auto"/>
                <w:kern w:val="21"/>
                <w:szCs w:val="21"/>
                <w:lang w:val="en-US" w:eastAsia="zh-CN"/>
              </w:rPr>
              <w:t>1.2</w:t>
            </w:r>
            <w:r>
              <w:rPr>
                <w:rFonts w:ascii="Times New Roman" w:hAnsi="Times New Roman" w:eastAsia="宋体" w:cs="Times New Roman"/>
                <w:snapToGrid w:val="0"/>
                <w:color w:val="auto"/>
                <w:kern w:val="21"/>
                <w:szCs w:val="21"/>
                <w:lang w:val="en-US" w:eastAsia="zh-CN"/>
              </w:rPr>
              <w:t>t/a</w:t>
            </w:r>
          </w:p>
        </w:tc>
        <w:tc>
          <w:tcPr>
            <w:tcW w:w="1334"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866" w:type="dxa"/>
            <w:noWrap w:val="0"/>
            <w:vAlign w:val="center"/>
          </w:tcPr>
          <w:p>
            <w:pPr>
              <w:pStyle w:val="65"/>
              <w:keepNext w:val="0"/>
              <w:keepLines w:val="0"/>
              <w:pageBreakBefore w:val="0"/>
              <w:widowControl w:val="0"/>
              <w:kinsoku/>
              <w:wordWrap/>
              <w:overflowPunct/>
              <w:topLinePunct w:val="0"/>
              <w:bidi w:val="0"/>
              <w:spacing w:beforeLines="0" w:afterLines="0" w:line="240" w:lineRule="auto"/>
              <w:ind w:firstLine="0" w:firstLineChars="0"/>
              <w:rPr>
                <w:rFonts w:ascii="Times New Roman" w:hAnsi="Times New Roman"/>
                <w:color w:val="auto"/>
                <w:sz w:val="21"/>
                <w:szCs w:val="21"/>
              </w:rPr>
            </w:pPr>
            <w:r>
              <w:rPr>
                <w:rFonts w:hint="eastAsia" w:ascii="Times New Roman" w:cs="Times New Roman"/>
                <w:snapToGrid w:val="0"/>
                <w:color w:val="auto"/>
                <w:kern w:val="21"/>
                <w:szCs w:val="21"/>
                <w:lang w:val="en-US" w:eastAsia="zh-CN"/>
              </w:rPr>
              <w:t>1.2</w:t>
            </w:r>
            <w:r>
              <w:rPr>
                <w:rFonts w:ascii="Times New Roman" w:hAnsi="Times New Roman" w:eastAsia="宋体" w:cs="Times New Roman"/>
                <w:snapToGrid w:val="0"/>
                <w:color w:val="auto"/>
                <w:kern w:val="21"/>
                <w:szCs w:val="21"/>
                <w:lang w:val="en-US" w:eastAsia="zh-CN"/>
              </w:rPr>
              <w:t>t/a</w:t>
            </w:r>
          </w:p>
        </w:tc>
        <w:tc>
          <w:tcPr>
            <w:tcW w:w="1450" w:type="dxa"/>
            <w:noWrap w:val="0"/>
            <w:vAlign w:val="center"/>
          </w:tcPr>
          <w:p>
            <w:pPr>
              <w:pStyle w:val="65"/>
              <w:keepNext w:val="0"/>
              <w:keepLines w:val="0"/>
              <w:pageBreakBefore w:val="0"/>
              <w:widowControl w:val="0"/>
              <w:kinsoku/>
              <w:wordWrap/>
              <w:overflowPunct/>
              <w:topLinePunct w:val="0"/>
              <w:bidi w:val="0"/>
              <w:spacing w:beforeLines="0" w:afterLines="0" w:line="240" w:lineRule="auto"/>
              <w:ind w:firstLine="0" w:firstLineChars="0"/>
              <w:rPr>
                <w:rFonts w:ascii="Times New Roman" w:hAnsi="Times New Roman"/>
                <w:color w:val="auto"/>
                <w:sz w:val="21"/>
                <w:szCs w:val="21"/>
              </w:rPr>
            </w:pPr>
            <w:r>
              <w:rPr>
                <w:rFonts w:hint="eastAsia" w:ascii="Times New Roman" w:cs="Times New Roman"/>
                <w:snapToGrid w:val="0"/>
                <w:color w:val="auto"/>
                <w:kern w:val="21"/>
                <w:szCs w:val="21"/>
                <w:lang w:val="en-US" w:eastAsia="zh-CN"/>
              </w:rPr>
              <w:t>+1.2</w:t>
            </w:r>
            <w:r>
              <w:rPr>
                <w:rFonts w:ascii="Times New Roman" w:hAnsi="Times New Roman" w:eastAsia="宋体" w:cs="Times New Roman"/>
                <w:snapToGrid w:val="0"/>
                <w:color w:val="auto"/>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61" w:type="dxa"/>
            <w:vMerge w:val="continue"/>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0070C0"/>
                <w:kern w:val="21"/>
                <w:szCs w:val="21"/>
                <w:lang w:val="en-US" w:eastAsia="zh-CN"/>
              </w:rPr>
            </w:pPr>
          </w:p>
        </w:tc>
        <w:tc>
          <w:tcPr>
            <w:tcW w:w="1760" w:type="dxa"/>
            <w:gridSpan w:val="2"/>
            <w:noWrap w:val="0"/>
            <w:vAlign w:val="center"/>
          </w:tcPr>
          <w:p>
            <w:pPr>
              <w:keepNext w:val="0"/>
              <w:keepLines w:val="0"/>
              <w:pageBreakBefore w:val="0"/>
              <w:widowControl w:val="0"/>
              <w:kinsoku/>
              <w:wordWrap/>
              <w:overflowPunct/>
              <w:topLinePunct w:val="0"/>
              <w:bidi w:val="0"/>
              <w:spacing w:line="240" w:lineRule="auto"/>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废铁屑</w:t>
            </w:r>
          </w:p>
        </w:tc>
        <w:tc>
          <w:tcPr>
            <w:tcW w:w="1418"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141"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519"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500" w:type="dxa"/>
            <w:noWrap w:val="0"/>
            <w:vAlign w:val="center"/>
          </w:tcPr>
          <w:p>
            <w:pPr>
              <w:pStyle w:val="71"/>
              <w:snapToGrid w:val="0"/>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color w:val="auto"/>
                <w:sz w:val="21"/>
                <w:szCs w:val="21"/>
                <w:lang w:val="en-US" w:eastAsia="zh-CN"/>
              </w:rPr>
              <w:t>0.1</w:t>
            </w:r>
            <w:r>
              <w:rPr>
                <w:rFonts w:ascii="Times New Roman" w:hAnsi="Times New Roman" w:eastAsia="宋体" w:cs="Times New Roman"/>
                <w:snapToGrid w:val="0"/>
                <w:color w:val="auto"/>
                <w:kern w:val="21"/>
                <w:szCs w:val="21"/>
                <w:lang w:val="en-US" w:eastAsia="zh-CN"/>
              </w:rPr>
              <w:t>t/a</w:t>
            </w:r>
          </w:p>
        </w:tc>
        <w:tc>
          <w:tcPr>
            <w:tcW w:w="1334"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866" w:type="dxa"/>
            <w:noWrap w:val="0"/>
            <w:vAlign w:val="center"/>
          </w:tcPr>
          <w:p>
            <w:pPr>
              <w:pStyle w:val="71"/>
              <w:snapToGrid w:val="0"/>
              <w:rPr>
                <w:rFonts w:ascii="Times New Roman" w:hAnsi="Times New Roman"/>
                <w:color w:val="auto"/>
                <w:sz w:val="21"/>
                <w:szCs w:val="21"/>
              </w:rPr>
            </w:pPr>
            <w:r>
              <w:rPr>
                <w:rFonts w:hint="eastAsia" w:ascii="Times New Roman" w:hAnsi="Times New Roman"/>
                <w:color w:val="auto"/>
                <w:sz w:val="21"/>
                <w:szCs w:val="21"/>
                <w:lang w:val="en-US" w:eastAsia="zh-CN"/>
              </w:rPr>
              <w:t>0.1</w:t>
            </w:r>
            <w:r>
              <w:rPr>
                <w:rFonts w:ascii="Times New Roman" w:hAnsi="Times New Roman" w:eastAsia="宋体" w:cs="Times New Roman"/>
                <w:snapToGrid w:val="0"/>
                <w:color w:val="auto"/>
                <w:kern w:val="21"/>
                <w:szCs w:val="21"/>
                <w:lang w:val="en-US" w:eastAsia="zh-CN"/>
              </w:rPr>
              <w:t>t/a</w:t>
            </w:r>
          </w:p>
        </w:tc>
        <w:tc>
          <w:tcPr>
            <w:tcW w:w="1450" w:type="dxa"/>
            <w:noWrap w:val="0"/>
            <w:vAlign w:val="center"/>
          </w:tcPr>
          <w:p>
            <w:pPr>
              <w:pStyle w:val="71"/>
              <w:snapToGrid w:val="0"/>
              <w:rPr>
                <w:rFonts w:ascii="Times New Roman" w:hAnsi="Times New Roman"/>
                <w:color w:val="auto"/>
                <w:sz w:val="21"/>
                <w:szCs w:val="21"/>
              </w:rPr>
            </w:pPr>
            <w:r>
              <w:rPr>
                <w:rFonts w:hint="eastAsia" w:ascii="Times New Roman" w:cs="Times New Roman"/>
                <w:snapToGrid w:val="0"/>
                <w:color w:val="auto"/>
                <w:kern w:val="21"/>
                <w:szCs w:val="21"/>
                <w:lang w:val="en-US" w:eastAsia="zh-CN"/>
              </w:rPr>
              <w:t>+</w:t>
            </w:r>
            <w:r>
              <w:rPr>
                <w:rFonts w:hint="eastAsia" w:ascii="Times New Roman" w:hAnsi="Times New Roman"/>
                <w:color w:val="auto"/>
                <w:sz w:val="21"/>
                <w:szCs w:val="21"/>
                <w:lang w:val="en-US" w:eastAsia="zh-CN"/>
              </w:rPr>
              <w:t>0.1</w:t>
            </w:r>
            <w:r>
              <w:rPr>
                <w:rFonts w:ascii="Times New Roman" w:hAnsi="Times New Roman" w:eastAsia="宋体" w:cs="Times New Roman"/>
                <w:snapToGrid w:val="0"/>
                <w:color w:val="auto"/>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61" w:type="dxa"/>
            <w:vMerge w:val="continue"/>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0070C0"/>
                <w:kern w:val="21"/>
                <w:szCs w:val="21"/>
                <w:lang w:val="en-US" w:eastAsia="zh-CN"/>
              </w:rPr>
            </w:pPr>
          </w:p>
        </w:tc>
        <w:tc>
          <w:tcPr>
            <w:tcW w:w="1760" w:type="dxa"/>
            <w:gridSpan w:val="2"/>
            <w:noWrap w:val="0"/>
            <w:vAlign w:val="center"/>
          </w:tcPr>
          <w:p>
            <w:pPr>
              <w:keepNext w:val="0"/>
              <w:keepLines w:val="0"/>
              <w:pageBreakBefore w:val="0"/>
              <w:widowControl w:val="0"/>
              <w:kinsoku/>
              <w:wordWrap/>
              <w:overflowPunct/>
              <w:topLinePunct w:val="0"/>
              <w:bidi w:val="0"/>
              <w:spacing w:line="240" w:lineRule="auto"/>
              <w:jc w:val="center"/>
              <w:rPr>
                <w:rFonts w:hint="eastAsia" w:ascii="Times New Roman" w:hAnsi="Times New Roman" w:eastAsia="宋体" w:cs="Times New Roman"/>
                <w:color w:val="auto"/>
                <w:lang w:val="en-US" w:eastAsia="zh-CN"/>
              </w:rPr>
            </w:pPr>
            <w:r>
              <w:rPr>
                <w:rFonts w:hint="eastAsia" w:cs="Times New Roman"/>
                <w:color w:val="auto"/>
                <w:lang w:val="en-US" w:eastAsia="zh-CN"/>
              </w:rPr>
              <w:t>含油抹布</w:t>
            </w:r>
          </w:p>
        </w:tc>
        <w:tc>
          <w:tcPr>
            <w:tcW w:w="1418"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141"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519"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500" w:type="dxa"/>
            <w:noWrap w:val="0"/>
            <w:vAlign w:val="center"/>
          </w:tcPr>
          <w:p>
            <w:pPr>
              <w:pStyle w:val="71"/>
              <w:snapToGrid w:val="0"/>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cs="Times New Roman"/>
                <w:color w:val="auto"/>
                <w:sz w:val="21"/>
                <w:szCs w:val="21"/>
                <w:lang w:val="en-US" w:eastAsia="zh-CN"/>
              </w:rPr>
              <w:t>0.1</w:t>
            </w:r>
            <w:r>
              <w:rPr>
                <w:rFonts w:ascii="Times New Roman" w:hAnsi="Times New Roman" w:eastAsia="宋体" w:cs="Times New Roman"/>
                <w:snapToGrid w:val="0"/>
                <w:color w:val="auto"/>
                <w:kern w:val="21"/>
                <w:szCs w:val="21"/>
                <w:lang w:val="en-US" w:eastAsia="zh-CN"/>
              </w:rPr>
              <w:t>t/a</w:t>
            </w:r>
          </w:p>
        </w:tc>
        <w:tc>
          <w:tcPr>
            <w:tcW w:w="1334" w:type="dxa"/>
            <w:noWrap w:val="0"/>
            <w:vAlign w:val="center"/>
          </w:tcPr>
          <w:p>
            <w:pPr>
              <w:keepNext w:val="0"/>
              <w:keepLines w:val="0"/>
              <w:pageBreakBefore w:val="0"/>
              <w:widowControl w:val="0"/>
              <w:kinsoku/>
              <w:wordWrap/>
              <w:overflowPunct/>
              <w:topLinePunct w:val="0"/>
              <w:bidi w:val="0"/>
              <w:spacing w:line="240" w:lineRule="auto"/>
              <w:jc w:val="center"/>
              <w:rPr>
                <w:snapToGrid w:val="0"/>
                <w:color w:val="auto"/>
                <w:kern w:val="21"/>
                <w:szCs w:val="21"/>
              </w:rPr>
            </w:pPr>
            <w:r>
              <w:rPr>
                <w:snapToGrid w:val="0"/>
                <w:color w:val="auto"/>
                <w:kern w:val="21"/>
                <w:szCs w:val="21"/>
              </w:rPr>
              <w:t>0</w:t>
            </w:r>
          </w:p>
        </w:tc>
        <w:tc>
          <w:tcPr>
            <w:tcW w:w="1866" w:type="dxa"/>
            <w:noWrap w:val="0"/>
            <w:vAlign w:val="center"/>
          </w:tcPr>
          <w:p>
            <w:pPr>
              <w:pStyle w:val="71"/>
              <w:snapToGrid w:val="0"/>
              <w:rPr>
                <w:rFonts w:hint="eastAsia" w:ascii="Times New Roman" w:hAnsi="Times New Roman"/>
                <w:color w:val="auto"/>
                <w:sz w:val="21"/>
                <w:szCs w:val="21"/>
              </w:rPr>
            </w:pPr>
            <w:r>
              <w:rPr>
                <w:rFonts w:hint="eastAsia" w:ascii="Times New Roman" w:hAnsi="Times New Roman" w:cs="Times New Roman"/>
                <w:color w:val="auto"/>
                <w:sz w:val="21"/>
                <w:szCs w:val="21"/>
                <w:lang w:val="en-US" w:eastAsia="zh-CN"/>
              </w:rPr>
              <w:t>0.1</w:t>
            </w:r>
            <w:r>
              <w:rPr>
                <w:rFonts w:ascii="Times New Roman" w:hAnsi="Times New Roman" w:eastAsia="宋体" w:cs="Times New Roman"/>
                <w:snapToGrid w:val="0"/>
                <w:color w:val="auto"/>
                <w:kern w:val="21"/>
                <w:szCs w:val="21"/>
                <w:lang w:val="en-US" w:eastAsia="zh-CN"/>
              </w:rPr>
              <w:t>t/a</w:t>
            </w:r>
          </w:p>
        </w:tc>
        <w:tc>
          <w:tcPr>
            <w:tcW w:w="1450" w:type="dxa"/>
            <w:noWrap w:val="0"/>
            <w:vAlign w:val="center"/>
          </w:tcPr>
          <w:p>
            <w:pPr>
              <w:pStyle w:val="71"/>
              <w:snapToGrid w:val="0"/>
              <w:rPr>
                <w:rFonts w:hint="eastAsia" w:ascii="Times New Roman" w:hAnsi="Times New Roman"/>
                <w:color w:val="auto"/>
                <w:sz w:val="21"/>
                <w:szCs w:val="21"/>
              </w:rPr>
            </w:pPr>
            <w:r>
              <w:rPr>
                <w:rFonts w:hint="eastAsia" w:ascii="Times New Roman" w:cs="Times New Roman"/>
                <w:snapToGrid w:val="0"/>
                <w:color w:val="auto"/>
                <w:kern w:val="21"/>
                <w:szCs w:val="21"/>
                <w:lang w:val="en-US" w:eastAsia="zh-CN"/>
              </w:rPr>
              <w:t>+</w:t>
            </w:r>
            <w:r>
              <w:rPr>
                <w:rFonts w:hint="eastAsia" w:ascii="Times New Roman" w:hAnsi="Times New Roman" w:cs="Times New Roman"/>
                <w:color w:val="auto"/>
                <w:sz w:val="21"/>
                <w:szCs w:val="21"/>
                <w:lang w:val="en-US" w:eastAsia="zh-CN"/>
              </w:rPr>
              <w:t>0.1</w:t>
            </w:r>
            <w:r>
              <w:rPr>
                <w:rFonts w:ascii="Times New Roman" w:hAnsi="Times New Roman" w:eastAsia="宋体" w:cs="Times New Roman"/>
                <w:snapToGrid w:val="0"/>
                <w:color w:val="auto"/>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61" w:type="dxa"/>
            <w:vMerge w:val="restart"/>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0070C0"/>
                <w:kern w:val="21"/>
                <w:szCs w:val="21"/>
                <w:lang w:val="en-US" w:eastAsia="zh-CN"/>
              </w:rPr>
            </w:pPr>
            <w:r>
              <w:rPr>
                <w:rFonts w:ascii="Times New Roman"/>
                <w:snapToGrid w:val="0"/>
                <w:color w:val="auto"/>
                <w:kern w:val="21"/>
                <w:szCs w:val="21"/>
                <w:lang w:val="en-US" w:eastAsia="zh-CN"/>
              </w:rPr>
              <w:t>危险废物</w:t>
            </w:r>
          </w:p>
        </w:tc>
        <w:tc>
          <w:tcPr>
            <w:tcW w:w="1760" w:type="dxa"/>
            <w:gridSpan w:val="2"/>
            <w:noWrap w:val="0"/>
            <w:vAlign w:val="center"/>
          </w:tcPr>
          <w:p>
            <w:pPr>
              <w:pStyle w:val="71"/>
              <w:snapToGrid w:val="0"/>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cs="Times New Roman"/>
                <w:color w:val="auto"/>
                <w:sz w:val="21"/>
                <w:szCs w:val="21"/>
                <w:lang w:val="en-US" w:eastAsia="zh-CN"/>
              </w:rPr>
              <w:t>污泥</w:t>
            </w:r>
          </w:p>
        </w:tc>
        <w:tc>
          <w:tcPr>
            <w:tcW w:w="1418"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eastAsia="宋体" w:cs="Times New Roman"/>
                <w:snapToGrid w:val="0"/>
                <w:color w:val="auto"/>
                <w:kern w:val="21"/>
                <w:szCs w:val="21"/>
                <w:lang w:val="en-US" w:eastAsia="zh-CN"/>
              </w:rPr>
              <w:t>0</w:t>
            </w:r>
          </w:p>
        </w:tc>
        <w:tc>
          <w:tcPr>
            <w:tcW w:w="1141"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eastAsia="宋体" w:cs="Times New Roman"/>
                <w:snapToGrid w:val="0"/>
                <w:color w:val="auto"/>
                <w:kern w:val="21"/>
                <w:szCs w:val="21"/>
                <w:lang w:val="en-US" w:eastAsia="zh-CN"/>
              </w:rPr>
              <w:t>0</w:t>
            </w:r>
          </w:p>
        </w:tc>
        <w:tc>
          <w:tcPr>
            <w:tcW w:w="1519"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eastAsia="宋体" w:cs="Times New Roman"/>
                <w:snapToGrid w:val="0"/>
                <w:color w:val="auto"/>
                <w:kern w:val="21"/>
                <w:szCs w:val="21"/>
                <w:lang w:val="en-US" w:eastAsia="zh-CN"/>
              </w:rPr>
              <w:t>0</w:t>
            </w:r>
          </w:p>
        </w:tc>
        <w:tc>
          <w:tcPr>
            <w:tcW w:w="1500" w:type="dxa"/>
            <w:noWrap w:val="0"/>
            <w:vAlign w:val="center"/>
          </w:tcPr>
          <w:p>
            <w:pPr>
              <w:pStyle w:val="71"/>
              <w:snapToGrid w:val="0"/>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cs="Times New Roman"/>
                <w:color w:val="auto"/>
                <w:sz w:val="21"/>
                <w:szCs w:val="21"/>
                <w:lang w:val="en-US" w:eastAsia="zh-CN"/>
              </w:rPr>
              <w:t>1.2</w:t>
            </w:r>
            <w:r>
              <w:rPr>
                <w:rFonts w:ascii="Times New Roman" w:hAnsi="Times New Roman" w:eastAsia="宋体" w:cs="Times New Roman"/>
                <w:snapToGrid w:val="0"/>
                <w:color w:val="auto"/>
                <w:kern w:val="21"/>
                <w:szCs w:val="21"/>
                <w:lang w:val="en-US" w:eastAsia="zh-CN"/>
              </w:rPr>
              <w:t>t/a</w:t>
            </w:r>
          </w:p>
        </w:tc>
        <w:tc>
          <w:tcPr>
            <w:tcW w:w="1334"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eastAsia="宋体" w:cs="Times New Roman"/>
                <w:snapToGrid w:val="0"/>
                <w:color w:val="auto"/>
                <w:kern w:val="21"/>
                <w:szCs w:val="21"/>
                <w:lang w:val="en-US" w:eastAsia="zh-CN"/>
              </w:rPr>
              <w:t>0</w:t>
            </w:r>
          </w:p>
        </w:tc>
        <w:tc>
          <w:tcPr>
            <w:tcW w:w="1866" w:type="dxa"/>
            <w:noWrap w:val="0"/>
            <w:vAlign w:val="center"/>
          </w:tcPr>
          <w:p>
            <w:pPr>
              <w:pStyle w:val="71"/>
              <w:snapToGrid w:val="0"/>
              <w:rPr>
                <w:color w:val="0070C0"/>
                <w:szCs w:val="21"/>
              </w:rPr>
            </w:pPr>
            <w:r>
              <w:rPr>
                <w:rFonts w:hint="eastAsia" w:ascii="Times New Roman" w:hAnsi="Times New Roman" w:cs="Times New Roman"/>
                <w:color w:val="auto"/>
                <w:sz w:val="21"/>
                <w:szCs w:val="21"/>
                <w:lang w:val="en-US" w:eastAsia="zh-CN"/>
              </w:rPr>
              <w:t>1.2</w:t>
            </w:r>
            <w:r>
              <w:rPr>
                <w:rFonts w:ascii="Times New Roman" w:hAnsi="Times New Roman" w:eastAsia="宋体" w:cs="Times New Roman"/>
                <w:snapToGrid w:val="0"/>
                <w:color w:val="auto"/>
                <w:kern w:val="21"/>
                <w:szCs w:val="21"/>
                <w:lang w:val="en-US" w:eastAsia="zh-CN"/>
              </w:rPr>
              <w:t>t/a</w:t>
            </w:r>
          </w:p>
        </w:tc>
        <w:tc>
          <w:tcPr>
            <w:tcW w:w="1450" w:type="dxa"/>
            <w:noWrap w:val="0"/>
            <w:vAlign w:val="center"/>
          </w:tcPr>
          <w:p>
            <w:pPr>
              <w:pStyle w:val="71"/>
              <w:snapToGrid w:val="0"/>
              <w:rPr>
                <w:color w:val="0070C0"/>
                <w:szCs w:val="21"/>
              </w:rPr>
            </w:pPr>
            <w:r>
              <w:rPr>
                <w:rFonts w:hint="eastAsia" w:ascii="Times New Roman" w:cs="Times New Roman"/>
                <w:snapToGrid w:val="0"/>
                <w:color w:val="auto"/>
                <w:kern w:val="21"/>
                <w:szCs w:val="21"/>
                <w:lang w:val="en-US" w:eastAsia="zh-CN"/>
              </w:rPr>
              <w:t>+</w:t>
            </w:r>
            <w:r>
              <w:rPr>
                <w:rFonts w:hint="eastAsia" w:ascii="Times New Roman" w:hAnsi="Times New Roman" w:cs="Times New Roman"/>
                <w:color w:val="auto"/>
                <w:sz w:val="21"/>
                <w:szCs w:val="21"/>
                <w:lang w:val="en-US" w:eastAsia="zh-CN"/>
              </w:rPr>
              <w:t>1.2</w:t>
            </w:r>
            <w:r>
              <w:rPr>
                <w:rFonts w:ascii="Times New Roman" w:hAnsi="Times New Roman" w:eastAsia="宋体" w:cs="Times New Roman"/>
                <w:snapToGrid w:val="0"/>
                <w:color w:val="auto"/>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61" w:type="dxa"/>
            <w:vMerge w:val="continue"/>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0070C0"/>
                <w:kern w:val="21"/>
                <w:szCs w:val="21"/>
                <w:lang w:val="en-US" w:eastAsia="zh-CN"/>
              </w:rPr>
            </w:pPr>
          </w:p>
        </w:tc>
        <w:tc>
          <w:tcPr>
            <w:tcW w:w="1760" w:type="dxa"/>
            <w:gridSpan w:val="2"/>
            <w:noWrap w:val="0"/>
            <w:vAlign w:val="center"/>
          </w:tcPr>
          <w:p>
            <w:pPr>
              <w:pStyle w:val="71"/>
              <w:snapToGrid w:val="0"/>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cs="Times New Roman"/>
                <w:color w:val="auto"/>
                <w:sz w:val="21"/>
                <w:szCs w:val="21"/>
                <w:lang w:val="en-US" w:eastAsia="zh-CN"/>
              </w:rPr>
              <w:t>废包装</w:t>
            </w:r>
          </w:p>
        </w:tc>
        <w:tc>
          <w:tcPr>
            <w:tcW w:w="1418"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eastAsia="宋体" w:cs="Times New Roman"/>
                <w:snapToGrid w:val="0"/>
                <w:color w:val="auto"/>
                <w:kern w:val="21"/>
                <w:szCs w:val="21"/>
                <w:lang w:val="en-US" w:eastAsia="zh-CN"/>
              </w:rPr>
              <w:t>0</w:t>
            </w:r>
          </w:p>
        </w:tc>
        <w:tc>
          <w:tcPr>
            <w:tcW w:w="1141"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eastAsia="宋体" w:cs="Times New Roman"/>
                <w:snapToGrid w:val="0"/>
                <w:color w:val="auto"/>
                <w:kern w:val="21"/>
                <w:szCs w:val="21"/>
                <w:lang w:val="en-US" w:eastAsia="zh-CN"/>
              </w:rPr>
              <w:t>0</w:t>
            </w:r>
          </w:p>
        </w:tc>
        <w:tc>
          <w:tcPr>
            <w:tcW w:w="1519"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eastAsia="宋体" w:cs="Times New Roman"/>
                <w:snapToGrid w:val="0"/>
                <w:color w:val="auto"/>
                <w:kern w:val="21"/>
                <w:szCs w:val="21"/>
                <w:lang w:val="en-US" w:eastAsia="zh-CN"/>
              </w:rPr>
              <w:t>0</w:t>
            </w:r>
          </w:p>
        </w:tc>
        <w:tc>
          <w:tcPr>
            <w:tcW w:w="1500" w:type="dxa"/>
            <w:noWrap w:val="0"/>
            <w:vAlign w:val="center"/>
          </w:tcPr>
          <w:p>
            <w:pPr>
              <w:pStyle w:val="71"/>
              <w:snapToGrid w:val="0"/>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cs="Times New Roman"/>
                <w:color w:val="auto"/>
                <w:sz w:val="21"/>
                <w:szCs w:val="21"/>
                <w:lang w:val="en-US" w:eastAsia="zh-CN"/>
              </w:rPr>
              <w:t>0.5</w:t>
            </w:r>
            <w:r>
              <w:rPr>
                <w:rFonts w:ascii="Times New Roman" w:hAnsi="Times New Roman" w:eastAsia="宋体" w:cs="Times New Roman"/>
                <w:snapToGrid w:val="0"/>
                <w:color w:val="auto"/>
                <w:kern w:val="21"/>
                <w:szCs w:val="21"/>
                <w:lang w:val="en-US" w:eastAsia="zh-CN"/>
              </w:rPr>
              <w:t>t/a</w:t>
            </w:r>
          </w:p>
        </w:tc>
        <w:tc>
          <w:tcPr>
            <w:tcW w:w="1334"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eastAsia="宋体" w:cs="Times New Roman"/>
                <w:snapToGrid w:val="0"/>
                <w:color w:val="auto"/>
                <w:kern w:val="21"/>
                <w:szCs w:val="21"/>
                <w:lang w:val="en-US" w:eastAsia="zh-CN"/>
              </w:rPr>
              <w:t>0</w:t>
            </w:r>
          </w:p>
        </w:tc>
        <w:tc>
          <w:tcPr>
            <w:tcW w:w="1866" w:type="dxa"/>
            <w:noWrap w:val="0"/>
            <w:vAlign w:val="center"/>
          </w:tcPr>
          <w:p>
            <w:pPr>
              <w:pStyle w:val="71"/>
              <w:snapToGrid w:val="0"/>
              <w:rPr>
                <w:color w:val="0070C0"/>
                <w:szCs w:val="21"/>
              </w:rPr>
            </w:pPr>
            <w:r>
              <w:rPr>
                <w:rFonts w:hint="eastAsia" w:ascii="Times New Roman" w:hAnsi="Times New Roman" w:cs="Times New Roman"/>
                <w:color w:val="auto"/>
                <w:sz w:val="21"/>
                <w:szCs w:val="21"/>
                <w:lang w:val="en-US" w:eastAsia="zh-CN"/>
              </w:rPr>
              <w:t>0.5</w:t>
            </w:r>
            <w:r>
              <w:rPr>
                <w:rFonts w:ascii="Times New Roman" w:hAnsi="Times New Roman" w:eastAsia="宋体" w:cs="Times New Roman"/>
                <w:snapToGrid w:val="0"/>
                <w:color w:val="auto"/>
                <w:kern w:val="21"/>
                <w:szCs w:val="21"/>
                <w:lang w:val="en-US" w:eastAsia="zh-CN"/>
              </w:rPr>
              <w:t>t/a</w:t>
            </w:r>
          </w:p>
        </w:tc>
        <w:tc>
          <w:tcPr>
            <w:tcW w:w="1450" w:type="dxa"/>
            <w:noWrap w:val="0"/>
            <w:vAlign w:val="center"/>
          </w:tcPr>
          <w:p>
            <w:pPr>
              <w:pStyle w:val="71"/>
              <w:snapToGrid w:val="0"/>
              <w:rPr>
                <w:color w:val="0070C0"/>
                <w:szCs w:val="21"/>
              </w:rPr>
            </w:pPr>
            <w:r>
              <w:rPr>
                <w:rFonts w:hint="eastAsia" w:ascii="Times New Roman" w:cs="Times New Roman"/>
                <w:snapToGrid w:val="0"/>
                <w:color w:val="auto"/>
                <w:kern w:val="21"/>
                <w:szCs w:val="21"/>
                <w:lang w:val="en-US" w:eastAsia="zh-CN"/>
              </w:rPr>
              <w:t>+</w:t>
            </w:r>
            <w:r>
              <w:rPr>
                <w:rFonts w:hint="eastAsia" w:ascii="Times New Roman" w:hAnsi="Times New Roman" w:cs="Times New Roman"/>
                <w:color w:val="auto"/>
                <w:sz w:val="21"/>
                <w:szCs w:val="21"/>
                <w:lang w:val="en-US" w:eastAsia="zh-CN"/>
              </w:rPr>
              <w:t>0.5</w:t>
            </w:r>
            <w:r>
              <w:rPr>
                <w:rFonts w:ascii="Times New Roman" w:hAnsi="Times New Roman" w:eastAsia="宋体" w:cs="Times New Roman"/>
                <w:snapToGrid w:val="0"/>
                <w:color w:val="auto"/>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61" w:type="dxa"/>
            <w:vMerge w:val="continue"/>
            <w:noWrap w:val="0"/>
            <w:vAlign w:val="center"/>
          </w:tcPr>
          <w:p>
            <w:pPr>
              <w:pStyle w:val="65"/>
              <w:keepNext w:val="0"/>
              <w:keepLines w:val="0"/>
              <w:pageBreakBefore w:val="0"/>
              <w:widowControl w:val="0"/>
              <w:kinsoku/>
              <w:wordWrap/>
              <w:overflowPunct/>
              <w:topLinePunct w:val="0"/>
              <w:bidi w:val="0"/>
              <w:spacing w:beforeLines="0" w:afterLines="0" w:line="240" w:lineRule="auto"/>
              <w:rPr>
                <w:rFonts w:ascii="Times New Roman"/>
                <w:snapToGrid w:val="0"/>
                <w:color w:val="0070C0"/>
                <w:kern w:val="21"/>
                <w:szCs w:val="21"/>
                <w:lang w:val="en-US" w:eastAsia="zh-CN"/>
              </w:rPr>
            </w:pPr>
          </w:p>
        </w:tc>
        <w:tc>
          <w:tcPr>
            <w:tcW w:w="1760" w:type="dxa"/>
            <w:gridSpan w:val="2"/>
            <w:noWrap w:val="0"/>
            <w:vAlign w:val="center"/>
          </w:tcPr>
          <w:p>
            <w:pPr>
              <w:pStyle w:val="71"/>
              <w:snapToGrid w:val="0"/>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eastAsia="宋体" w:cs="Times New Roman"/>
                <w:color w:val="auto"/>
                <w:sz w:val="21"/>
                <w:szCs w:val="21"/>
                <w:lang w:val="en-US" w:eastAsia="zh-CN"/>
              </w:rPr>
              <w:t>废</w:t>
            </w:r>
            <w:r>
              <w:rPr>
                <w:rFonts w:hint="eastAsia" w:ascii="Times New Roman" w:hAnsi="Times New Roman" w:cs="Times New Roman"/>
                <w:color w:val="auto"/>
                <w:sz w:val="21"/>
                <w:szCs w:val="21"/>
                <w:lang w:val="en-US" w:eastAsia="zh-CN"/>
              </w:rPr>
              <w:t>润滑</w:t>
            </w:r>
            <w:r>
              <w:rPr>
                <w:rFonts w:hint="eastAsia" w:ascii="Times New Roman" w:hAnsi="Times New Roman" w:eastAsia="宋体" w:cs="Times New Roman"/>
                <w:color w:val="auto"/>
                <w:sz w:val="21"/>
                <w:szCs w:val="21"/>
                <w:lang w:val="en-US" w:eastAsia="zh-CN"/>
              </w:rPr>
              <w:t>油</w:t>
            </w:r>
          </w:p>
        </w:tc>
        <w:tc>
          <w:tcPr>
            <w:tcW w:w="1418"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eastAsia="宋体" w:cs="Times New Roman"/>
                <w:snapToGrid w:val="0"/>
                <w:color w:val="auto"/>
                <w:kern w:val="21"/>
                <w:szCs w:val="21"/>
                <w:lang w:val="en-US" w:eastAsia="zh-CN"/>
              </w:rPr>
              <w:t>0</w:t>
            </w:r>
          </w:p>
        </w:tc>
        <w:tc>
          <w:tcPr>
            <w:tcW w:w="1141"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eastAsia="宋体" w:cs="Times New Roman"/>
                <w:snapToGrid w:val="0"/>
                <w:color w:val="auto"/>
                <w:kern w:val="21"/>
                <w:szCs w:val="21"/>
                <w:lang w:val="en-US" w:eastAsia="zh-CN"/>
              </w:rPr>
              <w:t>0</w:t>
            </w:r>
          </w:p>
        </w:tc>
        <w:tc>
          <w:tcPr>
            <w:tcW w:w="1519"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eastAsia="宋体" w:cs="Times New Roman"/>
                <w:snapToGrid w:val="0"/>
                <w:color w:val="auto"/>
                <w:kern w:val="21"/>
                <w:szCs w:val="21"/>
                <w:lang w:val="en-US" w:eastAsia="zh-CN"/>
              </w:rPr>
              <w:t>0</w:t>
            </w:r>
          </w:p>
        </w:tc>
        <w:tc>
          <w:tcPr>
            <w:tcW w:w="1500" w:type="dxa"/>
            <w:noWrap w:val="0"/>
            <w:vAlign w:val="center"/>
          </w:tcPr>
          <w:p>
            <w:pPr>
              <w:pStyle w:val="71"/>
              <w:snapToGrid w:val="0"/>
              <w:rPr>
                <w:rFonts w:hint="eastAsia" w:ascii="Times New Roman" w:hAnsi="Times New Roman" w:eastAsia="宋体" w:cs="Times New Roman"/>
                <w:snapToGrid w:val="0"/>
                <w:color w:val="auto"/>
                <w:kern w:val="21"/>
                <w:szCs w:val="21"/>
                <w:lang w:val="en-US" w:eastAsia="zh-CN"/>
              </w:rPr>
            </w:pPr>
            <w:r>
              <w:rPr>
                <w:rFonts w:hint="eastAsia" w:ascii="Times New Roman" w:hAnsi="Times New Roman" w:eastAsia="宋体" w:cs="Times New Roman"/>
                <w:color w:val="auto"/>
                <w:sz w:val="21"/>
                <w:szCs w:val="21"/>
                <w:lang w:val="en-US" w:eastAsia="zh-CN"/>
              </w:rPr>
              <w:t>0.0</w:t>
            </w:r>
            <w:r>
              <w:rPr>
                <w:rFonts w:hint="eastAsia" w:ascii="Times New Roman" w:hAnsi="Times New Roman" w:cs="Times New Roman"/>
                <w:color w:val="auto"/>
                <w:sz w:val="21"/>
                <w:szCs w:val="21"/>
                <w:lang w:val="en-US" w:eastAsia="zh-CN"/>
              </w:rPr>
              <w:t>5</w:t>
            </w:r>
            <w:r>
              <w:rPr>
                <w:rFonts w:ascii="Times New Roman" w:hAnsi="Times New Roman" w:eastAsia="宋体" w:cs="Times New Roman"/>
                <w:snapToGrid w:val="0"/>
                <w:color w:val="auto"/>
                <w:kern w:val="21"/>
                <w:szCs w:val="21"/>
                <w:lang w:val="en-US" w:eastAsia="zh-CN"/>
              </w:rPr>
              <w:t>t/a</w:t>
            </w:r>
          </w:p>
        </w:tc>
        <w:tc>
          <w:tcPr>
            <w:tcW w:w="1334" w:type="dxa"/>
            <w:noWrap w:val="0"/>
            <w:vAlign w:val="center"/>
          </w:tcPr>
          <w:p>
            <w:pPr>
              <w:pStyle w:val="65"/>
              <w:keepNext w:val="0"/>
              <w:keepLines w:val="0"/>
              <w:pageBreakBefore w:val="0"/>
              <w:widowControl w:val="0"/>
              <w:kinsoku/>
              <w:wordWrap/>
              <w:overflowPunct/>
              <w:topLinePunct w:val="0"/>
              <w:bidi w:val="0"/>
              <w:spacing w:beforeLines="0" w:afterLines="0" w:line="240" w:lineRule="auto"/>
              <w:rPr>
                <w:rFonts w:hint="default" w:ascii="Times New Roman" w:hAnsi="Times New Roman" w:eastAsia="宋体" w:cs="Times New Roman"/>
                <w:snapToGrid w:val="0"/>
                <w:color w:val="auto"/>
                <w:kern w:val="21"/>
                <w:szCs w:val="21"/>
                <w:lang w:val="en-US" w:eastAsia="zh-CN"/>
              </w:rPr>
            </w:pPr>
            <w:r>
              <w:rPr>
                <w:rFonts w:hint="eastAsia" w:ascii="Times New Roman" w:hAnsi="Times New Roman" w:eastAsia="宋体" w:cs="Times New Roman"/>
                <w:snapToGrid w:val="0"/>
                <w:color w:val="auto"/>
                <w:kern w:val="21"/>
                <w:szCs w:val="21"/>
                <w:lang w:val="en-US" w:eastAsia="zh-CN"/>
              </w:rPr>
              <w:t>0</w:t>
            </w:r>
          </w:p>
        </w:tc>
        <w:tc>
          <w:tcPr>
            <w:tcW w:w="1866" w:type="dxa"/>
            <w:noWrap w:val="0"/>
            <w:vAlign w:val="center"/>
          </w:tcPr>
          <w:p>
            <w:pPr>
              <w:pStyle w:val="71"/>
              <w:snapToGrid w:val="0"/>
              <w:rPr>
                <w:rFonts w:hint="eastAsia"/>
                <w:color w:val="0070C0"/>
                <w:szCs w:val="21"/>
              </w:rPr>
            </w:pPr>
            <w:r>
              <w:rPr>
                <w:rFonts w:hint="eastAsia" w:ascii="Times New Roman" w:hAnsi="Times New Roman" w:eastAsia="宋体" w:cs="Times New Roman"/>
                <w:color w:val="auto"/>
                <w:sz w:val="21"/>
                <w:szCs w:val="21"/>
                <w:lang w:val="en-US" w:eastAsia="zh-CN"/>
              </w:rPr>
              <w:t>0.0</w:t>
            </w:r>
            <w:r>
              <w:rPr>
                <w:rFonts w:hint="eastAsia" w:ascii="Times New Roman" w:hAnsi="Times New Roman" w:cs="Times New Roman"/>
                <w:color w:val="auto"/>
                <w:sz w:val="21"/>
                <w:szCs w:val="21"/>
                <w:lang w:val="en-US" w:eastAsia="zh-CN"/>
              </w:rPr>
              <w:t>5</w:t>
            </w:r>
            <w:r>
              <w:rPr>
                <w:rFonts w:ascii="Times New Roman" w:hAnsi="Times New Roman" w:eastAsia="宋体" w:cs="Times New Roman"/>
                <w:snapToGrid w:val="0"/>
                <w:color w:val="auto"/>
                <w:kern w:val="21"/>
                <w:szCs w:val="21"/>
                <w:lang w:val="en-US" w:eastAsia="zh-CN"/>
              </w:rPr>
              <w:t>t/a</w:t>
            </w:r>
          </w:p>
        </w:tc>
        <w:tc>
          <w:tcPr>
            <w:tcW w:w="1450" w:type="dxa"/>
            <w:noWrap w:val="0"/>
            <w:vAlign w:val="center"/>
          </w:tcPr>
          <w:p>
            <w:pPr>
              <w:pStyle w:val="71"/>
              <w:snapToGrid w:val="0"/>
              <w:rPr>
                <w:rFonts w:hint="eastAsia"/>
                <w:color w:val="0070C0"/>
                <w:szCs w:val="21"/>
              </w:rPr>
            </w:pPr>
            <w:r>
              <w:rPr>
                <w:rFonts w:hint="eastAsia" w:ascii="Times New Roman" w:cs="Times New Roman"/>
                <w:snapToGrid w:val="0"/>
                <w:color w:val="auto"/>
                <w:kern w:val="21"/>
                <w:szCs w:val="21"/>
                <w:lang w:val="en-US" w:eastAsia="zh-CN"/>
              </w:rPr>
              <w:t>+</w:t>
            </w:r>
            <w:r>
              <w:rPr>
                <w:rFonts w:hint="eastAsia" w:ascii="Times New Roman" w:hAnsi="Times New Roman" w:eastAsia="宋体" w:cs="Times New Roman"/>
                <w:color w:val="auto"/>
                <w:sz w:val="21"/>
                <w:szCs w:val="21"/>
                <w:lang w:val="en-US" w:eastAsia="zh-CN"/>
              </w:rPr>
              <w:t>0.0</w:t>
            </w:r>
            <w:r>
              <w:rPr>
                <w:rFonts w:hint="eastAsia" w:ascii="Times New Roman" w:hAnsi="Times New Roman" w:cs="Times New Roman"/>
                <w:color w:val="auto"/>
                <w:sz w:val="21"/>
                <w:szCs w:val="21"/>
                <w:lang w:val="en-US" w:eastAsia="zh-CN"/>
              </w:rPr>
              <w:t>5</w:t>
            </w:r>
            <w:r>
              <w:rPr>
                <w:rFonts w:ascii="Times New Roman" w:hAnsi="Times New Roman" w:eastAsia="宋体" w:cs="Times New Roman"/>
                <w:snapToGrid w:val="0"/>
                <w:color w:val="auto"/>
                <w:kern w:val="21"/>
                <w:szCs w:val="21"/>
                <w:lang w:val="en-US" w:eastAsia="zh-CN"/>
              </w:rPr>
              <w:t>t/a</w:t>
            </w:r>
          </w:p>
        </w:tc>
      </w:tr>
    </w:tbl>
    <w:p>
      <w:pPr>
        <w:pStyle w:val="65"/>
        <w:keepNext w:val="0"/>
        <w:keepLines w:val="0"/>
        <w:pageBreakBefore w:val="0"/>
        <w:kinsoku/>
        <w:wordWrap/>
        <w:overflowPunct/>
        <w:topLinePunct w:val="0"/>
        <w:bidi w:val="0"/>
        <w:spacing w:before="192" w:beforeLines="80" w:after="24" w:line="220" w:lineRule="exact"/>
        <w:jc w:val="left"/>
        <w:rPr>
          <w:rFonts w:hAnsi="宋体"/>
          <w:snapToGrid w:val="0"/>
          <w:color w:val="auto"/>
          <w:spacing w:val="-6"/>
          <w:kern w:val="21"/>
          <w:szCs w:val="21"/>
        </w:rPr>
        <w:sectPr>
          <w:headerReference r:id="rId5" w:type="default"/>
          <w:footerReference r:id="rId6" w:type="default"/>
          <w:pgSz w:w="16838" w:h="11906" w:orient="landscape"/>
          <w:pgMar w:top="1531" w:right="1701" w:bottom="1531" w:left="1701" w:header="851" w:footer="851" w:gutter="0"/>
          <w:pgBorders>
            <w:top w:val="none" w:sz="0" w:space="0"/>
            <w:left w:val="none" w:sz="0" w:space="0"/>
            <w:bottom w:val="none" w:sz="0" w:space="0"/>
            <w:right w:val="none" w:sz="0" w:space="0"/>
          </w:pgBorders>
          <w:cols w:space="720" w:num="1"/>
          <w:docGrid w:linePitch="312" w:charSpace="0"/>
        </w:sectPr>
      </w:pPr>
      <w:r>
        <w:rPr>
          <w:rFonts w:hAnsi="宋体"/>
          <w:snapToGrid w:val="0"/>
          <w:color w:val="auto"/>
          <w:kern w:val="21"/>
          <w:szCs w:val="21"/>
        </w:rPr>
        <w:t>注：</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int="eastAsia"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int="eastAsia" w:hAnsi="宋体"/>
          <w:color w:val="auto"/>
          <w:szCs w:val="21"/>
        </w:rPr>
        <w:t>①</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3 \* GB3 \* MERGEFORMAT </w:instrText>
      </w:r>
      <w:r>
        <w:rPr>
          <w:rFonts w:hAnsi="宋体"/>
          <w:snapToGrid w:val="0"/>
          <w:color w:val="auto"/>
          <w:spacing w:val="-6"/>
          <w:kern w:val="21"/>
          <w:szCs w:val="21"/>
        </w:rPr>
        <w:fldChar w:fldCharType="separate"/>
      </w:r>
      <w:r>
        <w:rPr>
          <w:rFonts w:hint="eastAsia" w:hAnsi="宋体"/>
          <w:color w:val="auto"/>
          <w:szCs w:val="21"/>
        </w:rPr>
        <w:t>③</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4 \* GB3 \* MERGEFORMAT </w:instrText>
      </w:r>
      <w:r>
        <w:rPr>
          <w:rFonts w:hAnsi="宋体"/>
          <w:snapToGrid w:val="0"/>
          <w:color w:val="auto"/>
          <w:spacing w:val="-6"/>
          <w:kern w:val="21"/>
          <w:szCs w:val="21"/>
        </w:rPr>
        <w:fldChar w:fldCharType="separate"/>
      </w:r>
      <w:r>
        <w:rPr>
          <w:rFonts w:hint="eastAsia" w:hAnsi="宋体"/>
          <w:color w:val="auto"/>
          <w:szCs w:val="21"/>
        </w:rPr>
        <w:t>④</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5 \* GB3 \* MERGEFORMAT </w:instrText>
      </w:r>
      <w:r>
        <w:rPr>
          <w:rFonts w:hAnsi="宋体"/>
          <w:snapToGrid w:val="0"/>
          <w:color w:val="auto"/>
          <w:spacing w:val="-16"/>
          <w:kern w:val="21"/>
          <w:szCs w:val="21"/>
        </w:rPr>
        <w:fldChar w:fldCharType="separate"/>
      </w:r>
      <w:r>
        <w:rPr>
          <w:rFonts w:hint="eastAsia" w:hAnsi="宋体"/>
          <w:color w:val="auto"/>
          <w:szCs w:val="21"/>
        </w:rPr>
        <w:t>⑤</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7 \* GB3 \* MERGEFORMAT </w:instrText>
      </w:r>
      <w:r>
        <w:rPr>
          <w:rFonts w:hAnsi="宋体"/>
          <w:snapToGrid w:val="0"/>
          <w:color w:val="auto"/>
          <w:spacing w:val="-6"/>
          <w:kern w:val="21"/>
          <w:szCs w:val="21"/>
        </w:rPr>
        <w:fldChar w:fldCharType="separate"/>
      </w:r>
      <w:r>
        <w:rPr>
          <w:rFonts w:hint="eastAsia" w:hAnsi="宋体"/>
          <w:color w:val="auto"/>
          <w:szCs w:val="21"/>
        </w:rPr>
        <w:t>⑦</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int="eastAsia"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int="eastAsia" w:hAnsi="宋体"/>
          <w:color w:val="auto"/>
          <w:szCs w:val="21"/>
        </w:rPr>
        <w:t>①</w:t>
      </w:r>
      <w:r>
        <w:rPr>
          <w:rFonts w:hAnsi="宋体"/>
          <w:snapToGrid w:val="0"/>
          <w:color w:val="auto"/>
          <w:spacing w:val="-6"/>
          <w:kern w:val="21"/>
          <w:szCs w:val="21"/>
        </w:rPr>
        <w:fldChar w:fldCharType="end"/>
      </w:r>
    </w:p>
    <w:p>
      <w:pPr>
        <w:jc w:val="both"/>
        <w:rPr>
          <w:rFonts w:hint="eastAsia"/>
          <w:lang w:eastAsia="zh-CN"/>
        </w:rPr>
      </w:pPr>
    </w:p>
    <w:sectPr>
      <w:pgSz w:w="16838" w:h="11906" w:orient="landscape"/>
      <w:pgMar w:top="1803" w:right="1247" w:bottom="1803" w:left="777" w:header="851" w:footer="992" w:gutter="0"/>
      <w:pgBorders>
        <w:top w:val="none" w:sz="0" w:space="0"/>
        <w:left w:val="none" w:sz="0" w:space="0"/>
        <w:bottom w:val="none" w:sz="0" w:space="0"/>
        <w:right w:val="none" w:sz="0" w:space="0"/>
      </w:pgBorders>
      <w:cols w:space="720" w:num="1"/>
      <w:rtlGutter w:val="0"/>
      <w:docGrid w:type="lines" w:linePitch="319" w:charSpace="0"/>
    </w:sectPr>
  </w:body>
</w:document>
</file>

<file path=word/customizations.xml><?xml version="1.0" encoding="utf-8"?>
<wne:tcg xmlns:r="http://schemas.openxmlformats.org/officeDocument/2006/relationships" xmlns:wne="http://schemas.microsoft.com/office/word/2006/wordml">
  <wne:keymaps>
    <wne:keymap wne:kcmPrimary="0257">
      <wne:acd wne:acdName="acd0"/>
    </wne:keymap>
  </wne:keymap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FangSong_GB2312">
    <w:altName w:val="仿宋"/>
    <w:panose1 w:val="02010609060101010101"/>
    <w:charset w:val="00"/>
    <w:family w:val="roman"/>
    <w:pitch w:val="default"/>
    <w:sig w:usb0="00000000" w:usb1="00000000" w:usb2="00000000" w:usb3="00000000" w:csb0="00040001" w:csb1="00000000"/>
  </w:font>
  <w:font w:name="Impact">
    <w:panose1 w:val="020B0806030902050204"/>
    <w:charset w:val="00"/>
    <w:family w:val="swiss"/>
    <w:pitch w:val="default"/>
    <w:sig w:usb0="00000287"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Helvetica">
    <w:altName w:val="Arial"/>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fldChar w:fldCharType="begin"/>
                          </w:r>
                          <w:r>
                            <w:instrText xml:space="preserve"> PAGE  \* MERGEFORMAT </w:instrText>
                          </w:r>
                          <w:r>
                            <w:fldChar w:fldCharType="separate"/>
                          </w:r>
                          <w:r>
                            <w:t>82</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G5BMsBAACcAwAADgAAAGRycy9lMm9Eb2MueG1srVPNjtMwEL4j8Q6W&#10;79RpJ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IYSxy0O/PLj++Xn78uvb2RZ&#10;rV5n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lhuQTLAQAAnAMAAA4AAAAAAAAAAQAgAAAAHgEAAGRycy9lMm9E&#10;b2MueG1sUEsFBgAAAAAGAAYAWQEAAFsFA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fldChar w:fldCharType="begin"/>
                          </w:r>
                          <w:r>
                            <w:instrText xml:space="preserve"> PAGE  \* MERGEFORMAT </w:instrText>
                          </w:r>
                          <w:r>
                            <w:fldChar w:fldCharType="separate"/>
                          </w:r>
                          <w:r>
                            <w:t>92</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SPJcwBAACdAwAADgAAAGRycy9lMm9Eb2MueG1srVNLbtswEN0XyB0I&#10;7mPJXgSCYDlIYKQoEKQF0h6ApkiLAH/g0JZ8gfYGXXXTfc/lc3RISU6bbrLohhrODN/MezNa3w5G&#10;k6MIoJxt6HJRUiIsd62y+4Z++fxwXVECkdmWaWdFQ08C6O3m6t2697VYuc7pVgSCIBbq3je0i9HX&#10;RQG8E4bBwnlhMShdMCziNeyLNrAe0Y0uVmV5U/QutD44LgDQux2DdEIMbwF0Uiouto4fjLBxRA1C&#10;s4iUoFMe6CZ3K6Xg8aOUICLRDUWmMZ9YBO1dOovNmtX7wHyn+NQCe0sLrzgZpiwWvUBtWWTkENQ/&#10;UEbx4MDJuODOFCORrAiyWJavtHnumBeZC0oN/iI6/D9Y/nT8FIhqG3qzpMQygxM/f/92/vHr/PMr&#10;WZarKknUe6gx89ljbhzu3YCLM/sBnYn5IINJX+REMI4Cny4CiyESnh5Vq6oqMcQxNl8Qv3h57gPE&#10;98IZkoyGBpxgFpYdHyGOqXNKqmbdg9I6T1HbvxyImTxF6n3sMVlx2A0ToZ1rT8inx+E31OKuU6I/&#10;WNQ27clshNnYzcbBB7Xv8iKleuDvDhGbyL2lCiPsVBinltlNG5bW4s97znr5qz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hdI8lzAEAAJ0DAAAOAAAAAAAAAAEAIAAAAB4BAABkcnMvZTJv&#10;RG9jLnhtbFBLBQYAAAAABgAGAFkBAABcBQ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92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0D8C91"/>
    <w:multiLevelType w:val="singleLevel"/>
    <w:tmpl w:val="300D8C91"/>
    <w:lvl w:ilvl="0" w:tentative="0">
      <w:start w:val="2"/>
      <w:numFmt w:val="chineseCounting"/>
      <w:suff w:val="nothing"/>
      <w:lvlText w:val="%1、"/>
      <w:lvlJc w:val="left"/>
      <w:rPr>
        <w:rFonts w:hint="eastAsia"/>
      </w:rPr>
    </w:lvl>
  </w:abstractNum>
  <w:abstractNum w:abstractNumId="1">
    <w:nsid w:val="46E70EE0"/>
    <w:multiLevelType w:val="singleLevel"/>
    <w:tmpl w:val="46E70EE0"/>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hyphenationZone w:val="360"/>
  <w:doNotHyphenateCaps/>
  <w:drawingGridHorizontalSpacing w:val="210"/>
  <w:drawingGridVerticalSpacing w:val="159"/>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xZjNhMjYzN2JhZDM5NzQyZDdjMWNjN2RjMzY2ZjUifQ=="/>
  </w:docVars>
  <w:rsids>
    <w:rsidRoot w:val="00A14947"/>
    <w:rsid w:val="0000197B"/>
    <w:rsid w:val="000060B3"/>
    <w:rsid w:val="0000656F"/>
    <w:rsid w:val="00013B6C"/>
    <w:rsid w:val="00017DB0"/>
    <w:rsid w:val="000313DB"/>
    <w:rsid w:val="000433CD"/>
    <w:rsid w:val="0004364B"/>
    <w:rsid w:val="00045B37"/>
    <w:rsid w:val="00050A76"/>
    <w:rsid w:val="00061B1F"/>
    <w:rsid w:val="000733C4"/>
    <w:rsid w:val="00074783"/>
    <w:rsid w:val="0008070B"/>
    <w:rsid w:val="000810AC"/>
    <w:rsid w:val="00081155"/>
    <w:rsid w:val="00081A02"/>
    <w:rsid w:val="00082231"/>
    <w:rsid w:val="000859A5"/>
    <w:rsid w:val="00092D38"/>
    <w:rsid w:val="0009377B"/>
    <w:rsid w:val="0009588E"/>
    <w:rsid w:val="000A20C9"/>
    <w:rsid w:val="000A2E12"/>
    <w:rsid w:val="000B058F"/>
    <w:rsid w:val="000B0FB2"/>
    <w:rsid w:val="000B3A02"/>
    <w:rsid w:val="000B4467"/>
    <w:rsid w:val="000B4DB9"/>
    <w:rsid w:val="000B695E"/>
    <w:rsid w:val="000C09AC"/>
    <w:rsid w:val="000C147A"/>
    <w:rsid w:val="000C23BB"/>
    <w:rsid w:val="000C2AE6"/>
    <w:rsid w:val="000C57AC"/>
    <w:rsid w:val="000C767F"/>
    <w:rsid w:val="000D5A44"/>
    <w:rsid w:val="000E3ED2"/>
    <w:rsid w:val="000E668D"/>
    <w:rsid w:val="0011191F"/>
    <w:rsid w:val="0011374D"/>
    <w:rsid w:val="00117932"/>
    <w:rsid w:val="00130FA8"/>
    <w:rsid w:val="00131B85"/>
    <w:rsid w:val="00131F42"/>
    <w:rsid w:val="001357F1"/>
    <w:rsid w:val="00140FA8"/>
    <w:rsid w:val="00142FEB"/>
    <w:rsid w:val="00143A2D"/>
    <w:rsid w:val="00145A41"/>
    <w:rsid w:val="001466AB"/>
    <w:rsid w:val="00151675"/>
    <w:rsid w:val="00157435"/>
    <w:rsid w:val="00162657"/>
    <w:rsid w:val="00163793"/>
    <w:rsid w:val="00164C32"/>
    <w:rsid w:val="00165636"/>
    <w:rsid w:val="00166BCF"/>
    <w:rsid w:val="0016750E"/>
    <w:rsid w:val="00174229"/>
    <w:rsid w:val="0017504D"/>
    <w:rsid w:val="0017671A"/>
    <w:rsid w:val="00177422"/>
    <w:rsid w:val="001777E3"/>
    <w:rsid w:val="00184590"/>
    <w:rsid w:val="001870D1"/>
    <w:rsid w:val="0018781E"/>
    <w:rsid w:val="0019262D"/>
    <w:rsid w:val="001A1B35"/>
    <w:rsid w:val="001A371F"/>
    <w:rsid w:val="001A4716"/>
    <w:rsid w:val="001A48A2"/>
    <w:rsid w:val="001A6F61"/>
    <w:rsid w:val="001A785A"/>
    <w:rsid w:val="001B352B"/>
    <w:rsid w:val="001B38E4"/>
    <w:rsid w:val="001B72B8"/>
    <w:rsid w:val="001B7A32"/>
    <w:rsid w:val="001C107E"/>
    <w:rsid w:val="001C69B3"/>
    <w:rsid w:val="001D1FB5"/>
    <w:rsid w:val="001D5595"/>
    <w:rsid w:val="001D7874"/>
    <w:rsid w:val="001D7F22"/>
    <w:rsid w:val="001E2B98"/>
    <w:rsid w:val="001E49DC"/>
    <w:rsid w:val="001E59B4"/>
    <w:rsid w:val="001E6A25"/>
    <w:rsid w:val="001F0F17"/>
    <w:rsid w:val="001F3347"/>
    <w:rsid w:val="001F5EC6"/>
    <w:rsid w:val="001F69E4"/>
    <w:rsid w:val="00200FE9"/>
    <w:rsid w:val="00204AE7"/>
    <w:rsid w:val="002125B4"/>
    <w:rsid w:val="002155B8"/>
    <w:rsid w:val="00224839"/>
    <w:rsid w:val="002249B2"/>
    <w:rsid w:val="00226574"/>
    <w:rsid w:val="002277E5"/>
    <w:rsid w:val="002278EC"/>
    <w:rsid w:val="0023280E"/>
    <w:rsid w:val="002354E5"/>
    <w:rsid w:val="002377D1"/>
    <w:rsid w:val="002419D6"/>
    <w:rsid w:val="00244C49"/>
    <w:rsid w:val="002465CF"/>
    <w:rsid w:val="00246D54"/>
    <w:rsid w:val="002506BC"/>
    <w:rsid w:val="00254345"/>
    <w:rsid w:val="00261635"/>
    <w:rsid w:val="00264557"/>
    <w:rsid w:val="002805AB"/>
    <w:rsid w:val="00284204"/>
    <w:rsid w:val="002874BB"/>
    <w:rsid w:val="00290195"/>
    <w:rsid w:val="00291773"/>
    <w:rsid w:val="0029689A"/>
    <w:rsid w:val="002A07CB"/>
    <w:rsid w:val="002A168C"/>
    <w:rsid w:val="002A3DC7"/>
    <w:rsid w:val="002A4039"/>
    <w:rsid w:val="002B49E2"/>
    <w:rsid w:val="002B7B00"/>
    <w:rsid w:val="002B7C44"/>
    <w:rsid w:val="002C2B17"/>
    <w:rsid w:val="002C30DB"/>
    <w:rsid w:val="002D02A5"/>
    <w:rsid w:val="002D06F4"/>
    <w:rsid w:val="002D2C09"/>
    <w:rsid w:val="002D3DD0"/>
    <w:rsid w:val="002D568D"/>
    <w:rsid w:val="002D7F8D"/>
    <w:rsid w:val="002E00FA"/>
    <w:rsid w:val="002E1F3A"/>
    <w:rsid w:val="002E298A"/>
    <w:rsid w:val="002E6413"/>
    <w:rsid w:val="00301978"/>
    <w:rsid w:val="00302C09"/>
    <w:rsid w:val="0030332C"/>
    <w:rsid w:val="003051C2"/>
    <w:rsid w:val="00312296"/>
    <w:rsid w:val="00314F0E"/>
    <w:rsid w:val="00320C9B"/>
    <w:rsid w:val="00321D8E"/>
    <w:rsid w:val="00323EBA"/>
    <w:rsid w:val="00325928"/>
    <w:rsid w:val="00332863"/>
    <w:rsid w:val="0033541A"/>
    <w:rsid w:val="0033684D"/>
    <w:rsid w:val="00336B11"/>
    <w:rsid w:val="00337B42"/>
    <w:rsid w:val="00341B42"/>
    <w:rsid w:val="0034348F"/>
    <w:rsid w:val="00344777"/>
    <w:rsid w:val="00345C7D"/>
    <w:rsid w:val="00356653"/>
    <w:rsid w:val="0035743F"/>
    <w:rsid w:val="00357BE2"/>
    <w:rsid w:val="00360AB6"/>
    <w:rsid w:val="0036170C"/>
    <w:rsid w:val="00366DEF"/>
    <w:rsid w:val="00366E0F"/>
    <w:rsid w:val="003701F8"/>
    <w:rsid w:val="00381A72"/>
    <w:rsid w:val="003831CD"/>
    <w:rsid w:val="00384676"/>
    <w:rsid w:val="00387A7A"/>
    <w:rsid w:val="00390857"/>
    <w:rsid w:val="00390B19"/>
    <w:rsid w:val="0039621F"/>
    <w:rsid w:val="00396EC5"/>
    <w:rsid w:val="003A3E1E"/>
    <w:rsid w:val="003A4BF3"/>
    <w:rsid w:val="003A53D1"/>
    <w:rsid w:val="003A7A1B"/>
    <w:rsid w:val="003B1F39"/>
    <w:rsid w:val="003B420D"/>
    <w:rsid w:val="003C215B"/>
    <w:rsid w:val="003C3A30"/>
    <w:rsid w:val="003C6C16"/>
    <w:rsid w:val="003D794D"/>
    <w:rsid w:val="003E20F0"/>
    <w:rsid w:val="003E3058"/>
    <w:rsid w:val="003E76A9"/>
    <w:rsid w:val="003F0809"/>
    <w:rsid w:val="003F2B40"/>
    <w:rsid w:val="003F6A8C"/>
    <w:rsid w:val="003F755C"/>
    <w:rsid w:val="00406F01"/>
    <w:rsid w:val="00407318"/>
    <w:rsid w:val="00411CA3"/>
    <w:rsid w:val="00416D50"/>
    <w:rsid w:val="00416FD5"/>
    <w:rsid w:val="00417772"/>
    <w:rsid w:val="00420E6A"/>
    <w:rsid w:val="00421289"/>
    <w:rsid w:val="00425A9E"/>
    <w:rsid w:val="00425AB4"/>
    <w:rsid w:val="00426D6B"/>
    <w:rsid w:val="00431E6C"/>
    <w:rsid w:val="00433CE7"/>
    <w:rsid w:val="004467F9"/>
    <w:rsid w:val="00450E1F"/>
    <w:rsid w:val="00452738"/>
    <w:rsid w:val="00456091"/>
    <w:rsid w:val="0046079C"/>
    <w:rsid w:val="004656FC"/>
    <w:rsid w:val="00466321"/>
    <w:rsid w:val="00466961"/>
    <w:rsid w:val="004773D0"/>
    <w:rsid w:val="00484B9B"/>
    <w:rsid w:val="004855F6"/>
    <w:rsid w:val="0048661E"/>
    <w:rsid w:val="00494670"/>
    <w:rsid w:val="0049499C"/>
    <w:rsid w:val="004A2A0B"/>
    <w:rsid w:val="004A3823"/>
    <w:rsid w:val="004A5FFE"/>
    <w:rsid w:val="004B069B"/>
    <w:rsid w:val="004B6166"/>
    <w:rsid w:val="004C10EE"/>
    <w:rsid w:val="004C32C9"/>
    <w:rsid w:val="004C4F92"/>
    <w:rsid w:val="004C5C62"/>
    <w:rsid w:val="004D270C"/>
    <w:rsid w:val="004D6C0F"/>
    <w:rsid w:val="004D7082"/>
    <w:rsid w:val="004E6946"/>
    <w:rsid w:val="004F1AD8"/>
    <w:rsid w:val="004F595C"/>
    <w:rsid w:val="00500138"/>
    <w:rsid w:val="005039CB"/>
    <w:rsid w:val="0050558F"/>
    <w:rsid w:val="00506233"/>
    <w:rsid w:val="00506286"/>
    <w:rsid w:val="00510339"/>
    <w:rsid w:val="00510813"/>
    <w:rsid w:val="00511990"/>
    <w:rsid w:val="00511DE0"/>
    <w:rsid w:val="00514870"/>
    <w:rsid w:val="005149D1"/>
    <w:rsid w:val="00514B9B"/>
    <w:rsid w:val="00515C0D"/>
    <w:rsid w:val="0051742E"/>
    <w:rsid w:val="00517F02"/>
    <w:rsid w:val="00524303"/>
    <w:rsid w:val="005243FB"/>
    <w:rsid w:val="005258A2"/>
    <w:rsid w:val="00535F86"/>
    <w:rsid w:val="005401AE"/>
    <w:rsid w:val="005404DF"/>
    <w:rsid w:val="005427D2"/>
    <w:rsid w:val="00542E07"/>
    <w:rsid w:val="00543E98"/>
    <w:rsid w:val="00545424"/>
    <w:rsid w:val="00554A7B"/>
    <w:rsid w:val="0055572C"/>
    <w:rsid w:val="0056106A"/>
    <w:rsid w:val="005720AE"/>
    <w:rsid w:val="00573982"/>
    <w:rsid w:val="00575D90"/>
    <w:rsid w:val="005848BE"/>
    <w:rsid w:val="00587F3B"/>
    <w:rsid w:val="00594D77"/>
    <w:rsid w:val="005969E4"/>
    <w:rsid w:val="005A06B7"/>
    <w:rsid w:val="005A1759"/>
    <w:rsid w:val="005A31E4"/>
    <w:rsid w:val="005A42D9"/>
    <w:rsid w:val="005A68A7"/>
    <w:rsid w:val="005B2DE7"/>
    <w:rsid w:val="005C040B"/>
    <w:rsid w:val="005D36AB"/>
    <w:rsid w:val="005E3014"/>
    <w:rsid w:val="005E6357"/>
    <w:rsid w:val="005F50B4"/>
    <w:rsid w:val="005F60EA"/>
    <w:rsid w:val="00607BED"/>
    <w:rsid w:val="006105AD"/>
    <w:rsid w:val="00617CC3"/>
    <w:rsid w:val="00634E03"/>
    <w:rsid w:val="006364D8"/>
    <w:rsid w:val="00637711"/>
    <w:rsid w:val="006377A6"/>
    <w:rsid w:val="00637A3D"/>
    <w:rsid w:val="006411EF"/>
    <w:rsid w:val="0064581B"/>
    <w:rsid w:val="006725A7"/>
    <w:rsid w:val="00672736"/>
    <w:rsid w:val="006748B8"/>
    <w:rsid w:val="006775C3"/>
    <w:rsid w:val="00680A32"/>
    <w:rsid w:val="00682896"/>
    <w:rsid w:val="0068599E"/>
    <w:rsid w:val="0069290A"/>
    <w:rsid w:val="0069775A"/>
    <w:rsid w:val="00697813"/>
    <w:rsid w:val="006A3EE8"/>
    <w:rsid w:val="006A72BF"/>
    <w:rsid w:val="006B02E2"/>
    <w:rsid w:val="006B03F2"/>
    <w:rsid w:val="006B37DC"/>
    <w:rsid w:val="006B4E14"/>
    <w:rsid w:val="006B4F68"/>
    <w:rsid w:val="006C0592"/>
    <w:rsid w:val="006C2125"/>
    <w:rsid w:val="006C272E"/>
    <w:rsid w:val="006C38F2"/>
    <w:rsid w:val="006C5479"/>
    <w:rsid w:val="006D08E2"/>
    <w:rsid w:val="006D13B5"/>
    <w:rsid w:val="006D2A98"/>
    <w:rsid w:val="006E12FF"/>
    <w:rsid w:val="006E134A"/>
    <w:rsid w:val="006E2234"/>
    <w:rsid w:val="006E607E"/>
    <w:rsid w:val="00706C5D"/>
    <w:rsid w:val="007142C9"/>
    <w:rsid w:val="00715A72"/>
    <w:rsid w:val="00716279"/>
    <w:rsid w:val="00723F02"/>
    <w:rsid w:val="00724E79"/>
    <w:rsid w:val="007251B8"/>
    <w:rsid w:val="00727A16"/>
    <w:rsid w:val="00730815"/>
    <w:rsid w:val="00732922"/>
    <w:rsid w:val="00734F24"/>
    <w:rsid w:val="00744B85"/>
    <w:rsid w:val="0075162E"/>
    <w:rsid w:val="00754034"/>
    <w:rsid w:val="00756556"/>
    <w:rsid w:val="00761382"/>
    <w:rsid w:val="007618C4"/>
    <w:rsid w:val="00767980"/>
    <w:rsid w:val="00770B19"/>
    <w:rsid w:val="00773150"/>
    <w:rsid w:val="0077463F"/>
    <w:rsid w:val="0077663D"/>
    <w:rsid w:val="007836EA"/>
    <w:rsid w:val="00784CDA"/>
    <w:rsid w:val="00787C86"/>
    <w:rsid w:val="007906C4"/>
    <w:rsid w:val="00792530"/>
    <w:rsid w:val="00793C7F"/>
    <w:rsid w:val="007940EA"/>
    <w:rsid w:val="007967E8"/>
    <w:rsid w:val="00797FF4"/>
    <w:rsid w:val="007A2170"/>
    <w:rsid w:val="007A22BF"/>
    <w:rsid w:val="007A3323"/>
    <w:rsid w:val="007A3406"/>
    <w:rsid w:val="007A51B4"/>
    <w:rsid w:val="007B1FE8"/>
    <w:rsid w:val="007B5515"/>
    <w:rsid w:val="007B72B8"/>
    <w:rsid w:val="007B7A58"/>
    <w:rsid w:val="007C21B5"/>
    <w:rsid w:val="007C5660"/>
    <w:rsid w:val="007D28FE"/>
    <w:rsid w:val="007D5069"/>
    <w:rsid w:val="007D5DE8"/>
    <w:rsid w:val="007D668C"/>
    <w:rsid w:val="007D7EF6"/>
    <w:rsid w:val="007E2EF7"/>
    <w:rsid w:val="007E4BD2"/>
    <w:rsid w:val="007E66F9"/>
    <w:rsid w:val="007F36AA"/>
    <w:rsid w:val="007F6BD0"/>
    <w:rsid w:val="007F730A"/>
    <w:rsid w:val="008004C2"/>
    <w:rsid w:val="00801393"/>
    <w:rsid w:val="00802F88"/>
    <w:rsid w:val="0081293E"/>
    <w:rsid w:val="00812DAB"/>
    <w:rsid w:val="0081458A"/>
    <w:rsid w:val="00815465"/>
    <w:rsid w:val="00817E9A"/>
    <w:rsid w:val="008306BD"/>
    <w:rsid w:val="00831535"/>
    <w:rsid w:val="00831A80"/>
    <w:rsid w:val="00831FAB"/>
    <w:rsid w:val="00833426"/>
    <w:rsid w:val="00833743"/>
    <w:rsid w:val="008340A4"/>
    <w:rsid w:val="00835447"/>
    <w:rsid w:val="00835791"/>
    <w:rsid w:val="00835794"/>
    <w:rsid w:val="00854A73"/>
    <w:rsid w:val="008564D1"/>
    <w:rsid w:val="00863B59"/>
    <w:rsid w:val="00863CDC"/>
    <w:rsid w:val="0087135F"/>
    <w:rsid w:val="00872D94"/>
    <w:rsid w:val="0087568A"/>
    <w:rsid w:val="00880364"/>
    <w:rsid w:val="00891592"/>
    <w:rsid w:val="0089189B"/>
    <w:rsid w:val="00891E9E"/>
    <w:rsid w:val="00897A8A"/>
    <w:rsid w:val="008A1FFC"/>
    <w:rsid w:val="008A2F68"/>
    <w:rsid w:val="008A4B9B"/>
    <w:rsid w:val="008B4FA6"/>
    <w:rsid w:val="008B5282"/>
    <w:rsid w:val="008B7C17"/>
    <w:rsid w:val="008C0D0E"/>
    <w:rsid w:val="008C2D01"/>
    <w:rsid w:val="008C3A7E"/>
    <w:rsid w:val="008C40E6"/>
    <w:rsid w:val="008D0F7A"/>
    <w:rsid w:val="008D1C47"/>
    <w:rsid w:val="008D670D"/>
    <w:rsid w:val="008D68E4"/>
    <w:rsid w:val="008E0506"/>
    <w:rsid w:val="008E0CFF"/>
    <w:rsid w:val="008E5D6B"/>
    <w:rsid w:val="008E76F0"/>
    <w:rsid w:val="008F0050"/>
    <w:rsid w:val="008F15FE"/>
    <w:rsid w:val="008F2D29"/>
    <w:rsid w:val="008F5187"/>
    <w:rsid w:val="008F60D8"/>
    <w:rsid w:val="00902727"/>
    <w:rsid w:val="0090312B"/>
    <w:rsid w:val="009050AE"/>
    <w:rsid w:val="00905168"/>
    <w:rsid w:val="009063F8"/>
    <w:rsid w:val="00906716"/>
    <w:rsid w:val="00910268"/>
    <w:rsid w:val="009149F3"/>
    <w:rsid w:val="0091736D"/>
    <w:rsid w:val="00921341"/>
    <w:rsid w:val="00921F90"/>
    <w:rsid w:val="00922550"/>
    <w:rsid w:val="00923800"/>
    <w:rsid w:val="0093037A"/>
    <w:rsid w:val="00934B7D"/>
    <w:rsid w:val="0094154D"/>
    <w:rsid w:val="00944188"/>
    <w:rsid w:val="00946B27"/>
    <w:rsid w:val="0095155F"/>
    <w:rsid w:val="00954429"/>
    <w:rsid w:val="009563CE"/>
    <w:rsid w:val="00957C64"/>
    <w:rsid w:val="00960DD6"/>
    <w:rsid w:val="00965CD0"/>
    <w:rsid w:val="00974272"/>
    <w:rsid w:val="00976328"/>
    <w:rsid w:val="0097680D"/>
    <w:rsid w:val="009775F6"/>
    <w:rsid w:val="00981C50"/>
    <w:rsid w:val="00982438"/>
    <w:rsid w:val="0098404C"/>
    <w:rsid w:val="00985283"/>
    <w:rsid w:val="00994B10"/>
    <w:rsid w:val="00995992"/>
    <w:rsid w:val="009A03E5"/>
    <w:rsid w:val="009A0F3B"/>
    <w:rsid w:val="009A1BB4"/>
    <w:rsid w:val="009A2628"/>
    <w:rsid w:val="009A3200"/>
    <w:rsid w:val="009A78DE"/>
    <w:rsid w:val="009B0897"/>
    <w:rsid w:val="009B7BD9"/>
    <w:rsid w:val="009C7DD5"/>
    <w:rsid w:val="009D030B"/>
    <w:rsid w:val="009D1D89"/>
    <w:rsid w:val="009D335E"/>
    <w:rsid w:val="009E227D"/>
    <w:rsid w:val="009E41C9"/>
    <w:rsid w:val="009E5019"/>
    <w:rsid w:val="009E62F9"/>
    <w:rsid w:val="009F5047"/>
    <w:rsid w:val="00A00FED"/>
    <w:rsid w:val="00A036FF"/>
    <w:rsid w:val="00A04F1B"/>
    <w:rsid w:val="00A0501B"/>
    <w:rsid w:val="00A14947"/>
    <w:rsid w:val="00A15423"/>
    <w:rsid w:val="00A30010"/>
    <w:rsid w:val="00A3044E"/>
    <w:rsid w:val="00A305E8"/>
    <w:rsid w:val="00A32A83"/>
    <w:rsid w:val="00A368DB"/>
    <w:rsid w:val="00A423AA"/>
    <w:rsid w:val="00A42D95"/>
    <w:rsid w:val="00A53EC6"/>
    <w:rsid w:val="00A55C0F"/>
    <w:rsid w:val="00A561DE"/>
    <w:rsid w:val="00A57F54"/>
    <w:rsid w:val="00A663CD"/>
    <w:rsid w:val="00A831A5"/>
    <w:rsid w:val="00A8713F"/>
    <w:rsid w:val="00A90BA1"/>
    <w:rsid w:val="00A97A9A"/>
    <w:rsid w:val="00AA0671"/>
    <w:rsid w:val="00AA2531"/>
    <w:rsid w:val="00AB07D6"/>
    <w:rsid w:val="00AB1E09"/>
    <w:rsid w:val="00AB4E8A"/>
    <w:rsid w:val="00AB5330"/>
    <w:rsid w:val="00AB5B4C"/>
    <w:rsid w:val="00AB7747"/>
    <w:rsid w:val="00AC14CE"/>
    <w:rsid w:val="00AC2A56"/>
    <w:rsid w:val="00AD055E"/>
    <w:rsid w:val="00AD47A7"/>
    <w:rsid w:val="00AD51B6"/>
    <w:rsid w:val="00AD7083"/>
    <w:rsid w:val="00AD767F"/>
    <w:rsid w:val="00AE1460"/>
    <w:rsid w:val="00AF0CBF"/>
    <w:rsid w:val="00AF257F"/>
    <w:rsid w:val="00AF33CF"/>
    <w:rsid w:val="00AF4D50"/>
    <w:rsid w:val="00AF6179"/>
    <w:rsid w:val="00B06D16"/>
    <w:rsid w:val="00B1295A"/>
    <w:rsid w:val="00B15F59"/>
    <w:rsid w:val="00B20A45"/>
    <w:rsid w:val="00B22C5C"/>
    <w:rsid w:val="00B22E95"/>
    <w:rsid w:val="00B24F30"/>
    <w:rsid w:val="00B31ABF"/>
    <w:rsid w:val="00B32E16"/>
    <w:rsid w:val="00B33BE3"/>
    <w:rsid w:val="00B3531A"/>
    <w:rsid w:val="00B357ED"/>
    <w:rsid w:val="00B46E99"/>
    <w:rsid w:val="00B52100"/>
    <w:rsid w:val="00B53B5D"/>
    <w:rsid w:val="00B6055E"/>
    <w:rsid w:val="00B6317D"/>
    <w:rsid w:val="00B71E42"/>
    <w:rsid w:val="00B73F1E"/>
    <w:rsid w:val="00B7723F"/>
    <w:rsid w:val="00B77C8E"/>
    <w:rsid w:val="00B77FA9"/>
    <w:rsid w:val="00B80534"/>
    <w:rsid w:val="00B82552"/>
    <w:rsid w:val="00B8433C"/>
    <w:rsid w:val="00B867D5"/>
    <w:rsid w:val="00B87491"/>
    <w:rsid w:val="00B87DBE"/>
    <w:rsid w:val="00B93AAE"/>
    <w:rsid w:val="00BA1B21"/>
    <w:rsid w:val="00BA29E9"/>
    <w:rsid w:val="00BA7142"/>
    <w:rsid w:val="00BB073F"/>
    <w:rsid w:val="00BB237C"/>
    <w:rsid w:val="00BB41A3"/>
    <w:rsid w:val="00BB53E8"/>
    <w:rsid w:val="00BC218B"/>
    <w:rsid w:val="00BC32DC"/>
    <w:rsid w:val="00BC35B6"/>
    <w:rsid w:val="00BC3B3D"/>
    <w:rsid w:val="00BC43AD"/>
    <w:rsid w:val="00BD1B51"/>
    <w:rsid w:val="00BD4596"/>
    <w:rsid w:val="00BD60AB"/>
    <w:rsid w:val="00BE1405"/>
    <w:rsid w:val="00BE312D"/>
    <w:rsid w:val="00BF1C20"/>
    <w:rsid w:val="00C05947"/>
    <w:rsid w:val="00C1045E"/>
    <w:rsid w:val="00C10578"/>
    <w:rsid w:val="00C135BC"/>
    <w:rsid w:val="00C13C11"/>
    <w:rsid w:val="00C15C95"/>
    <w:rsid w:val="00C17964"/>
    <w:rsid w:val="00C21B67"/>
    <w:rsid w:val="00C24925"/>
    <w:rsid w:val="00C2596A"/>
    <w:rsid w:val="00C27537"/>
    <w:rsid w:val="00C279E1"/>
    <w:rsid w:val="00C328FE"/>
    <w:rsid w:val="00C33507"/>
    <w:rsid w:val="00C418E1"/>
    <w:rsid w:val="00C4409D"/>
    <w:rsid w:val="00C44E72"/>
    <w:rsid w:val="00C45A06"/>
    <w:rsid w:val="00C47E5B"/>
    <w:rsid w:val="00C51BE6"/>
    <w:rsid w:val="00C57C6C"/>
    <w:rsid w:val="00C619E9"/>
    <w:rsid w:val="00C61E4B"/>
    <w:rsid w:val="00C64BFF"/>
    <w:rsid w:val="00C6508A"/>
    <w:rsid w:val="00C650A4"/>
    <w:rsid w:val="00C704E9"/>
    <w:rsid w:val="00C70833"/>
    <w:rsid w:val="00C718BB"/>
    <w:rsid w:val="00C763C9"/>
    <w:rsid w:val="00C80057"/>
    <w:rsid w:val="00C81204"/>
    <w:rsid w:val="00C82232"/>
    <w:rsid w:val="00C82913"/>
    <w:rsid w:val="00C90EBC"/>
    <w:rsid w:val="00C922D0"/>
    <w:rsid w:val="00C972B1"/>
    <w:rsid w:val="00CA08DC"/>
    <w:rsid w:val="00CA2CCE"/>
    <w:rsid w:val="00CA43FD"/>
    <w:rsid w:val="00CA7EF8"/>
    <w:rsid w:val="00CB0A09"/>
    <w:rsid w:val="00CB1C67"/>
    <w:rsid w:val="00CB2932"/>
    <w:rsid w:val="00CB40E4"/>
    <w:rsid w:val="00CB6059"/>
    <w:rsid w:val="00CC00FC"/>
    <w:rsid w:val="00CC489B"/>
    <w:rsid w:val="00CD2BCD"/>
    <w:rsid w:val="00CD3461"/>
    <w:rsid w:val="00CD3A4C"/>
    <w:rsid w:val="00CE10E9"/>
    <w:rsid w:val="00CE2910"/>
    <w:rsid w:val="00CE5393"/>
    <w:rsid w:val="00CE660A"/>
    <w:rsid w:val="00CF36BE"/>
    <w:rsid w:val="00CF6000"/>
    <w:rsid w:val="00D003F3"/>
    <w:rsid w:val="00D01315"/>
    <w:rsid w:val="00D0364F"/>
    <w:rsid w:val="00D04206"/>
    <w:rsid w:val="00D04A2F"/>
    <w:rsid w:val="00D06834"/>
    <w:rsid w:val="00D308ED"/>
    <w:rsid w:val="00D31BFF"/>
    <w:rsid w:val="00D33862"/>
    <w:rsid w:val="00D355F1"/>
    <w:rsid w:val="00D36D86"/>
    <w:rsid w:val="00D37948"/>
    <w:rsid w:val="00D428AA"/>
    <w:rsid w:val="00D50A34"/>
    <w:rsid w:val="00D53EFA"/>
    <w:rsid w:val="00D5688F"/>
    <w:rsid w:val="00D57B00"/>
    <w:rsid w:val="00D65346"/>
    <w:rsid w:val="00D66509"/>
    <w:rsid w:val="00D72206"/>
    <w:rsid w:val="00D85D7A"/>
    <w:rsid w:val="00D85E3F"/>
    <w:rsid w:val="00D86294"/>
    <w:rsid w:val="00D872BF"/>
    <w:rsid w:val="00D94A7C"/>
    <w:rsid w:val="00D95864"/>
    <w:rsid w:val="00D95896"/>
    <w:rsid w:val="00DA0AC7"/>
    <w:rsid w:val="00DA2613"/>
    <w:rsid w:val="00DB2983"/>
    <w:rsid w:val="00DB7597"/>
    <w:rsid w:val="00DC1257"/>
    <w:rsid w:val="00DC3DC0"/>
    <w:rsid w:val="00DC5B2B"/>
    <w:rsid w:val="00DD22DD"/>
    <w:rsid w:val="00DD318D"/>
    <w:rsid w:val="00DE68EC"/>
    <w:rsid w:val="00DF2E12"/>
    <w:rsid w:val="00DF514A"/>
    <w:rsid w:val="00DF6690"/>
    <w:rsid w:val="00DF6804"/>
    <w:rsid w:val="00DF6DBD"/>
    <w:rsid w:val="00E0358D"/>
    <w:rsid w:val="00E04323"/>
    <w:rsid w:val="00E06024"/>
    <w:rsid w:val="00E070A2"/>
    <w:rsid w:val="00E10F69"/>
    <w:rsid w:val="00E11FC4"/>
    <w:rsid w:val="00E2517E"/>
    <w:rsid w:val="00E2656A"/>
    <w:rsid w:val="00E26EBB"/>
    <w:rsid w:val="00E412D0"/>
    <w:rsid w:val="00E41FB2"/>
    <w:rsid w:val="00E47019"/>
    <w:rsid w:val="00E536F1"/>
    <w:rsid w:val="00E56322"/>
    <w:rsid w:val="00E60982"/>
    <w:rsid w:val="00E62C62"/>
    <w:rsid w:val="00E654C1"/>
    <w:rsid w:val="00E65D97"/>
    <w:rsid w:val="00E722E4"/>
    <w:rsid w:val="00E72A5A"/>
    <w:rsid w:val="00E73354"/>
    <w:rsid w:val="00E800D1"/>
    <w:rsid w:val="00E82D37"/>
    <w:rsid w:val="00E86A85"/>
    <w:rsid w:val="00E86C09"/>
    <w:rsid w:val="00E90E98"/>
    <w:rsid w:val="00E9242D"/>
    <w:rsid w:val="00E9694D"/>
    <w:rsid w:val="00EA1790"/>
    <w:rsid w:val="00EA5335"/>
    <w:rsid w:val="00EB5255"/>
    <w:rsid w:val="00EB5C47"/>
    <w:rsid w:val="00EC49A5"/>
    <w:rsid w:val="00ED0639"/>
    <w:rsid w:val="00EE25CE"/>
    <w:rsid w:val="00EF1DBD"/>
    <w:rsid w:val="00EF367A"/>
    <w:rsid w:val="00EF4755"/>
    <w:rsid w:val="00EF7135"/>
    <w:rsid w:val="00F027DB"/>
    <w:rsid w:val="00F05477"/>
    <w:rsid w:val="00F07F0E"/>
    <w:rsid w:val="00F115B8"/>
    <w:rsid w:val="00F133DC"/>
    <w:rsid w:val="00F14553"/>
    <w:rsid w:val="00F14A7A"/>
    <w:rsid w:val="00F22985"/>
    <w:rsid w:val="00F3383E"/>
    <w:rsid w:val="00F40A13"/>
    <w:rsid w:val="00F44406"/>
    <w:rsid w:val="00F45BF1"/>
    <w:rsid w:val="00F465A7"/>
    <w:rsid w:val="00F46B5D"/>
    <w:rsid w:val="00F50B7C"/>
    <w:rsid w:val="00F550E6"/>
    <w:rsid w:val="00F56B69"/>
    <w:rsid w:val="00F608FE"/>
    <w:rsid w:val="00F616E4"/>
    <w:rsid w:val="00F66347"/>
    <w:rsid w:val="00F66AE3"/>
    <w:rsid w:val="00F7069A"/>
    <w:rsid w:val="00F70FD1"/>
    <w:rsid w:val="00F70FD2"/>
    <w:rsid w:val="00F712F3"/>
    <w:rsid w:val="00F73F4D"/>
    <w:rsid w:val="00F74345"/>
    <w:rsid w:val="00F7625A"/>
    <w:rsid w:val="00F76283"/>
    <w:rsid w:val="00F772CD"/>
    <w:rsid w:val="00F80A0A"/>
    <w:rsid w:val="00F82B19"/>
    <w:rsid w:val="00F83E44"/>
    <w:rsid w:val="00F84CA8"/>
    <w:rsid w:val="00F85F61"/>
    <w:rsid w:val="00F907CF"/>
    <w:rsid w:val="00F90960"/>
    <w:rsid w:val="00F9212D"/>
    <w:rsid w:val="00F9292E"/>
    <w:rsid w:val="00F94A7E"/>
    <w:rsid w:val="00F965DA"/>
    <w:rsid w:val="00FA1CDD"/>
    <w:rsid w:val="00FA406A"/>
    <w:rsid w:val="00FB503A"/>
    <w:rsid w:val="00FB516C"/>
    <w:rsid w:val="00FB68FC"/>
    <w:rsid w:val="00FD0236"/>
    <w:rsid w:val="00FD18F4"/>
    <w:rsid w:val="00FD54DB"/>
    <w:rsid w:val="00FD619F"/>
    <w:rsid w:val="00FE3654"/>
    <w:rsid w:val="00FF6E1F"/>
    <w:rsid w:val="01103237"/>
    <w:rsid w:val="01147877"/>
    <w:rsid w:val="01175446"/>
    <w:rsid w:val="012515C4"/>
    <w:rsid w:val="012810B4"/>
    <w:rsid w:val="01281B77"/>
    <w:rsid w:val="01284C10"/>
    <w:rsid w:val="01290F7E"/>
    <w:rsid w:val="012A6BDB"/>
    <w:rsid w:val="012E7032"/>
    <w:rsid w:val="01306398"/>
    <w:rsid w:val="01354BEF"/>
    <w:rsid w:val="01395070"/>
    <w:rsid w:val="013E6E1F"/>
    <w:rsid w:val="01404BF0"/>
    <w:rsid w:val="01502A2E"/>
    <w:rsid w:val="015C48BA"/>
    <w:rsid w:val="015D1E09"/>
    <w:rsid w:val="016073E8"/>
    <w:rsid w:val="016E69F4"/>
    <w:rsid w:val="0173585E"/>
    <w:rsid w:val="01743E31"/>
    <w:rsid w:val="017F2F48"/>
    <w:rsid w:val="01871FA2"/>
    <w:rsid w:val="018877D3"/>
    <w:rsid w:val="018E7169"/>
    <w:rsid w:val="0192652E"/>
    <w:rsid w:val="01967DCC"/>
    <w:rsid w:val="019A35DA"/>
    <w:rsid w:val="019C3329"/>
    <w:rsid w:val="01A2719B"/>
    <w:rsid w:val="01A717A7"/>
    <w:rsid w:val="01AC3A93"/>
    <w:rsid w:val="01AC5842"/>
    <w:rsid w:val="01B131C5"/>
    <w:rsid w:val="01B20E5C"/>
    <w:rsid w:val="01D029AF"/>
    <w:rsid w:val="01D03FA9"/>
    <w:rsid w:val="01D50B0B"/>
    <w:rsid w:val="01D603CE"/>
    <w:rsid w:val="01D8228B"/>
    <w:rsid w:val="01DB7E89"/>
    <w:rsid w:val="01E4322D"/>
    <w:rsid w:val="01FC01DB"/>
    <w:rsid w:val="01FD609D"/>
    <w:rsid w:val="02105D56"/>
    <w:rsid w:val="021131FD"/>
    <w:rsid w:val="02117D9A"/>
    <w:rsid w:val="0213141D"/>
    <w:rsid w:val="02135908"/>
    <w:rsid w:val="02153BB4"/>
    <w:rsid w:val="021B502F"/>
    <w:rsid w:val="021E056F"/>
    <w:rsid w:val="022111AD"/>
    <w:rsid w:val="0227263C"/>
    <w:rsid w:val="022727F7"/>
    <w:rsid w:val="02274EC8"/>
    <w:rsid w:val="022A49B8"/>
    <w:rsid w:val="022E26FA"/>
    <w:rsid w:val="02355837"/>
    <w:rsid w:val="02356C2B"/>
    <w:rsid w:val="023575E5"/>
    <w:rsid w:val="023C0222"/>
    <w:rsid w:val="023C55FA"/>
    <w:rsid w:val="023F1C2D"/>
    <w:rsid w:val="02456BBE"/>
    <w:rsid w:val="024B7594"/>
    <w:rsid w:val="024E4B4B"/>
    <w:rsid w:val="02503BFA"/>
    <w:rsid w:val="02551A35"/>
    <w:rsid w:val="025A4C09"/>
    <w:rsid w:val="025E5171"/>
    <w:rsid w:val="026507F7"/>
    <w:rsid w:val="026659F0"/>
    <w:rsid w:val="026779BA"/>
    <w:rsid w:val="02697903"/>
    <w:rsid w:val="026C7C25"/>
    <w:rsid w:val="0270729D"/>
    <w:rsid w:val="02714CB5"/>
    <w:rsid w:val="02723822"/>
    <w:rsid w:val="02747437"/>
    <w:rsid w:val="0277353B"/>
    <w:rsid w:val="02785D0D"/>
    <w:rsid w:val="027D5ABE"/>
    <w:rsid w:val="027D6579"/>
    <w:rsid w:val="02836433"/>
    <w:rsid w:val="0284231A"/>
    <w:rsid w:val="028642E4"/>
    <w:rsid w:val="02877CCA"/>
    <w:rsid w:val="02931732"/>
    <w:rsid w:val="02962BCA"/>
    <w:rsid w:val="029D18A6"/>
    <w:rsid w:val="02A12520"/>
    <w:rsid w:val="02A604E3"/>
    <w:rsid w:val="02B065A4"/>
    <w:rsid w:val="02B418B3"/>
    <w:rsid w:val="02B97AB2"/>
    <w:rsid w:val="02BF3961"/>
    <w:rsid w:val="02CC3D79"/>
    <w:rsid w:val="02CC5F12"/>
    <w:rsid w:val="02CD2A7C"/>
    <w:rsid w:val="02CE2440"/>
    <w:rsid w:val="02D45050"/>
    <w:rsid w:val="02DF1815"/>
    <w:rsid w:val="02DF18B4"/>
    <w:rsid w:val="02E1776D"/>
    <w:rsid w:val="02ED698C"/>
    <w:rsid w:val="02F4124E"/>
    <w:rsid w:val="02F96569"/>
    <w:rsid w:val="02FF62A2"/>
    <w:rsid w:val="030555C0"/>
    <w:rsid w:val="030A23CE"/>
    <w:rsid w:val="03194519"/>
    <w:rsid w:val="031A04A8"/>
    <w:rsid w:val="032057EE"/>
    <w:rsid w:val="03242CA1"/>
    <w:rsid w:val="03265180"/>
    <w:rsid w:val="032B7DBE"/>
    <w:rsid w:val="03311103"/>
    <w:rsid w:val="033169AF"/>
    <w:rsid w:val="033306F3"/>
    <w:rsid w:val="03346008"/>
    <w:rsid w:val="0334789D"/>
    <w:rsid w:val="03356865"/>
    <w:rsid w:val="033873AB"/>
    <w:rsid w:val="033D4F97"/>
    <w:rsid w:val="03407427"/>
    <w:rsid w:val="034418D3"/>
    <w:rsid w:val="034A735D"/>
    <w:rsid w:val="03511D41"/>
    <w:rsid w:val="035322F2"/>
    <w:rsid w:val="0354402F"/>
    <w:rsid w:val="03580B6D"/>
    <w:rsid w:val="03746585"/>
    <w:rsid w:val="037B54CB"/>
    <w:rsid w:val="038360B5"/>
    <w:rsid w:val="038720C2"/>
    <w:rsid w:val="038D29A7"/>
    <w:rsid w:val="038D733A"/>
    <w:rsid w:val="03991864"/>
    <w:rsid w:val="03A93DFF"/>
    <w:rsid w:val="03B960F3"/>
    <w:rsid w:val="03BA0D49"/>
    <w:rsid w:val="03C2134C"/>
    <w:rsid w:val="03C6528B"/>
    <w:rsid w:val="03CC3F79"/>
    <w:rsid w:val="03E44156"/>
    <w:rsid w:val="03EA7B21"/>
    <w:rsid w:val="03F11040"/>
    <w:rsid w:val="03FD137B"/>
    <w:rsid w:val="040838C1"/>
    <w:rsid w:val="040C10D8"/>
    <w:rsid w:val="040E3DF0"/>
    <w:rsid w:val="04155920"/>
    <w:rsid w:val="041C3167"/>
    <w:rsid w:val="0422101C"/>
    <w:rsid w:val="04323616"/>
    <w:rsid w:val="043560BB"/>
    <w:rsid w:val="04384A3C"/>
    <w:rsid w:val="043908A3"/>
    <w:rsid w:val="04394805"/>
    <w:rsid w:val="04432CCA"/>
    <w:rsid w:val="044955EC"/>
    <w:rsid w:val="044C0C16"/>
    <w:rsid w:val="045952E1"/>
    <w:rsid w:val="045B52FD"/>
    <w:rsid w:val="045D4EAD"/>
    <w:rsid w:val="045F6B9B"/>
    <w:rsid w:val="0465520D"/>
    <w:rsid w:val="046A3BA0"/>
    <w:rsid w:val="046C750A"/>
    <w:rsid w:val="046F066B"/>
    <w:rsid w:val="04747F4B"/>
    <w:rsid w:val="04793034"/>
    <w:rsid w:val="04816171"/>
    <w:rsid w:val="0482531F"/>
    <w:rsid w:val="04842AA6"/>
    <w:rsid w:val="048C0F0D"/>
    <w:rsid w:val="048C3708"/>
    <w:rsid w:val="04901C36"/>
    <w:rsid w:val="049251C3"/>
    <w:rsid w:val="049D750D"/>
    <w:rsid w:val="049D76C3"/>
    <w:rsid w:val="049F168E"/>
    <w:rsid w:val="049F20BF"/>
    <w:rsid w:val="04A81354"/>
    <w:rsid w:val="04BA5C32"/>
    <w:rsid w:val="04BE5FB8"/>
    <w:rsid w:val="04CB7CC6"/>
    <w:rsid w:val="04E522D8"/>
    <w:rsid w:val="04F33554"/>
    <w:rsid w:val="04FE26C7"/>
    <w:rsid w:val="05013674"/>
    <w:rsid w:val="050339CA"/>
    <w:rsid w:val="05072F00"/>
    <w:rsid w:val="05085485"/>
    <w:rsid w:val="05244D73"/>
    <w:rsid w:val="0525637C"/>
    <w:rsid w:val="052940FE"/>
    <w:rsid w:val="052B1398"/>
    <w:rsid w:val="05363558"/>
    <w:rsid w:val="053822CE"/>
    <w:rsid w:val="053E3D4A"/>
    <w:rsid w:val="05403654"/>
    <w:rsid w:val="054F7FF9"/>
    <w:rsid w:val="055204AE"/>
    <w:rsid w:val="05525E95"/>
    <w:rsid w:val="055A7363"/>
    <w:rsid w:val="05602D29"/>
    <w:rsid w:val="05682619"/>
    <w:rsid w:val="056B3416"/>
    <w:rsid w:val="058D14E6"/>
    <w:rsid w:val="058E7825"/>
    <w:rsid w:val="058F34B0"/>
    <w:rsid w:val="05940AC6"/>
    <w:rsid w:val="059565ED"/>
    <w:rsid w:val="05A2106D"/>
    <w:rsid w:val="05B64EE1"/>
    <w:rsid w:val="05B73C25"/>
    <w:rsid w:val="05BD4B32"/>
    <w:rsid w:val="05BF5F0B"/>
    <w:rsid w:val="05C41034"/>
    <w:rsid w:val="05C55049"/>
    <w:rsid w:val="05D729DE"/>
    <w:rsid w:val="05D945E1"/>
    <w:rsid w:val="05E22667"/>
    <w:rsid w:val="05E64439"/>
    <w:rsid w:val="05F83EAE"/>
    <w:rsid w:val="05FB0F82"/>
    <w:rsid w:val="05FC57AD"/>
    <w:rsid w:val="06054ED0"/>
    <w:rsid w:val="060C2D53"/>
    <w:rsid w:val="06115E9C"/>
    <w:rsid w:val="06124A2F"/>
    <w:rsid w:val="06177615"/>
    <w:rsid w:val="061816F7"/>
    <w:rsid w:val="062736E9"/>
    <w:rsid w:val="06277B8D"/>
    <w:rsid w:val="063140EA"/>
    <w:rsid w:val="063302DF"/>
    <w:rsid w:val="063463A5"/>
    <w:rsid w:val="06363AB5"/>
    <w:rsid w:val="063775D8"/>
    <w:rsid w:val="06396ED3"/>
    <w:rsid w:val="063A78C0"/>
    <w:rsid w:val="063E0D25"/>
    <w:rsid w:val="063E7D85"/>
    <w:rsid w:val="06452248"/>
    <w:rsid w:val="06475B39"/>
    <w:rsid w:val="064D1A25"/>
    <w:rsid w:val="064E7882"/>
    <w:rsid w:val="0656545E"/>
    <w:rsid w:val="065834D3"/>
    <w:rsid w:val="06587D46"/>
    <w:rsid w:val="065F7326"/>
    <w:rsid w:val="06695AAF"/>
    <w:rsid w:val="066B09CE"/>
    <w:rsid w:val="066B5CCB"/>
    <w:rsid w:val="06710E08"/>
    <w:rsid w:val="06757A85"/>
    <w:rsid w:val="067F52D3"/>
    <w:rsid w:val="067F6BE4"/>
    <w:rsid w:val="06890FD4"/>
    <w:rsid w:val="068C425F"/>
    <w:rsid w:val="06930D7E"/>
    <w:rsid w:val="06986394"/>
    <w:rsid w:val="069A65B0"/>
    <w:rsid w:val="069F5975"/>
    <w:rsid w:val="06A178C6"/>
    <w:rsid w:val="06A534B3"/>
    <w:rsid w:val="06A922BE"/>
    <w:rsid w:val="06AB4061"/>
    <w:rsid w:val="06AD42D7"/>
    <w:rsid w:val="06B13EC8"/>
    <w:rsid w:val="06B95D03"/>
    <w:rsid w:val="06BC7426"/>
    <w:rsid w:val="06BC7C0D"/>
    <w:rsid w:val="06C254FC"/>
    <w:rsid w:val="06C42199"/>
    <w:rsid w:val="06C54CB0"/>
    <w:rsid w:val="06CA56B6"/>
    <w:rsid w:val="06CF1A49"/>
    <w:rsid w:val="06DC0977"/>
    <w:rsid w:val="06DF0467"/>
    <w:rsid w:val="06E415DA"/>
    <w:rsid w:val="06F064CE"/>
    <w:rsid w:val="06F3181D"/>
    <w:rsid w:val="0708176C"/>
    <w:rsid w:val="070A50DF"/>
    <w:rsid w:val="07164D88"/>
    <w:rsid w:val="07165009"/>
    <w:rsid w:val="071A4FFB"/>
    <w:rsid w:val="071C4121"/>
    <w:rsid w:val="07256D45"/>
    <w:rsid w:val="07287D16"/>
    <w:rsid w:val="07293586"/>
    <w:rsid w:val="07295285"/>
    <w:rsid w:val="072E047C"/>
    <w:rsid w:val="07315454"/>
    <w:rsid w:val="07346F7A"/>
    <w:rsid w:val="0737073E"/>
    <w:rsid w:val="073F0F06"/>
    <w:rsid w:val="0745191D"/>
    <w:rsid w:val="074541E7"/>
    <w:rsid w:val="0754087D"/>
    <w:rsid w:val="0757624F"/>
    <w:rsid w:val="07586F13"/>
    <w:rsid w:val="0762270B"/>
    <w:rsid w:val="07636392"/>
    <w:rsid w:val="07666493"/>
    <w:rsid w:val="07671E20"/>
    <w:rsid w:val="07706E59"/>
    <w:rsid w:val="0774295E"/>
    <w:rsid w:val="077614EF"/>
    <w:rsid w:val="07770C56"/>
    <w:rsid w:val="07791F27"/>
    <w:rsid w:val="077B118D"/>
    <w:rsid w:val="077C12C9"/>
    <w:rsid w:val="078A2181"/>
    <w:rsid w:val="079052BE"/>
    <w:rsid w:val="079C2625"/>
    <w:rsid w:val="07A31864"/>
    <w:rsid w:val="07A85ADE"/>
    <w:rsid w:val="07AF58CA"/>
    <w:rsid w:val="07B22FBF"/>
    <w:rsid w:val="07B23486"/>
    <w:rsid w:val="07B2466D"/>
    <w:rsid w:val="07BF2AC6"/>
    <w:rsid w:val="07C54C87"/>
    <w:rsid w:val="07C82CA9"/>
    <w:rsid w:val="07D80C1F"/>
    <w:rsid w:val="07DB478B"/>
    <w:rsid w:val="07DC4098"/>
    <w:rsid w:val="07DD49A7"/>
    <w:rsid w:val="07DE427B"/>
    <w:rsid w:val="07E32261"/>
    <w:rsid w:val="07EC6998"/>
    <w:rsid w:val="07F36949"/>
    <w:rsid w:val="07F6644C"/>
    <w:rsid w:val="08004E30"/>
    <w:rsid w:val="08017F69"/>
    <w:rsid w:val="08037CAA"/>
    <w:rsid w:val="080D2DB2"/>
    <w:rsid w:val="08163425"/>
    <w:rsid w:val="081935DF"/>
    <w:rsid w:val="081C10B5"/>
    <w:rsid w:val="081E0B63"/>
    <w:rsid w:val="082709F5"/>
    <w:rsid w:val="08271278"/>
    <w:rsid w:val="083002F2"/>
    <w:rsid w:val="08362309"/>
    <w:rsid w:val="08392233"/>
    <w:rsid w:val="085576EE"/>
    <w:rsid w:val="085D5AE7"/>
    <w:rsid w:val="08630ABE"/>
    <w:rsid w:val="08634780"/>
    <w:rsid w:val="086B7EE6"/>
    <w:rsid w:val="08783C2B"/>
    <w:rsid w:val="087C111E"/>
    <w:rsid w:val="08844E22"/>
    <w:rsid w:val="08850322"/>
    <w:rsid w:val="088C6DAF"/>
    <w:rsid w:val="0891753F"/>
    <w:rsid w:val="0898267C"/>
    <w:rsid w:val="089A2898"/>
    <w:rsid w:val="08A116F6"/>
    <w:rsid w:val="08A402CD"/>
    <w:rsid w:val="08A6228C"/>
    <w:rsid w:val="08A72892"/>
    <w:rsid w:val="08C07850"/>
    <w:rsid w:val="08C77405"/>
    <w:rsid w:val="08C9409F"/>
    <w:rsid w:val="08C94F2B"/>
    <w:rsid w:val="08CA47FF"/>
    <w:rsid w:val="08D4742C"/>
    <w:rsid w:val="08E17DFD"/>
    <w:rsid w:val="08E32BEA"/>
    <w:rsid w:val="08E75BCF"/>
    <w:rsid w:val="08F55F98"/>
    <w:rsid w:val="08F74F44"/>
    <w:rsid w:val="08F8223F"/>
    <w:rsid w:val="08FE4E3C"/>
    <w:rsid w:val="090441B5"/>
    <w:rsid w:val="09053F45"/>
    <w:rsid w:val="09077594"/>
    <w:rsid w:val="090C33A6"/>
    <w:rsid w:val="090E28F3"/>
    <w:rsid w:val="090F4F79"/>
    <w:rsid w:val="09135779"/>
    <w:rsid w:val="091768BF"/>
    <w:rsid w:val="091C14FF"/>
    <w:rsid w:val="091C32AD"/>
    <w:rsid w:val="091F7B45"/>
    <w:rsid w:val="092108C3"/>
    <w:rsid w:val="092217DD"/>
    <w:rsid w:val="09271591"/>
    <w:rsid w:val="09290881"/>
    <w:rsid w:val="092928B2"/>
    <w:rsid w:val="092A537F"/>
    <w:rsid w:val="092D4DF7"/>
    <w:rsid w:val="0930787D"/>
    <w:rsid w:val="093323A4"/>
    <w:rsid w:val="09337B5B"/>
    <w:rsid w:val="09380EEB"/>
    <w:rsid w:val="093920B1"/>
    <w:rsid w:val="093A3F13"/>
    <w:rsid w:val="093A7294"/>
    <w:rsid w:val="093B3AEC"/>
    <w:rsid w:val="093F126F"/>
    <w:rsid w:val="094568EC"/>
    <w:rsid w:val="094609AA"/>
    <w:rsid w:val="09480908"/>
    <w:rsid w:val="0949018F"/>
    <w:rsid w:val="0949632F"/>
    <w:rsid w:val="0955473A"/>
    <w:rsid w:val="09570789"/>
    <w:rsid w:val="095F13EB"/>
    <w:rsid w:val="096B4234"/>
    <w:rsid w:val="096C6CCA"/>
    <w:rsid w:val="097363A4"/>
    <w:rsid w:val="097529BD"/>
    <w:rsid w:val="09776735"/>
    <w:rsid w:val="09800A81"/>
    <w:rsid w:val="0981109C"/>
    <w:rsid w:val="09857786"/>
    <w:rsid w:val="098C5CAC"/>
    <w:rsid w:val="098E5218"/>
    <w:rsid w:val="09B81E6A"/>
    <w:rsid w:val="09BB0D18"/>
    <w:rsid w:val="09BE754E"/>
    <w:rsid w:val="09C000DC"/>
    <w:rsid w:val="09CB4CD3"/>
    <w:rsid w:val="09CD748A"/>
    <w:rsid w:val="09DF2B7D"/>
    <w:rsid w:val="09E16A4D"/>
    <w:rsid w:val="09E35E2B"/>
    <w:rsid w:val="09E40EF2"/>
    <w:rsid w:val="09E45E35"/>
    <w:rsid w:val="09E464BD"/>
    <w:rsid w:val="09E7549D"/>
    <w:rsid w:val="09EA33AB"/>
    <w:rsid w:val="09F56B95"/>
    <w:rsid w:val="09F677F4"/>
    <w:rsid w:val="0A0106F5"/>
    <w:rsid w:val="0A03621B"/>
    <w:rsid w:val="0A0623A5"/>
    <w:rsid w:val="0A083831"/>
    <w:rsid w:val="0A086CFC"/>
    <w:rsid w:val="0A0B5432"/>
    <w:rsid w:val="0A106D52"/>
    <w:rsid w:val="0A14667A"/>
    <w:rsid w:val="0A1D21EC"/>
    <w:rsid w:val="0A2452D6"/>
    <w:rsid w:val="0A2543E3"/>
    <w:rsid w:val="0A263993"/>
    <w:rsid w:val="0A295C26"/>
    <w:rsid w:val="0A2D3AC2"/>
    <w:rsid w:val="0A336104"/>
    <w:rsid w:val="0A375EC4"/>
    <w:rsid w:val="0A3A7C3C"/>
    <w:rsid w:val="0A3D303A"/>
    <w:rsid w:val="0A3E28FC"/>
    <w:rsid w:val="0A3F179C"/>
    <w:rsid w:val="0A4C4EA4"/>
    <w:rsid w:val="0A4C7BC2"/>
    <w:rsid w:val="0A530F50"/>
    <w:rsid w:val="0A5849FD"/>
    <w:rsid w:val="0A5A3134"/>
    <w:rsid w:val="0A661DAB"/>
    <w:rsid w:val="0A670558"/>
    <w:rsid w:val="0A6A20A8"/>
    <w:rsid w:val="0A726EFC"/>
    <w:rsid w:val="0A77078F"/>
    <w:rsid w:val="0A7C0DC0"/>
    <w:rsid w:val="0A863455"/>
    <w:rsid w:val="0A8A40FE"/>
    <w:rsid w:val="0A917CCA"/>
    <w:rsid w:val="0A937486"/>
    <w:rsid w:val="0A943999"/>
    <w:rsid w:val="0A9450C5"/>
    <w:rsid w:val="0A955D17"/>
    <w:rsid w:val="0A973EAB"/>
    <w:rsid w:val="0A975339"/>
    <w:rsid w:val="0AA22460"/>
    <w:rsid w:val="0AA755DF"/>
    <w:rsid w:val="0AA85950"/>
    <w:rsid w:val="0ABB291B"/>
    <w:rsid w:val="0ACD22BB"/>
    <w:rsid w:val="0AD25C4B"/>
    <w:rsid w:val="0ADC3A6D"/>
    <w:rsid w:val="0AE42770"/>
    <w:rsid w:val="0AE75875"/>
    <w:rsid w:val="0AE81CB5"/>
    <w:rsid w:val="0AFF38A1"/>
    <w:rsid w:val="0B0230B5"/>
    <w:rsid w:val="0B0E2868"/>
    <w:rsid w:val="0B120D44"/>
    <w:rsid w:val="0B151965"/>
    <w:rsid w:val="0B156206"/>
    <w:rsid w:val="0B1A4441"/>
    <w:rsid w:val="0B1F7084"/>
    <w:rsid w:val="0B236A84"/>
    <w:rsid w:val="0B270381"/>
    <w:rsid w:val="0B36513E"/>
    <w:rsid w:val="0B3E0100"/>
    <w:rsid w:val="0B3F5AFE"/>
    <w:rsid w:val="0B400B8F"/>
    <w:rsid w:val="0B4045DA"/>
    <w:rsid w:val="0B450C14"/>
    <w:rsid w:val="0B4542ED"/>
    <w:rsid w:val="0B463D60"/>
    <w:rsid w:val="0B550CF8"/>
    <w:rsid w:val="0B552993"/>
    <w:rsid w:val="0B5C2086"/>
    <w:rsid w:val="0B621AB9"/>
    <w:rsid w:val="0B705B32"/>
    <w:rsid w:val="0B7069F7"/>
    <w:rsid w:val="0B8709D7"/>
    <w:rsid w:val="0B89728E"/>
    <w:rsid w:val="0B8D65C1"/>
    <w:rsid w:val="0B931810"/>
    <w:rsid w:val="0B940FEC"/>
    <w:rsid w:val="0B9D1269"/>
    <w:rsid w:val="0B9D5FBE"/>
    <w:rsid w:val="0B9F1BA5"/>
    <w:rsid w:val="0B9F599B"/>
    <w:rsid w:val="0BA06117"/>
    <w:rsid w:val="0BA41DF4"/>
    <w:rsid w:val="0BA650B0"/>
    <w:rsid w:val="0BA9054D"/>
    <w:rsid w:val="0BAF5411"/>
    <w:rsid w:val="0BB86446"/>
    <w:rsid w:val="0BBD0B0B"/>
    <w:rsid w:val="0BC40B6A"/>
    <w:rsid w:val="0BCB720C"/>
    <w:rsid w:val="0BCF2858"/>
    <w:rsid w:val="0BD27BF6"/>
    <w:rsid w:val="0BD62EBC"/>
    <w:rsid w:val="0BDA2FAB"/>
    <w:rsid w:val="0BE34264"/>
    <w:rsid w:val="0BE43135"/>
    <w:rsid w:val="0BEA7692"/>
    <w:rsid w:val="0BEF6A57"/>
    <w:rsid w:val="0BF311FA"/>
    <w:rsid w:val="0BF87DA9"/>
    <w:rsid w:val="0BFA6F64"/>
    <w:rsid w:val="0BFE6A6E"/>
    <w:rsid w:val="0C014697"/>
    <w:rsid w:val="0C084D97"/>
    <w:rsid w:val="0C0B13B7"/>
    <w:rsid w:val="0C11587A"/>
    <w:rsid w:val="0C1343BD"/>
    <w:rsid w:val="0C16286A"/>
    <w:rsid w:val="0C175F3C"/>
    <w:rsid w:val="0C1B001C"/>
    <w:rsid w:val="0C1F1760"/>
    <w:rsid w:val="0C292035"/>
    <w:rsid w:val="0C295764"/>
    <w:rsid w:val="0C322969"/>
    <w:rsid w:val="0C3B3C7D"/>
    <w:rsid w:val="0C3D7288"/>
    <w:rsid w:val="0C41127C"/>
    <w:rsid w:val="0C485366"/>
    <w:rsid w:val="0C4A0131"/>
    <w:rsid w:val="0C4A6E11"/>
    <w:rsid w:val="0C597B9D"/>
    <w:rsid w:val="0C5D52BF"/>
    <w:rsid w:val="0C674764"/>
    <w:rsid w:val="0C697742"/>
    <w:rsid w:val="0C7157C2"/>
    <w:rsid w:val="0C796C68"/>
    <w:rsid w:val="0C7B29E0"/>
    <w:rsid w:val="0C7E22FF"/>
    <w:rsid w:val="0C7E63C9"/>
    <w:rsid w:val="0C8338C5"/>
    <w:rsid w:val="0C852AD9"/>
    <w:rsid w:val="0C9631A7"/>
    <w:rsid w:val="0C964388"/>
    <w:rsid w:val="0C966B61"/>
    <w:rsid w:val="0C98090D"/>
    <w:rsid w:val="0C9D4D88"/>
    <w:rsid w:val="0CA041F5"/>
    <w:rsid w:val="0CA17F67"/>
    <w:rsid w:val="0CA23AC9"/>
    <w:rsid w:val="0CA912FB"/>
    <w:rsid w:val="0CAB2EAE"/>
    <w:rsid w:val="0CAF4315"/>
    <w:rsid w:val="0CB11F5E"/>
    <w:rsid w:val="0CB532BF"/>
    <w:rsid w:val="0CB67574"/>
    <w:rsid w:val="0CB73534"/>
    <w:rsid w:val="0CB860E4"/>
    <w:rsid w:val="0CBB4B8B"/>
    <w:rsid w:val="0CBF0FEB"/>
    <w:rsid w:val="0CCC4E00"/>
    <w:rsid w:val="0CD21ED4"/>
    <w:rsid w:val="0CD27ED9"/>
    <w:rsid w:val="0CD63671"/>
    <w:rsid w:val="0CDA62F2"/>
    <w:rsid w:val="0CDB38B5"/>
    <w:rsid w:val="0CE9151B"/>
    <w:rsid w:val="0CE9576D"/>
    <w:rsid w:val="0CE95B9C"/>
    <w:rsid w:val="0CEF17A8"/>
    <w:rsid w:val="0CF46536"/>
    <w:rsid w:val="0CF959AF"/>
    <w:rsid w:val="0D046532"/>
    <w:rsid w:val="0D072C02"/>
    <w:rsid w:val="0D104E1B"/>
    <w:rsid w:val="0D1132E9"/>
    <w:rsid w:val="0D197B03"/>
    <w:rsid w:val="0D2070E4"/>
    <w:rsid w:val="0D2546FA"/>
    <w:rsid w:val="0D287438"/>
    <w:rsid w:val="0D2A3ABE"/>
    <w:rsid w:val="0D2F5B49"/>
    <w:rsid w:val="0D342839"/>
    <w:rsid w:val="0D417786"/>
    <w:rsid w:val="0D452426"/>
    <w:rsid w:val="0D470B14"/>
    <w:rsid w:val="0D4940E8"/>
    <w:rsid w:val="0D5350D9"/>
    <w:rsid w:val="0D5C6BBF"/>
    <w:rsid w:val="0D621C7D"/>
    <w:rsid w:val="0D65572E"/>
    <w:rsid w:val="0D65754D"/>
    <w:rsid w:val="0D6F0464"/>
    <w:rsid w:val="0D6F0C7B"/>
    <w:rsid w:val="0D7840A1"/>
    <w:rsid w:val="0D79308E"/>
    <w:rsid w:val="0D7A4A5B"/>
    <w:rsid w:val="0D7C07BE"/>
    <w:rsid w:val="0D7D0092"/>
    <w:rsid w:val="0D847672"/>
    <w:rsid w:val="0D8544BC"/>
    <w:rsid w:val="0D900AE1"/>
    <w:rsid w:val="0D9B4AE6"/>
    <w:rsid w:val="0D9F3A63"/>
    <w:rsid w:val="0DAB400E"/>
    <w:rsid w:val="0DB7347B"/>
    <w:rsid w:val="0DC80742"/>
    <w:rsid w:val="0DC93F32"/>
    <w:rsid w:val="0DD11D2A"/>
    <w:rsid w:val="0DD3509A"/>
    <w:rsid w:val="0DD70814"/>
    <w:rsid w:val="0DD8099E"/>
    <w:rsid w:val="0DE758F3"/>
    <w:rsid w:val="0DE87C01"/>
    <w:rsid w:val="0DEA3B98"/>
    <w:rsid w:val="0DEA5219"/>
    <w:rsid w:val="0DED5218"/>
    <w:rsid w:val="0DEE0F90"/>
    <w:rsid w:val="0DF91E5F"/>
    <w:rsid w:val="0DFD78A2"/>
    <w:rsid w:val="0DFE574F"/>
    <w:rsid w:val="0E063443"/>
    <w:rsid w:val="0E0C0298"/>
    <w:rsid w:val="0E0D4B6C"/>
    <w:rsid w:val="0E0F33E0"/>
    <w:rsid w:val="0E0F68E5"/>
    <w:rsid w:val="0E153684"/>
    <w:rsid w:val="0E190727"/>
    <w:rsid w:val="0E1924B1"/>
    <w:rsid w:val="0E214EC1"/>
    <w:rsid w:val="0E2A021A"/>
    <w:rsid w:val="0E2D3866"/>
    <w:rsid w:val="0E3570B2"/>
    <w:rsid w:val="0E3966AF"/>
    <w:rsid w:val="0E441DCC"/>
    <w:rsid w:val="0E446915"/>
    <w:rsid w:val="0E4554A4"/>
    <w:rsid w:val="0E4A4226"/>
    <w:rsid w:val="0E567261"/>
    <w:rsid w:val="0E65735B"/>
    <w:rsid w:val="0E7106D6"/>
    <w:rsid w:val="0E73034D"/>
    <w:rsid w:val="0E741495"/>
    <w:rsid w:val="0E745939"/>
    <w:rsid w:val="0E7D39E3"/>
    <w:rsid w:val="0E8004E8"/>
    <w:rsid w:val="0E8042DE"/>
    <w:rsid w:val="0E866405"/>
    <w:rsid w:val="0E8B6948"/>
    <w:rsid w:val="0E8D10BC"/>
    <w:rsid w:val="0E96629E"/>
    <w:rsid w:val="0E9D4F53"/>
    <w:rsid w:val="0EA3293F"/>
    <w:rsid w:val="0EAA3109"/>
    <w:rsid w:val="0EAC2AB8"/>
    <w:rsid w:val="0EB355D2"/>
    <w:rsid w:val="0EBB3A12"/>
    <w:rsid w:val="0EBC4F8B"/>
    <w:rsid w:val="0EBE66C8"/>
    <w:rsid w:val="0EBF1620"/>
    <w:rsid w:val="0EC06928"/>
    <w:rsid w:val="0EC3241C"/>
    <w:rsid w:val="0EC57542"/>
    <w:rsid w:val="0EC8487F"/>
    <w:rsid w:val="0ECB7A29"/>
    <w:rsid w:val="0ECD6B0C"/>
    <w:rsid w:val="0ED465C4"/>
    <w:rsid w:val="0EE257DD"/>
    <w:rsid w:val="0EED6D3F"/>
    <w:rsid w:val="0EF95E3E"/>
    <w:rsid w:val="0F0B5EB5"/>
    <w:rsid w:val="0F0C791F"/>
    <w:rsid w:val="0F107F05"/>
    <w:rsid w:val="0F13775A"/>
    <w:rsid w:val="0F220EF1"/>
    <w:rsid w:val="0F223E22"/>
    <w:rsid w:val="0F31568D"/>
    <w:rsid w:val="0F334E4E"/>
    <w:rsid w:val="0F360E40"/>
    <w:rsid w:val="0F36128D"/>
    <w:rsid w:val="0F39623B"/>
    <w:rsid w:val="0F3A7607"/>
    <w:rsid w:val="0F40581B"/>
    <w:rsid w:val="0F4C7F9B"/>
    <w:rsid w:val="0F5B3116"/>
    <w:rsid w:val="0F5F0397"/>
    <w:rsid w:val="0F5F45FE"/>
    <w:rsid w:val="0F656640"/>
    <w:rsid w:val="0F73799F"/>
    <w:rsid w:val="0F75307E"/>
    <w:rsid w:val="0F786C55"/>
    <w:rsid w:val="0F7E2CDC"/>
    <w:rsid w:val="0F8A5C48"/>
    <w:rsid w:val="0F8E7511"/>
    <w:rsid w:val="0F8E7F61"/>
    <w:rsid w:val="0F9022FF"/>
    <w:rsid w:val="0F96368D"/>
    <w:rsid w:val="0F986232"/>
    <w:rsid w:val="0F9A112B"/>
    <w:rsid w:val="0F9D4A1B"/>
    <w:rsid w:val="0F9F55C5"/>
    <w:rsid w:val="0FA83AEC"/>
    <w:rsid w:val="0FAC5DB9"/>
    <w:rsid w:val="0FB0474F"/>
    <w:rsid w:val="0FB04AF3"/>
    <w:rsid w:val="0FB12275"/>
    <w:rsid w:val="0FBA381F"/>
    <w:rsid w:val="0FBC7598"/>
    <w:rsid w:val="0FBF4992"/>
    <w:rsid w:val="0FC4644C"/>
    <w:rsid w:val="0FC7596C"/>
    <w:rsid w:val="0FCB4D46"/>
    <w:rsid w:val="0FCE1079"/>
    <w:rsid w:val="0FCF7D7A"/>
    <w:rsid w:val="0FDA0428"/>
    <w:rsid w:val="0FEF5809"/>
    <w:rsid w:val="0FEF5853"/>
    <w:rsid w:val="0FF401D8"/>
    <w:rsid w:val="0FF50919"/>
    <w:rsid w:val="0FF7412C"/>
    <w:rsid w:val="0FFC3E6D"/>
    <w:rsid w:val="0FFD7990"/>
    <w:rsid w:val="0FFE195E"/>
    <w:rsid w:val="100B407B"/>
    <w:rsid w:val="101055F2"/>
    <w:rsid w:val="101747CE"/>
    <w:rsid w:val="101A0E54"/>
    <w:rsid w:val="10207B26"/>
    <w:rsid w:val="102B0279"/>
    <w:rsid w:val="102D3EDB"/>
    <w:rsid w:val="102E0014"/>
    <w:rsid w:val="10505F32"/>
    <w:rsid w:val="10586CCF"/>
    <w:rsid w:val="10695EC4"/>
    <w:rsid w:val="106A3718"/>
    <w:rsid w:val="106B4B1A"/>
    <w:rsid w:val="106D2F64"/>
    <w:rsid w:val="10710382"/>
    <w:rsid w:val="1077137D"/>
    <w:rsid w:val="107C0C31"/>
    <w:rsid w:val="108809D6"/>
    <w:rsid w:val="10914580"/>
    <w:rsid w:val="10967DE9"/>
    <w:rsid w:val="10990728"/>
    <w:rsid w:val="109B377F"/>
    <w:rsid w:val="109F0D93"/>
    <w:rsid w:val="10A851C2"/>
    <w:rsid w:val="10A863FF"/>
    <w:rsid w:val="10AC760C"/>
    <w:rsid w:val="10AE7663"/>
    <w:rsid w:val="10B23B37"/>
    <w:rsid w:val="10B262A5"/>
    <w:rsid w:val="10B63710"/>
    <w:rsid w:val="10BB661E"/>
    <w:rsid w:val="10BD35C7"/>
    <w:rsid w:val="10BE2E9B"/>
    <w:rsid w:val="10C37280"/>
    <w:rsid w:val="10C4744A"/>
    <w:rsid w:val="10D17073"/>
    <w:rsid w:val="10D206F5"/>
    <w:rsid w:val="10DE1595"/>
    <w:rsid w:val="10E072B6"/>
    <w:rsid w:val="10E55803"/>
    <w:rsid w:val="10EC7A09"/>
    <w:rsid w:val="10ED6A59"/>
    <w:rsid w:val="10EF74F9"/>
    <w:rsid w:val="10F10820"/>
    <w:rsid w:val="10F16BE9"/>
    <w:rsid w:val="10F7385D"/>
    <w:rsid w:val="10F92343"/>
    <w:rsid w:val="10F949C9"/>
    <w:rsid w:val="10FC7CB8"/>
    <w:rsid w:val="10FE4AF6"/>
    <w:rsid w:val="11077A38"/>
    <w:rsid w:val="110D1962"/>
    <w:rsid w:val="110F3C89"/>
    <w:rsid w:val="111A43DE"/>
    <w:rsid w:val="111C2F7A"/>
    <w:rsid w:val="111E6436"/>
    <w:rsid w:val="1120341A"/>
    <w:rsid w:val="112058A0"/>
    <w:rsid w:val="11217992"/>
    <w:rsid w:val="112B2267"/>
    <w:rsid w:val="112B7DF2"/>
    <w:rsid w:val="112C24FB"/>
    <w:rsid w:val="112C75B3"/>
    <w:rsid w:val="113058D5"/>
    <w:rsid w:val="11333889"/>
    <w:rsid w:val="11382C4E"/>
    <w:rsid w:val="11395A0B"/>
    <w:rsid w:val="113B1891"/>
    <w:rsid w:val="114A1F19"/>
    <w:rsid w:val="114C19CB"/>
    <w:rsid w:val="114C73CD"/>
    <w:rsid w:val="114E06C3"/>
    <w:rsid w:val="115E2A5F"/>
    <w:rsid w:val="115E45A8"/>
    <w:rsid w:val="115E652A"/>
    <w:rsid w:val="115E66A9"/>
    <w:rsid w:val="116520A9"/>
    <w:rsid w:val="11665CA1"/>
    <w:rsid w:val="116D0968"/>
    <w:rsid w:val="1175289B"/>
    <w:rsid w:val="11812C2C"/>
    <w:rsid w:val="11816600"/>
    <w:rsid w:val="1182211B"/>
    <w:rsid w:val="118B5473"/>
    <w:rsid w:val="118E286E"/>
    <w:rsid w:val="119D50B2"/>
    <w:rsid w:val="11A1128D"/>
    <w:rsid w:val="11A50E7A"/>
    <w:rsid w:val="11A529B0"/>
    <w:rsid w:val="11B12A00"/>
    <w:rsid w:val="11B37D34"/>
    <w:rsid w:val="11B55C40"/>
    <w:rsid w:val="11B764B5"/>
    <w:rsid w:val="11B806DC"/>
    <w:rsid w:val="11B85B3D"/>
    <w:rsid w:val="11C27C58"/>
    <w:rsid w:val="11C479EB"/>
    <w:rsid w:val="11C75D80"/>
    <w:rsid w:val="11C91AF8"/>
    <w:rsid w:val="11C955FD"/>
    <w:rsid w:val="11CC5C5C"/>
    <w:rsid w:val="11D03473"/>
    <w:rsid w:val="11DC7BF6"/>
    <w:rsid w:val="11DD6B4B"/>
    <w:rsid w:val="11E474C5"/>
    <w:rsid w:val="11E903EC"/>
    <w:rsid w:val="11EC3A38"/>
    <w:rsid w:val="11F254F3"/>
    <w:rsid w:val="11F272A1"/>
    <w:rsid w:val="11F31744"/>
    <w:rsid w:val="11FE03A7"/>
    <w:rsid w:val="11FF376C"/>
    <w:rsid w:val="120174E4"/>
    <w:rsid w:val="12042B30"/>
    <w:rsid w:val="12051A40"/>
    <w:rsid w:val="120664A5"/>
    <w:rsid w:val="1209283C"/>
    <w:rsid w:val="12131DF4"/>
    <w:rsid w:val="121340A3"/>
    <w:rsid w:val="12137217"/>
    <w:rsid w:val="12171242"/>
    <w:rsid w:val="121A430B"/>
    <w:rsid w:val="12307CD9"/>
    <w:rsid w:val="12333415"/>
    <w:rsid w:val="12383FA4"/>
    <w:rsid w:val="124251C7"/>
    <w:rsid w:val="124473D0"/>
    <w:rsid w:val="124A103B"/>
    <w:rsid w:val="124E1305"/>
    <w:rsid w:val="12525F91"/>
    <w:rsid w:val="12547274"/>
    <w:rsid w:val="12573336"/>
    <w:rsid w:val="125910CE"/>
    <w:rsid w:val="125F765C"/>
    <w:rsid w:val="126B2BAF"/>
    <w:rsid w:val="127174C9"/>
    <w:rsid w:val="127203E1"/>
    <w:rsid w:val="12781D9A"/>
    <w:rsid w:val="12795E40"/>
    <w:rsid w:val="127A580F"/>
    <w:rsid w:val="127B54E8"/>
    <w:rsid w:val="127E427A"/>
    <w:rsid w:val="128356C6"/>
    <w:rsid w:val="128E3CC6"/>
    <w:rsid w:val="129157CC"/>
    <w:rsid w:val="1292592B"/>
    <w:rsid w:val="129A78D2"/>
    <w:rsid w:val="129C4394"/>
    <w:rsid w:val="129D48FA"/>
    <w:rsid w:val="12B345CA"/>
    <w:rsid w:val="12B4451D"/>
    <w:rsid w:val="12B74046"/>
    <w:rsid w:val="12B80C0F"/>
    <w:rsid w:val="12BF1315"/>
    <w:rsid w:val="12C43900"/>
    <w:rsid w:val="12C45791"/>
    <w:rsid w:val="12D0352F"/>
    <w:rsid w:val="12D469A6"/>
    <w:rsid w:val="12DB3A27"/>
    <w:rsid w:val="12E070F9"/>
    <w:rsid w:val="12E52961"/>
    <w:rsid w:val="12ED01C1"/>
    <w:rsid w:val="12F74AC1"/>
    <w:rsid w:val="12FB644E"/>
    <w:rsid w:val="12FC7CAB"/>
    <w:rsid w:val="12FD51F6"/>
    <w:rsid w:val="130473FA"/>
    <w:rsid w:val="1305185B"/>
    <w:rsid w:val="130660C5"/>
    <w:rsid w:val="130B6901"/>
    <w:rsid w:val="130D3C66"/>
    <w:rsid w:val="130E4AA7"/>
    <w:rsid w:val="130F5C30"/>
    <w:rsid w:val="13100591"/>
    <w:rsid w:val="13135720"/>
    <w:rsid w:val="1318619B"/>
    <w:rsid w:val="131D7AD7"/>
    <w:rsid w:val="131E6CF3"/>
    <w:rsid w:val="13257202"/>
    <w:rsid w:val="13326F6F"/>
    <w:rsid w:val="1336140F"/>
    <w:rsid w:val="133C49A3"/>
    <w:rsid w:val="13431047"/>
    <w:rsid w:val="134C196E"/>
    <w:rsid w:val="134F35CA"/>
    <w:rsid w:val="13516249"/>
    <w:rsid w:val="13580A0A"/>
    <w:rsid w:val="135A6AFE"/>
    <w:rsid w:val="135E7486"/>
    <w:rsid w:val="13607479"/>
    <w:rsid w:val="13623646"/>
    <w:rsid w:val="13637D2A"/>
    <w:rsid w:val="136917E4"/>
    <w:rsid w:val="136B0C18"/>
    <w:rsid w:val="136E10B5"/>
    <w:rsid w:val="13722240"/>
    <w:rsid w:val="137E1673"/>
    <w:rsid w:val="137E1CE9"/>
    <w:rsid w:val="137E6912"/>
    <w:rsid w:val="13811F3C"/>
    <w:rsid w:val="1385172F"/>
    <w:rsid w:val="13887774"/>
    <w:rsid w:val="13944495"/>
    <w:rsid w:val="139454A4"/>
    <w:rsid w:val="13951726"/>
    <w:rsid w:val="13972729"/>
    <w:rsid w:val="13A758CB"/>
    <w:rsid w:val="13B126DB"/>
    <w:rsid w:val="13B62550"/>
    <w:rsid w:val="13BC2734"/>
    <w:rsid w:val="13C0495F"/>
    <w:rsid w:val="13C605FB"/>
    <w:rsid w:val="13C93E59"/>
    <w:rsid w:val="13CA3801"/>
    <w:rsid w:val="13CB241D"/>
    <w:rsid w:val="13CB5055"/>
    <w:rsid w:val="13CC3B21"/>
    <w:rsid w:val="13D03F23"/>
    <w:rsid w:val="13D14496"/>
    <w:rsid w:val="13D45031"/>
    <w:rsid w:val="13E56991"/>
    <w:rsid w:val="13E76389"/>
    <w:rsid w:val="13F333ED"/>
    <w:rsid w:val="13F54834"/>
    <w:rsid w:val="13FF14F4"/>
    <w:rsid w:val="140137CB"/>
    <w:rsid w:val="140504E8"/>
    <w:rsid w:val="14076907"/>
    <w:rsid w:val="140825FF"/>
    <w:rsid w:val="140D46BB"/>
    <w:rsid w:val="141762CB"/>
    <w:rsid w:val="141C16A8"/>
    <w:rsid w:val="1423752F"/>
    <w:rsid w:val="14264154"/>
    <w:rsid w:val="142C75F7"/>
    <w:rsid w:val="142F202D"/>
    <w:rsid w:val="14301E78"/>
    <w:rsid w:val="14396509"/>
    <w:rsid w:val="14397409"/>
    <w:rsid w:val="144204BF"/>
    <w:rsid w:val="14433D2A"/>
    <w:rsid w:val="1449010B"/>
    <w:rsid w:val="144D3821"/>
    <w:rsid w:val="145E6E6F"/>
    <w:rsid w:val="146F3F92"/>
    <w:rsid w:val="147026FF"/>
    <w:rsid w:val="14783573"/>
    <w:rsid w:val="14790799"/>
    <w:rsid w:val="148443FC"/>
    <w:rsid w:val="14850E37"/>
    <w:rsid w:val="148731C1"/>
    <w:rsid w:val="1494463F"/>
    <w:rsid w:val="149503B7"/>
    <w:rsid w:val="14965072"/>
    <w:rsid w:val="149A4376"/>
    <w:rsid w:val="14AB2EA6"/>
    <w:rsid w:val="14AB5807"/>
    <w:rsid w:val="14AB6DD6"/>
    <w:rsid w:val="14AD74AF"/>
    <w:rsid w:val="14BC3B96"/>
    <w:rsid w:val="14BC49DF"/>
    <w:rsid w:val="14C01F6E"/>
    <w:rsid w:val="14C15A62"/>
    <w:rsid w:val="14C2077F"/>
    <w:rsid w:val="14D02B5C"/>
    <w:rsid w:val="14DA1920"/>
    <w:rsid w:val="14DD2C3C"/>
    <w:rsid w:val="14DF3FA4"/>
    <w:rsid w:val="14E31122"/>
    <w:rsid w:val="14EA104F"/>
    <w:rsid w:val="14ED7D61"/>
    <w:rsid w:val="14EF0468"/>
    <w:rsid w:val="14F31204"/>
    <w:rsid w:val="14F531E2"/>
    <w:rsid w:val="14F813F2"/>
    <w:rsid w:val="1500009E"/>
    <w:rsid w:val="15020459"/>
    <w:rsid w:val="150317C5"/>
    <w:rsid w:val="150B57EE"/>
    <w:rsid w:val="15127C5A"/>
    <w:rsid w:val="151E0DBA"/>
    <w:rsid w:val="152118C2"/>
    <w:rsid w:val="152445CF"/>
    <w:rsid w:val="15252D67"/>
    <w:rsid w:val="152F4368"/>
    <w:rsid w:val="15341612"/>
    <w:rsid w:val="15366786"/>
    <w:rsid w:val="153951E6"/>
    <w:rsid w:val="153B4ABB"/>
    <w:rsid w:val="15401FB8"/>
    <w:rsid w:val="1544705C"/>
    <w:rsid w:val="154537CD"/>
    <w:rsid w:val="154708D5"/>
    <w:rsid w:val="1547668B"/>
    <w:rsid w:val="15485429"/>
    <w:rsid w:val="154C1DE6"/>
    <w:rsid w:val="154D0C92"/>
    <w:rsid w:val="154D47EE"/>
    <w:rsid w:val="15524ACB"/>
    <w:rsid w:val="15556AE8"/>
    <w:rsid w:val="155B515D"/>
    <w:rsid w:val="155F20B6"/>
    <w:rsid w:val="156127CF"/>
    <w:rsid w:val="1561297C"/>
    <w:rsid w:val="157875A7"/>
    <w:rsid w:val="158741A4"/>
    <w:rsid w:val="158C516A"/>
    <w:rsid w:val="15913A32"/>
    <w:rsid w:val="15922B33"/>
    <w:rsid w:val="159349F2"/>
    <w:rsid w:val="159D3636"/>
    <w:rsid w:val="15A308B2"/>
    <w:rsid w:val="15A61375"/>
    <w:rsid w:val="15AC7F45"/>
    <w:rsid w:val="15BC1ADF"/>
    <w:rsid w:val="15BF393E"/>
    <w:rsid w:val="15C36BBD"/>
    <w:rsid w:val="15C56639"/>
    <w:rsid w:val="15CE09A0"/>
    <w:rsid w:val="15D03760"/>
    <w:rsid w:val="15D75342"/>
    <w:rsid w:val="15D8055B"/>
    <w:rsid w:val="15E433A4"/>
    <w:rsid w:val="15E91E7A"/>
    <w:rsid w:val="15F1161D"/>
    <w:rsid w:val="15F335E7"/>
    <w:rsid w:val="15F64E85"/>
    <w:rsid w:val="15FA6724"/>
    <w:rsid w:val="15FC7936"/>
    <w:rsid w:val="15FF1F8C"/>
    <w:rsid w:val="1605316E"/>
    <w:rsid w:val="16087E1D"/>
    <w:rsid w:val="160A4900"/>
    <w:rsid w:val="160D0243"/>
    <w:rsid w:val="160E0421"/>
    <w:rsid w:val="160E205C"/>
    <w:rsid w:val="160E7536"/>
    <w:rsid w:val="16157A16"/>
    <w:rsid w:val="1618304E"/>
    <w:rsid w:val="161A5018"/>
    <w:rsid w:val="161D2B21"/>
    <w:rsid w:val="162328AE"/>
    <w:rsid w:val="16244329"/>
    <w:rsid w:val="162A21F9"/>
    <w:rsid w:val="1633011A"/>
    <w:rsid w:val="16361726"/>
    <w:rsid w:val="163B1346"/>
    <w:rsid w:val="16473933"/>
    <w:rsid w:val="164B6F7F"/>
    <w:rsid w:val="165A3212"/>
    <w:rsid w:val="165C086B"/>
    <w:rsid w:val="165C37B8"/>
    <w:rsid w:val="16656986"/>
    <w:rsid w:val="1666568D"/>
    <w:rsid w:val="166B783E"/>
    <w:rsid w:val="16720B59"/>
    <w:rsid w:val="16750DED"/>
    <w:rsid w:val="16823BEC"/>
    <w:rsid w:val="16856222"/>
    <w:rsid w:val="168A27B3"/>
    <w:rsid w:val="168B08DF"/>
    <w:rsid w:val="168C441F"/>
    <w:rsid w:val="168E3310"/>
    <w:rsid w:val="16957015"/>
    <w:rsid w:val="169F0204"/>
    <w:rsid w:val="16A44789"/>
    <w:rsid w:val="16A8493F"/>
    <w:rsid w:val="16AB2114"/>
    <w:rsid w:val="16B014D8"/>
    <w:rsid w:val="16B43C10"/>
    <w:rsid w:val="16B92C33"/>
    <w:rsid w:val="16BB3D8E"/>
    <w:rsid w:val="16C24879"/>
    <w:rsid w:val="16CB6312"/>
    <w:rsid w:val="16CF7BB0"/>
    <w:rsid w:val="16D4025C"/>
    <w:rsid w:val="16D46F5F"/>
    <w:rsid w:val="16D72F09"/>
    <w:rsid w:val="16D8502D"/>
    <w:rsid w:val="16D937A2"/>
    <w:rsid w:val="16DB4346"/>
    <w:rsid w:val="16DC22CD"/>
    <w:rsid w:val="16E26BEB"/>
    <w:rsid w:val="16E30E75"/>
    <w:rsid w:val="16ED3B2F"/>
    <w:rsid w:val="16F90268"/>
    <w:rsid w:val="16F947A3"/>
    <w:rsid w:val="16FA6348"/>
    <w:rsid w:val="16FC3FE3"/>
    <w:rsid w:val="170A534A"/>
    <w:rsid w:val="170A7728"/>
    <w:rsid w:val="170D06D9"/>
    <w:rsid w:val="17122457"/>
    <w:rsid w:val="171550C1"/>
    <w:rsid w:val="17395601"/>
    <w:rsid w:val="173C2D6C"/>
    <w:rsid w:val="173C78AD"/>
    <w:rsid w:val="173E0892"/>
    <w:rsid w:val="173E6F1A"/>
    <w:rsid w:val="17495866"/>
    <w:rsid w:val="17516470"/>
    <w:rsid w:val="1756166E"/>
    <w:rsid w:val="175A6092"/>
    <w:rsid w:val="176279B7"/>
    <w:rsid w:val="176C53FF"/>
    <w:rsid w:val="17701D14"/>
    <w:rsid w:val="17735226"/>
    <w:rsid w:val="17740758"/>
    <w:rsid w:val="177C795F"/>
    <w:rsid w:val="17842F20"/>
    <w:rsid w:val="1789548D"/>
    <w:rsid w:val="17936AB8"/>
    <w:rsid w:val="179901BE"/>
    <w:rsid w:val="179C0A16"/>
    <w:rsid w:val="179D4510"/>
    <w:rsid w:val="17AB2259"/>
    <w:rsid w:val="17AD6B73"/>
    <w:rsid w:val="17B725B4"/>
    <w:rsid w:val="17BC4423"/>
    <w:rsid w:val="17BF5E77"/>
    <w:rsid w:val="17CA6516"/>
    <w:rsid w:val="17CA65CA"/>
    <w:rsid w:val="17CB59D4"/>
    <w:rsid w:val="17CD7797"/>
    <w:rsid w:val="17D14076"/>
    <w:rsid w:val="17DA6A2A"/>
    <w:rsid w:val="17DB1503"/>
    <w:rsid w:val="17DE5C7B"/>
    <w:rsid w:val="17DF339A"/>
    <w:rsid w:val="17E10487"/>
    <w:rsid w:val="17E43D1C"/>
    <w:rsid w:val="17E66AB3"/>
    <w:rsid w:val="17EA008B"/>
    <w:rsid w:val="17EC499C"/>
    <w:rsid w:val="17F13B56"/>
    <w:rsid w:val="17F74F01"/>
    <w:rsid w:val="18020407"/>
    <w:rsid w:val="18030251"/>
    <w:rsid w:val="180E64B6"/>
    <w:rsid w:val="18163084"/>
    <w:rsid w:val="18175C5D"/>
    <w:rsid w:val="1818352B"/>
    <w:rsid w:val="1820443C"/>
    <w:rsid w:val="18223446"/>
    <w:rsid w:val="1823063E"/>
    <w:rsid w:val="18254844"/>
    <w:rsid w:val="183C08E0"/>
    <w:rsid w:val="183E2188"/>
    <w:rsid w:val="183F4A1B"/>
    <w:rsid w:val="184A3267"/>
    <w:rsid w:val="184D058D"/>
    <w:rsid w:val="184E2D57"/>
    <w:rsid w:val="184F33D6"/>
    <w:rsid w:val="18523868"/>
    <w:rsid w:val="186C5975"/>
    <w:rsid w:val="187D188E"/>
    <w:rsid w:val="1883095A"/>
    <w:rsid w:val="18881D03"/>
    <w:rsid w:val="18887209"/>
    <w:rsid w:val="18903F75"/>
    <w:rsid w:val="1890511D"/>
    <w:rsid w:val="18985C20"/>
    <w:rsid w:val="189F624C"/>
    <w:rsid w:val="18A64941"/>
    <w:rsid w:val="18AB1F57"/>
    <w:rsid w:val="18B31426"/>
    <w:rsid w:val="18B52DD6"/>
    <w:rsid w:val="18B878CC"/>
    <w:rsid w:val="18BE012C"/>
    <w:rsid w:val="18C1094B"/>
    <w:rsid w:val="18C70FAC"/>
    <w:rsid w:val="18CE3E98"/>
    <w:rsid w:val="18CF239C"/>
    <w:rsid w:val="18DF2055"/>
    <w:rsid w:val="18E07BC9"/>
    <w:rsid w:val="18E67433"/>
    <w:rsid w:val="18EF1CB1"/>
    <w:rsid w:val="18F65C8F"/>
    <w:rsid w:val="18F76253"/>
    <w:rsid w:val="19013D83"/>
    <w:rsid w:val="1901794F"/>
    <w:rsid w:val="19094ED0"/>
    <w:rsid w:val="190A7041"/>
    <w:rsid w:val="191E6171"/>
    <w:rsid w:val="191E61EF"/>
    <w:rsid w:val="192166BD"/>
    <w:rsid w:val="19235889"/>
    <w:rsid w:val="192817FA"/>
    <w:rsid w:val="19297320"/>
    <w:rsid w:val="192D3393"/>
    <w:rsid w:val="192F4936"/>
    <w:rsid w:val="19341721"/>
    <w:rsid w:val="193A3A72"/>
    <w:rsid w:val="193B777F"/>
    <w:rsid w:val="193C2814"/>
    <w:rsid w:val="19424690"/>
    <w:rsid w:val="194303E2"/>
    <w:rsid w:val="19466328"/>
    <w:rsid w:val="19486C36"/>
    <w:rsid w:val="194D7441"/>
    <w:rsid w:val="195B488E"/>
    <w:rsid w:val="195E04BB"/>
    <w:rsid w:val="19603F1C"/>
    <w:rsid w:val="19614D0C"/>
    <w:rsid w:val="196A0064"/>
    <w:rsid w:val="196D15E0"/>
    <w:rsid w:val="196F11D7"/>
    <w:rsid w:val="197D7D98"/>
    <w:rsid w:val="1983388C"/>
    <w:rsid w:val="19834C82"/>
    <w:rsid w:val="198B6EF4"/>
    <w:rsid w:val="198C4BE9"/>
    <w:rsid w:val="198D08A9"/>
    <w:rsid w:val="19921369"/>
    <w:rsid w:val="19A81450"/>
    <w:rsid w:val="19AE26F1"/>
    <w:rsid w:val="19B66E06"/>
    <w:rsid w:val="19B7492C"/>
    <w:rsid w:val="19B80DD0"/>
    <w:rsid w:val="19BA78F9"/>
    <w:rsid w:val="19C0183D"/>
    <w:rsid w:val="19C07EE9"/>
    <w:rsid w:val="19C172FA"/>
    <w:rsid w:val="19C257AA"/>
    <w:rsid w:val="19C44917"/>
    <w:rsid w:val="19CC6629"/>
    <w:rsid w:val="19D60609"/>
    <w:rsid w:val="19D87DF2"/>
    <w:rsid w:val="19E042E8"/>
    <w:rsid w:val="19E27888"/>
    <w:rsid w:val="19E55A05"/>
    <w:rsid w:val="19E920D7"/>
    <w:rsid w:val="19EC4FBE"/>
    <w:rsid w:val="19EE47F1"/>
    <w:rsid w:val="19EF2E10"/>
    <w:rsid w:val="19EF5AF8"/>
    <w:rsid w:val="19F66B35"/>
    <w:rsid w:val="19F86415"/>
    <w:rsid w:val="19FC3DEC"/>
    <w:rsid w:val="1A04496E"/>
    <w:rsid w:val="1A06262D"/>
    <w:rsid w:val="1A076DE9"/>
    <w:rsid w:val="1A080CF3"/>
    <w:rsid w:val="1A0933D9"/>
    <w:rsid w:val="1A0958A7"/>
    <w:rsid w:val="1A0C377F"/>
    <w:rsid w:val="1A101EBF"/>
    <w:rsid w:val="1A145B6D"/>
    <w:rsid w:val="1A1636E5"/>
    <w:rsid w:val="1A187634"/>
    <w:rsid w:val="1A1C66C0"/>
    <w:rsid w:val="1A237DD7"/>
    <w:rsid w:val="1A2C531A"/>
    <w:rsid w:val="1A2D0631"/>
    <w:rsid w:val="1A3348FA"/>
    <w:rsid w:val="1A375B71"/>
    <w:rsid w:val="1A3A395D"/>
    <w:rsid w:val="1A3B5AFB"/>
    <w:rsid w:val="1A42393B"/>
    <w:rsid w:val="1A4C40C5"/>
    <w:rsid w:val="1A502040"/>
    <w:rsid w:val="1A503225"/>
    <w:rsid w:val="1A525767"/>
    <w:rsid w:val="1A587321"/>
    <w:rsid w:val="1A5F56EF"/>
    <w:rsid w:val="1A620D3B"/>
    <w:rsid w:val="1A66082C"/>
    <w:rsid w:val="1A6759BA"/>
    <w:rsid w:val="1A77646D"/>
    <w:rsid w:val="1A7C631B"/>
    <w:rsid w:val="1A7D3DC7"/>
    <w:rsid w:val="1A7E584B"/>
    <w:rsid w:val="1A80015A"/>
    <w:rsid w:val="1A8935AF"/>
    <w:rsid w:val="1A972B45"/>
    <w:rsid w:val="1AA3331E"/>
    <w:rsid w:val="1AA6030E"/>
    <w:rsid w:val="1AAD45DE"/>
    <w:rsid w:val="1AB03FFA"/>
    <w:rsid w:val="1AB570BD"/>
    <w:rsid w:val="1ABB580D"/>
    <w:rsid w:val="1ABC0F01"/>
    <w:rsid w:val="1AC83294"/>
    <w:rsid w:val="1AC9700C"/>
    <w:rsid w:val="1ACD2659"/>
    <w:rsid w:val="1AD0039B"/>
    <w:rsid w:val="1ADD6873"/>
    <w:rsid w:val="1AE7212C"/>
    <w:rsid w:val="1AEC51A4"/>
    <w:rsid w:val="1AF23E6D"/>
    <w:rsid w:val="1AF5284A"/>
    <w:rsid w:val="1AFA71C6"/>
    <w:rsid w:val="1AFF2A2E"/>
    <w:rsid w:val="1B016003"/>
    <w:rsid w:val="1B046F80"/>
    <w:rsid w:val="1B056876"/>
    <w:rsid w:val="1B1254ED"/>
    <w:rsid w:val="1B1765A9"/>
    <w:rsid w:val="1B1C1F38"/>
    <w:rsid w:val="1B2027B4"/>
    <w:rsid w:val="1B2304CB"/>
    <w:rsid w:val="1B2772DB"/>
    <w:rsid w:val="1B3143F3"/>
    <w:rsid w:val="1B326451"/>
    <w:rsid w:val="1B3267B5"/>
    <w:rsid w:val="1B331653"/>
    <w:rsid w:val="1B370227"/>
    <w:rsid w:val="1B3D7510"/>
    <w:rsid w:val="1B3E12F9"/>
    <w:rsid w:val="1B40161D"/>
    <w:rsid w:val="1B441859"/>
    <w:rsid w:val="1B4A3DD6"/>
    <w:rsid w:val="1B4B2737"/>
    <w:rsid w:val="1B4B7A22"/>
    <w:rsid w:val="1B4E58B4"/>
    <w:rsid w:val="1B505FC3"/>
    <w:rsid w:val="1B5E6A1E"/>
    <w:rsid w:val="1B6606B1"/>
    <w:rsid w:val="1B684E18"/>
    <w:rsid w:val="1B6A4D1C"/>
    <w:rsid w:val="1B6D41E1"/>
    <w:rsid w:val="1B7C3DBE"/>
    <w:rsid w:val="1B7D5FE1"/>
    <w:rsid w:val="1B7E7CEF"/>
    <w:rsid w:val="1B9118D8"/>
    <w:rsid w:val="1B917CE4"/>
    <w:rsid w:val="1BAD37F3"/>
    <w:rsid w:val="1BB261A2"/>
    <w:rsid w:val="1BB43819"/>
    <w:rsid w:val="1BB90339"/>
    <w:rsid w:val="1BBC0395"/>
    <w:rsid w:val="1BC9004E"/>
    <w:rsid w:val="1BCE2C84"/>
    <w:rsid w:val="1BD04B6C"/>
    <w:rsid w:val="1BD111DE"/>
    <w:rsid w:val="1BD73C5B"/>
    <w:rsid w:val="1BE34A66"/>
    <w:rsid w:val="1BF108A5"/>
    <w:rsid w:val="1BF63337"/>
    <w:rsid w:val="1BFC22AB"/>
    <w:rsid w:val="1C060AD5"/>
    <w:rsid w:val="1C146065"/>
    <w:rsid w:val="1C156D4C"/>
    <w:rsid w:val="1C1A0D0A"/>
    <w:rsid w:val="1C1B0031"/>
    <w:rsid w:val="1C1B59D2"/>
    <w:rsid w:val="1C1C4F1A"/>
    <w:rsid w:val="1C1E35F5"/>
    <w:rsid w:val="1C1E4F40"/>
    <w:rsid w:val="1C29338A"/>
    <w:rsid w:val="1C2D0B81"/>
    <w:rsid w:val="1C2E35CB"/>
    <w:rsid w:val="1C2F46F9"/>
    <w:rsid w:val="1C2F4A12"/>
    <w:rsid w:val="1C327E77"/>
    <w:rsid w:val="1C384865"/>
    <w:rsid w:val="1C3861F8"/>
    <w:rsid w:val="1C3B5CE8"/>
    <w:rsid w:val="1C40717A"/>
    <w:rsid w:val="1C4E5A1B"/>
    <w:rsid w:val="1C516C2F"/>
    <w:rsid w:val="1C5B466F"/>
    <w:rsid w:val="1C5D76CC"/>
    <w:rsid w:val="1C5E7925"/>
    <w:rsid w:val="1C665808"/>
    <w:rsid w:val="1C676ADD"/>
    <w:rsid w:val="1C684B2F"/>
    <w:rsid w:val="1C69558D"/>
    <w:rsid w:val="1C740248"/>
    <w:rsid w:val="1C7C3066"/>
    <w:rsid w:val="1C83165E"/>
    <w:rsid w:val="1C8665F7"/>
    <w:rsid w:val="1C9378D2"/>
    <w:rsid w:val="1C9D42AD"/>
    <w:rsid w:val="1CA72709"/>
    <w:rsid w:val="1CAC707E"/>
    <w:rsid w:val="1CB3587E"/>
    <w:rsid w:val="1CB47A39"/>
    <w:rsid w:val="1CB97FDE"/>
    <w:rsid w:val="1CBA4E5F"/>
    <w:rsid w:val="1CBD66FD"/>
    <w:rsid w:val="1CC53B13"/>
    <w:rsid w:val="1CCA0911"/>
    <w:rsid w:val="1CCB3563"/>
    <w:rsid w:val="1CD1476C"/>
    <w:rsid w:val="1CD7615D"/>
    <w:rsid w:val="1CD90AFE"/>
    <w:rsid w:val="1CDD24CA"/>
    <w:rsid w:val="1CDF6429"/>
    <w:rsid w:val="1CE30D2D"/>
    <w:rsid w:val="1CE417A6"/>
    <w:rsid w:val="1CEA33EA"/>
    <w:rsid w:val="1CEC2B3E"/>
    <w:rsid w:val="1CF57C45"/>
    <w:rsid w:val="1CFB2778"/>
    <w:rsid w:val="1CFD070F"/>
    <w:rsid w:val="1CFD541C"/>
    <w:rsid w:val="1D025F3C"/>
    <w:rsid w:val="1D081BAD"/>
    <w:rsid w:val="1D0F659E"/>
    <w:rsid w:val="1D1001FE"/>
    <w:rsid w:val="1D102CD1"/>
    <w:rsid w:val="1D1C1E42"/>
    <w:rsid w:val="1D1D7946"/>
    <w:rsid w:val="1D2247B2"/>
    <w:rsid w:val="1D225C62"/>
    <w:rsid w:val="1D2642A2"/>
    <w:rsid w:val="1D2B534D"/>
    <w:rsid w:val="1D2F675F"/>
    <w:rsid w:val="1D315193"/>
    <w:rsid w:val="1D344C11"/>
    <w:rsid w:val="1D3A209E"/>
    <w:rsid w:val="1D3A65BE"/>
    <w:rsid w:val="1D3C44CF"/>
    <w:rsid w:val="1D3D14B8"/>
    <w:rsid w:val="1D4068E8"/>
    <w:rsid w:val="1D503877"/>
    <w:rsid w:val="1D5133D6"/>
    <w:rsid w:val="1D553326"/>
    <w:rsid w:val="1D594678"/>
    <w:rsid w:val="1D5B6FDB"/>
    <w:rsid w:val="1D5F6196"/>
    <w:rsid w:val="1D6132A5"/>
    <w:rsid w:val="1D630648"/>
    <w:rsid w:val="1D735617"/>
    <w:rsid w:val="1D792624"/>
    <w:rsid w:val="1D7935AF"/>
    <w:rsid w:val="1D846347"/>
    <w:rsid w:val="1D88597A"/>
    <w:rsid w:val="1D8970B7"/>
    <w:rsid w:val="1D8A2A83"/>
    <w:rsid w:val="1D8E56D5"/>
    <w:rsid w:val="1D905BC0"/>
    <w:rsid w:val="1D982FE3"/>
    <w:rsid w:val="1D9C31DB"/>
    <w:rsid w:val="1DA37952"/>
    <w:rsid w:val="1DAD187C"/>
    <w:rsid w:val="1DAF24EA"/>
    <w:rsid w:val="1DB46534"/>
    <w:rsid w:val="1DBE272D"/>
    <w:rsid w:val="1DC064A5"/>
    <w:rsid w:val="1DC73AF7"/>
    <w:rsid w:val="1DC8646F"/>
    <w:rsid w:val="1DCA40E3"/>
    <w:rsid w:val="1DD106B2"/>
    <w:rsid w:val="1DD45D7E"/>
    <w:rsid w:val="1DD957B9"/>
    <w:rsid w:val="1DDD1906"/>
    <w:rsid w:val="1DE101C9"/>
    <w:rsid w:val="1DE160A1"/>
    <w:rsid w:val="1DE816FD"/>
    <w:rsid w:val="1DE877AA"/>
    <w:rsid w:val="1DEC54EC"/>
    <w:rsid w:val="1DF03A69"/>
    <w:rsid w:val="1DF04AA7"/>
    <w:rsid w:val="1DFB0862"/>
    <w:rsid w:val="1DFB2E93"/>
    <w:rsid w:val="1E01086B"/>
    <w:rsid w:val="1E022E5E"/>
    <w:rsid w:val="1E1603C6"/>
    <w:rsid w:val="1E1660C5"/>
    <w:rsid w:val="1E1D00CD"/>
    <w:rsid w:val="1E1D56A5"/>
    <w:rsid w:val="1E31278D"/>
    <w:rsid w:val="1E334F30"/>
    <w:rsid w:val="1E392011"/>
    <w:rsid w:val="1E396257"/>
    <w:rsid w:val="1E3D2319"/>
    <w:rsid w:val="1E4673B8"/>
    <w:rsid w:val="1E551DC9"/>
    <w:rsid w:val="1E580DC1"/>
    <w:rsid w:val="1E592455"/>
    <w:rsid w:val="1E5A21A8"/>
    <w:rsid w:val="1E5B152D"/>
    <w:rsid w:val="1E6037E4"/>
    <w:rsid w:val="1E645733"/>
    <w:rsid w:val="1E684FD0"/>
    <w:rsid w:val="1E6A25AB"/>
    <w:rsid w:val="1E6C03DB"/>
    <w:rsid w:val="1E6F1772"/>
    <w:rsid w:val="1E71779F"/>
    <w:rsid w:val="1E7740FA"/>
    <w:rsid w:val="1E7A43DA"/>
    <w:rsid w:val="1E7B790C"/>
    <w:rsid w:val="1E803E86"/>
    <w:rsid w:val="1E870D71"/>
    <w:rsid w:val="1E8E20FF"/>
    <w:rsid w:val="1E8F0EC3"/>
    <w:rsid w:val="1E8F565E"/>
    <w:rsid w:val="1E8F5DBE"/>
    <w:rsid w:val="1E9E60BA"/>
    <w:rsid w:val="1E9F432F"/>
    <w:rsid w:val="1EA2204E"/>
    <w:rsid w:val="1EA307B4"/>
    <w:rsid w:val="1EC51899"/>
    <w:rsid w:val="1ECD34E0"/>
    <w:rsid w:val="1EDA3EAE"/>
    <w:rsid w:val="1EE066D3"/>
    <w:rsid w:val="1EE47F71"/>
    <w:rsid w:val="1EE64087"/>
    <w:rsid w:val="1EEF0131"/>
    <w:rsid w:val="1EF07D0A"/>
    <w:rsid w:val="1EF33999"/>
    <w:rsid w:val="1EFB2CE8"/>
    <w:rsid w:val="1EFD3049"/>
    <w:rsid w:val="1EFF4C2E"/>
    <w:rsid w:val="1F030324"/>
    <w:rsid w:val="1F035214"/>
    <w:rsid w:val="1F071EB1"/>
    <w:rsid w:val="1F0979D8"/>
    <w:rsid w:val="1F106FB8"/>
    <w:rsid w:val="1F1F544D"/>
    <w:rsid w:val="1F234F3D"/>
    <w:rsid w:val="1F2733AF"/>
    <w:rsid w:val="1F286B1F"/>
    <w:rsid w:val="1F293E05"/>
    <w:rsid w:val="1F2B0D6E"/>
    <w:rsid w:val="1F2E38E2"/>
    <w:rsid w:val="1F2F44D3"/>
    <w:rsid w:val="1F332069"/>
    <w:rsid w:val="1F4153C3"/>
    <w:rsid w:val="1F417171"/>
    <w:rsid w:val="1F4322A6"/>
    <w:rsid w:val="1F46080D"/>
    <w:rsid w:val="1F4F79C5"/>
    <w:rsid w:val="1F552E9E"/>
    <w:rsid w:val="1F570348"/>
    <w:rsid w:val="1F594563"/>
    <w:rsid w:val="1F5E74A4"/>
    <w:rsid w:val="1F5F273B"/>
    <w:rsid w:val="1F612C06"/>
    <w:rsid w:val="1F642E60"/>
    <w:rsid w:val="1F743374"/>
    <w:rsid w:val="1F765B75"/>
    <w:rsid w:val="1F786C9F"/>
    <w:rsid w:val="1F787FD0"/>
    <w:rsid w:val="1F810651"/>
    <w:rsid w:val="1F817EB6"/>
    <w:rsid w:val="1F833704"/>
    <w:rsid w:val="1F8A2A58"/>
    <w:rsid w:val="1F903C55"/>
    <w:rsid w:val="1F9420FA"/>
    <w:rsid w:val="1F94462B"/>
    <w:rsid w:val="1F971487"/>
    <w:rsid w:val="1F972211"/>
    <w:rsid w:val="1F9B08D3"/>
    <w:rsid w:val="1F9C27D2"/>
    <w:rsid w:val="1F9E45C4"/>
    <w:rsid w:val="1FA72754"/>
    <w:rsid w:val="1FA802B9"/>
    <w:rsid w:val="1FA97D98"/>
    <w:rsid w:val="1FB02549"/>
    <w:rsid w:val="1FBC0E9A"/>
    <w:rsid w:val="1FBF5956"/>
    <w:rsid w:val="1FC33368"/>
    <w:rsid w:val="1FC34C22"/>
    <w:rsid w:val="1FC372E8"/>
    <w:rsid w:val="1FC92E85"/>
    <w:rsid w:val="1FD75D28"/>
    <w:rsid w:val="1FD85465"/>
    <w:rsid w:val="1FD955FC"/>
    <w:rsid w:val="1FDB70F1"/>
    <w:rsid w:val="1FDD0A21"/>
    <w:rsid w:val="1FDE70B6"/>
    <w:rsid w:val="1FE54A03"/>
    <w:rsid w:val="1FE67D19"/>
    <w:rsid w:val="1FE7539E"/>
    <w:rsid w:val="1FE83A91"/>
    <w:rsid w:val="1FEA6512"/>
    <w:rsid w:val="1FEB02AC"/>
    <w:rsid w:val="1FEB151B"/>
    <w:rsid w:val="1FEE52BC"/>
    <w:rsid w:val="1FEF3071"/>
    <w:rsid w:val="200C1D97"/>
    <w:rsid w:val="201355D7"/>
    <w:rsid w:val="201C268B"/>
    <w:rsid w:val="202618DD"/>
    <w:rsid w:val="202F7912"/>
    <w:rsid w:val="20307DC7"/>
    <w:rsid w:val="20317D95"/>
    <w:rsid w:val="20354BA4"/>
    <w:rsid w:val="203A51A7"/>
    <w:rsid w:val="203B1E13"/>
    <w:rsid w:val="203B64EB"/>
    <w:rsid w:val="204070FC"/>
    <w:rsid w:val="204213F3"/>
    <w:rsid w:val="204F3B10"/>
    <w:rsid w:val="20515FF4"/>
    <w:rsid w:val="206205C7"/>
    <w:rsid w:val="206550E2"/>
    <w:rsid w:val="20667796"/>
    <w:rsid w:val="20671BE0"/>
    <w:rsid w:val="206A2A44"/>
    <w:rsid w:val="206B3D72"/>
    <w:rsid w:val="206F41B2"/>
    <w:rsid w:val="20736E74"/>
    <w:rsid w:val="20745511"/>
    <w:rsid w:val="20792986"/>
    <w:rsid w:val="207B3E05"/>
    <w:rsid w:val="208077E7"/>
    <w:rsid w:val="208714FC"/>
    <w:rsid w:val="208A530A"/>
    <w:rsid w:val="208E288A"/>
    <w:rsid w:val="20913298"/>
    <w:rsid w:val="20924AF0"/>
    <w:rsid w:val="209459C7"/>
    <w:rsid w:val="20963CB8"/>
    <w:rsid w:val="209F48D5"/>
    <w:rsid w:val="20A81A1B"/>
    <w:rsid w:val="20A82CD1"/>
    <w:rsid w:val="20AE23B3"/>
    <w:rsid w:val="20B07FB6"/>
    <w:rsid w:val="20B120D5"/>
    <w:rsid w:val="20B35E4D"/>
    <w:rsid w:val="20B646FB"/>
    <w:rsid w:val="20C51B0E"/>
    <w:rsid w:val="20C73425"/>
    <w:rsid w:val="20CE1BCD"/>
    <w:rsid w:val="20DB01C7"/>
    <w:rsid w:val="20DF4E47"/>
    <w:rsid w:val="20E3388B"/>
    <w:rsid w:val="20E42971"/>
    <w:rsid w:val="20E461A6"/>
    <w:rsid w:val="20E7496A"/>
    <w:rsid w:val="20EA6D8B"/>
    <w:rsid w:val="20F070A1"/>
    <w:rsid w:val="20F46465"/>
    <w:rsid w:val="20F5558E"/>
    <w:rsid w:val="20FA7F20"/>
    <w:rsid w:val="20FD2F21"/>
    <w:rsid w:val="21046B4F"/>
    <w:rsid w:val="210C3B72"/>
    <w:rsid w:val="21154D5A"/>
    <w:rsid w:val="2117285F"/>
    <w:rsid w:val="211C6DCB"/>
    <w:rsid w:val="212B12F7"/>
    <w:rsid w:val="212C2A27"/>
    <w:rsid w:val="212E3725"/>
    <w:rsid w:val="212F6995"/>
    <w:rsid w:val="213032CE"/>
    <w:rsid w:val="21361ADA"/>
    <w:rsid w:val="21374CD0"/>
    <w:rsid w:val="21381B84"/>
    <w:rsid w:val="213B74B1"/>
    <w:rsid w:val="213E04FD"/>
    <w:rsid w:val="21422F9C"/>
    <w:rsid w:val="21442F49"/>
    <w:rsid w:val="214B6A8D"/>
    <w:rsid w:val="214D1450"/>
    <w:rsid w:val="214D7E61"/>
    <w:rsid w:val="21505888"/>
    <w:rsid w:val="21521592"/>
    <w:rsid w:val="215352EE"/>
    <w:rsid w:val="2154314C"/>
    <w:rsid w:val="215742C4"/>
    <w:rsid w:val="215A2310"/>
    <w:rsid w:val="215A2798"/>
    <w:rsid w:val="215C18AC"/>
    <w:rsid w:val="215C7760"/>
    <w:rsid w:val="215D74AF"/>
    <w:rsid w:val="215F39E6"/>
    <w:rsid w:val="215F7D83"/>
    <w:rsid w:val="21617F9F"/>
    <w:rsid w:val="21627873"/>
    <w:rsid w:val="21690C01"/>
    <w:rsid w:val="216D06F2"/>
    <w:rsid w:val="21760A73"/>
    <w:rsid w:val="217F21D3"/>
    <w:rsid w:val="218250DB"/>
    <w:rsid w:val="2182563F"/>
    <w:rsid w:val="2188552B"/>
    <w:rsid w:val="218E2416"/>
    <w:rsid w:val="2190111C"/>
    <w:rsid w:val="21AB121A"/>
    <w:rsid w:val="21B53220"/>
    <w:rsid w:val="21B53E47"/>
    <w:rsid w:val="21B630C7"/>
    <w:rsid w:val="21B71C08"/>
    <w:rsid w:val="21B92EF0"/>
    <w:rsid w:val="21B96FAA"/>
    <w:rsid w:val="21CC33A2"/>
    <w:rsid w:val="21D91708"/>
    <w:rsid w:val="21DE318A"/>
    <w:rsid w:val="21E14C3C"/>
    <w:rsid w:val="21E2415B"/>
    <w:rsid w:val="21EF5B80"/>
    <w:rsid w:val="21F304BA"/>
    <w:rsid w:val="21F41243"/>
    <w:rsid w:val="21F66F4C"/>
    <w:rsid w:val="22001566"/>
    <w:rsid w:val="2202512B"/>
    <w:rsid w:val="22042A49"/>
    <w:rsid w:val="22105799"/>
    <w:rsid w:val="22165282"/>
    <w:rsid w:val="221768AF"/>
    <w:rsid w:val="221C35CA"/>
    <w:rsid w:val="221C5C74"/>
    <w:rsid w:val="222B2BFD"/>
    <w:rsid w:val="222C03A3"/>
    <w:rsid w:val="222D67BA"/>
    <w:rsid w:val="22421B7E"/>
    <w:rsid w:val="22462CF1"/>
    <w:rsid w:val="224A150E"/>
    <w:rsid w:val="224F3E0C"/>
    <w:rsid w:val="22511DC1"/>
    <w:rsid w:val="22557359"/>
    <w:rsid w:val="22576990"/>
    <w:rsid w:val="22613196"/>
    <w:rsid w:val="2262550A"/>
    <w:rsid w:val="226465C1"/>
    <w:rsid w:val="226F405A"/>
    <w:rsid w:val="226F7C8D"/>
    <w:rsid w:val="22742A8D"/>
    <w:rsid w:val="227E08AC"/>
    <w:rsid w:val="22847F64"/>
    <w:rsid w:val="228A52D3"/>
    <w:rsid w:val="228F5799"/>
    <w:rsid w:val="22915CC4"/>
    <w:rsid w:val="2293758D"/>
    <w:rsid w:val="229F1B2B"/>
    <w:rsid w:val="22AD600C"/>
    <w:rsid w:val="22BD7457"/>
    <w:rsid w:val="22C24A6D"/>
    <w:rsid w:val="22C478DC"/>
    <w:rsid w:val="22C56B3B"/>
    <w:rsid w:val="22C65ACB"/>
    <w:rsid w:val="22C7347B"/>
    <w:rsid w:val="22C935ED"/>
    <w:rsid w:val="22CD45C3"/>
    <w:rsid w:val="22D15F81"/>
    <w:rsid w:val="22D864A0"/>
    <w:rsid w:val="22D9079A"/>
    <w:rsid w:val="22DF57F7"/>
    <w:rsid w:val="22E20C6B"/>
    <w:rsid w:val="22F47480"/>
    <w:rsid w:val="22F866E1"/>
    <w:rsid w:val="22F86AB7"/>
    <w:rsid w:val="23183952"/>
    <w:rsid w:val="23246C54"/>
    <w:rsid w:val="232A0772"/>
    <w:rsid w:val="2331574F"/>
    <w:rsid w:val="23321DAA"/>
    <w:rsid w:val="2332387D"/>
    <w:rsid w:val="2335523F"/>
    <w:rsid w:val="233737FF"/>
    <w:rsid w:val="23394CEF"/>
    <w:rsid w:val="23417C75"/>
    <w:rsid w:val="2343105D"/>
    <w:rsid w:val="234379E5"/>
    <w:rsid w:val="23445482"/>
    <w:rsid w:val="23455C29"/>
    <w:rsid w:val="23472780"/>
    <w:rsid w:val="234E6301"/>
    <w:rsid w:val="234F4F38"/>
    <w:rsid w:val="2358717F"/>
    <w:rsid w:val="2371119E"/>
    <w:rsid w:val="23741A1F"/>
    <w:rsid w:val="237869FA"/>
    <w:rsid w:val="237C10C0"/>
    <w:rsid w:val="23904CF4"/>
    <w:rsid w:val="239319FD"/>
    <w:rsid w:val="23983A20"/>
    <w:rsid w:val="239C32E7"/>
    <w:rsid w:val="23A44173"/>
    <w:rsid w:val="23AB3102"/>
    <w:rsid w:val="23AD05BE"/>
    <w:rsid w:val="23B81339"/>
    <w:rsid w:val="23B819CC"/>
    <w:rsid w:val="23BC57CC"/>
    <w:rsid w:val="23C075B9"/>
    <w:rsid w:val="23C55DD7"/>
    <w:rsid w:val="23C67C46"/>
    <w:rsid w:val="23C77993"/>
    <w:rsid w:val="23C949E7"/>
    <w:rsid w:val="23CC0FA7"/>
    <w:rsid w:val="23CF7694"/>
    <w:rsid w:val="23DA451C"/>
    <w:rsid w:val="23DC035E"/>
    <w:rsid w:val="23DE1C48"/>
    <w:rsid w:val="23DE22FC"/>
    <w:rsid w:val="23F52C20"/>
    <w:rsid w:val="23FE3883"/>
    <w:rsid w:val="23FE7D27"/>
    <w:rsid w:val="23FF584D"/>
    <w:rsid w:val="240210CD"/>
    <w:rsid w:val="240900E6"/>
    <w:rsid w:val="240D3B04"/>
    <w:rsid w:val="241471CA"/>
    <w:rsid w:val="241533BD"/>
    <w:rsid w:val="241852EF"/>
    <w:rsid w:val="241B5FE2"/>
    <w:rsid w:val="241C73D4"/>
    <w:rsid w:val="241E2177"/>
    <w:rsid w:val="241E546F"/>
    <w:rsid w:val="2424042C"/>
    <w:rsid w:val="24314AC5"/>
    <w:rsid w:val="24315554"/>
    <w:rsid w:val="24336652"/>
    <w:rsid w:val="24353496"/>
    <w:rsid w:val="24376D95"/>
    <w:rsid w:val="243C1816"/>
    <w:rsid w:val="243F4959"/>
    <w:rsid w:val="24485EFB"/>
    <w:rsid w:val="244E2598"/>
    <w:rsid w:val="245711E5"/>
    <w:rsid w:val="246102B6"/>
    <w:rsid w:val="246D6C5B"/>
    <w:rsid w:val="24741D97"/>
    <w:rsid w:val="24764C35"/>
    <w:rsid w:val="247D2CA8"/>
    <w:rsid w:val="248027BE"/>
    <w:rsid w:val="2480290A"/>
    <w:rsid w:val="2480698E"/>
    <w:rsid w:val="24861ACA"/>
    <w:rsid w:val="24967F5F"/>
    <w:rsid w:val="2497077D"/>
    <w:rsid w:val="2498256B"/>
    <w:rsid w:val="24983F9D"/>
    <w:rsid w:val="249B3D44"/>
    <w:rsid w:val="24A50F75"/>
    <w:rsid w:val="24AF7273"/>
    <w:rsid w:val="24B16B47"/>
    <w:rsid w:val="24B71C84"/>
    <w:rsid w:val="24BF09F7"/>
    <w:rsid w:val="24C52D2F"/>
    <w:rsid w:val="24C70119"/>
    <w:rsid w:val="24D27927"/>
    <w:rsid w:val="24EB6F77"/>
    <w:rsid w:val="24EF268D"/>
    <w:rsid w:val="24F437C1"/>
    <w:rsid w:val="24F86579"/>
    <w:rsid w:val="24FA386E"/>
    <w:rsid w:val="2500362B"/>
    <w:rsid w:val="25037098"/>
    <w:rsid w:val="250907DE"/>
    <w:rsid w:val="251351C1"/>
    <w:rsid w:val="251C70D3"/>
    <w:rsid w:val="252274C3"/>
    <w:rsid w:val="25273C4C"/>
    <w:rsid w:val="252A06A8"/>
    <w:rsid w:val="252D20FC"/>
    <w:rsid w:val="252D51EA"/>
    <w:rsid w:val="252D53FE"/>
    <w:rsid w:val="2530390F"/>
    <w:rsid w:val="25331C52"/>
    <w:rsid w:val="25387802"/>
    <w:rsid w:val="25390301"/>
    <w:rsid w:val="253955A0"/>
    <w:rsid w:val="25397845"/>
    <w:rsid w:val="253A3155"/>
    <w:rsid w:val="253C59B3"/>
    <w:rsid w:val="253F4C7E"/>
    <w:rsid w:val="254C6969"/>
    <w:rsid w:val="254D7B3C"/>
    <w:rsid w:val="254F7D74"/>
    <w:rsid w:val="25545A29"/>
    <w:rsid w:val="255A0F48"/>
    <w:rsid w:val="2566676C"/>
    <w:rsid w:val="257064BA"/>
    <w:rsid w:val="257243F0"/>
    <w:rsid w:val="2573204F"/>
    <w:rsid w:val="25733559"/>
    <w:rsid w:val="25882E37"/>
    <w:rsid w:val="25910727"/>
    <w:rsid w:val="2593449F"/>
    <w:rsid w:val="25944FFB"/>
    <w:rsid w:val="25A40BD9"/>
    <w:rsid w:val="25BA042D"/>
    <w:rsid w:val="25C52299"/>
    <w:rsid w:val="25D56865"/>
    <w:rsid w:val="25D6159A"/>
    <w:rsid w:val="25D75FB6"/>
    <w:rsid w:val="25DC0A27"/>
    <w:rsid w:val="25E92761"/>
    <w:rsid w:val="25EC2D81"/>
    <w:rsid w:val="25EF3DCB"/>
    <w:rsid w:val="25F37A51"/>
    <w:rsid w:val="25F57849"/>
    <w:rsid w:val="25F62513"/>
    <w:rsid w:val="25FD4869"/>
    <w:rsid w:val="25FF6E37"/>
    <w:rsid w:val="26025181"/>
    <w:rsid w:val="26040EF9"/>
    <w:rsid w:val="26046B94"/>
    <w:rsid w:val="26252D3B"/>
    <w:rsid w:val="26265313"/>
    <w:rsid w:val="26345C82"/>
    <w:rsid w:val="263F5861"/>
    <w:rsid w:val="26404627"/>
    <w:rsid w:val="26453E23"/>
    <w:rsid w:val="26472DCB"/>
    <w:rsid w:val="26497436"/>
    <w:rsid w:val="264F65B3"/>
    <w:rsid w:val="26534793"/>
    <w:rsid w:val="26550703"/>
    <w:rsid w:val="26556A0F"/>
    <w:rsid w:val="265627F6"/>
    <w:rsid w:val="2659370E"/>
    <w:rsid w:val="265A6438"/>
    <w:rsid w:val="26663961"/>
    <w:rsid w:val="266B71CA"/>
    <w:rsid w:val="2678762D"/>
    <w:rsid w:val="267A6BDE"/>
    <w:rsid w:val="268256FF"/>
    <w:rsid w:val="2685584E"/>
    <w:rsid w:val="26872C7E"/>
    <w:rsid w:val="268838D8"/>
    <w:rsid w:val="26937061"/>
    <w:rsid w:val="269830C4"/>
    <w:rsid w:val="26B7240F"/>
    <w:rsid w:val="26B75F6B"/>
    <w:rsid w:val="26B808BB"/>
    <w:rsid w:val="26BA65F9"/>
    <w:rsid w:val="26BE502B"/>
    <w:rsid w:val="26C40F4A"/>
    <w:rsid w:val="26C661EB"/>
    <w:rsid w:val="26C936B1"/>
    <w:rsid w:val="26D245CB"/>
    <w:rsid w:val="26D319BD"/>
    <w:rsid w:val="26D625F8"/>
    <w:rsid w:val="26D66D39"/>
    <w:rsid w:val="26DD00C8"/>
    <w:rsid w:val="26E33204"/>
    <w:rsid w:val="26EB3E0E"/>
    <w:rsid w:val="26EF01C1"/>
    <w:rsid w:val="26F62F37"/>
    <w:rsid w:val="26F82A7A"/>
    <w:rsid w:val="26FE003E"/>
    <w:rsid w:val="27006774"/>
    <w:rsid w:val="270513CC"/>
    <w:rsid w:val="27085BA3"/>
    <w:rsid w:val="270A5049"/>
    <w:rsid w:val="270C03E2"/>
    <w:rsid w:val="271635D9"/>
    <w:rsid w:val="271B299E"/>
    <w:rsid w:val="271B34F6"/>
    <w:rsid w:val="27226C2D"/>
    <w:rsid w:val="27265D5F"/>
    <w:rsid w:val="27277595"/>
    <w:rsid w:val="2729330D"/>
    <w:rsid w:val="273849A0"/>
    <w:rsid w:val="27394257"/>
    <w:rsid w:val="273F22A2"/>
    <w:rsid w:val="27402404"/>
    <w:rsid w:val="2746288F"/>
    <w:rsid w:val="274E4B21"/>
    <w:rsid w:val="274F22DA"/>
    <w:rsid w:val="2752443D"/>
    <w:rsid w:val="27533EE6"/>
    <w:rsid w:val="27564F1D"/>
    <w:rsid w:val="2758638D"/>
    <w:rsid w:val="275B4D2E"/>
    <w:rsid w:val="275B733C"/>
    <w:rsid w:val="275C4B98"/>
    <w:rsid w:val="275F218E"/>
    <w:rsid w:val="27615AEF"/>
    <w:rsid w:val="276A5F64"/>
    <w:rsid w:val="276C0450"/>
    <w:rsid w:val="276F1C0A"/>
    <w:rsid w:val="277057A2"/>
    <w:rsid w:val="2772524E"/>
    <w:rsid w:val="2774340F"/>
    <w:rsid w:val="277D71B5"/>
    <w:rsid w:val="277E4B5A"/>
    <w:rsid w:val="277F7E86"/>
    <w:rsid w:val="278032E0"/>
    <w:rsid w:val="27846615"/>
    <w:rsid w:val="2786727E"/>
    <w:rsid w:val="27883185"/>
    <w:rsid w:val="27897283"/>
    <w:rsid w:val="278D4066"/>
    <w:rsid w:val="27960243"/>
    <w:rsid w:val="27960276"/>
    <w:rsid w:val="279A1026"/>
    <w:rsid w:val="27A11878"/>
    <w:rsid w:val="27AB5239"/>
    <w:rsid w:val="27B078A3"/>
    <w:rsid w:val="27C4464E"/>
    <w:rsid w:val="27C6290A"/>
    <w:rsid w:val="27C64405"/>
    <w:rsid w:val="27CC090C"/>
    <w:rsid w:val="27CD546E"/>
    <w:rsid w:val="27DE1DE0"/>
    <w:rsid w:val="27E77AEE"/>
    <w:rsid w:val="27E86211"/>
    <w:rsid w:val="27EC6E93"/>
    <w:rsid w:val="27EE00B2"/>
    <w:rsid w:val="27EE4CCF"/>
    <w:rsid w:val="27EF5FB0"/>
    <w:rsid w:val="27FC27CF"/>
    <w:rsid w:val="28020AF0"/>
    <w:rsid w:val="28042401"/>
    <w:rsid w:val="280E7570"/>
    <w:rsid w:val="281318C7"/>
    <w:rsid w:val="2815321E"/>
    <w:rsid w:val="281D5F19"/>
    <w:rsid w:val="28280306"/>
    <w:rsid w:val="282944C2"/>
    <w:rsid w:val="282A5766"/>
    <w:rsid w:val="283F446A"/>
    <w:rsid w:val="28422E51"/>
    <w:rsid w:val="28484248"/>
    <w:rsid w:val="284F7C3C"/>
    <w:rsid w:val="28575B93"/>
    <w:rsid w:val="28601F08"/>
    <w:rsid w:val="286A197A"/>
    <w:rsid w:val="286F4EB7"/>
    <w:rsid w:val="28774F3B"/>
    <w:rsid w:val="287C7332"/>
    <w:rsid w:val="28836A4D"/>
    <w:rsid w:val="2884607A"/>
    <w:rsid w:val="28877B0F"/>
    <w:rsid w:val="289022FA"/>
    <w:rsid w:val="289126E2"/>
    <w:rsid w:val="28937FC8"/>
    <w:rsid w:val="289470CD"/>
    <w:rsid w:val="2897642F"/>
    <w:rsid w:val="289818E8"/>
    <w:rsid w:val="28A40771"/>
    <w:rsid w:val="28AC5FA3"/>
    <w:rsid w:val="28B023F4"/>
    <w:rsid w:val="28B60BD0"/>
    <w:rsid w:val="28B7539A"/>
    <w:rsid w:val="28B82511"/>
    <w:rsid w:val="28B83DD5"/>
    <w:rsid w:val="28C11F57"/>
    <w:rsid w:val="28C978B9"/>
    <w:rsid w:val="28CD0E1E"/>
    <w:rsid w:val="28CD67B7"/>
    <w:rsid w:val="28D5468C"/>
    <w:rsid w:val="28E37872"/>
    <w:rsid w:val="28E71EB5"/>
    <w:rsid w:val="28ED1EDD"/>
    <w:rsid w:val="28EF7C3E"/>
    <w:rsid w:val="28FE2C53"/>
    <w:rsid w:val="29015CDD"/>
    <w:rsid w:val="29017C48"/>
    <w:rsid w:val="290C4EDC"/>
    <w:rsid w:val="29161C2F"/>
    <w:rsid w:val="29164D9C"/>
    <w:rsid w:val="29194CBB"/>
    <w:rsid w:val="291A2B97"/>
    <w:rsid w:val="29206950"/>
    <w:rsid w:val="29206EB8"/>
    <w:rsid w:val="292E341B"/>
    <w:rsid w:val="29345F99"/>
    <w:rsid w:val="29361300"/>
    <w:rsid w:val="293C106B"/>
    <w:rsid w:val="294E7594"/>
    <w:rsid w:val="294F09BA"/>
    <w:rsid w:val="29521E4E"/>
    <w:rsid w:val="29533B7A"/>
    <w:rsid w:val="29535DE0"/>
    <w:rsid w:val="29566542"/>
    <w:rsid w:val="29593801"/>
    <w:rsid w:val="29595666"/>
    <w:rsid w:val="295B1778"/>
    <w:rsid w:val="29613059"/>
    <w:rsid w:val="29620F72"/>
    <w:rsid w:val="296278F4"/>
    <w:rsid w:val="296B52CF"/>
    <w:rsid w:val="296D3483"/>
    <w:rsid w:val="296E563B"/>
    <w:rsid w:val="296F7B1A"/>
    <w:rsid w:val="29715697"/>
    <w:rsid w:val="29717CA5"/>
    <w:rsid w:val="297262CA"/>
    <w:rsid w:val="297432AD"/>
    <w:rsid w:val="29772F43"/>
    <w:rsid w:val="297B40A7"/>
    <w:rsid w:val="29874881"/>
    <w:rsid w:val="29986528"/>
    <w:rsid w:val="2999320B"/>
    <w:rsid w:val="29A053DC"/>
    <w:rsid w:val="29A63EC4"/>
    <w:rsid w:val="29A9794B"/>
    <w:rsid w:val="29BB1E01"/>
    <w:rsid w:val="29C55868"/>
    <w:rsid w:val="29D46E34"/>
    <w:rsid w:val="29D532D8"/>
    <w:rsid w:val="29DA269C"/>
    <w:rsid w:val="29DA6B40"/>
    <w:rsid w:val="29DB01C2"/>
    <w:rsid w:val="29E22F74"/>
    <w:rsid w:val="29E325E0"/>
    <w:rsid w:val="29EF3C6E"/>
    <w:rsid w:val="29F1126C"/>
    <w:rsid w:val="29F14812"/>
    <w:rsid w:val="29F159E7"/>
    <w:rsid w:val="2A0563C8"/>
    <w:rsid w:val="2A063DCC"/>
    <w:rsid w:val="2A0B6CFA"/>
    <w:rsid w:val="2A106830"/>
    <w:rsid w:val="2A1738F0"/>
    <w:rsid w:val="2A1C2CB5"/>
    <w:rsid w:val="2A2102CB"/>
    <w:rsid w:val="2A21555B"/>
    <w:rsid w:val="2A225698"/>
    <w:rsid w:val="2A261D85"/>
    <w:rsid w:val="2A2E3112"/>
    <w:rsid w:val="2A3B52EF"/>
    <w:rsid w:val="2A3F4BF5"/>
    <w:rsid w:val="2A452503"/>
    <w:rsid w:val="2A476A47"/>
    <w:rsid w:val="2A4A0587"/>
    <w:rsid w:val="2A4E297B"/>
    <w:rsid w:val="2A5C4587"/>
    <w:rsid w:val="2A642A6E"/>
    <w:rsid w:val="2A6442EF"/>
    <w:rsid w:val="2A6A1C55"/>
    <w:rsid w:val="2A7228D5"/>
    <w:rsid w:val="2A740380"/>
    <w:rsid w:val="2A7761E8"/>
    <w:rsid w:val="2A777C79"/>
    <w:rsid w:val="2A8128D3"/>
    <w:rsid w:val="2A8B3997"/>
    <w:rsid w:val="2A8F71FA"/>
    <w:rsid w:val="2A924C61"/>
    <w:rsid w:val="2A94770B"/>
    <w:rsid w:val="2A9526D5"/>
    <w:rsid w:val="2A95365B"/>
    <w:rsid w:val="2A972B4F"/>
    <w:rsid w:val="2A984CD6"/>
    <w:rsid w:val="2A9D3792"/>
    <w:rsid w:val="2AA1765E"/>
    <w:rsid w:val="2AAD7DB1"/>
    <w:rsid w:val="2AB23619"/>
    <w:rsid w:val="2ABE01E6"/>
    <w:rsid w:val="2AC80DFE"/>
    <w:rsid w:val="2AD50A30"/>
    <w:rsid w:val="2AD510B6"/>
    <w:rsid w:val="2AD84291"/>
    <w:rsid w:val="2ADD512B"/>
    <w:rsid w:val="2AE26379"/>
    <w:rsid w:val="2AE61B00"/>
    <w:rsid w:val="2AF10933"/>
    <w:rsid w:val="2AF14141"/>
    <w:rsid w:val="2AF15007"/>
    <w:rsid w:val="2AF260B0"/>
    <w:rsid w:val="2AFC2AE6"/>
    <w:rsid w:val="2B0674C1"/>
    <w:rsid w:val="2B102DA4"/>
    <w:rsid w:val="2B113B0E"/>
    <w:rsid w:val="2B163BA8"/>
    <w:rsid w:val="2B171D16"/>
    <w:rsid w:val="2B2007AA"/>
    <w:rsid w:val="2B2B25CB"/>
    <w:rsid w:val="2B2F38E4"/>
    <w:rsid w:val="2B352840"/>
    <w:rsid w:val="2B362741"/>
    <w:rsid w:val="2B3B3423"/>
    <w:rsid w:val="2B3B716B"/>
    <w:rsid w:val="2B3E44C4"/>
    <w:rsid w:val="2B40111A"/>
    <w:rsid w:val="2B4A2381"/>
    <w:rsid w:val="2B4D50F0"/>
    <w:rsid w:val="2B4F6426"/>
    <w:rsid w:val="2B620444"/>
    <w:rsid w:val="2B630856"/>
    <w:rsid w:val="2B65243A"/>
    <w:rsid w:val="2B6F150A"/>
    <w:rsid w:val="2B6F240F"/>
    <w:rsid w:val="2B7841A6"/>
    <w:rsid w:val="2B795EE5"/>
    <w:rsid w:val="2B7B53FE"/>
    <w:rsid w:val="2B7E174D"/>
    <w:rsid w:val="2B8B4429"/>
    <w:rsid w:val="2B8F74B6"/>
    <w:rsid w:val="2BA6046D"/>
    <w:rsid w:val="2BA936A8"/>
    <w:rsid w:val="2BB12761"/>
    <w:rsid w:val="2BB412A9"/>
    <w:rsid w:val="2BB5318B"/>
    <w:rsid w:val="2BB861EE"/>
    <w:rsid w:val="2BBD58F1"/>
    <w:rsid w:val="2BBF1704"/>
    <w:rsid w:val="2BC2163A"/>
    <w:rsid w:val="2BC453B2"/>
    <w:rsid w:val="2BC73603"/>
    <w:rsid w:val="2BCC4267"/>
    <w:rsid w:val="2BCC681F"/>
    <w:rsid w:val="2BCC7E11"/>
    <w:rsid w:val="2BCF6AFB"/>
    <w:rsid w:val="2BD1187D"/>
    <w:rsid w:val="2BDD3F77"/>
    <w:rsid w:val="2BDF2468"/>
    <w:rsid w:val="2BF13164"/>
    <w:rsid w:val="2BF17C3F"/>
    <w:rsid w:val="2BF35EF6"/>
    <w:rsid w:val="2BF430CB"/>
    <w:rsid w:val="2BF64877"/>
    <w:rsid w:val="2BF67B24"/>
    <w:rsid w:val="2BFC35DD"/>
    <w:rsid w:val="2BFF0F1E"/>
    <w:rsid w:val="2C033AA4"/>
    <w:rsid w:val="2C066C96"/>
    <w:rsid w:val="2C106849"/>
    <w:rsid w:val="2C1263E6"/>
    <w:rsid w:val="2C22657D"/>
    <w:rsid w:val="2C236465"/>
    <w:rsid w:val="2C2B5608"/>
    <w:rsid w:val="2C2C73FB"/>
    <w:rsid w:val="2C2D2AC7"/>
    <w:rsid w:val="2C315A5A"/>
    <w:rsid w:val="2C330DCC"/>
    <w:rsid w:val="2C385D6B"/>
    <w:rsid w:val="2C3E3521"/>
    <w:rsid w:val="2C414C55"/>
    <w:rsid w:val="2C443C3B"/>
    <w:rsid w:val="2C443E51"/>
    <w:rsid w:val="2C46226B"/>
    <w:rsid w:val="2C4627A7"/>
    <w:rsid w:val="2C4A7D06"/>
    <w:rsid w:val="2C4B1C25"/>
    <w:rsid w:val="2C583D4C"/>
    <w:rsid w:val="2C5950A4"/>
    <w:rsid w:val="2C596225"/>
    <w:rsid w:val="2C597B7D"/>
    <w:rsid w:val="2C5F332D"/>
    <w:rsid w:val="2C687D80"/>
    <w:rsid w:val="2C6E7A8B"/>
    <w:rsid w:val="2C804090"/>
    <w:rsid w:val="2C8066BB"/>
    <w:rsid w:val="2C8318CD"/>
    <w:rsid w:val="2C851879"/>
    <w:rsid w:val="2C9056F6"/>
    <w:rsid w:val="2C9111D4"/>
    <w:rsid w:val="2CA275CA"/>
    <w:rsid w:val="2CA3146B"/>
    <w:rsid w:val="2CAB49E9"/>
    <w:rsid w:val="2CAE7E24"/>
    <w:rsid w:val="2CB25B52"/>
    <w:rsid w:val="2CB6554D"/>
    <w:rsid w:val="2CB91E46"/>
    <w:rsid w:val="2CBA1F0A"/>
    <w:rsid w:val="2CBF32A9"/>
    <w:rsid w:val="2CBF6E23"/>
    <w:rsid w:val="2CC00D34"/>
    <w:rsid w:val="2CC2469D"/>
    <w:rsid w:val="2CCD4449"/>
    <w:rsid w:val="2CD94236"/>
    <w:rsid w:val="2CDF7FCA"/>
    <w:rsid w:val="2CE35E2F"/>
    <w:rsid w:val="2CF02F84"/>
    <w:rsid w:val="2D010AED"/>
    <w:rsid w:val="2D0533A2"/>
    <w:rsid w:val="2D0E18CC"/>
    <w:rsid w:val="2D113DCE"/>
    <w:rsid w:val="2D200D0E"/>
    <w:rsid w:val="2D203F66"/>
    <w:rsid w:val="2D2327FC"/>
    <w:rsid w:val="2D241265"/>
    <w:rsid w:val="2D247924"/>
    <w:rsid w:val="2D252BB1"/>
    <w:rsid w:val="2D263E4A"/>
    <w:rsid w:val="2D3653FA"/>
    <w:rsid w:val="2D391F17"/>
    <w:rsid w:val="2D3F14F6"/>
    <w:rsid w:val="2D3F4D0F"/>
    <w:rsid w:val="2D3F526C"/>
    <w:rsid w:val="2D400414"/>
    <w:rsid w:val="2D4A004A"/>
    <w:rsid w:val="2D4B534E"/>
    <w:rsid w:val="2D4B65BF"/>
    <w:rsid w:val="2D59056D"/>
    <w:rsid w:val="2D5E12DE"/>
    <w:rsid w:val="2D626265"/>
    <w:rsid w:val="2D637717"/>
    <w:rsid w:val="2D6869D3"/>
    <w:rsid w:val="2D6A1F89"/>
    <w:rsid w:val="2D7828F8"/>
    <w:rsid w:val="2D784137"/>
    <w:rsid w:val="2D797CA7"/>
    <w:rsid w:val="2D8A7F3E"/>
    <w:rsid w:val="2D8C1F00"/>
    <w:rsid w:val="2D92484F"/>
    <w:rsid w:val="2D9313C9"/>
    <w:rsid w:val="2D957906"/>
    <w:rsid w:val="2D964B2C"/>
    <w:rsid w:val="2D964D43"/>
    <w:rsid w:val="2D9D5B09"/>
    <w:rsid w:val="2D9E56F5"/>
    <w:rsid w:val="2DA62E36"/>
    <w:rsid w:val="2DA7741E"/>
    <w:rsid w:val="2DAA05D8"/>
    <w:rsid w:val="2DB1395E"/>
    <w:rsid w:val="2DB6793F"/>
    <w:rsid w:val="2DBC0C37"/>
    <w:rsid w:val="2DC43E7F"/>
    <w:rsid w:val="2DC63FF0"/>
    <w:rsid w:val="2DC67979"/>
    <w:rsid w:val="2DC7118A"/>
    <w:rsid w:val="2DC93B47"/>
    <w:rsid w:val="2DD14AF1"/>
    <w:rsid w:val="2DD47E05"/>
    <w:rsid w:val="2DD6214E"/>
    <w:rsid w:val="2DEF06E0"/>
    <w:rsid w:val="2DF9330D"/>
    <w:rsid w:val="2E047090"/>
    <w:rsid w:val="2E0E6DB8"/>
    <w:rsid w:val="2E0F6ECB"/>
    <w:rsid w:val="2E1213EF"/>
    <w:rsid w:val="2E1614C4"/>
    <w:rsid w:val="2E165850"/>
    <w:rsid w:val="2E165CB1"/>
    <w:rsid w:val="2E183793"/>
    <w:rsid w:val="2E1A01B5"/>
    <w:rsid w:val="2E1C4D20"/>
    <w:rsid w:val="2E1F29F9"/>
    <w:rsid w:val="2E2073AA"/>
    <w:rsid w:val="2E2170F9"/>
    <w:rsid w:val="2E3335C6"/>
    <w:rsid w:val="2E392F37"/>
    <w:rsid w:val="2E3D2A9C"/>
    <w:rsid w:val="2E3D58F0"/>
    <w:rsid w:val="2E3D6B76"/>
    <w:rsid w:val="2E3E65DD"/>
    <w:rsid w:val="2E3E7D62"/>
    <w:rsid w:val="2E3F0F18"/>
    <w:rsid w:val="2E3F3F06"/>
    <w:rsid w:val="2E405D70"/>
    <w:rsid w:val="2E5B0CFE"/>
    <w:rsid w:val="2E5D38F8"/>
    <w:rsid w:val="2E5D716B"/>
    <w:rsid w:val="2E620B52"/>
    <w:rsid w:val="2E6643A2"/>
    <w:rsid w:val="2E667F96"/>
    <w:rsid w:val="2E6B420B"/>
    <w:rsid w:val="2E6F5A1E"/>
    <w:rsid w:val="2E721250"/>
    <w:rsid w:val="2E731311"/>
    <w:rsid w:val="2E7C1194"/>
    <w:rsid w:val="2E8226AB"/>
    <w:rsid w:val="2E8871F7"/>
    <w:rsid w:val="2E8878D0"/>
    <w:rsid w:val="2E8928E3"/>
    <w:rsid w:val="2E8D58E6"/>
    <w:rsid w:val="2E8F714B"/>
    <w:rsid w:val="2E914844"/>
    <w:rsid w:val="2E916822"/>
    <w:rsid w:val="2E932EBE"/>
    <w:rsid w:val="2E9541CC"/>
    <w:rsid w:val="2E9A064C"/>
    <w:rsid w:val="2EA45B3D"/>
    <w:rsid w:val="2EA77047"/>
    <w:rsid w:val="2EAA5ACA"/>
    <w:rsid w:val="2EB61DC7"/>
    <w:rsid w:val="2EBB42AB"/>
    <w:rsid w:val="2EBC12E0"/>
    <w:rsid w:val="2EBD7287"/>
    <w:rsid w:val="2EC43AF3"/>
    <w:rsid w:val="2ECF1CF8"/>
    <w:rsid w:val="2EDC5C85"/>
    <w:rsid w:val="2EDD678B"/>
    <w:rsid w:val="2EE45BBD"/>
    <w:rsid w:val="2EE81ADA"/>
    <w:rsid w:val="2EEC4A3A"/>
    <w:rsid w:val="2EEF14A8"/>
    <w:rsid w:val="2EF53AD4"/>
    <w:rsid w:val="2F05402C"/>
    <w:rsid w:val="2F0655C2"/>
    <w:rsid w:val="2F0C4FD0"/>
    <w:rsid w:val="2F1410D2"/>
    <w:rsid w:val="2F155DA1"/>
    <w:rsid w:val="2F16265C"/>
    <w:rsid w:val="2F1D04B9"/>
    <w:rsid w:val="2F255627"/>
    <w:rsid w:val="2F26058C"/>
    <w:rsid w:val="2F2D7712"/>
    <w:rsid w:val="2F2E6FE6"/>
    <w:rsid w:val="2F30614E"/>
    <w:rsid w:val="2F370591"/>
    <w:rsid w:val="2F3848B6"/>
    <w:rsid w:val="2F386CA4"/>
    <w:rsid w:val="2F4105DA"/>
    <w:rsid w:val="2F436E0B"/>
    <w:rsid w:val="2F4464D3"/>
    <w:rsid w:val="2F4B21A9"/>
    <w:rsid w:val="2F4D657B"/>
    <w:rsid w:val="2F4E3E29"/>
    <w:rsid w:val="2F5526B3"/>
    <w:rsid w:val="2F567BD7"/>
    <w:rsid w:val="2F5D6C7A"/>
    <w:rsid w:val="2F7357E8"/>
    <w:rsid w:val="2F7470EF"/>
    <w:rsid w:val="2F8310E0"/>
    <w:rsid w:val="2F9028FF"/>
    <w:rsid w:val="2F9C53A0"/>
    <w:rsid w:val="2FA326E9"/>
    <w:rsid w:val="2FB473CA"/>
    <w:rsid w:val="2FC736C3"/>
    <w:rsid w:val="2FC7446E"/>
    <w:rsid w:val="2FCD3512"/>
    <w:rsid w:val="2FD065E6"/>
    <w:rsid w:val="2FD24608"/>
    <w:rsid w:val="2FD51F42"/>
    <w:rsid w:val="2FD96870"/>
    <w:rsid w:val="2FE26F7E"/>
    <w:rsid w:val="2FE720D9"/>
    <w:rsid w:val="2FE900AA"/>
    <w:rsid w:val="2FEC6F73"/>
    <w:rsid w:val="2FF14047"/>
    <w:rsid w:val="2FF92356"/>
    <w:rsid w:val="2FFB15BE"/>
    <w:rsid w:val="30112B89"/>
    <w:rsid w:val="30115FC1"/>
    <w:rsid w:val="301332B2"/>
    <w:rsid w:val="30197644"/>
    <w:rsid w:val="30212840"/>
    <w:rsid w:val="302574EC"/>
    <w:rsid w:val="30270A39"/>
    <w:rsid w:val="302766E9"/>
    <w:rsid w:val="302E3ECB"/>
    <w:rsid w:val="303E7776"/>
    <w:rsid w:val="30403475"/>
    <w:rsid w:val="304270A6"/>
    <w:rsid w:val="3046484F"/>
    <w:rsid w:val="304E16EE"/>
    <w:rsid w:val="3052521B"/>
    <w:rsid w:val="30580BC9"/>
    <w:rsid w:val="305D4ABE"/>
    <w:rsid w:val="306058C5"/>
    <w:rsid w:val="306F3AB4"/>
    <w:rsid w:val="307408EE"/>
    <w:rsid w:val="30797F8B"/>
    <w:rsid w:val="308441F8"/>
    <w:rsid w:val="308570DA"/>
    <w:rsid w:val="30874C00"/>
    <w:rsid w:val="308A649E"/>
    <w:rsid w:val="308C0D61"/>
    <w:rsid w:val="30963095"/>
    <w:rsid w:val="309A2AEF"/>
    <w:rsid w:val="309A2FF3"/>
    <w:rsid w:val="30A752A2"/>
    <w:rsid w:val="30A779A7"/>
    <w:rsid w:val="30A9101A"/>
    <w:rsid w:val="30AE7F2E"/>
    <w:rsid w:val="30B114D0"/>
    <w:rsid w:val="30BB1243"/>
    <w:rsid w:val="30C04C97"/>
    <w:rsid w:val="30C45E54"/>
    <w:rsid w:val="30C714A1"/>
    <w:rsid w:val="30C92914"/>
    <w:rsid w:val="30D00355"/>
    <w:rsid w:val="30D639F3"/>
    <w:rsid w:val="30D67DF9"/>
    <w:rsid w:val="30D836AE"/>
    <w:rsid w:val="30DC13F0"/>
    <w:rsid w:val="30E87D95"/>
    <w:rsid w:val="30F035C8"/>
    <w:rsid w:val="30F23640"/>
    <w:rsid w:val="30F248FD"/>
    <w:rsid w:val="30F32296"/>
    <w:rsid w:val="30F72E81"/>
    <w:rsid w:val="30F85500"/>
    <w:rsid w:val="31012C04"/>
    <w:rsid w:val="310444A3"/>
    <w:rsid w:val="31084FD8"/>
    <w:rsid w:val="31091AB9"/>
    <w:rsid w:val="311144F4"/>
    <w:rsid w:val="31131271"/>
    <w:rsid w:val="3114609E"/>
    <w:rsid w:val="311514AE"/>
    <w:rsid w:val="311B14F6"/>
    <w:rsid w:val="311B2801"/>
    <w:rsid w:val="311D274B"/>
    <w:rsid w:val="311E2606"/>
    <w:rsid w:val="311E2ED7"/>
    <w:rsid w:val="312245A1"/>
    <w:rsid w:val="312406A1"/>
    <w:rsid w:val="3127060C"/>
    <w:rsid w:val="312D1292"/>
    <w:rsid w:val="312F620E"/>
    <w:rsid w:val="313403FA"/>
    <w:rsid w:val="31362B8F"/>
    <w:rsid w:val="313D33E3"/>
    <w:rsid w:val="31464ABB"/>
    <w:rsid w:val="314A1D01"/>
    <w:rsid w:val="314B3E80"/>
    <w:rsid w:val="3150593A"/>
    <w:rsid w:val="31560E60"/>
    <w:rsid w:val="315619EE"/>
    <w:rsid w:val="315A57EF"/>
    <w:rsid w:val="315C449C"/>
    <w:rsid w:val="31650A61"/>
    <w:rsid w:val="316E7C65"/>
    <w:rsid w:val="316F5A2F"/>
    <w:rsid w:val="31745184"/>
    <w:rsid w:val="31765F5D"/>
    <w:rsid w:val="31792492"/>
    <w:rsid w:val="31827429"/>
    <w:rsid w:val="31866D56"/>
    <w:rsid w:val="31894432"/>
    <w:rsid w:val="318A173D"/>
    <w:rsid w:val="3196219E"/>
    <w:rsid w:val="31AE27F2"/>
    <w:rsid w:val="31B153F9"/>
    <w:rsid w:val="31B639EF"/>
    <w:rsid w:val="31B82709"/>
    <w:rsid w:val="31BA4361"/>
    <w:rsid w:val="31CC163C"/>
    <w:rsid w:val="31D05482"/>
    <w:rsid w:val="31D64091"/>
    <w:rsid w:val="31D87D67"/>
    <w:rsid w:val="31DC293D"/>
    <w:rsid w:val="31DE6AA2"/>
    <w:rsid w:val="31E036E7"/>
    <w:rsid w:val="31E23470"/>
    <w:rsid w:val="31E3055C"/>
    <w:rsid w:val="31E52DDC"/>
    <w:rsid w:val="31E65903"/>
    <w:rsid w:val="31EF5153"/>
    <w:rsid w:val="31FE7168"/>
    <w:rsid w:val="32004404"/>
    <w:rsid w:val="320320D6"/>
    <w:rsid w:val="32052280"/>
    <w:rsid w:val="32095B4B"/>
    <w:rsid w:val="320A6A8B"/>
    <w:rsid w:val="320D7387"/>
    <w:rsid w:val="3211389A"/>
    <w:rsid w:val="32132BEF"/>
    <w:rsid w:val="32181967"/>
    <w:rsid w:val="321921D0"/>
    <w:rsid w:val="321D1D06"/>
    <w:rsid w:val="3223427F"/>
    <w:rsid w:val="32257EA5"/>
    <w:rsid w:val="322E5C7B"/>
    <w:rsid w:val="3232300C"/>
    <w:rsid w:val="32342B66"/>
    <w:rsid w:val="32352A61"/>
    <w:rsid w:val="323D36AE"/>
    <w:rsid w:val="323F1C36"/>
    <w:rsid w:val="32400B34"/>
    <w:rsid w:val="324C3E11"/>
    <w:rsid w:val="3256015D"/>
    <w:rsid w:val="32582CF8"/>
    <w:rsid w:val="325B4596"/>
    <w:rsid w:val="325F2ABE"/>
    <w:rsid w:val="32607DFF"/>
    <w:rsid w:val="326276D3"/>
    <w:rsid w:val="3264169D"/>
    <w:rsid w:val="326B5301"/>
    <w:rsid w:val="326D488B"/>
    <w:rsid w:val="3270063B"/>
    <w:rsid w:val="3275602C"/>
    <w:rsid w:val="327C2025"/>
    <w:rsid w:val="327D62BB"/>
    <w:rsid w:val="327E2D6F"/>
    <w:rsid w:val="327E4BFA"/>
    <w:rsid w:val="32800500"/>
    <w:rsid w:val="32892011"/>
    <w:rsid w:val="328D70FE"/>
    <w:rsid w:val="328E671A"/>
    <w:rsid w:val="32963353"/>
    <w:rsid w:val="32977E9B"/>
    <w:rsid w:val="329E6876"/>
    <w:rsid w:val="329F415B"/>
    <w:rsid w:val="32A46191"/>
    <w:rsid w:val="32B11CB4"/>
    <w:rsid w:val="32B12CC0"/>
    <w:rsid w:val="32B51EF8"/>
    <w:rsid w:val="32B73B66"/>
    <w:rsid w:val="32BB6DE3"/>
    <w:rsid w:val="32BD2B5B"/>
    <w:rsid w:val="32CB5119"/>
    <w:rsid w:val="32D13927"/>
    <w:rsid w:val="32D305D1"/>
    <w:rsid w:val="32D64C0E"/>
    <w:rsid w:val="32E77BD8"/>
    <w:rsid w:val="32E85C1B"/>
    <w:rsid w:val="32EB5E30"/>
    <w:rsid w:val="32EC2A16"/>
    <w:rsid w:val="32ED52A4"/>
    <w:rsid w:val="32F921EB"/>
    <w:rsid w:val="32F958D0"/>
    <w:rsid w:val="32FF0EE3"/>
    <w:rsid w:val="33044C2E"/>
    <w:rsid w:val="330662B0"/>
    <w:rsid w:val="33072028"/>
    <w:rsid w:val="331035D3"/>
    <w:rsid w:val="331D33AE"/>
    <w:rsid w:val="33234280"/>
    <w:rsid w:val="33243844"/>
    <w:rsid w:val="33260700"/>
    <w:rsid w:val="332F6211"/>
    <w:rsid w:val="333015F2"/>
    <w:rsid w:val="3330202B"/>
    <w:rsid w:val="33346D74"/>
    <w:rsid w:val="333554DB"/>
    <w:rsid w:val="33367A78"/>
    <w:rsid w:val="33396271"/>
    <w:rsid w:val="33457865"/>
    <w:rsid w:val="3346582C"/>
    <w:rsid w:val="33492641"/>
    <w:rsid w:val="334B6320"/>
    <w:rsid w:val="334C2427"/>
    <w:rsid w:val="33530E14"/>
    <w:rsid w:val="33576B0C"/>
    <w:rsid w:val="33584BA1"/>
    <w:rsid w:val="336D043E"/>
    <w:rsid w:val="3383286C"/>
    <w:rsid w:val="338D2AE2"/>
    <w:rsid w:val="339062A5"/>
    <w:rsid w:val="339406B3"/>
    <w:rsid w:val="33A361F5"/>
    <w:rsid w:val="33AD19AB"/>
    <w:rsid w:val="33B45D0C"/>
    <w:rsid w:val="33BB226C"/>
    <w:rsid w:val="33BB4587"/>
    <w:rsid w:val="33D068BE"/>
    <w:rsid w:val="33D934D4"/>
    <w:rsid w:val="33DB6150"/>
    <w:rsid w:val="33DF6091"/>
    <w:rsid w:val="33E04D53"/>
    <w:rsid w:val="33E44E3E"/>
    <w:rsid w:val="33F26952"/>
    <w:rsid w:val="33FD6AFF"/>
    <w:rsid w:val="33FE2F6A"/>
    <w:rsid w:val="340123CF"/>
    <w:rsid w:val="340A6274"/>
    <w:rsid w:val="340E07E5"/>
    <w:rsid w:val="340F2849"/>
    <w:rsid w:val="340F388A"/>
    <w:rsid w:val="34117602"/>
    <w:rsid w:val="34176AC7"/>
    <w:rsid w:val="34213AAE"/>
    <w:rsid w:val="342310E4"/>
    <w:rsid w:val="3423479D"/>
    <w:rsid w:val="34235BF7"/>
    <w:rsid w:val="342678FC"/>
    <w:rsid w:val="34346E4D"/>
    <w:rsid w:val="343C1698"/>
    <w:rsid w:val="3442156A"/>
    <w:rsid w:val="34421914"/>
    <w:rsid w:val="34585069"/>
    <w:rsid w:val="345B6AD0"/>
    <w:rsid w:val="345F67C4"/>
    <w:rsid w:val="34627E5E"/>
    <w:rsid w:val="34636CDD"/>
    <w:rsid w:val="34657EA4"/>
    <w:rsid w:val="346911EC"/>
    <w:rsid w:val="346A4820"/>
    <w:rsid w:val="346C4120"/>
    <w:rsid w:val="346E18E2"/>
    <w:rsid w:val="34735BC7"/>
    <w:rsid w:val="34761309"/>
    <w:rsid w:val="34781430"/>
    <w:rsid w:val="34790D91"/>
    <w:rsid w:val="347D4B77"/>
    <w:rsid w:val="348A5CC3"/>
    <w:rsid w:val="348C22AE"/>
    <w:rsid w:val="34934894"/>
    <w:rsid w:val="3496249B"/>
    <w:rsid w:val="34963664"/>
    <w:rsid w:val="34967D11"/>
    <w:rsid w:val="349842EA"/>
    <w:rsid w:val="349924C2"/>
    <w:rsid w:val="34A4678D"/>
    <w:rsid w:val="34A93DCB"/>
    <w:rsid w:val="34B025E7"/>
    <w:rsid w:val="34B57B58"/>
    <w:rsid w:val="34B92522"/>
    <w:rsid w:val="34C25A20"/>
    <w:rsid w:val="34CA0B0B"/>
    <w:rsid w:val="34E46AC5"/>
    <w:rsid w:val="34EB4257"/>
    <w:rsid w:val="34EC3BCC"/>
    <w:rsid w:val="34EF5E39"/>
    <w:rsid w:val="34F1725C"/>
    <w:rsid w:val="34F36DC5"/>
    <w:rsid w:val="34FF18A1"/>
    <w:rsid w:val="350031B9"/>
    <w:rsid w:val="350303A1"/>
    <w:rsid w:val="350902DA"/>
    <w:rsid w:val="35134CB4"/>
    <w:rsid w:val="351471A1"/>
    <w:rsid w:val="35195E2D"/>
    <w:rsid w:val="351A4295"/>
    <w:rsid w:val="351A5A93"/>
    <w:rsid w:val="351D1FD7"/>
    <w:rsid w:val="35226149"/>
    <w:rsid w:val="35275471"/>
    <w:rsid w:val="35282272"/>
    <w:rsid w:val="352944D8"/>
    <w:rsid w:val="352E3C58"/>
    <w:rsid w:val="353059A9"/>
    <w:rsid w:val="35346491"/>
    <w:rsid w:val="3536500B"/>
    <w:rsid w:val="353D62A8"/>
    <w:rsid w:val="35431B1D"/>
    <w:rsid w:val="35474A54"/>
    <w:rsid w:val="35484973"/>
    <w:rsid w:val="356B689E"/>
    <w:rsid w:val="356D58FE"/>
    <w:rsid w:val="357515F0"/>
    <w:rsid w:val="35773495"/>
    <w:rsid w:val="357B204A"/>
    <w:rsid w:val="358160C2"/>
    <w:rsid w:val="35823088"/>
    <w:rsid w:val="358455C9"/>
    <w:rsid w:val="358B781C"/>
    <w:rsid w:val="358C5FA8"/>
    <w:rsid w:val="358E3180"/>
    <w:rsid w:val="359D0A22"/>
    <w:rsid w:val="359F29EC"/>
    <w:rsid w:val="35A046F8"/>
    <w:rsid w:val="35A81158"/>
    <w:rsid w:val="35A86617"/>
    <w:rsid w:val="35AF5C6F"/>
    <w:rsid w:val="35B11B46"/>
    <w:rsid w:val="35B30245"/>
    <w:rsid w:val="35B5220F"/>
    <w:rsid w:val="35B928C0"/>
    <w:rsid w:val="35BA6E5C"/>
    <w:rsid w:val="35BC7E00"/>
    <w:rsid w:val="35BD5647"/>
    <w:rsid w:val="35C15DF1"/>
    <w:rsid w:val="35C401F3"/>
    <w:rsid w:val="35C6464F"/>
    <w:rsid w:val="35C91B5D"/>
    <w:rsid w:val="35CC53F8"/>
    <w:rsid w:val="35D42696"/>
    <w:rsid w:val="35E90C9C"/>
    <w:rsid w:val="35E93C67"/>
    <w:rsid w:val="35E9489D"/>
    <w:rsid w:val="35F5085E"/>
    <w:rsid w:val="35FB04B7"/>
    <w:rsid w:val="35FE541E"/>
    <w:rsid w:val="36002FE6"/>
    <w:rsid w:val="360715DE"/>
    <w:rsid w:val="36074A7F"/>
    <w:rsid w:val="36107446"/>
    <w:rsid w:val="362178A5"/>
    <w:rsid w:val="36314BAE"/>
    <w:rsid w:val="36321D1C"/>
    <w:rsid w:val="363324E9"/>
    <w:rsid w:val="36353AED"/>
    <w:rsid w:val="36386F87"/>
    <w:rsid w:val="36400103"/>
    <w:rsid w:val="36455341"/>
    <w:rsid w:val="364B3D4E"/>
    <w:rsid w:val="365752FB"/>
    <w:rsid w:val="36687282"/>
    <w:rsid w:val="366C6251"/>
    <w:rsid w:val="36714388"/>
    <w:rsid w:val="36776331"/>
    <w:rsid w:val="36785717"/>
    <w:rsid w:val="367C38D0"/>
    <w:rsid w:val="368315AB"/>
    <w:rsid w:val="368A4A32"/>
    <w:rsid w:val="3691683D"/>
    <w:rsid w:val="36923549"/>
    <w:rsid w:val="36932551"/>
    <w:rsid w:val="369D120B"/>
    <w:rsid w:val="369E4A52"/>
    <w:rsid w:val="369F04A9"/>
    <w:rsid w:val="36A06A1C"/>
    <w:rsid w:val="36A230E6"/>
    <w:rsid w:val="36A93B22"/>
    <w:rsid w:val="36AA1648"/>
    <w:rsid w:val="36B75CA4"/>
    <w:rsid w:val="36B75FBF"/>
    <w:rsid w:val="36B821E5"/>
    <w:rsid w:val="36B95791"/>
    <w:rsid w:val="36BD0C45"/>
    <w:rsid w:val="36BD137C"/>
    <w:rsid w:val="36D23FBE"/>
    <w:rsid w:val="36D65D5A"/>
    <w:rsid w:val="36DF5796"/>
    <w:rsid w:val="36DF7F4D"/>
    <w:rsid w:val="36E006E6"/>
    <w:rsid w:val="36F14358"/>
    <w:rsid w:val="36F55120"/>
    <w:rsid w:val="36F823B4"/>
    <w:rsid w:val="37030E5D"/>
    <w:rsid w:val="370D1111"/>
    <w:rsid w:val="370F542C"/>
    <w:rsid w:val="371838EC"/>
    <w:rsid w:val="37256F21"/>
    <w:rsid w:val="37270EEB"/>
    <w:rsid w:val="3728722F"/>
    <w:rsid w:val="37294986"/>
    <w:rsid w:val="372C5C7E"/>
    <w:rsid w:val="372E04CB"/>
    <w:rsid w:val="3733638B"/>
    <w:rsid w:val="37374349"/>
    <w:rsid w:val="373B4B09"/>
    <w:rsid w:val="374250D3"/>
    <w:rsid w:val="37450CB1"/>
    <w:rsid w:val="374B4BD9"/>
    <w:rsid w:val="375515B4"/>
    <w:rsid w:val="3768578B"/>
    <w:rsid w:val="376C34BF"/>
    <w:rsid w:val="376C6CB3"/>
    <w:rsid w:val="377065DC"/>
    <w:rsid w:val="37784312"/>
    <w:rsid w:val="378168B2"/>
    <w:rsid w:val="37860940"/>
    <w:rsid w:val="378B3228"/>
    <w:rsid w:val="378E5399"/>
    <w:rsid w:val="37A226F1"/>
    <w:rsid w:val="37A308BB"/>
    <w:rsid w:val="37A45263"/>
    <w:rsid w:val="37B40EDC"/>
    <w:rsid w:val="37BE2D67"/>
    <w:rsid w:val="37CB24DC"/>
    <w:rsid w:val="37D70995"/>
    <w:rsid w:val="37E00298"/>
    <w:rsid w:val="37E136D2"/>
    <w:rsid w:val="37E40B8A"/>
    <w:rsid w:val="37EC0259"/>
    <w:rsid w:val="37EC3F5E"/>
    <w:rsid w:val="37F214F9"/>
    <w:rsid w:val="37FC04AB"/>
    <w:rsid w:val="38057C5A"/>
    <w:rsid w:val="380B25BB"/>
    <w:rsid w:val="38133CE5"/>
    <w:rsid w:val="38141441"/>
    <w:rsid w:val="38250D5D"/>
    <w:rsid w:val="383316B4"/>
    <w:rsid w:val="383719AD"/>
    <w:rsid w:val="383E64EC"/>
    <w:rsid w:val="384016A7"/>
    <w:rsid w:val="38584F9D"/>
    <w:rsid w:val="385964FE"/>
    <w:rsid w:val="385E3B0C"/>
    <w:rsid w:val="386D2987"/>
    <w:rsid w:val="3876113B"/>
    <w:rsid w:val="387675B6"/>
    <w:rsid w:val="388365F5"/>
    <w:rsid w:val="388819C6"/>
    <w:rsid w:val="388F6D48"/>
    <w:rsid w:val="389A1768"/>
    <w:rsid w:val="38A374E1"/>
    <w:rsid w:val="38A4662A"/>
    <w:rsid w:val="38B302F9"/>
    <w:rsid w:val="38BF1ED3"/>
    <w:rsid w:val="38CF2341"/>
    <w:rsid w:val="38D024E6"/>
    <w:rsid w:val="38D02BD7"/>
    <w:rsid w:val="38D35375"/>
    <w:rsid w:val="38D4103E"/>
    <w:rsid w:val="38DD3F57"/>
    <w:rsid w:val="38E901AA"/>
    <w:rsid w:val="38F07C78"/>
    <w:rsid w:val="38F12CD3"/>
    <w:rsid w:val="38F77565"/>
    <w:rsid w:val="38F94775"/>
    <w:rsid w:val="38FB43DD"/>
    <w:rsid w:val="38FC7A7A"/>
    <w:rsid w:val="38FE540C"/>
    <w:rsid w:val="390019F4"/>
    <w:rsid w:val="39022DBF"/>
    <w:rsid w:val="390A30AE"/>
    <w:rsid w:val="390B6689"/>
    <w:rsid w:val="3917530A"/>
    <w:rsid w:val="391B02F3"/>
    <w:rsid w:val="39205BF2"/>
    <w:rsid w:val="3921702A"/>
    <w:rsid w:val="39241B86"/>
    <w:rsid w:val="39244BB6"/>
    <w:rsid w:val="39274492"/>
    <w:rsid w:val="392778FC"/>
    <w:rsid w:val="39280BB6"/>
    <w:rsid w:val="392971ED"/>
    <w:rsid w:val="392D50EE"/>
    <w:rsid w:val="393226B5"/>
    <w:rsid w:val="39325651"/>
    <w:rsid w:val="393802D6"/>
    <w:rsid w:val="393C288A"/>
    <w:rsid w:val="393F076E"/>
    <w:rsid w:val="393F15AA"/>
    <w:rsid w:val="394470E5"/>
    <w:rsid w:val="3951224F"/>
    <w:rsid w:val="395919EE"/>
    <w:rsid w:val="395D0BF4"/>
    <w:rsid w:val="395D6E46"/>
    <w:rsid w:val="395F671A"/>
    <w:rsid w:val="39625575"/>
    <w:rsid w:val="39643D30"/>
    <w:rsid w:val="396B3311"/>
    <w:rsid w:val="396C7089"/>
    <w:rsid w:val="397521DD"/>
    <w:rsid w:val="397877DC"/>
    <w:rsid w:val="39836406"/>
    <w:rsid w:val="398B5EF9"/>
    <w:rsid w:val="39953A8F"/>
    <w:rsid w:val="39967688"/>
    <w:rsid w:val="39971A0B"/>
    <w:rsid w:val="399C4501"/>
    <w:rsid w:val="399D4B29"/>
    <w:rsid w:val="399D4F8A"/>
    <w:rsid w:val="39A03EED"/>
    <w:rsid w:val="39B97EA9"/>
    <w:rsid w:val="39BE07EB"/>
    <w:rsid w:val="39C50DBF"/>
    <w:rsid w:val="39C80763"/>
    <w:rsid w:val="39CF0051"/>
    <w:rsid w:val="39D32666"/>
    <w:rsid w:val="39D374F5"/>
    <w:rsid w:val="39DB0ED3"/>
    <w:rsid w:val="39DE060A"/>
    <w:rsid w:val="39EF3F42"/>
    <w:rsid w:val="3A077D82"/>
    <w:rsid w:val="3A11089E"/>
    <w:rsid w:val="3A177DBF"/>
    <w:rsid w:val="3A1D7F28"/>
    <w:rsid w:val="3A1E7F67"/>
    <w:rsid w:val="3A232CBE"/>
    <w:rsid w:val="3A36183C"/>
    <w:rsid w:val="3A3B48F0"/>
    <w:rsid w:val="3A3D602C"/>
    <w:rsid w:val="3A3E0A25"/>
    <w:rsid w:val="3A414312"/>
    <w:rsid w:val="3A464B75"/>
    <w:rsid w:val="3A485400"/>
    <w:rsid w:val="3A5708B7"/>
    <w:rsid w:val="3A59650C"/>
    <w:rsid w:val="3A5A4E51"/>
    <w:rsid w:val="3A5C0EAC"/>
    <w:rsid w:val="3A6D2C1F"/>
    <w:rsid w:val="3A6F499E"/>
    <w:rsid w:val="3A7044BF"/>
    <w:rsid w:val="3A720F3C"/>
    <w:rsid w:val="3A7A5CB5"/>
    <w:rsid w:val="3A804B9A"/>
    <w:rsid w:val="3A810D66"/>
    <w:rsid w:val="3A8155FE"/>
    <w:rsid w:val="3A852311"/>
    <w:rsid w:val="3A8723CC"/>
    <w:rsid w:val="3A872856"/>
    <w:rsid w:val="3A874BD8"/>
    <w:rsid w:val="3A883C16"/>
    <w:rsid w:val="3A8A00E5"/>
    <w:rsid w:val="3A8A3C6B"/>
    <w:rsid w:val="3A8F74D3"/>
    <w:rsid w:val="3A900AFE"/>
    <w:rsid w:val="3A95616C"/>
    <w:rsid w:val="3A9861F5"/>
    <w:rsid w:val="3A9A1CD8"/>
    <w:rsid w:val="3AA30888"/>
    <w:rsid w:val="3AA377DF"/>
    <w:rsid w:val="3AB50C9B"/>
    <w:rsid w:val="3AB83DE5"/>
    <w:rsid w:val="3ABC6C70"/>
    <w:rsid w:val="3AE130CF"/>
    <w:rsid w:val="3AE315B0"/>
    <w:rsid w:val="3AEA4709"/>
    <w:rsid w:val="3AEC0481"/>
    <w:rsid w:val="3AED6500"/>
    <w:rsid w:val="3AEE1AC1"/>
    <w:rsid w:val="3AEE2015"/>
    <w:rsid w:val="3AF23254"/>
    <w:rsid w:val="3AF31810"/>
    <w:rsid w:val="3AF37A62"/>
    <w:rsid w:val="3AF410E4"/>
    <w:rsid w:val="3AF41ECE"/>
    <w:rsid w:val="3AF50731"/>
    <w:rsid w:val="3AFD443D"/>
    <w:rsid w:val="3AFE5DD5"/>
    <w:rsid w:val="3B01625A"/>
    <w:rsid w:val="3B021A53"/>
    <w:rsid w:val="3B023089"/>
    <w:rsid w:val="3B1546D2"/>
    <w:rsid w:val="3B1C0294"/>
    <w:rsid w:val="3B20012B"/>
    <w:rsid w:val="3B284C72"/>
    <w:rsid w:val="3B2A61DE"/>
    <w:rsid w:val="3B304812"/>
    <w:rsid w:val="3B3763D1"/>
    <w:rsid w:val="3B3911ED"/>
    <w:rsid w:val="3B3A6FC7"/>
    <w:rsid w:val="3B404329"/>
    <w:rsid w:val="3B450EFD"/>
    <w:rsid w:val="3B451940"/>
    <w:rsid w:val="3B464C03"/>
    <w:rsid w:val="3B4A3779"/>
    <w:rsid w:val="3B4C053F"/>
    <w:rsid w:val="3B4D2C3D"/>
    <w:rsid w:val="3B4D3ED2"/>
    <w:rsid w:val="3B517F62"/>
    <w:rsid w:val="3B527C0F"/>
    <w:rsid w:val="3B533939"/>
    <w:rsid w:val="3B5621EE"/>
    <w:rsid w:val="3B675D5A"/>
    <w:rsid w:val="3B6839BF"/>
    <w:rsid w:val="3B7010B2"/>
    <w:rsid w:val="3B727CD9"/>
    <w:rsid w:val="3B7A05B3"/>
    <w:rsid w:val="3B7B236E"/>
    <w:rsid w:val="3B874AEB"/>
    <w:rsid w:val="3B93292F"/>
    <w:rsid w:val="3B9617AB"/>
    <w:rsid w:val="3B966DB5"/>
    <w:rsid w:val="3B9E06F0"/>
    <w:rsid w:val="3BAF0D89"/>
    <w:rsid w:val="3BAF52E8"/>
    <w:rsid w:val="3BB078EF"/>
    <w:rsid w:val="3BB60494"/>
    <w:rsid w:val="3BB623B8"/>
    <w:rsid w:val="3BBF5EA1"/>
    <w:rsid w:val="3BC1781E"/>
    <w:rsid w:val="3BC907C3"/>
    <w:rsid w:val="3BCB0097"/>
    <w:rsid w:val="3BCE2C3A"/>
    <w:rsid w:val="3BCE402B"/>
    <w:rsid w:val="3BD74824"/>
    <w:rsid w:val="3BD75105"/>
    <w:rsid w:val="3BD768B0"/>
    <w:rsid w:val="3BE44879"/>
    <w:rsid w:val="3BF375EE"/>
    <w:rsid w:val="3BF93B49"/>
    <w:rsid w:val="3C011D0B"/>
    <w:rsid w:val="3C03644E"/>
    <w:rsid w:val="3C081314"/>
    <w:rsid w:val="3C0E61D6"/>
    <w:rsid w:val="3C1B147E"/>
    <w:rsid w:val="3C1F7510"/>
    <w:rsid w:val="3C2471C4"/>
    <w:rsid w:val="3C275381"/>
    <w:rsid w:val="3C28373B"/>
    <w:rsid w:val="3C2974B3"/>
    <w:rsid w:val="3C2B4FD9"/>
    <w:rsid w:val="3C2F371D"/>
    <w:rsid w:val="3C2F6E1E"/>
    <w:rsid w:val="3C317B1C"/>
    <w:rsid w:val="3C330C23"/>
    <w:rsid w:val="3C3644F6"/>
    <w:rsid w:val="3C3A301D"/>
    <w:rsid w:val="3C400C82"/>
    <w:rsid w:val="3C457F91"/>
    <w:rsid w:val="3C4A1903"/>
    <w:rsid w:val="3C4E4BA9"/>
    <w:rsid w:val="3C4F64BA"/>
    <w:rsid w:val="3C52048E"/>
    <w:rsid w:val="3C563F2F"/>
    <w:rsid w:val="3C5B6581"/>
    <w:rsid w:val="3C601127"/>
    <w:rsid w:val="3C6067E2"/>
    <w:rsid w:val="3C642299"/>
    <w:rsid w:val="3C66255E"/>
    <w:rsid w:val="3C6D1D1F"/>
    <w:rsid w:val="3C6E383B"/>
    <w:rsid w:val="3C771A3A"/>
    <w:rsid w:val="3C8124F5"/>
    <w:rsid w:val="3C8D359E"/>
    <w:rsid w:val="3C942B7F"/>
    <w:rsid w:val="3C9708C1"/>
    <w:rsid w:val="3C9961FF"/>
    <w:rsid w:val="3C9C1A33"/>
    <w:rsid w:val="3C9F32D2"/>
    <w:rsid w:val="3CA408E8"/>
    <w:rsid w:val="3CA66761"/>
    <w:rsid w:val="3CB34FFF"/>
    <w:rsid w:val="3CB530E9"/>
    <w:rsid w:val="3CB82218"/>
    <w:rsid w:val="3CB87CBE"/>
    <w:rsid w:val="3CC0353A"/>
    <w:rsid w:val="3CC03974"/>
    <w:rsid w:val="3CCA17B3"/>
    <w:rsid w:val="3CD25455"/>
    <w:rsid w:val="3CD427F4"/>
    <w:rsid w:val="3CD80104"/>
    <w:rsid w:val="3CDA245A"/>
    <w:rsid w:val="3CE07B72"/>
    <w:rsid w:val="3CEA700B"/>
    <w:rsid w:val="3CEB6517"/>
    <w:rsid w:val="3CED04E1"/>
    <w:rsid w:val="3CEE5B23"/>
    <w:rsid w:val="3CF07A4A"/>
    <w:rsid w:val="3CF07F3A"/>
    <w:rsid w:val="3CF248ED"/>
    <w:rsid w:val="3CF511EB"/>
    <w:rsid w:val="3CF85394"/>
    <w:rsid w:val="3D003C98"/>
    <w:rsid w:val="3D0B5AA3"/>
    <w:rsid w:val="3D100D9D"/>
    <w:rsid w:val="3D114287"/>
    <w:rsid w:val="3D115F7D"/>
    <w:rsid w:val="3D116D92"/>
    <w:rsid w:val="3D135143"/>
    <w:rsid w:val="3D1C4922"/>
    <w:rsid w:val="3D1E06B7"/>
    <w:rsid w:val="3D2106A9"/>
    <w:rsid w:val="3D2757A1"/>
    <w:rsid w:val="3D34401E"/>
    <w:rsid w:val="3D385C00"/>
    <w:rsid w:val="3D3D6D72"/>
    <w:rsid w:val="3D446355"/>
    <w:rsid w:val="3D484B9A"/>
    <w:rsid w:val="3D4A1042"/>
    <w:rsid w:val="3D586EB2"/>
    <w:rsid w:val="3D5B241B"/>
    <w:rsid w:val="3D5E2441"/>
    <w:rsid w:val="3D640E5F"/>
    <w:rsid w:val="3D64119D"/>
    <w:rsid w:val="3D6528F4"/>
    <w:rsid w:val="3D671972"/>
    <w:rsid w:val="3D7D7027"/>
    <w:rsid w:val="3D870A34"/>
    <w:rsid w:val="3D8726E3"/>
    <w:rsid w:val="3D960635"/>
    <w:rsid w:val="3D98669F"/>
    <w:rsid w:val="3D9A2B46"/>
    <w:rsid w:val="3D9A71DB"/>
    <w:rsid w:val="3DAC5340"/>
    <w:rsid w:val="3DC2196D"/>
    <w:rsid w:val="3DC821E0"/>
    <w:rsid w:val="3DD27E02"/>
    <w:rsid w:val="3DD530B4"/>
    <w:rsid w:val="3DD73328"/>
    <w:rsid w:val="3DEB66D0"/>
    <w:rsid w:val="3DFB1A76"/>
    <w:rsid w:val="3E111FAD"/>
    <w:rsid w:val="3E114195"/>
    <w:rsid w:val="3E1A34BA"/>
    <w:rsid w:val="3E1B5812"/>
    <w:rsid w:val="3E202529"/>
    <w:rsid w:val="3E23272F"/>
    <w:rsid w:val="3E241CE0"/>
    <w:rsid w:val="3E340A33"/>
    <w:rsid w:val="3E381AA2"/>
    <w:rsid w:val="3E49262C"/>
    <w:rsid w:val="3E5A3954"/>
    <w:rsid w:val="3E5D51F2"/>
    <w:rsid w:val="3E6253B4"/>
    <w:rsid w:val="3E6E3DAB"/>
    <w:rsid w:val="3E711D0C"/>
    <w:rsid w:val="3E743EFA"/>
    <w:rsid w:val="3E7A4E2A"/>
    <w:rsid w:val="3E7F160D"/>
    <w:rsid w:val="3E897DF9"/>
    <w:rsid w:val="3E970704"/>
    <w:rsid w:val="3E99447C"/>
    <w:rsid w:val="3E9E5688"/>
    <w:rsid w:val="3EA6303D"/>
    <w:rsid w:val="3EB06E76"/>
    <w:rsid w:val="3EB20BD3"/>
    <w:rsid w:val="3EB21A66"/>
    <w:rsid w:val="3EB837DF"/>
    <w:rsid w:val="3EC44618"/>
    <w:rsid w:val="3EC96B97"/>
    <w:rsid w:val="3ECA6D2C"/>
    <w:rsid w:val="3ED02776"/>
    <w:rsid w:val="3EDA0523"/>
    <w:rsid w:val="3EDA1454"/>
    <w:rsid w:val="3EEA7B00"/>
    <w:rsid w:val="3EF37A97"/>
    <w:rsid w:val="3EF6080E"/>
    <w:rsid w:val="3EF67997"/>
    <w:rsid w:val="3F0044FB"/>
    <w:rsid w:val="3F080FE0"/>
    <w:rsid w:val="3F0C061D"/>
    <w:rsid w:val="3F11313E"/>
    <w:rsid w:val="3F141D55"/>
    <w:rsid w:val="3F1B1335"/>
    <w:rsid w:val="3F2C2F64"/>
    <w:rsid w:val="3F310B59"/>
    <w:rsid w:val="3F32257B"/>
    <w:rsid w:val="3F364A59"/>
    <w:rsid w:val="3F3A0DBA"/>
    <w:rsid w:val="3F423B10"/>
    <w:rsid w:val="3F4560DF"/>
    <w:rsid w:val="3F4F7231"/>
    <w:rsid w:val="3F55100E"/>
    <w:rsid w:val="3F551743"/>
    <w:rsid w:val="3F5B343B"/>
    <w:rsid w:val="3F683217"/>
    <w:rsid w:val="3F6F342F"/>
    <w:rsid w:val="3F7B6278"/>
    <w:rsid w:val="3F812F8F"/>
    <w:rsid w:val="3F850EA5"/>
    <w:rsid w:val="3F862745"/>
    <w:rsid w:val="3F8A7181"/>
    <w:rsid w:val="3F8F17B7"/>
    <w:rsid w:val="3F962211"/>
    <w:rsid w:val="3F9C4ACE"/>
    <w:rsid w:val="3FA14051"/>
    <w:rsid w:val="3FA550A3"/>
    <w:rsid w:val="3FAA4467"/>
    <w:rsid w:val="3FB70FEB"/>
    <w:rsid w:val="3FBD5EBA"/>
    <w:rsid w:val="3FC13EDB"/>
    <w:rsid w:val="3FC15332"/>
    <w:rsid w:val="3FC35B1E"/>
    <w:rsid w:val="3FC90595"/>
    <w:rsid w:val="3FC96FE3"/>
    <w:rsid w:val="3FCE7CFF"/>
    <w:rsid w:val="3FD02D5B"/>
    <w:rsid w:val="3FD135E7"/>
    <w:rsid w:val="3FD140EA"/>
    <w:rsid w:val="3FD4665E"/>
    <w:rsid w:val="3FD61700"/>
    <w:rsid w:val="3FDC6716"/>
    <w:rsid w:val="3FEA5477"/>
    <w:rsid w:val="3FEE7F68"/>
    <w:rsid w:val="3FF34F83"/>
    <w:rsid w:val="3FFF0C57"/>
    <w:rsid w:val="3FFF4F0A"/>
    <w:rsid w:val="40003751"/>
    <w:rsid w:val="4001761D"/>
    <w:rsid w:val="40024F0D"/>
    <w:rsid w:val="40030C42"/>
    <w:rsid w:val="400C19E0"/>
    <w:rsid w:val="400D7496"/>
    <w:rsid w:val="40104C12"/>
    <w:rsid w:val="40191C3E"/>
    <w:rsid w:val="401A0A99"/>
    <w:rsid w:val="401E61B2"/>
    <w:rsid w:val="401F03D9"/>
    <w:rsid w:val="401F30A7"/>
    <w:rsid w:val="401F6CDA"/>
    <w:rsid w:val="40202D3B"/>
    <w:rsid w:val="40202EF7"/>
    <w:rsid w:val="40222575"/>
    <w:rsid w:val="402838A7"/>
    <w:rsid w:val="402B37FA"/>
    <w:rsid w:val="4031053A"/>
    <w:rsid w:val="4031322D"/>
    <w:rsid w:val="404073F2"/>
    <w:rsid w:val="40427571"/>
    <w:rsid w:val="404E2A05"/>
    <w:rsid w:val="404F492D"/>
    <w:rsid w:val="405F5252"/>
    <w:rsid w:val="406617B6"/>
    <w:rsid w:val="406A40E4"/>
    <w:rsid w:val="406C78AD"/>
    <w:rsid w:val="40714DB1"/>
    <w:rsid w:val="40730CB8"/>
    <w:rsid w:val="407A6407"/>
    <w:rsid w:val="40827192"/>
    <w:rsid w:val="40891089"/>
    <w:rsid w:val="408B2E20"/>
    <w:rsid w:val="408D3A2C"/>
    <w:rsid w:val="408F228A"/>
    <w:rsid w:val="40907A7F"/>
    <w:rsid w:val="409B2AEE"/>
    <w:rsid w:val="409E763E"/>
    <w:rsid w:val="40A23043"/>
    <w:rsid w:val="40A42B87"/>
    <w:rsid w:val="40A62E81"/>
    <w:rsid w:val="40B530C4"/>
    <w:rsid w:val="40BA4B7E"/>
    <w:rsid w:val="40BE01CA"/>
    <w:rsid w:val="40C144DF"/>
    <w:rsid w:val="40C504C5"/>
    <w:rsid w:val="40C67A63"/>
    <w:rsid w:val="40C81215"/>
    <w:rsid w:val="40C9571C"/>
    <w:rsid w:val="40D82DFB"/>
    <w:rsid w:val="40EA2F84"/>
    <w:rsid w:val="40F736DC"/>
    <w:rsid w:val="40F740E4"/>
    <w:rsid w:val="41077398"/>
    <w:rsid w:val="410F655E"/>
    <w:rsid w:val="411554AA"/>
    <w:rsid w:val="41195D48"/>
    <w:rsid w:val="411A3D26"/>
    <w:rsid w:val="411F78D2"/>
    <w:rsid w:val="41207753"/>
    <w:rsid w:val="412B7D02"/>
    <w:rsid w:val="412D20AF"/>
    <w:rsid w:val="41366161"/>
    <w:rsid w:val="413F283B"/>
    <w:rsid w:val="414803DC"/>
    <w:rsid w:val="4148218A"/>
    <w:rsid w:val="41515711"/>
    <w:rsid w:val="41560E63"/>
    <w:rsid w:val="41562065"/>
    <w:rsid w:val="41596145"/>
    <w:rsid w:val="415E3F72"/>
    <w:rsid w:val="41621B6F"/>
    <w:rsid w:val="41635EEE"/>
    <w:rsid w:val="416C231C"/>
    <w:rsid w:val="41705C75"/>
    <w:rsid w:val="417415F0"/>
    <w:rsid w:val="41742F7F"/>
    <w:rsid w:val="41770D52"/>
    <w:rsid w:val="417C1E33"/>
    <w:rsid w:val="417F5B87"/>
    <w:rsid w:val="41803B99"/>
    <w:rsid w:val="41816083"/>
    <w:rsid w:val="41872CB2"/>
    <w:rsid w:val="418C6067"/>
    <w:rsid w:val="418F600A"/>
    <w:rsid w:val="41924A76"/>
    <w:rsid w:val="41A95B48"/>
    <w:rsid w:val="41AC0331"/>
    <w:rsid w:val="41B61F00"/>
    <w:rsid w:val="41BE41FA"/>
    <w:rsid w:val="41C17BF0"/>
    <w:rsid w:val="41C334D0"/>
    <w:rsid w:val="41C53E03"/>
    <w:rsid w:val="41CA0DF1"/>
    <w:rsid w:val="41CC5F06"/>
    <w:rsid w:val="41CE4AEE"/>
    <w:rsid w:val="41CF4EE8"/>
    <w:rsid w:val="41D37CA5"/>
    <w:rsid w:val="41D63C39"/>
    <w:rsid w:val="41D7131D"/>
    <w:rsid w:val="41E2613A"/>
    <w:rsid w:val="41E31346"/>
    <w:rsid w:val="41EF5905"/>
    <w:rsid w:val="41F015EC"/>
    <w:rsid w:val="41F12821"/>
    <w:rsid w:val="41FD0D85"/>
    <w:rsid w:val="4200449D"/>
    <w:rsid w:val="42006E76"/>
    <w:rsid w:val="42010CB6"/>
    <w:rsid w:val="42072EE9"/>
    <w:rsid w:val="42181B5C"/>
    <w:rsid w:val="421B135F"/>
    <w:rsid w:val="421F2EEA"/>
    <w:rsid w:val="42256209"/>
    <w:rsid w:val="422F6EA6"/>
    <w:rsid w:val="423975C1"/>
    <w:rsid w:val="423A3BCC"/>
    <w:rsid w:val="423D7815"/>
    <w:rsid w:val="423E62FF"/>
    <w:rsid w:val="42434E32"/>
    <w:rsid w:val="424E57D2"/>
    <w:rsid w:val="424F34E0"/>
    <w:rsid w:val="4253296F"/>
    <w:rsid w:val="425D471F"/>
    <w:rsid w:val="425E0A70"/>
    <w:rsid w:val="42633843"/>
    <w:rsid w:val="42780CF4"/>
    <w:rsid w:val="427A2817"/>
    <w:rsid w:val="42802133"/>
    <w:rsid w:val="428433BD"/>
    <w:rsid w:val="428A7C17"/>
    <w:rsid w:val="42910A31"/>
    <w:rsid w:val="42A5278B"/>
    <w:rsid w:val="42A536A6"/>
    <w:rsid w:val="42AF36BD"/>
    <w:rsid w:val="42B26C49"/>
    <w:rsid w:val="42B31885"/>
    <w:rsid w:val="42BC2E2F"/>
    <w:rsid w:val="42BC4B62"/>
    <w:rsid w:val="42C52E22"/>
    <w:rsid w:val="42C87C40"/>
    <w:rsid w:val="42D31153"/>
    <w:rsid w:val="42DB5A94"/>
    <w:rsid w:val="42E63A08"/>
    <w:rsid w:val="42E94232"/>
    <w:rsid w:val="42F92000"/>
    <w:rsid w:val="43030193"/>
    <w:rsid w:val="430419AB"/>
    <w:rsid w:val="43092A49"/>
    <w:rsid w:val="43094489"/>
    <w:rsid w:val="430F5795"/>
    <w:rsid w:val="43140869"/>
    <w:rsid w:val="431A600F"/>
    <w:rsid w:val="431B5DA8"/>
    <w:rsid w:val="431D6585"/>
    <w:rsid w:val="43222D4A"/>
    <w:rsid w:val="43234C5C"/>
    <w:rsid w:val="4326474D"/>
    <w:rsid w:val="43317379"/>
    <w:rsid w:val="43347423"/>
    <w:rsid w:val="433A3D54"/>
    <w:rsid w:val="433A6FE6"/>
    <w:rsid w:val="433C481D"/>
    <w:rsid w:val="43413334"/>
    <w:rsid w:val="43454BD3"/>
    <w:rsid w:val="43470D94"/>
    <w:rsid w:val="43480868"/>
    <w:rsid w:val="43494E9F"/>
    <w:rsid w:val="434A1377"/>
    <w:rsid w:val="4350713C"/>
    <w:rsid w:val="43544E16"/>
    <w:rsid w:val="43553876"/>
    <w:rsid w:val="436653E0"/>
    <w:rsid w:val="43686B13"/>
    <w:rsid w:val="436B62FF"/>
    <w:rsid w:val="436D5F75"/>
    <w:rsid w:val="43746378"/>
    <w:rsid w:val="43811F72"/>
    <w:rsid w:val="43847A3E"/>
    <w:rsid w:val="438A2E52"/>
    <w:rsid w:val="438E105D"/>
    <w:rsid w:val="43950A8F"/>
    <w:rsid w:val="43A07603"/>
    <w:rsid w:val="43A54637"/>
    <w:rsid w:val="43A7232B"/>
    <w:rsid w:val="43A843B5"/>
    <w:rsid w:val="43B104BA"/>
    <w:rsid w:val="43B753A5"/>
    <w:rsid w:val="43BC55D0"/>
    <w:rsid w:val="43C03E38"/>
    <w:rsid w:val="43C4431A"/>
    <w:rsid w:val="43CF739C"/>
    <w:rsid w:val="43D15849"/>
    <w:rsid w:val="43D321DE"/>
    <w:rsid w:val="43D47D05"/>
    <w:rsid w:val="43D97042"/>
    <w:rsid w:val="43E02C78"/>
    <w:rsid w:val="43EB71E3"/>
    <w:rsid w:val="43F33419"/>
    <w:rsid w:val="43F3462F"/>
    <w:rsid w:val="43F65ECD"/>
    <w:rsid w:val="43FB0D28"/>
    <w:rsid w:val="43FE2FD4"/>
    <w:rsid w:val="440178DB"/>
    <w:rsid w:val="440920A4"/>
    <w:rsid w:val="440B10A2"/>
    <w:rsid w:val="44136A7F"/>
    <w:rsid w:val="44172AD7"/>
    <w:rsid w:val="4421300B"/>
    <w:rsid w:val="442D7B2C"/>
    <w:rsid w:val="443F5AC6"/>
    <w:rsid w:val="4444212F"/>
    <w:rsid w:val="444529B0"/>
    <w:rsid w:val="4449533F"/>
    <w:rsid w:val="444E4F44"/>
    <w:rsid w:val="445175A7"/>
    <w:rsid w:val="4454417F"/>
    <w:rsid w:val="4456696C"/>
    <w:rsid w:val="44574D74"/>
    <w:rsid w:val="445F646B"/>
    <w:rsid w:val="44615E0E"/>
    <w:rsid w:val="44651B14"/>
    <w:rsid w:val="446D1496"/>
    <w:rsid w:val="446E3FDE"/>
    <w:rsid w:val="44705C7F"/>
    <w:rsid w:val="447A00BE"/>
    <w:rsid w:val="447D214A"/>
    <w:rsid w:val="447F1F1D"/>
    <w:rsid w:val="44832D3F"/>
    <w:rsid w:val="448A7B1D"/>
    <w:rsid w:val="44994355"/>
    <w:rsid w:val="44A43073"/>
    <w:rsid w:val="44B50A63"/>
    <w:rsid w:val="44B55581"/>
    <w:rsid w:val="44B771B0"/>
    <w:rsid w:val="44B951CC"/>
    <w:rsid w:val="44BD2FC7"/>
    <w:rsid w:val="44C0648B"/>
    <w:rsid w:val="44C15265"/>
    <w:rsid w:val="44C45FCB"/>
    <w:rsid w:val="44C478D3"/>
    <w:rsid w:val="44C636CD"/>
    <w:rsid w:val="44CD14E0"/>
    <w:rsid w:val="44D206E8"/>
    <w:rsid w:val="44D46707"/>
    <w:rsid w:val="44D62EF9"/>
    <w:rsid w:val="44E01C7E"/>
    <w:rsid w:val="44F20B0B"/>
    <w:rsid w:val="44F34CB7"/>
    <w:rsid w:val="44F36E2B"/>
    <w:rsid w:val="44F7014F"/>
    <w:rsid w:val="44F71E70"/>
    <w:rsid w:val="44F9608C"/>
    <w:rsid w:val="44FD5AF3"/>
    <w:rsid w:val="44FE1514"/>
    <w:rsid w:val="44FE5AC3"/>
    <w:rsid w:val="45000554"/>
    <w:rsid w:val="450E11C4"/>
    <w:rsid w:val="450F72A7"/>
    <w:rsid w:val="45125879"/>
    <w:rsid w:val="4517259F"/>
    <w:rsid w:val="451D1427"/>
    <w:rsid w:val="451F6049"/>
    <w:rsid w:val="45252F0E"/>
    <w:rsid w:val="45264590"/>
    <w:rsid w:val="452E2011"/>
    <w:rsid w:val="452E5F4C"/>
    <w:rsid w:val="45343348"/>
    <w:rsid w:val="45350C77"/>
    <w:rsid w:val="453C3DB3"/>
    <w:rsid w:val="453D1C38"/>
    <w:rsid w:val="45435504"/>
    <w:rsid w:val="4545396A"/>
    <w:rsid w:val="45467E40"/>
    <w:rsid w:val="45482758"/>
    <w:rsid w:val="454D3EE0"/>
    <w:rsid w:val="45524726"/>
    <w:rsid w:val="455C26A8"/>
    <w:rsid w:val="455D4FF7"/>
    <w:rsid w:val="456017C3"/>
    <w:rsid w:val="45612018"/>
    <w:rsid w:val="456A6321"/>
    <w:rsid w:val="45755532"/>
    <w:rsid w:val="457B3E59"/>
    <w:rsid w:val="4585575A"/>
    <w:rsid w:val="45871134"/>
    <w:rsid w:val="458825FC"/>
    <w:rsid w:val="4588349D"/>
    <w:rsid w:val="45884DEC"/>
    <w:rsid w:val="4588524B"/>
    <w:rsid w:val="458946E9"/>
    <w:rsid w:val="458D31AB"/>
    <w:rsid w:val="459133D2"/>
    <w:rsid w:val="45A47C0E"/>
    <w:rsid w:val="45AC19CC"/>
    <w:rsid w:val="45C56E1A"/>
    <w:rsid w:val="45C73D3A"/>
    <w:rsid w:val="45CE19F1"/>
    <w:rsid w:val="45D07435"/>
    <w:rsid w:val="45D20C54"/>
    <w:rsid w:val="45D3296A"/>
    <w:rsid w:val="45D35D56"/>
    <w:rsid w:val="45E22BAD"/>
    <w:rsid w:val="45E67D86"/>
    <w:rsid w:val="45E87A97"/>
    <w:rsid w:val="45EA700D"/>
    <w:rsid w:val="45EB21D2"/>
    <w:rsid w:val="45EF7078"/>
    <w:rsid w:val="46026DAB"/>
    <w:rsid w:val="46060B8F"/>
    <w:rsid w:val="4609638B"/>
    <w:rsid w:val="46103030"/>
    <w:rsid w:val="461403C0"/>
    <w:rsid w:val="462216AD"/>
    <w:rsid w:val="4624688C"/>
    <w:rsid w:val="46276812"/>
    <w:rsid w:val="463B4C52"/>
    <w:rsid w:val="463D7DE3"/>
    <w:rsid w:val="463E4E32"/>
    <w:rsid w:val="465105F0"/>
    <w:rsid w:val="46526569"/>
    <w:rsid w:val="46577FD6"/>
    <w:rsid w:val="46606277"/>
    <w:rsid w:val="466D531B"/>
    <w:rsid w:val="46713FA0"/>
    <w:rsid w:val="46734665"/>
    <w:rsid w:val="467619A3"/>
    <w:rsid w:val="467B3F9C"/>
    <w:rsid w:val="467C7A24"/>
    <w:rsid w:val="46801369"/>
    <w:rsid w:val="468B460A"/>
    <w:rsid w:val="46971BE9"/>
    <w:rsid w:val="469C078E"/>
    <w:rsid w:val="469C632A"/>
    <w:rsid w:val="469F0A9E"/>
    <w:rsid w:val="46A517ED"/>
    <w:rsid w:val="46A55988"/>
    <w:rsid w:val="46B502C1"/>
    <w:rsid w:val="46B96DF1"/>
    <w:rsid w:val="46BC1650"/>
    <w:rsid w:val="46C203AA"/>
    <w:rsid w:val="46C73B51"/>
    <w:rsid w:val="46D03491"/>
    <w:rsid w:val="46D87B0C"/>
    <w:rsid w:val="46D955A7"/>
    <w:rsid w:val="46E13C61"/>
    <w:rsid w:val="46E54919"/>
    <w:rsid w:val="46EB34C5"/>
    <w:rsid w:val="46ED48A0"/>
    <w:rsid w:val="46EF1E84"/>
    <w:rsid w:val="46F1794A"/>
    <w:rsid w:val="46F5391A"/>
    <w:rsid w:val="46F545CE"/>
    <w:rsid w:val="46F753E1"/>
    <w:rsid w:val="46FF7D25"/>
    <w:rsid w:val="47022DDB"/>
    <w:rsid w:val="470E16A9"/>
    <w:rsid w:val="470F2595"/>
    <w:rsid w:val="47133957"/>
    <w:rsid w:val="4714323A"/>
    <w:rsid w:val="472344E2"/>
    <w:rsid w:val="472356EA"/>
    <w:rsid w:val="47300CD8"/>
    <w:rsid w:val="473C009B"/>
    <w:rsid w:val="47402BAF"/>
    <w:rsid w:val="474204C0"/>
    <w:rsid w:val="47430AB0"/>
    <w:rsid w:val="4744048A"/>
    <w:rsid w:val="47484C91"/>
    <w:rsid w:val="47495317"/>
    <w:rsid w:val="474F3164"/>
    <w:rsid w:val="47501D98"/>
    <w:rsid w:val="475306EF"/>
    <w:rsid w:val="47541B6A"/>
    <w:rsid w:val="47565E66"/>
    <w:rsid w:val="47596323"/>
    <w:rsid w:val="475E44B5"/>
    <w:rsid w:val="475E7948"/>
    <w:rsid w:val="4765510B"/>
    <w:rsid w:val="476822D2"/>
    <w:rsid w:val="476A10AC"/>
    <w:rsid w:val="476C02DB"/>
    <w:rsid w:val="476E35CA"/>
    <w:rsid w:val="47787BD8"/>
    <w:rsid w:val="47824633"/>
    <w:rsid w:val="47877EE9"/>
    <w:rsid w:val="47887784"/>
    <w:rsid w:val="479C1524"/>
    <w:rsid w:val="479E2B03"/>
    <w:rsid w:val="47A07E0C"/>
    <w:rsid w:val="47A43083"/>
    <w:rsid w:val="47A619B8"/>
    <w:rsid w:val="47A85DB4"/>
    <w:rsid w:val="47A916A4"/>
    <w:rsid w:val="47AD77E2"/>
    <w:rsid w:val="47B36B3D"/>
    <w:rsid w:val="47C63F1B"/>
    <w:rsid w:val="47D022FE"/>
    <w:rsid w:val="47E2114A"/>
    <w:rsid w:val="47E60EC0"/>
    <w:rsid w:val="47EA6D45"/>
    <w:rsid w:val="47EA6E3A"/>
    <w:rsid w:val="47EF644C"/>
    <w:rsid w:val="47F04714"/>
    <w:rsid w:val="47F155E6"/>
    <w:rsid w:val="47FA7085"/>
    <w:rsid w:val="4802194B"/>
    <w:rsid w:val="480607A8"/>
    <w:rsid w:val="480768FB"/>
    <w:rsid w:val="480D0531"/>
    <w:rsid w:val="48126D58"/>
    <w:rsid w:val="48147269"/>
    <w:rsid w:val="48151DE7"/>
    <w:rsid w:val="481711A1"/>
    <w:rsid w:val="481E3C44"/>
    <w:rsid w:val="482539A8"/>
    <w:rsid w:val="482864ED"/>
    <w:rsid w:val="48385E9D"/>
    <w:rsid w:val="484138E3"/>
    <w:rsid w:val="48565956"/>
    <w:rsid w:val="486029F7"/>
    <w:rsid w:val="48636CE0"/>
    <w:rsid w:val="48645A5E"/>
    <w:rsid w:val="48671147"/>
    <w:rsid w:val="4870272E"/>
    <w:rsid w:val="4876582E"/>
    <w:rsid w:val="48783354"/>
    <w:rsid w:val="48790E7B"/>
    <w:rsid w:val="487E46E3"/>
    <w:rsid w:val="48815171"/>
    <w:rsid w:val="48816B5F"/>
    <w:rsid w:val="48843E28"/>
    <w:rsid w:val="48873546"/>
    <w:rsid w:val="489B5447"/>
    <w:rsid w:val="489F4F48"/>
    <w:rsid w:val="48A405ED"/>
    <w:rsid w:val="48A51700"/>
    <w:rsid w:val="48A77CE9"/>
    <w:rsid w:val="48AD77C1"/>
    <w:rsid w:val="48B30AFC"/>
    <w:rsid w:val="48B6445C"/>
    <w:rsid w:val="48B85E47"/>
    <w:rsid w:val="48BA11FA"/>
    <w:rsid w:val="48BA3C4D"/>
    <w:rsid w:val="48BF2783"/>
    <w:rsid w:val="48C4659A"/>
    <w:rsid w:val="48CB5C55"/>
    <w:rsid w:val="48CC544E"/>
    <w:rsid w:val="48D10CB7"/>
    <w:rsid w:val="48D2515B"/>
    <w:rsid w:val="48D31458"/>
    <w:rsid w:val="48D93BEA"/>
    <w:rsid w:val="48DE671C"/>
    <w:rsid w:val="48E04E5A"/>
    <w:rsid w:val="48E52E3E"/>
    <w:rsid w:val="48E536A1"/>
    <w:rsid w:val="48E94252"/>
    <w:rsid w:val="49014820"/>
    <w:rsid w:val="4902205C"/>
    <w:rsid w:val="49070ADD"/>
    <w:rsid w:val="490A3FC8"/>
    <w:rsid w:val="490A7092"/>
    <w:rsid w:val="490B4263"/>
    <w:rsid w:val="490B5DFF"/>
    <w:rsid w:val="490E3CB9"/>
    <w:rsid w:val="49125A42"/>
    <w:rsid w:val="4913640E"/>
    <w:rsid w:val="4914454A"/>
    <w:rsid w:val="492257CC"/>
    <w:rsid w:val="4925336A"/>
    <w:rsid w:val="49270629"/>
    <w:rsid w:val="49295E46"/>
    <w:rsid w:val="492A6535"/>
    <w:rsid w:val="492E634C"/>
    <w:rsid w:val="493D00FA"/>
    <w:rsid w:val="493E2979"/>
    <w:rsid w:val="49403578"/>
    <w:rsid w:val="4941408E"/>
    <w:rsid w:val="494650B0"/>
    <w:rsid w:val="49465201"/>
    <w:rsid w:val="49484C76"/>
    <w:rsid w:val="49496A9F"/>
    <w:rsid w:val="494B6CBB"/>
    <w:rsid w:val="494F67AB"/>
    <w:rsid w:val="49507A41"/>
    <w:rsid w:val="495711BC"/>
    <w:rsid w:val="49575660"/>
    <w:rsid w:val="495A73E0"/>
    <w:rsid w:val="495C0735"/>
    <w:rsid w:val="495C0C56"/>
    <w:rsid w:val="496347F8"/>
    <w:rsid w:val="4966788B"/>
    <w:rsid w:val="496722C8"/>
    <w:rsid w:val="496852A4"/>
    <w:rsid w:val="496D1725"/>
    <w:rsid w:val="49752D84"/>
    <w:rsid w:val="49754AFB"/>
    <w:rsid w:val="4977360C"/>
    <w:rsid w:val="49787AA8"/>
    <w:rsid w:val="4981053F"/>
    <w:rsid w:val="498542F7"/>
    <w:rsid w:val="498E0956"/>
    <w:rsid w:val="499637FE"/>
    <w:rsid w:val="49A059E5"/>
    <w:rsid w:val="49A34F60"/>
    <w:rsid w:val="49AD1A85"/>
    <w:rsid w:val="49AD7F2A"/>
    <w:rsid w:val="49B52386"/>
    <w:rsid w:val="49B736EE"/>
    <w:rsid w:val="49C11249"/>
    <w:rsid w:val="49C572F5"/>
    <w:rsid w:val="49CB3958"/>
    <w:rsid w:val="49DC7715"/>
    <w:rsid w:val="49F200A5"/>
    <w:rsid w:val="49F27137"/>
    <w:rsid w:val="49F3759D"/>
    <w:rsid w:val="49F42EAF"/>
    <w:rsid w:val="49FC7FB5"/>
    <w:rsid w:val="49FF33BC"/>
    <w:rsid w:val="4A023139"/>
    <w:rsid w:val="4A0A4204"/>
    <w:rsid w:val="4A0E7B92"/>
    <w:rsid w:val="4A112AF0"/>
    <w:rsid w:val="4A192B91"/>
    <w:rsid w:val="4A1A5F48"/>
    <w:rsid w:val="4A1C27C4"/>
    <w:rsid w:val="4A1C41B3"/>
    <w:rsid w:val="4A1E171D"/>
    <w:rsid w:val="4A2512BA"/>
    <w:rsid w:val="4A434159"/>
    <w:rsid w:val="4A4554B8"/>
    <w:rsid w:val="4A46335D"/>
    <w:rsid w:val="4A4F3429"/>
    <w:rsid w:val="4A5120AF"/>
    <w:rsid w:val="4A57007F"/>
    <w:rsid w:val="4A585ED7"/>
    <w:rsid w:val="4A5B2F2E"/>
    <w:rsid w:val="4A5C24C1"/>
    <w:rsid w:val="4A653DAC"/>
    <w:rsid w:val="4A6E6D4D"/>
    <w:rsid w:val="4A7B576F"/>
    <w:rsid w:val="4A7E7644"/>
    <w:rsid w:val="4A7F0186"/>
    <w:rsid w:val="4A80457E"/>
    <w:rsid w:val="4A830E92"/>
    <w:rsid w:val="4A856383"/>
    <w:rsid w:val="4A881849"/>
    <w:rsid w:val="4A946440"/>
    <w:rsid w:val="4A947692"/>
    <w:rsid w:val="4AA87194"/>
    <w:rsid w:val="4AAE0FE3"/>
    <w:rsid w:val="4AB64F82"/>
    <w:rsid w:val="4AB80380"/>
    <w:rsid w:val="4ABD7744"/>
    <w:rsid w:val="4ABF34BD"/>
    <w:rsid w:val="4AC374E7"/>
    <w:rsid w:val="4AC705C3"/>
    <w:rsid w:val="4AC72144"/>
    <w:rsid w:val="4AD11582"/>
    <w:rsid w:val="4AD33CBF"/>
    <w:rsid w:val="4AD64507"/>
    <w:rsid w:val="4AD8632C"/>
    <w:rsid w:val="4ADD7DE7"/>
    <w:rsid w:val="4AE178D7"/>
    <w:rsid w:val="4AE84CFE"/>
    <w:rsid w:val="4AF333C4"/>
    <w:rsid w:val="4AF561A9"/>
    <w:rsid w:val="4AF56E90"/>
    <w:rsid w:val="4B054C48"/>
    <w:rsid w:val="4B0614E2"/>
    <w:rsid w:val="4B097E2C"/>
    <w:rsid w:val="4B0C5FD6"/>
    <w:rsid w:val="4B1673CF"/>
    <w:rsid w:val="4B1B0A58"/>
    <w:rsid w:val="4B217CD3"/>
    <w:rsid w:val="4B223A4B"/>
    <w:rsid w:val="4B234E00"/>
    <w:rsid w:val="4B250293"/>
    <w:rsid w:val="4B296B88"/>
    <w:rsid w:val="4B2A1C59"/>
    <w:rsid w:val="4B325DEF"/>
    <w:rsid w:val="4B335C59"/>
    <w:rsid w:val="4B35377F"/>
    <w:rsid w:val="4B3B78E8"/>
    <w:rsid w:val="4B426082"/>
    <w:rsid w:val="4B4D62F3"/>
    <w:rsid w:val="4B4E342E"/>
    <w:rsid w:val="4B500C9B"/>
    <w:rsid w:val="4B547681"/>
    <w:rsid w:val="4B5C6F5D"/>
    <w:rsid w:val="4B5D4A84"/>
    <w:rsid w:val="4B5F0424"/>
    <w:rsid w:val="4B5F6A4E"/>
    <w:rsid w:val="4B613086"/>
    <w:rsid w:val="4B614574"/>
    <w:rsid w:val="4B647B33"/>
    <w:rsid w:val="4B6C3245"/>
    <w:rsid w:val="4B7F0E9E"/>
    <w:rsid w:val="4B891F50"/>
    <w:rsid w:val="4B8D5369"/>
    <w:rsid w:val="4B8F075C"/>
    <w:rsid w:val="4B92232C"/>
    <w:rsid w:val="4B985ABC"/>
    <w:rsid w:val="4BA3693A"/>
    <w:rsid w:val="4BB977E4"/>
    <w:rsid w:val="4BBA1ED6"/>
    <w:rsid w:val="4BC0573E"/>
    <w:rsid w:val="4BC5480D"/>
    <w:rsid w:val="4BC912E8"/>
    <w:rsid w:val="4BC92119"/>
    <w:rsid w:val="4BCE3EBD"/>
    <w:rsid w:val="4BD27C89"/>
    <w:rsid w:val="4BD50ABE"/>
    <w:rsid w:val="4BDD710B"/>
    <w:rsid w:val="4BDE0210"/>
    <w:rsid w:val="4BEB6533"/>
    <w:rsid w:val="4BED3696"/>
    <w:rsid w:val="4BF278C2"/>
    <w:rsid w:val="4BF74ED8"/>
    <w:rsid w:val="4BF80A3E"/>
    <w:rsid w:val="4BFD4AC7"/>
    <w:rsid w:val="4C004640"/>
    <w:rsid w:val="4C074CD8"/>
    <w:rsid w:val="4C086F0F"/>
    <w:rsid w:val="4C0A3537"/>
    <w:rsid w:val="4C0B2731"/>
    <w:rsid w:val="4C0F5D7E"/>
    <w:rsid w:val="4C1C5C82"/>
    <w:rsid w:val="4C251A45"/>
    <w:rsid w:val="4C2C208C"/>
    <w:rsid w:val="4C2D72D6"/>
    <w:rsid w:val="4C2E6A5E"/>
    <w:rsid w:val="4C365A00"/>
    <w:rsid w:val="4C43011D"/>
    <w:rsid w:val="4C465518"/>
    <w:rsid w:val="4C4719BC"/>
    <w:rsid w:val="4C48588B"/>
    <w:rsid w:val="4C4A0649"/>
    <w:rsid w:val="4C5A133A"/>
    <w:rsid w:val="4C5B7215"/>
    <w:rsid w:val="4C5C3EE6"/>
    <w:rsid w:val="4C5E0AB3"/>
    <w:rsid w:val="4C6006E7"/>
    <w:rsid w:val="4C7640F6"/>
    <w:rsid w:val="4C770EE0"/>
    <w:rsid w:val="4C7A5A8C"/>
    <w:rsid w:val="4C7E5ECA"/>
    <w:rsid w:val="4C827813"/>
    <w:rsid w:val="4C87625C"/>
    <w:rsid w:val="4C876AA5"/>
    <w:rsid w:val="4C884F69"/>
    <w:rsid w:val="4C8C5620"/>
    <w:rsid w:val="4C8F4E2F"/>
    <w:rsid w:val="4C91428E"/>
    <w:rsid w:val="4C944AE2"/>
    <w:rsid w:val="4C95594A"/>
    <w:rsid w:val="4C96024D"/>
    <w:rsid w:val="4C982FA6"/>
    <w:rsid w:val="4C9857D9"/>
    <w:rsid w:val="4C9A1701"/>
    <w:rsid w:val="4C9E7102"/>
    <w:rsid w:val="4CA61F8E"/>
    <w:rsid w:val="4CA74D6A"/>
    <w:rsid w:val="4CA92800"/>
    <w:rsid w:val="4CA9794A"/>
    <w:rsid w:val="4CAF72AA"/>
    <w:rsid w:val="4CB122E6"/>
    <w:rsid w:val="4CB206B9"/>
    <w:rsid w:val="4CB23A00"/>
    <w:rsid w:val="4CC42B93"/>
    <w:rsid w:val="4CC56D5A"/>
    <w:rsid w:val="4CC74EEB"/>
    <w:rsid w:val="4CCB2140"/>
    <w:rsid w:val="4CD27077"/>
    <w:rsid w:val="4CD40D75"/>
    <w:rsid w:val="4CD46FC7"/>
    <w:rsid w:val="4CD64AED"/>
    <w:rsid w:val="4CD7474F"/>
    <w:rsid w:val="4CDB65A8"/>
    <w:rsid w:val="4CF3569F"/>
    <w:rsid w:val="4CF431C6"/>
    <w:rsid w:val="4CF661AB"/>
    <w:rsid w:val="4CF94A19"/>
    <w:rsid w:val="4CFA5A13"/>
    <w:rsid w:val="4CFE5DF2"/>
    <w:rsid w:val="4CFF4E6A"/>
    <w:rsid w:val="4D0D007D"/>
    <w:rsid w:val="4D0E00FB"/>
    <w:rsid w:val="4D1473C4"/>
    <w:rsid w:val="4D16458C"/>
    <w:rsid w:val="4D176606"/>
    <w:rsid w:val="4D203FBB"/>
    <w:rsid w:val="4D251398"/>
    <w:rsid w:val="4D29014A"/>
    <w:rsid w:val="4D294E4D"/>
    <w:rsid w:val="4D302450"/>
    <w:rsid w:val="4D302E3D"/>
    <w:rsid w:val="4D322D22"/>
    <w:rsid w:val="4D397F10"/>
    <w:rsid w:val="4D3B4375"/>
    <w:rsid w:val="4D422183"/>
    <w:rsid w:val="4D423F31"/>
    <w:rsid w:val="4D432580"/>
    <w:rsid w:val="4D447CA9"/>
    <w:rsid w:val="4D4B54DB"/>
    <w:rsid w:val="4D4D0ECA"/>
    <w:rsid w:val="4D5325E2"/>
    <w:rsid w:val="4D572DDB"/>
    <w:rsid w:val="4D602609"/>
    <w:rsid w:val="4D6C4AF0"/>
    <w:rsid w:val="4D702675"/>
    <w:rsid w:val="4D73249A"/>
    <w:rsid w:val="4D875DE8"/>
    <w:rsid w:val="4D886AE1"/>
    <w:rsid w:val="4D8958D2"/>
    <w:rsid w:val="4D970721"/>
    <w:rsid w:val="4DAB2858"/>
    <w:rsid w:val="4DB07591"/>
    <w:rsid w:val="4DB210B7"/>
    <w:rsid w:val="4DB50BA7"/>
    <w:rsid w:val="4DB603A5"/>
    <w:rsid w:val="4DB83818"/>
    <w:rsid w:val="4DBA440F"/>
    <w:rsid w:val="4DC40DEA"/>
    <w:rsid w:val="4DC64B62"/>
    <w:rsid w:val="4DD02DBB"/>
    <w:rsid w:val="4DD31D5F"/>
    <w:rsid w:val="4DD67D10"/>
    <w:rsid w:val="4DE10E4A"/>
    <w:rsid w:val="4DE137EE"/>
    <w:rsid w:val="4DE77EAC"/>
    <w:rsid w:val="4DEB6377"/>
    <w:rsid w:val="4DEC4FB0"/>
    <w:rsid w:val="4E013DEC"/>
    <w:rsid w:val="4E0467D7"/>
    <w:rsid w:val="4E0566F8"/>
    <w:rsid w:val="4E075D8A"/>
    <w:rsid w:val="4E0A270A"/>
    <w:rsid w:val="4E0C5093"/>
    <w:rsid w:val="4E152D14"/>
    <w:rsid w:val="4E231197"/>
    <w:rsid w:val="4E30647F"/>
    <w:rsid w:val="4E311A14"/>
    <w:rsid w:val="4E363535"/>
    <w:rsid w:val="4E3C4E24"/>
    <w:rsid w:val="4E4F6605"/>
    <w:rsid w:val="4E5263F6"/>
    <w:rsid w:val="4E577E36"/>
    <w:rsid w:val="4E5A183E"/>
    <w:rsid w:val="4E5B174E"/>
    <w:rsid w:val="4E5B34FC"/>
    <w:rsid w:val="4E640F39"/>
    <w:rsid w:val="4E650B30"/>
    <w:rsid w:val="4E702EB8"/>
    <w:rsid w:val="4E7D6C65"/>
    <w:rsid w:val="4E855B50"/>
    <w:rsid w:val="4E8755EB"/>
    <w:rsid w:val="4E8C4037"/>
    <w:rsid w:val="4E8D6872"/>
    <w:rsid w:val="4E8D742E"/>
    <w:rsid w:val="4E904013"/>
    <w:rsid w:val="4E935398"/>
    <w:rsid w:val="4E947210"/>
    <w:rsid w:val="4E962786"/>
    <w:rsid w:val="4E9B1FFB"/>
    <w:rsid w:val="4E9C341B"/>
    <w:rsid w:val="4E9C69F8"/>
    <w:rsid w:val="4E9E646A"/>
    <w:rsid w:val="4EA079E3"/>
    <w:rsid w:val="4EA24020"/>
    <w:rsid w:val="4EA524E3"/>
    <w:rsid w:val="4EB42C0C"/>
    <w:rsid w:val="4EC00FAD"/>
    <w:rsid w:val="4EC44608"/>
    <w:rsid w:val="4EC531EF"/>
    <w:rsid w:val="4ED50D56"/>
    <w:rsid w:val="4ED667D7"/>
    <w:rsid w:val="4EDB62F6"/>
    <w:rsid w:val="4EE2326E"/>
    <w:rsid w:val="4EE40F3F"/>
    <w:rsid w:val="4EEC684A"/>
    <w:rsid w:val="4EF03F82"/>
    <w:rsid w:val="4EF74E7E"/>
    <w:rsid w:val="4EF93C21"/>
    <w:rsid w:val="4EF96AEF"/>
    <w:rsid w:val="4F005E52"/>
    <w:rsid w:val="4F0771E0"/>
    <w:rsid w:val="4F1053B4"/>
    <w:rsid w:val="4F147B4F"/>
    <w:rsid w:val="4F190D64"/>
    <w:rsid w:val="4F1A594D"/>
    <w:rsid w:val="4F1C57EC"/>
    <w:rsid w:val="4F2017B7"/>
    <w:rsid w:val="4F2204BE"/>
    <w:rsid w:val="4F233FDE"/>
    <w:rsid w:val="4F247CF0"/>
    <w:rsid w:val="4F263E8C"/>
    <w:rsid w:val="4F271630"/>
    <w:rsid w:val="4F320D9A"/>
    <w:rsid w:val="4F351EDD"/>
    <w:rsid w:val="4F35619D"/>
    <w:rsid w:val="4F3662AF"/>
    <w:rsid w:val="4F3B50DC"/>
    <w:rsid w:val="4F3E697A"/>
    <w:rsid w:val="4F404D90"/>
    <w:rsid w:val="4F463EAA"/>
    <w:rsid w:val="4F483C48"/>
    <w:rsid w:val="4F49405F"/>
    <w:rsid w:val="4F505023"/>
    <w:rsid w:val="4F5D6D5A"/>
    <w:rsid w:val="4F5E0596"/>
    <w:rsid w:val="4F664127"/>
    <w:rsid w:val="4F6A776F"/>
    <w:rsid w:val="4F714FA1"/>
    <w:rsid w:val="4F765DBF"/>
    <w:rsid w:val="4F7A5C04"/>
    <w:rsid w:val="4F801DCE"/>
    <w:rsid w:val="4F825AB3"/>
    <w:rsid w:val="4F872CD3"/>
    <w:rsid w:val="4F8E1486"/>
    <w:rsid w:val="4F9843DC"/>
    <w:rsid w:val="4FA1269F"/>
    <w:rsid w:val="4FA62E9D"/>
    <w:rsid w:val="4FAA18A4"/>
    <w:rsid w:val="4FAA5CBD"/>
    <w:rsid w:val="4FAF7E9C"/>
    <w:rsid w:val="4FB22261"/>
    <w:rsid w:val="4FB222BD"/>
    <w:rsid w:val="4FB26495"/>
    <w:rsid w:val="4FB3639A"/>
    <w:rsid w:val="4FB665D1"/>
    <w:rsid w:val="4FBD1F95"/>
    <w:rsid w:val="4FC11AC0"/>
    <w:rsid w:val="4FC13833"/>
    <w:rsid w:val="4FC45ADD"/>
    <w:rsid w:val="4FC529EC"/>
    <w:rsid w:val="4FC62A8C"/>
    <w:rsid w:val="4FD341E9"/>
    <w:rsid w:val="4FD35314"/>
    <w:rsid w:val="4FDF5C61"/>
    <w:rsid w:val="4FE20F0D"/>
    <w:rsid w:val="4FE33FB4"/>
    <w:rsid w:val="4FE51552"/>
    <w:rsid w:val="4FE6259D"/>
    <w:rsid w:val="4FED07C2"/>
    <w:rsid w:val="4FF24890"/>
    <w:rsid w:val="4FF449C9"/>
    <w:rsid w:val="4FFA11C4"/>
    <w:rsid w:val="50103B00"/>
    <w:rsid w:val="50136BCF"/>
    <w:rsid w:val="501E54A2"/>
    <w:rsid w:val="502A571D"/>
    <w:rsid w:val="502B6EFE"/>
    <w:rsid w:val="503769E0"/>
    <w:rsid w:val="50390CB3"/>
    <w:rsid w:val="50397F2B"/>
    <w:rsid w:val="503A3EBC"/>
    <w:rsid w:val="5049071F"/>
    <w:rsid w:val="504E1EF1"/>
    <w:rsid w:val="50504C4B"/>
    <w:rsid w:val="50541F29"/>
    <w:rsid w:val="50602EFA"/>
    <w:rsid w:val="50615016"/>
    <w:rsid w:val="5066262C"/>
    <w:rsid w:val="506D4847"/>
    <w:rsid w:val="5079410E"/>
    <w:rsid w:val="50832EE6"/>
    <w:rsid w:val="508F3931"/>
    <w:rsid w:val="50904B6C"/>
    <w:rsid w:val="50963F62"/>
    <w:rsid w:val="50974893"/>
    <w:rsid w:val="509A2C26"/>
    <w:rsid w:val="509C6E7C"/>
    <w:rsid w:val="509E79D2"/>
    <w:rsid w:val="50A15412"/>
    <w:rsid w:val="50A218B6"/>
    <w:rsid w:val="50A40041"/>
    <w:rsid w:val="50AD3C3E"/>
    <w:rsid w:val="50AF66B9"/>
    <w:rsid w:val="50B02961"/>
    <w:rsid w:val="50B22B68"/>
    <w:rsid w:val="50B415EA"/>
    <w:rsid w:val="50C03AEB"/>
    <w:rsid w:val="50D32CCC"/>
    <w:rsid w:val="50DA20C1"/>
    <w:rsid w:val="50E05524"/>
    <w:rsid w:val="50E74CB5"/>
    <w:rsid w:val="50E83041"/>
    <w:rsid w:val="50E9223D"/>
    <w:rsid w:val="50F47C38"/>
    <w:rsid w:val="50FA06D8"/>
    <w:rsid w:val="51001FEC"/>
    <w:rsid w:val="510A353B"/>
    <w:rsid w:val="510B1FF5"/>
    <w:rsid w:val="510B49FC"/>
    <w:rsid w:val="511107EA"/>
    <w:rsid w:val="51180D53"/>
    <w:rsid w:val="512659E5"/>
    <w:rsid w:val="51272C7A"/>
    <w:rsid w:val="5128498B"/>
    <w:rsid w:val="512F61F9"/>
    <w:rsid w:val="51375CAE"/>
    <w:rsid w:val="513A7F20"/>
    <w:rsid w:val="513E750C"/>
    <w:rsid w:val="5142408B"/>
    <w:rsid w:val="51501312"/>
    <w:rsid w:val="51560D6E"/>
    <w:rsid w:val="515643D1"/>
    <w:rsid w:val="51572AAE"/>
    <w:rsid w:val="515802E8"/>
    <w:rsid w:val="516052CE"/>
    <w:rsid w:val="5162104E"/>
    <w:rsid w:val="516C023B"/>
    <w:rsid w:val="516D514E"/>
    <w:rsid w:val="51764AF1"/>
    <w:rsid w:val="51782EC8"/>
    <w:rsid w:val="517A013D"/>
    <w:rsid w:val="517B513F"/>
    <w:rsid w:val="5180302F"/>
    <w:rsid w:val="5182631E"/>
    <w:rsid w:val="518B7CD5"/>
    <w:rsid w:val="519A258E"/>
    <w:rsid w:val="51A72EFC"/>
    <w:rsid w:val="51AE0382"/>
    <w:rsid w:val="51B04AAF"/>
    <w:rsid w:val="51B737F6"/>
    <w:rsid w:val="51B82A14"/>
    <w:rsid w:val="51BE389E"/>
    <w:rsid w:val="51D07D5D"/>
    <w:rsid w:val="51D479CD"/>
    <w:rsid w:val="51D51818"/>
    <w:rsid w:val="51D84F49"/>
    <w:rsid w:val="51DB069B"/>
    <w:rsid w:val="51DD06CC"/>
    <w:rsid w:val="51DE3543"/>
    <w:rsid w:val="51F02723"/>
    <w:rsid w:val="51FC619D"/>
    <w:rsid w:val="521340EE"/>
    <w:rsid w:val="52147923"/>
    <w:rsid w:val="521560B8"/>
    <w:rsid w:val="521B6BD1"/>
    <w:rsid w:val="52212D76"/>
    <w:rsid w:val="522400A9"/>
    <w:rsid w:val="52271947"/>
    <w:rsid w:val="52291B0B"/>
    <w:rsid w:val="522A33CD"/>
    <w:rsid w:val="52326851"/>
    <w:rsid w:val="5233793E"/>
    <w:rsid w:val="523B6EAF"/>
    <w:rsid w:val="523E4FA6"/>
    <w:rsid w:val="523F23C8"/>
    <w:rsid w:val="523F4F7E"/>
    <w:rsid w:val="524046A1"/>
    <w:rsid w:val="524664DE"/>
    <w:rsid w:val="524B3888"/>
    <w:rsid w:val="52575E4D"/>
    <w:rsid w:val="52614E59"/>
    <w:rsid w:val="52734B8D"/>
    <w:rsid w:val="527903F5"/>
    <w:rsid w:val="527F3531"/>
    <w:rsid w:val="527F698F"/>
    <w:rsid w:val="52832D41"/>
    <w:rsid w:val="5283320A"/>
    <w:rsid w:val="528B637A"/>
    <w:rsid w:val="528C21E3"/>
    <w:rsid w:val="528D1C26"/>
    <w:rsid w:val="528D2B24"/>
    <w:rsid w:val="52921B66"/>
    <w:rsid w:val="52927709"/>
    <w:rsid w:val="529567A2"/>
    <w:rsid w:val="52AD009F"/>
    <w:rsid w:val="52B322DC"/>
    <w:rsid w:val="52B75273"/>
    <w:rsid w:val="52BA79C4"/>
    <w:rsid w:val="52BA7E5F"/>
    <w:rsid w:val="52BC704D"/>
    <w:rsid w:val="52BF018E"/>
    <w:rsid w:val="52C021BD"/>
    <w:rsid w:val="52C26B39"/>
    <w:rsid w:val="52CA1B96"/>
    <w:rsid w:val="52CA50F4"/>
    <w:rsid w:val="52D03D8D"/>
    <w:rsid w:val="52D27B05"/>
    <w:rsid w:val="52D75447"/>
    <w:rsid w:val="52DC0984"/>
    <w:rsid w:val="52E141EC"/>
    <w:rsid w:val="52E52DC9"/>
    <w:rsid w:val="52E70521"/>
    <w:rsid w:val="52EA0952"/>
    <w:rsid w:val="52EE49C2"/>
    <w:rsid w:val="52F64AB1"/>
    <w:rsid w:val="52FC78A7"/>
    <w:rsid w:val="53135608"/>
    <w:rsid w:val="5316163F"/>
    <w:rsid w:val="53241A90"/>
    <w:rsid w:val="532A5B93"/>
    <w:rsid w:val="534264FC"/>
    <w:rsid w:val="534E25CA"/>
    <w:rsid w:val="534F55FA"/>
    <w:rsid w:val="53530A94"/>
    <w:rsid w:val="53581BFF"/>
    <w:rsid w:val="535844AE"/>
    <w:rsid w:val="535D236F"/>
    <w:rsid w:val="535D3873"/>
    <w:rsid w:val="53633CA0"/>
    <w:rsid w:val="536777EC"/>
    <w:rsid w:val="536B11FD"/>
    <w:rsid w:val="537848BC"/>
    <w:rsid w:val="537B019D"/>
    <w:rsid w:val="53842339"/>
    <w:rsid w:val="53915C12"/>
    <w:rsid w:val="53921E55"/>
    <w:rsid w:val="53944552"/>
    <w:rsid w:val="53962F41"/>
    <w:rsid w:val="539D45B7"/>
    <w:rsid w:val="539E639F"/>
    <w:rsid w:val="539F21DB"/>
    <w:rsid w:val="53A039CC"/>
    <w:rsid w:val="53A1505A"/>
    <w:rsid w:val="53A16DA2"/>
    <w:rsid w:val="53A2397B"/>
    <w:rsid w:val="53A55639"/>
    <w:rsid w:val="53B10062"/>
    <w:rsid w:val="53B11E10"/>
    <w:rsid w:val="53B51901"/>
    <w:rsid w:val="53B834A5"/>
    <w:rsid w:val="53BC5C8E"/>
    <w:rsid w:val="53BF4A0C"/>
    <w:rsid w:val="53C102A5"/>
    <w:rsid w:val="53C658BC"/>
    <w:rsid w:val="53D1282D"/>
    <w:rsid w:val="53D35E44"/>
    <w:rsid w:val="53D53666"/>
    <w:rsid w:val="53D77AC9"/>
    <w:rsid w:val="53DC464A"/>
    <w:rsid w:val="53E0223F"/>
    <w:rsid w:val="53E50438"/>
    <w:rsid w:val="53E87FBC"/>
    <w:rsid w:val="53EC062C"/>
    <w:rsid w:val="53F101B8"/>
    <w:rsid w:val="53F561A1"/>
    <w:rsid w:val="54063E08"/>
    <w:rsid w:val="5413132B"/>
    <w:rsid w:val="542E429D"/>
    <w:rsid w:val="54306A2A"/>
    <w:rsid w:val="543437E8"/>
    <w:rsid w:val="54345CF5"/>
    <w:rsid w:val="54350468"/>
    <w:rsid w:val="5435460F"/>
    <w:rsid w:val="543D36F4"/>
    <w:rsid w:val="543F1CA6"/>
    <w:rsid w:val="544031F9"/>
    <w:rsid w:val="54406D60"/>
    <w:rsid w:val="54420CBA"/>
    <w:rsid w:val="54422671"/>
    <w:rsid w:val="54455108"/>
    <w:rsid w:val="54493DF7"/>
    <w:rsid w:val="544C6394"/>
    <w:rsid w:val="544E1697"/>
    <w:rsid w:val="54596730"/>
    <w:rsid w:val="545B7DB4"/>
    <w:rsid w:val="545F1E11"/>
    <w:rsid w:val="546765AD"/>
    <w:rsid w:val="5470715A"/>
    <w:rsid w:val="549308CD"/>
    <w:rsid w:val="54972DB4"/>
    <w:rsid w:val="549B7618"/>
    <w:rsid w:val="54A31759"/>
    <w:rsid w:val="54A60829"/>
    <w:rsid w:val="54AB4AB2"/>
    <w:rsid w:val="54B25E40"/>
    <w:rsid w:val="54C0055D"/>
    <w:rsid w:val="54C120D0"/>
    <w:rsid w:val="54C47921"/>
    <w:rsid w:val="54CD069D"/>
    <w:rsid w:val="54CD4A28"/>
    <w:rsid w:val="54CD6F21"/>
    <w:rsid w:val="54D02642"/>
    <w:rsid w:val="54D264E2"/>
    <w:rsid w:val="54D32B39"/>
    <w:rsid w:val="54D4294B"/>
    <w:rsid w:val="54DB4AA8"/>
    <w:rsid w:val="54DD706D"/>
    <w:rsid w:val="54DE406C"/>
    <w:rsid w:val="54E03745"/>
    <w:rsid w:val="54E04106"/>
    <w:rsid w:val="54E05732"/>
    <w:rsid w:val="54E137A9"/>
    <w:rsid w:val="54E67898"/>
    <w:rsid w:val="54EB15D5"/>
    <w:rsid w:val="54EE2D95"/>
    <w:rsid w:val="54F053C4"/>
    <w:rsid w:val="54F73313"/>
    <w:rsid w:val="54F80955"/>
    <w:rsid w:val="54FE7711"/>
    <w:rsid w:val="54FE787D"/>
    <w:rsid w:val="55084523"/>
    <w:rsid w:val="551065BA"/>
    <w:rsid w:val="55127748"/>
    <w:rsid w:val="551408A9"/>
    <w:rsid w:val="551A31C7"/>
    <w:rsid w:val="551B02B3"/>
    <w:rsid w:val="5522310D"/>
    <w:rsid w:val="552614C9"/>
    <w:rsid w:val="552A00CC"/>
    <w:rsid w:val="552A5A6D"/>
    <w:rsid w:val="552C79A0"/>
    <w:rsid w:val="552F11B7"/>
    <w:rsid w:val="5530640B"/>
    <w:rsid w:val="55314FB7"/>
    <w:rsid w:val="553B1F4C"/>
    <w:rsid w:val="553E740F"/>
    <w:rsid w:val="554051FA"/>
    <w:rsid w:val="555170A7"/>
    <w:rsid w:val="555D2012"/>
    <w:rsid w:val="55674E7D"/>
    <w:rsid w:val="556E3E46"/>
    <w:rsid w:val="55874FB9"/>
    <w:rsid w:val="5587536D"/>
    <w:rsid w:val="55925012"/>
    <w:rsid w:val="55952392"/>
    <w:rsid w:val="559B174B"/>
    <w:rsid w:val="55A23C9F"/>
    <w:rsid w:val="55A559A5"/>
    <w:rsid w:val="55B451AC"/>
    <w:rsid w:val="55BD2CEE"/>
    <w:rsid w:val="55C129A7"/>
    <w:rsid w:val="55C53951"/>
    <w:rsid w:val="55CA457C"/>
    <w:rsid w:val="55CE0CF4"/>
    <w:rsid w:val="55DA4BFC"/>
    <w:rsid w:val="55DC3ABC"/>
    <w:rsid w:val="55E41E70"/>
    <w:rsid w:val="55E44EFC"/>
    <w:rsid w:val="55E95892"/>
    <w:rsid w:val="55F06C20"/>
    <w:rsid w:val="55F30223"/>
    <w:rsid w:val="55FA0F2F"/>
    <w:rsid w:val="55FD3626"/>
    <w:rsid w:val="56073F6A"/>
    <w:rsid w:val="560B1CAC"/>
    <w:rsid w:val="56102B52"/>
    <w:rsid w:val="561552EA"/>
    <w:rsid w:val="5619553E"/>
    <w:rsid w:val="561E259A"/>
    <w:rsid w:val="561E5EDF"/>
    <w:rsid w:val="56273ECE"/>
    <w:rsid w:val="562819E1"/>
    <w:rsid w:val="56341A0D"/>
    <w:rsid w:val="563A5472"/>
    <w:rsid w:val="563B01B4"/>
    <w:rsid w:val="563C00B7"/>
    <w:rsid w:val="56414640"/>
    <w:rsid w:val="56446F6C"/>
    <w:rsid w:val="56464E30"/>
    <w:rsid w:val="564E3947"/>
    <w:rsid w:val="56544254"/>
    <w:rsid w:val="565B6444"/>
    <w:rsid w:val="565C7906"/>
    <w:rsid w:val="565D1DDC"/>
    <w:rsid w:val="56617B1E"/>
    <w:rsid w:val="56676AAA"/>
    <w:rsid w:val="566B4549"/>
    <w:rsid w:val="56723AD9"/>
    <w:rsid w:val="567411E1"/>
    <w:rsid w:val="567836C3"/>
    <w:rsid w:val="567A40B0"/>
    <w:rsid w:val="567E4136"/>
    <w:rsid w:val="567F2114"/>
    <w:rsid w:val="56827A79"/>
    <w:rsid w:val="568B1067"/>
    <w:rsid w:val="568C4883"/>
    <w:rsid w:val="56903FAE"/>
    <w:rsid w:val="56905D0D"/>
    <w:rsid w:val="5697022D"/>
    <w:rsid w:val="56994D71"/>
    <w:rsid w:val="569A220F"/>
    <w:rsid w:val="56A02339"/>
    <w:rsid w:val="56A13342"/>
    <w:rsid w:val="56AB6FEB"/>
    <w:rsid w:val="56B0517B"/>
    <w:rsid w:val="56B22A9C"/>
    <w:rsid w:val="56BD4D29"/>
    <w:rsid w:val="56D02231"/>
    <w:rsid w:val="56D025AE"/>
    <w:rsid w:val="56D976B4"/>
    <w:rsid w:val="56DA3677"/>
    <w:rsid w:val="56DA600B"/>
    <w:rsid w:val="56DC529F"/>
    <w:rsid w:val="56DF6C95"/>
    <w:rsid w:val="56F02C50"/>
    <w:rsid w:val="56F21D1F"/>
    <w:rsid w:val="56FA61B6"/>
    <w:rsid w:val="5700031F"/>
    <w:rsid w:val="57072229"/>
    <w:rsid w:val="571406EC"/>
    <w:rsid w:val="57180F84"/>
    <w:rsid w:val="571921A6"/>
    <w:rsid w:val="57233025"/>
    <w:rsid w:val="57255484"/>
    <w:rsid w:val="5727408E"/>
    <w:rsid w:val="5728063B"/>
    <w:rsid w:val="57281F34"/>
    <w:rsid w:val="572A65C8"/>
    <w:rsid w:val="57315742"/>
    <w:rsid w:val="573246CB"/>
    <w:rsid w:val="57354F79"/>
    <w:rsid w:val="573635F8"/>
    <w:rsid w:val="573E1C0D"/>
    <w:rsid w:val="57405985"/>
    <w:rsid w:val="574A283E"/>
    <w:rsid w:val="574D2A94"/>
    <w:rsid w:val="574D3BFE"/>
    <w:rsid w:val="57517B92"/>
    <w:rsid w:val="5753074D"/>
    <w:rsid w:val="575549F8"/>
    <w:rsid w:val="57580F21"/>
    <w:rsid w:val="57597E07"/>
    <w:rsid w:val="575F038F"/>
    <w:rsid w:val="57601B83"/>
    <w:rsid w:val="57621465"/>
    <w:rsid w:val="5764091B"/>
    <w:rsid w:val="57663417"/>
    <w:rsid w:val="57677A41"/>
    <w:rsid w:val="57692CD2"/>
    <w:rsid w:val="577634DD"/>
    <w:rsid w:val="577757BE"/>
    <w:rsid w:val="577952F2"/>
    <w:rsid w:val="57802226"/>
    <w:rsid w:val="57853398"/>
    <w:rsid w:val="578753B3"/>
    <w:rsid w:val="5789229C"/>
    <w:rsid w:val="578C138A"/>
    <w:rsid w:val="57901CD5"/>
    <w:rsid w:val="57914645"/>
    <w:rsid w:val="57944FA8"/>
    <w:rsid w:val="5797386A"/>
    <w:rsid w:val="5797586E"/>
    <w:rsid w:val="579D3568"/>
    <w:rsid w:val="579E3F37"/>
    <w:rsid w:val="57A37F1E"/>
    <w:rsid w:val="57AA2A03"/>
    <w:rsid w:val="57AE3B0D"/>
    <w:rsid w:val="57B10631"/>
    <w:rsid w:val="57B27F05"/>
    <w:rsid w:val="57B72A76"/>
    <w:rsid w:val="57C3426C"/>
    <w:rsid w:val="57CE1F93"/>
    <w:rsid w:val="57D040B3"/>
    <w:rsid w:val="57E14A2E"/>
    <w:rsid w:val="57E55C60"/>
    <w:rsid w:val="57F13ECC"/>
    <w:rsid w:val="57F347A6"/>
    <w:rsid w:val="57FA76F7"/>
    <w:rsid w:val="57FB788E"/>
    <w:rsid w:val="57FC559C"/>
    <w:rsid w:val="57FF1109"/>
    <w:rsid w:val="57FF53A4"/>
    <w:rsid w:val="58011EEE"/>
    <w:rsid w:val="580139FC"/>
    <w:rsid w:val="58013B86"/>
    <w:rsid w:val="58016672"/>
    <w:rsid w:val="580E7D09"/>
    <w:rsid w:val="581022C8"/>
    <w:rsid w:val="581A7257"/>
    <w:rsid w:val="581C286A"/>
    <w:rsid w:val="5822508B"/>
    <w:rsid w:val="58256929"/>
    <w:rsid w:val="582A2C4F"/>
    <w:rsid w:val="583D1EC5"/>
    <w:rsid w:val="583E1858"/>
    <w:rsid w:val="58447434"/>
    <w:rsid w:val="584A6390"/>
    <w:rsid w:val="584B2834"/>
    <w:rsid w:val="584F41FB"/>
    <w:rsid w:val="58534804"/>
    <w:rsid w:val="58547A54"/>
    <w:rsid w:val="585549AC"/>
    <w:rsid w:val="58557059"/>
    <w:rsid w:val="58557CF6"/>
    <w:rsid w:val="585B059D"/>
    <w:rsid w:val="585B6A9A"/>
    <w:rsid w:val="586226BF"/>
    <w:rsid w:val="586423C0"/>
    <w:rsid w:val="58664046"/>
    <w:rsid w:val="58674AD0"/>
    <w:rsid w:val="58692528"/>
    <w:rsid w:val="586B34F1"/>
    <w:rsid w:val="586C1F30"/>
    <w:rsid w:val="58726012"/>
    <w:rsid w:val="5875244F"/>
    <w:rsid w:val="5876482D"/>
    <w:rsid w:val="587753D7"/>
    <w:rsid w:val="587D5655"/>
    <w:rsid w:val="587F51E0"/>
    <w:rsid w:val="588743D1"/>
    <w:rsid w:val="5887701A"/>
    <w:rsid w:val="588D4BFA"/>
    <w:rsid w:val="588E1CD5"/>
    <w:rsid w:val="58951EBF"/>
    <w:rsid w:val="58A822DE"/>
    <w:rsid w:val="58AB5080"/>
    <w:rsid w:val="58AF7A76"/>
    <w:rsid w:val="58B109C7"/>
    <w:rsid w:val="58B3116F"/>
    <w:rsid w:val="58B4062B"/>
    <w:rsid w:val="58B56425"/>
    <w:rsid w:val="58B65694"/>
    <w:rsid w:val="58BE710D"/>
    <w:rsid w:val="58D16870"/>
    <w:rsid w:val="58D36385"/>
    <w:rsid w:val="58DB3B35"/>
    <w:rsid w:val="58DD3E8D"/>
    <w:rsid w:val="58F63BE8"/>
    <w:rsid w:val="58FC36B2"/>
    <w:rsid w:val="59050320"/>
    <w:rsid w:val="590F78C9"/>
    <w:rsid w:val="59143D10"/>
    <w:rsid w:val="59195066"/>
    <w:rsid w:val="591D1FA5"/>
    <w:rsid w:val="592446FC"/>
    <w:rsid w:val="59245385"/>
    <w:rsid w:val="59383D59"/>
    <w:rsid w:val="593A49A0"/>
    <w:rsid w:val="594B504D"/>
    <w:rsid w:val="59561225"/>
    <w:rsid w:val="5959014C"/>
    <w:rsid w:val="595A02B0"/>
    <w:rsid w:val="595C637A"/>
    <w:rsid w:val="595E7E2B"/>
    <w:rsid w:val="59667910"/>
    <w:rsid w:val="59744A71"/>
    <w:rsid w:val="59780F05"/>
    <w:rsid w:val="59833072"/>
    <w:rsid w:val="598420F1"/>
    <w:rsid w:val="598810BE"/>
    <w:rsid w:val="59890D82"/>
    <w:rsid w:val="59895AA7"/>
    <w:rsid w:val="598C2171"/>
    <w:rsid w:val="59941FB8"/>
    <w:rsid w:val="59A33FA9"/>
    <w:rsid w:val="59A716A2"/>
    <w:rsid w:val="59A815C0"/>
    <w:rsid w:val="59AD6BD6"/>
    <w:rsid w:val="59B14FC6"/>
    <w:rsid w:val="59B7171E"/>
    <w:rsid w:val="59B71B18"/>
    <w:rsid w:val="59B7573D"/>
    <w:rsid w:val="59B84CDF"/>
    <w:rsid w:val="59C0439F"/>
    <w:rsid w:val="59C316F2"/>
    <w:rsid w:val="59CC18D4"/>
    <w:rsid w:val="59CD42B5"/>
    <w:rsid w:val="59CE514F"/>
    <w:rsid w:val="59CF6713"/>
    <w:rsid w:val="59D1092B"/>
    <w:rsid w:val="59D374C0"/>
    <w:rsid w:val="59D40607"/>
    <w:rsid w:val="59D619EE"/>
    <w:rsid w:val="59DA7B9A"/>
    <w:rsid w:val="59DC5AA6"/>
    <w:rsid w:val="59DD570D"/>
    <w:rsid w:val="59DE7D34"/>
    <w:rsid w:val="59E4075B"/>
    <w:rsid w:val="59E85E60"/>
    <w:rsid w:val="59F30596"/>
    <w:rsid w:val="59F9285D"/>
    <w:rsid w:val="5A0A4028"/>
    <w:rsid w:val="5A0C5FF2"/>
    <w:rsid w:val="5A101373"/>
    <w:rsid w:val="5A1211B1"/>
    <w:rsid w:val="5A1352A1"/>
    <w:rsid w:val="5A1B2AC5"/>
    <w:rsid w:val="5A1B3A47"/>
    <w:rsid w:val="5A1D1322"/>
    <w:rsid w:val="5A1D4137"/>
    <w:rsid w:val="5A201A9E"/>
    <w:rsid w:val="5A290952"/>
    <w:rsid w:val="5A2B709A"/>
    <w:rsid w:val="5A2D483B"/>
    <w:rsid w:val="5A3A10D3"/>
    <w:rsid w:val="5A3A2B60"/>
    <w:rsid w:val="5A3A49FD"/>
    <w:rsid w:val="5A3E7F6B"/>
    <w:rsid w:val="5A405EA0"/>
    <w:rsid w:val="5A437115"/>
    <w:rsid w:val="5A4634AC"/>
    <w:rsid w:val="5A4E48A0"/>
    <w:rsid w:val="5A5309B7"/>
    <w:rsid w:val="5A56726E"/>
    <w:rsid w:val="5A5A4FB0"/>
    <w:rsid w:val="5A6000EC"/>
    <w:rsid w:val="5A616DD3"/>
    <w:rsid w:val="5A69244D"/>
    <w:rsid w:val="5A781F06"/>
    <w:rsid w:val="5A785436"/>
    <w:rsid w:val="5A7F00E2"/>
    <w:rsid w:val="5A81253D"/>
    <w:rsid w:val="5A821E11"/>
    <w:rsid w:val="5A843DDB"/>
    <w:rsid w:val="5A8C0EE1"/>
    <w:rsid w:val="5A8C4B96"/>
    <w:rsid w:val="5A8D087A"/>
    <w:rsid w:val="5A912133"/>
    <w:rsid w:val="5A951B44"/>
    <w:rsid w:val="5A9C1DBA"/>
    <w:rsid w:val="5A9F3C87"/>
    <w:rsid w:val="5AA97E5E"/>
    <w:rsid w:val="5AAA75C3"/>
    <w:rsid w:val="5AAB0C87"/>
    <w:rsid w:val="5AB156B4"/>
    <w:rsid w:val="5AB450E9"/>
    <w:rsid w:val="5ABE2233"/>
    <w:rsid w:val="5AC17303"/>
    <w:rsid w:val="5AC316C5"/>
    <w:rsid w:val="5AC624B2"/>
    <w:rsid w:val="5AC74DF8"/>
    <w:rsid w:val="5AC91CE3"/>
    <w:rsid w:val="5AC97A40"/>
    <w:rsid w:val="5AD07020"/>
    <w:rsid w:val="5AE965B4"/>
    <w:rsid w:val="5AFF693D"/>
    <w:rsid w:val="5B0B0058"/>
    <w:rsid w:val="5B143C9C"/>
    <w:rsid w:val="5B1A015D"/>
    <w:rsid w:val="5B1C20C4"/>
    <w:rsid w:val="5B1E7D8B"/>
    <w:rsid w:val="5B215B4B"/>
    <w:rsid w:val="5B3B1BE2"/>
    <w:rsid w:val="5B5063B8"/>
    <w:rsid w:val="5B5130D0"/>
    <w:rsid w:val="5B525C87"/>
    <w:rsid w:val="5B55709D"/>
    <w:rsid w:val="5B57504B"/>
    <w:rsid w:val="5B5C073F"/>
    <w:rsid w:val="5B6102E9"/>
    <w:rsid w:val="5B616516"/>
    <w:rsid w:val="5B67418E"/>
    <w:rsid w:val="5B6D0D13"/>
    <w:rsid w:val="5B704DA1"/>
    <w:rsid w:val="5B886242"/>
    <w:rsid w:val="5B8C2FDD"/>
    <w:rsid w:val="5B9900F2"/>
    <w:rsid w:val="5B9E23DE"/>
    <w:rsid w:val="5BA109BC"/>
    <w:rsid w:val="5BA17571"/>
    <w:rsid w:val="5BA30291"/>
    <w:rsid w:val="5BA364E3"/>
    <w:rsid w:val="5BA53826"/>
    <w:rsid w:val="5BAA7FFD"/>
    <w:rsid w:val="5BB90612"/>
    <w:rsid w:val="5BBC1352"/>
    <w:rsid w:val="5BC01135"/>
    <w:rsid w:val="5BC36B85"/>
    <w:rsid w:val="5BC45B9B"/>
    <w:rsid w:val="5BC70423"/>
    <w:rsid w:val="5BC7313F"/>
    <w:rsid w:val="5BCB3052"/>
    <w:rsid w:val="5BCB750F"/>
    <w:rsid w:val="5BD122CD"/>
    <w:rsid w:val="5BD23CD1"/>
    <w:rsid w:val="5BD4669C"/>
    <w:rsid w:val="5BD8218A"/>
    <w:rsid w:val="5BDF5D95"/>
    <w:rsid w:val="5BE34B31"/>
    <w:rsid w:val="5BEA5669"/>
    <w:rsid w:val="5BFE2A26"/>
    <w:rsid w:val="5BFE7528"/>
    <w:rsid w:val="5C000914"/>
    <w:rsid w:val="5C0538EA"/>
    <w:rsid w:val="5C0827EA"/>
    <w:rsid w:val="5C086E6D"/>
    <w:rsid w:val="5C0A45BC"/>
    <w:rsid w:val="5C1015B7"/>
    <w:rsid w:val="5C125416"/>
    <w:rsid w:val="5C142F3C"/>
    <w:rsid w:val="5C1B251D"/>
    <w:rsid w:val="5C22674D"/>
    <w:rsid w:val="5C231EC3"/>
    <w:rsid w:val="5C252C27"/>
    <w:rsid w:val="5C264D85"/>
    <w:rsid w:val="5C292E8C"/>
    <w:rsid w:val="5C2A09B2"/>
    <w:rsid w:val="5C3129EF"/>
    <w:rsid w:val="5C337866"/>
    <w:rsid w:val="5C364C47"/>
    <w:rsid w:val="5C3A1EDF"/>
    <w:rsid w:val="5C3E7FB9"/>
    <w:rsid w:val="5C4027E2"/>
    <w:rsid w:val="5C456D65"/>
    <w:rsid w:val="5C4B1001"/>
    <w:rsid w:val="5C511460"/>
    <w:rsid w:val="5C5305C6"/>
    <w:rsid w:val="5C5537B9"/>
    <w:rsid w:val="5C57793B"/>
    <w:rsid w:val="5C594DF3"/>
    <w:rsid w:val="5C6077AD"/>
    <w:rsid w:val="5C715606"/>
    <w:rsid w:val="5C732C8F"/>
    <w:rsid w:val="5C806B4C"/>
    <w:rsid w:val="5C814A76"/>
    <w:rsid w:val="5C82434A"/>
    <w:rsid w:val="5C825DFA"/>
    <w:rsid w:val="5C882CAE"/>
    <w:rsid w:val="5C8E2CEF"/>
    <w:rsid w:val="5C91317D"/>
    <w:rsid w:val="5C925A63"/>
    <w:rsid w:val="5C983B6D"/>
    <w:rsid w:val="5C9B11E4"/>
    <w:rsid w:val="5CAA00E0"/>
    <w:rsid w:val="5CB32755"/>
    <w:rsid w:val="5CBB65A6"/>
    <w:rsid w:val="5CC47EBD"/>
    <w:rsid w:val="5CC568AD"/>
    <w:rsid w:val="5CC93D27"/>
    <w:rsid w:val="5CCA714B"/>
    <w:rsid w:val="5CCB44AB"/>
    <w:rsid w:val="5CCF5030"/>
    <w:rsid w:val="5CD728E8"/>
    <w:rsid w:val="5CEA5CCE"/>
    <w:rsid w:val="5CEF3F11"/>
    <w:rsid w:val="5CF51FF8"/>
    <w:rsid w:val="5CF8460C"/>
    <w:rsid w:val="5CF94C07"/>
    <w:rsid w:val="5D0010B9"/>
    <w:rsid w:val="5D0336DD"/>
    <w:rsid w:val="5D064F7B"/>
    <w:rsid w:val="5D0B581F"/>
    <w:rsid w:val="5D184CAE"/>
    <w:rsid w:val="5D1A5250"/>
    <w:rsid w:val="5D1B49E3"/>
    <w:rsid w:val="5D1D4002"/>
    <w:rsid w:val="5D2B154C"/>
    <w:rsid w:val="5D2F47F8"/>
    <w:rsid w:val="5D326644"/>
    <w:rsid w:val="5D3513BC"/>
    <w:rsid w:val="5D426B66"/>
    <w:rsid w:val="5D4E2409"/>
    <w:rsid w:val="5D51211E"/>
    <w:rsid w:val="5D534E37"/>
    <w:rsid w:val="5D5850AB"/>
    <w:rsid w:val="5D5C1E8F"/>
    <w:rsid w:val="5D6B7BE8"/>
    <w:rsid w:val="5D727FB1"/>
    <w:rsid w:val="5D79752D"/>
    <w:rsid w:val="5D8A4132"/>
    <w:rsid w:val="5D916F3A"/>
    <w:rsid w:val="5D963B46"/>
    <w:rsid w:val="5DA24C31"/>
    <w:rsid w:val="5DB26EB1"/>
    <w:rsid w:val="5DC52F62"/>
    <w:rsid w:val="5DDD2180"/>
    <w:rsid w:val="5DDD2757"/>
    <w:rsid w:val="5DDE7148"/>
    <w:rsid w:val="5DEB3DDC"/>
    <w:rsid w:val="5DEC14F9"/>
    <w:rsid w:val="5DF001D4"/>
    <w:rsid w:val="5DF066FC"/>
    <w:rsid w:val="5DF41277"/>
    <w:rsid w:val="5DF82E95"/>
    <w:rsid w:val="5DF84693"/>
    <w:rsid w:val="5DFE20F6"/>
    <w:rsid w:val="5DFE6F3B"/>
    <w:rsid w:val="5E015734"/>
    <w:rsid w:val="5E024E3F"/>
    <w:rsid w:val="5E086AD1"/>
    <w:rsid w:val="5E0B73EA"/>
    <w:rsid w:val="5E102C8D"/>
    <w:rsid w:val="5E162F9C"/>
    <w:rsid w:val="5E19222E"/>
    <w:rsid w:val="5E1F05CA"/>
    <w:rsid w:val="5E224753"/>
    <w:rsid w:val="5E2467F1"/>
    <w:rsid w:val="5E2B0961"/>
    <w:rsid w:val="5E2B4CE1"/>
    <w:rsid w:val="5E314DE2"/>
    <w:rsid w:val="5E324032"/>
    <w:rsid w:val="5E394EDC"/>
    <w:rsid w:val="5E3B2A02"/>
    <w:rsid w:val="5E4D2736"/>
    <w:rsid w:val="5E50299B"/>
    <w:rsid w:val="5E525A0B"/>
    <w:rsid w:val="5E53288E"/>
    <w:rsid w:val="5E6463FD"/>
    <w:rsid w:val="5E663254"/>
    <w:rsid w:val="5E6957C1"/>
    <w:rsid w:val="5E6F6B50"/>
    <w:rsid w:val="5E763E99"/>
    <w:rsid w:val="5E8060DA"/>
    <w:rsid w:val="5E847CA0"/>
    <w:rsid w:val="5E850121"/>
    <w:rsid w:val="5E962F1E"/>
    <w:rsid w:val="5E9640DD"/>
    <w:rsid w:val="5EA07C9D"/>
    <w:rsid w:val="5EA44A4C"/>
    <w:rsid w:val="5EA467FA"/>
    <w:rsid w:val="5EAA25A8"/>
    <w:rsid w:val="5EB10F16"/>
    <w:rsid w:val="5EC909A5"/>
    <w:rsid w:val="5ECF6085"/>
    <w:rsid w:val="5EDD6268"/>
    <w:rsid w:val="5EE24A21"/>
    <w:rsid w:val="5EE35183"/>
    <w:rsid w:val="5EE412EC"/>
    <w:rsid w:val="5EE77B82"/>
    <w:rsid w:val="5EEF4B68"/>
    <w:rsid w:val="5EF36CAA"/>
    <w:rsid w:val="5EF57861"/>
    <w:rsid w:val="5EF656A8"/>
    <w:rsid w:val="5EF6586C"/>
    <w:rsid w:val="5EFA052E"/>
    <w:rsid w:val="5EFE75B1"/>
    <w:rsid w:val="5EFF6126"/>
    <w:rsid w:val="5F0C1202"/>
    <w:rsid w:val="5F0E2980"/>
    <w:rsid w:val="5F1115F5"/>
    <w:rsid w:val="5F164548"/>
    <w:rsid w:val="5F196165"/>
    <w:rsid w:val="5F1A2B43"/>
    <w:rsid w:val="5F2230CC"/>
    <w:rsid w:val="5F230066"/>
    <w:rsid w:val="5F237456"/>
    <w:rsid w:val="5F334021"/>
    <w:rsid w:val="5F386DCE"/>
    <w:rsid w:val="5F481B15"/>
    <w:rsid w:val="5F4D66DF"/>
    <w:rsid w:val="5F5024DD"/>
    <w:rsid w:val="5F5E7015"/>
    <w:rsid w:val="5F5F0972"/>
    <w:rsid w:val="5F5F4E16"/>
    <w:rsid w:val="5F634C19"/>
    <w:rsid w:val="5F65082E"/>
    <w:rsid w:val="5F666820"/>
    <w:rsid w:val="5F6751E7"/>
    <w:rsid w:val="5F6B7317"/>
    <w:rsid w:val="5F7D0F9F"/>
    <w:rsid w:val="5F8959EF"/>
    <w:rsid w:val="5F9003B0"/>
    <w:rsid w:val="5F906D7E"/>
    <w:rsid w:val="5F9734FF"/>
    <w:rsid w:val="5F9A5E4E"/>
    <w:rsid w:val="5F9B5961"/>
    <w:rsid w:val="5F9C2CFD"/>
    <w:rsid w:val="5F9F3465"/>
    <w:rsid w:val="5F9F5213"/>
    <w:rsid w:val="5FA82584"/>
    <w:rsid w:val="5FAA6958"/>
    <w:rsid w:val="5FB2500F"/>
    <w:rsid w:val="5FB837BB"/>
    <w:rsid w:val="5FBC5DC5"/>
    <w:rsid w:val="5FBD7C6E"/>
    <w:rsid w:val="5FC63209"/>
    <w:rsid w:val="5FC7205F"/>
    <w:rsid w:val="5FCC63D2"/>
    <w:rsid w:val="5FCD6552"/>
    <w:rsid w:val="5FD17AC2"/>
    <w:rsid w:val="5FD25070"/>
    <w:rsid w:val="5FD63879"/>
    <w:rsid w:val="5FD66940"/>
    <w:rsid w:val="5FF6025B"/>
    <w:rsid w:val="5FF946E6"/>
    <w:rsid w:val="5FFA7CAD"/>
    <w:rsid w:val="5FFC1F8F"/>
    <w:rsid w:val="60033D4D"/>
    <w:rsid w:val="60196D73"/>
    <w:rsid w:val="601975C1"/>
    <w:rsid w:val="601B1D41"/>
    <w:rsid w:val="60200102"/>
    <w:rsid w:val="60211B97"/>
    <w:rsid w:val="602C1457"/>
    <w:rsid w:val="6036635E"/>
    <w:rsid w:val="60366F9A"/>
    <w:rsid w:val="603E62FA"/>
    <w:rsid w:val="603E6F1F"/>
    <w:rsid w:val="604069F6"/>
    <w:rsid w:val="60430294"/>
    <w:rsid w:val="6043697C"/>
    <w:rsid w:val="604C0EF7"/>
    <w:rsid w:val="60511935"/>
    <w:rsid w:val="60511AD7"/>
    <w:rsid w:val="6053739D"/>
    <w:rsid w:val="60550A1E"/>
    <w:rsid w:val="605779EA"/>
    <w:rsid w:val="605C1B17"/>
    <w:rsid w:val="606037A8"/>
    <w:rsid w:val="60636E14"/>
    <w:rsid w:val="6065645C"/>
    <w:rsid w:val="60673809"/>
    <w:rsid w:val="606B7A91"/>
    <w:rsid w:val="606E5E7E"/>
    <w:rsid w:val="608C23A1"/>
    <w:rsid w:val="60913EE6"/>
    <w:rsid w:val="609334A3"/>
    <w:rsid w:val="609A2C69"/>
    <w:rsid w:val="60A850ED"/>
    <w:rsid w:val="60A9466A"/>
    <w:rsid w:val="60AA5CA4"/>
    <w:rsid w:val="60AD4D1D"/>
    <w:rsid w:val="60AE3960"/>
    <w:rsid w:val="60AF592A"/>
    <w:rsid w:val="60B60A66"/>
    <w:rsid w:val="60BB08C6"/>
    <w:rsid w:val="60C43183"/>
    <w:rsid w:val="60C73560"/>
    <w:rsid w:val="60CC028A"/>
    <w:rsid w:val="60CC405A"/>
    <w:rsid w:val="60CC77C0"/>
    <w:rsid w:val="60CD6A4F"/>
    <w:rsid w:val="60D13F7C"/>
    <w:rsid w:val="60D809DC"/>
    <w:rsid w:val="60DB04CD"/>
    <w:rsid w:val="60DE5DDA"/>
    <w:rsid w:val="60E750C3"/>
    <w:rsid w:val="60E94E67"/>
    <w:rsid w:val="60F041EB"/>
    <w:rsid w:val="60FB18C6"/>
    <w:rsid w:val="610721EB"/>
    <w:rsid w:val="610B0DB2"/>
    <w:rsid w:val="610C0686"/>
    <w:rsid w:val="611015E4"/>
    <w:rsid w:val="611539DF"/>
    <w:rsid w:val="611F660B"/>
    <w:rsid w:val="61284F0D"/>
    <w:rsid w:val="61305C61"/>
    <w:rsid w:val="61344CCC"/>
    <w:rsid w:val="613D1036"/>
    <w:rsid w:val="613E68BA"/>
    <w:rsid w:val="614442C4"/>
    <w:rsid w:val="61563E75"/>
    <w:rsid w:val="61581B1D"/>
    <w:rsid w:val="615838CB"/>
    <w:rsid w:val="615D212D"/>
    <w:rsid w:val="615F6C19"/>
    <w:rsid w:val="61661FF7"/>
    <w:rsid w:val="616C56AC"/>
    <w:rsid w:val="61730705"/>
    <w:rsid w:val="61731F40"/>
    <w:rsid w:val="617320A8"/>
    <w:rsid w:val="61734BA9"/>
    <w:rsid w:val="61792DCC"/>
    <w:rsid w:val="617D06AE"/>
    <w:rsid w:val="617E75B2"/>
    <w:rsid w:val="61853E54"/>
    <w:rsid w:val="618D7A19"/>
    <w:rsid w:val="61942BFF"/>
    <w:rsid w:val="619A05C2"/>
    <w:rsid w:val="619E0170"/>
    <w:rsid w:val="619E0326"/>
    <w:rsid w:val="61A46B11"/>
    <w:rsid w:val="61AB557E"/>
    <w:rsid w:val="61B256D1"/>
    <w:rsid w:val="61B62A57"/>
    <w:rsid w:val="61B64F19"/>
    <w:rsid w:val="61BA5EC4"/>
    <w:rsid w:val="61C13B66"/>
    <w:rsid w:val="61C353DF"/>
    <w:rsid w:val="61CA2A1B"/>
    <w:rsid w:val="61CA679C"/>
    <w:rsid w:val="61D2369A"/>
    <w:rsid w:val="61D37EBD"/>
    <w:rsid w:val="61D778B6"/>
    <w:rsid w:val="61DB15C6"/>
    <w:rsid w:val="61DB311A"/>
    <w:rsid w:val="61E215D8"/>
    <w:rsid w:val="61E3588B"/>
    <w:rsid w:val="61E52B68"/>
    <w:rsid w:val="61E85609"/>
    <w:rsid w:val="61E8759A"/>
    <w:rsid w:val="61F4793D"/>
    <w:rsid w:val="620677CB"/>
    <w:rsid w:val="620A1069"/>
    <w:rsid w:val="6216045D"/>
    <w:rsid w:val="62172457"/>
    <w:rsid w:val="621B3775"/>
    <w:rsid w:val="621C2CF7"/>
    <w:rsid w:val="621E26F3"/>
    <w:rsid w:val="62204571"/>
    <w:rsid w:val="622B7232"/>
    <w:rsid w:val="62364782"/>
    <w:rsid w:val="623A42B8"/>
    <w:rsid w:val="623A44B2"/>
    <w:rsid w:val="623E0D13"/>
    <w:rsid w:val="62404BAA"/>
    <w:rsid w:val="62476928"/>
    <w:rsid w:val="62540537"/>
    <w:rsid w:val="62546789"/>
    <w:rsid w:val="6258635B"/>
    <w:rsid w:val="62595B4D"/>
    <w:rsid w:val="62600C89"/>
    <w:rsid w:val="626025F1"/>
    <w:rsid w:val="626F711E"/>
    <w:rsid w:val="6276768B"/>
    <w:rsid w:val="627C3BE6"/>
    <w:rsid w:val="627C50F9"/>
    <w:rsid w:val="62867907"/>
    <w:rsid w:val="628C7CD0"/>
    <w:rsid w:val="62903D10"/>
    <w:rsid w:val="62940D77"/>
    <w:rsid w:val="629D0130"/>
    <w:rsid w:val="629D739B"/>
    <w:rsid w:val="62A24B3B"/>
    <w:rsid w:val="62A25746"/>
    <w:rsid w:val="62A274F4"/>
    <w:rsid w:val="62A96AD4"/>
    <w:rsid w:val="62B3538E"/>
    <w:rsid w:val="62B8633B"/>
    <w:rsid w:val="62C13218"/>
    <w:rsid w:val="62C55ECC"/>
    <w:rsid w:val="62CA6567"/>
    <w:rsid w:val="62CC5647"/>
    <w:rsid w:val="62CC631F"/>
    <w:rsid w:val="62D11B87"/>
    <w:rsid w:val="62DA5A24"/>
    <w:rsid w:val="62DC2C92"/>
    <w:rsid w:val="62DD677E"/>
    <w:rsid w:val="62E0001C"/>
    <w:rsid w:val="62E63A28"/>
    <w:rsid w:val="62EC4827"/>
    <w:rsid w:val="62EF43CA"/>
    <w:rsid w:val="62F615EE"/>
    <w:rsid w:val="62F64C60"/>
    <w:rsid w:val="6300421A"/>
    <w:rsid w:val="63012803"/>
    <w:rsid w:val="630272DB"/>
    <w:rsid w:val="630C319F"/>
    <w:rsid w:val="630E2DDB"/>
    <w:rsid w:val="631202A0"/>
    <w:rsid w:val="631303F2"/>
    <w:rsid w:val="632304B5"/>
    <w:rsid w:val="63245009"/>
    <w:rsid w:val="63251ED3"/>
    <w:rsid w:val="632541A8"/>
    <w:rsid w:val="632F4BB7"/>
    <w:rsid w:val="633B6917"/>
    <w:rsid w:val="634174CD"/>
    <w:rsid w:val="634553FE"/>
    <w:rsid w:val="635A7DCF"/>
    <w:rsid w:val="635D78BF"/>
    <w:rsid w:val="63610D9A"/>
    <w:rsid w:val="63616F95"/>
    <w:rsid w:val="6366080A"/>
    <w:rsid w:val="636B4E7E"/>
    <w:rsid w:val="637625B5"/>
    <w:rsid w:val="63844E4C"/>
    <w:rsid w:val="63864720"/>
    <w:rsid w:val="638C5AAE"/>
    <w:rsid w:val="638E61D2"/>
    <w:rsid w:val="6392511A"/>
    <w:rsid w:val="6394356A"/>
    <w:rsid w:val="63964AE4"/>
    <w:rsid w:val="639B1F27"/>
    <w:rsid w:val="639F010A"/>
    <w:rsid w:val="639F1BAF"/>
    <w:rsid w:val="63A33DA5"/>
    <w:rsid w:val="63AA1D2F"/>
    <w:rsid w:val="63AC469A"/>
    <w:rsid w:val="63AE46D4"/>
    <w:rsid w:val="63C61B2C"/>
    <w:rsid w:val="63CD2E60"/>
    <w:rsid w:val="63CE27B7"/>
    <w:rsid w:val="63D40BE9"/>
    <w:rsid w:val="63D877FB"/>
    <w:rsid w:val="63DD455C"/>
    <w:rsid w:val="63DE1E75"/>
    <w:rsid w:val="63E04EFA"/>
    <w:rsid w:val="63E2550C"/>
    <w:rsid w:val="63E62835"/>
    <w:rsid w:val="63EA73A4"/>
    <w:rsid w:val="63ED048C"/>
    <w:rsid w:val="63FA5F6E"/>
    <w:rsid w:val="640A6996"/>
    <w:rsid w:val="64102431"/>
    <w:rsid w:val="641108D2"/>
    <w:rsid w:val="64202DC6"/>
    <w:rsid w:val="642042F5"/>
    <w:rsid w:val="64207D19"/>
    <w:rsid w:val="6422117A"/>
    <w:rsid w:val="64260AB7"/>
    <w:rsid w:val="642A299C"/>
    <w:rsid w:val="642D6B39"/>
    <w:rsid w:val="64336E9D"/>
    <w:rsid w:val="64337881"/>
    <w:rsid w:val="64340620"/>
    <w:rsid w:val="64356146"/>
    <w:rsid w:val="64381F8A"/>
    <w:rsid w:val="643B579B"/>
    <w:rsid w:val="64453E36"/>
    <w:rsid w:val="644C4B37"/>
    <w:rsid w:val="6453708C"/>
    <w:rsid w:val="64577843"/>
    <w:rsid w:val="645C36D2"/>
    <w:rsid w:val="645C7B76"/>
    <w:rsid w:val="645E3A4D"/>
    <w:rsid w:val="646619F8"/>
    <w:rsid w:val="6468651B"/>
    <w:rsid w:val="64703B3C"/>
    <w:rsid w:val="647170CA"/>
    <w:rsid w:val="64746C6E"/>
    <w:rsid w:val="648409AE"/>
    <w:rsid w:val="6488390B"/>
    <w:rsid w:val="64891600"/>
    <w:rsid w:val="64896EBA"/>
    <w:rsid w:val="648C045C"/>
    <w:rsid w:val="648C64E4"/>
    <w:rsid w:val="648C6A14"/>
    <w:rsid w:val="64920196"/>
    <w:rsid w:val="64945230"/>
    <w:rsid w:val="64964E36"/>
    <w:rsid w:val="64970BAF"/>
    <w:rsid w:val="6498572D"/>
    <w:rsid w:val="64A31301"/>
    <w:rsid w:val="64A5151D"/>
    <w:rsid w:val="64A5243A"/>
    <w:rsid w:val="64A62BA0"/>
    <w:rsid w:val="64B04E86"/>
    <w:rsid w:val="64B92960"/>
    <w:rsid w:val="64BA1F03"/>
    <w:rsid w:val="64BE25DF"/>
    <w:rsid w:val="64CF659A"/>
    <w:rsid w:val="64D52890"/>
    <w:rsid w:val="64DD034C"/>
    <w:rsid w:val="64E02555"/>
    <w:rsid w:val="64E463F7"/>
    <w:rsid w:val="64EB23A4"/>
    <w:rsid w:val="64EC2E52"/>
    <w:rsid w:val="64ED07CF"/>
    <w:rsid w:val="64F0190E"/>
    <w:rsid w:val="64F531DE"/>
    <w:rsid w:val="64FA34F9"/>
    <w:rsid w:val="64FD3107"/>
    <w:rsid w:val="64FF7552"/>
    <w:rsid w:val="65071890"/>
    <w:rsid w:val="650B25DC"/>
    <w:rsid w:val="651462B3"/>
    <w:rsid w:val="65181CEF"/>
    <w:rsid w:val="651C5896"/>
    <w:rsid w:val="65217168"/>
    <w:rsid w:val="65244F22"/>
    <w:rsid w:val="652E1513"/>
    <w:rsid w:val="652F491A"/>
    <w:rsid w:val="6533227E"/>
    <w:rsid w:val="65360DCB"/>
    <w:rsid w:val="65373578"/>
    <w:rsid w:val="65391328"/>
    <w:rsid w:val="653A1C66"/>
    <w:rsid w:val="65470905"/>
    <w:rsid w:val="65483684"/>
    <w:rsid w:val="654C7BEB"/>
    <w:rsid w:val="654E3963"/>
    <w:rsid w:val="654F3237"/>
    <w:rsid w:val="65510D5D"/>
    <w:rsid w:val="6561620F"/>
    <w:rsid w:val="65624D19"/>
    <w:rsid w:val="65704218"/>
    <w:rsid w:val="657511B1"/>
    <w:rsid w:val="657809E0"/>
    <w:rsid w:val="6578278E"/>
    <w:rsid w:val="657B3AF9"/>
    <w:rsid w:val="65841133"/>
    <w:rsid w:val="65842EE1"/>
    <w:rsid w:val="65845F1F"/>
    <w:rsid w:val="65890087"/>
    <w:rsid w:val="659632F4"/>
    <w:rsid w:val="6597768B"/>
    <w:rsid w:val="65A92947"/>
    <w:rsid w:val="65AB45AB"/>
    <w:rsid w:val="65B05703"/>
    <w:rsid w:val="65B317A6"/>
    <w:rsid w:val="65B86EE6"/>
    <w:rsid w:val="65BD63F3"/>
    <w:rsid w:val="65BE68A0"/>
    <w:rsid w:val="65BF216B"/>
    <w:rsid w:val="65C1575D"/>
    <w:rsid w:val="65C15964"/>
    <w:rsid w:val="65C6799D"/>
    <w:rsid w:val="65CB5462"/>
    <w:rsid w:val="65CD0EBE"/>
    <w:rsid w:val="65CE5EDD"/>
    <w:rsid w:val="65E17FEA"/>
    <w:rsid w:val="65E652B0"/>
    <w:rsid w:val="65E72634"/>
    <w:rsid w:val="65EB11B2"/>
    <w:rsid w:val="65FC6F1B"/>
    <w:rsid w:val="660109D5"/>
    <w:rsid w:val="66012843"/>
    <w:rsid w:val="66092F1E"/>
    <w:rsid w:val="660B78D7"/>
    <w:rsid w:val="66106E6A"/>
    <w:rsid w:val="661711E5"/>
    <w:rsid w:val="661835B8"/>
    <w:rsid w:val="661A55F3"/>
    <w:rsid w:val="66287A2C"/>
    <w:rsid w:val="662A0CA8"/>
    <w:rsid w:val="662A4CF9"/>
    <w:rsid w:val="662C3BF6"/>
    <w:rsid w:val="662D4120"/>
    <w:rsid w:val="66386714"/>
    <w:rsid w:val="6639016F"/>
    <w:rsid w:val="663E515C"/>
    <w:rsid w:val="66421124"/>
    <w:rsid w:val="6646463A"/>
    <w:rsid w:val="66496403"/>
    <w:rsid w:val="664A237C"/>
    <w:rsid w:val="66526F75"/>
    <w:rsid w:val="665E2C39"/>
    <w:rsid w:val="66672626"/>
    <w:rsid w:val="6667797B"/>
    <w:rsid w:val="6668619E"/>
    <w:rsid w:val="6669742C"/>
    <w:rsid w:val="666A4664"/>
    <w:rsid w:val="66761965"/>
    <w:rsid w:val="667A39B1"/>
    <w:rsid w:val="667E10AC"/>
    <w:rsid w:val="66824DE6"/>
    <w:rsid w:val="66837358"/>
    <w:rsid w:val="668A4527"/>
    <w:rsid w:val="668A7F9D"/>
    <w:rsid w:val="66A11F97"/>
    <w:rsid w:val="66A355E9"/>
    <w:rsid w:val="66AA03AC"/>
    <w:rsid w:val="66B60956"/>
    <w:rsid w:val="66B71094"/>
    <w:rsid w:val="66BA652F"/>
    <w:rsid w:val="66BC4533"/>
    <w:rsid w:val="66C138DF"/>
    <w:rsid w:val="66CB6C38"/>
    <w:rsid w:val="66D439F4"/>
    <w:rsid w:val="66E074C2"/>
    <w:rsid w:val="66E21627"/>
    <w:rsid w:val="66E21B24"/>
    <w:rsid w:val="66F903B1"/>
    <w:rsid w:val="66FC3B78"/>
    <w:rsid w:val="66FC3E92"/>
    <w:rsid w:val="66FE3167"/>
    <w:rsid w:val="670A1B0C"/>
    <w:rsid w:val="671169F6"/>
    <w:rsid w:val="671507C4"/>
    <w:rsid w:val="671B5AC7"/>
    <w:rsid w:val="671F124A"/>
    <w:rsid w:val="67205D8A"/>
    <w:rsid w:val="67270411"/>
    <w:rsid w:val="672C69AA"/>
    <w:rsid w:val="673E29E9"/>
    <w:rsid w:val="6746736B"/>
    <w:rsid w:val="674F751F"/>
    <w:rsid w:val="675039C2"/>
    <w:rsid w:val="675A15C4"/>
    <w:rsid w:val="675B4115"/>
    <w:rsid w:val="676034DA"/>
    <w:rsid w:val="67684C8D"/>
    <w:rsid w:val="676A6106"/>
    <w:rsid w:val="676D68B5"/>
    <w:rsid w:val="677A33C6"/>
    <w:rsid w:val="677D409D"/>
    <w:rsid w:val="6791559A"/>
    <w:rsid w:val="67981871"/>
    <w:rsid w:val="67987117"/>
    <w:rsid w:val="679911AF"/>
    <w:rsid w:val="67995FF9"/>
    <w:rsid w:val="67A04C15"/>
    <w:rsid w:val="67A80682"/>
    <w:rsid w:val="67B0734D"/>
    <w:rsid w:val="67B22C7C"/>
    <w:rsid w:val="67B54DD7"/>
    <w:rsid w:val="67B56507"/>
    <w:rsid w:val="67B66FB3"/>
    <w:rsid w:val="67C03F80"/>
    <w:rsid w:val="67C04BAB"/>
    <w:rsid w:val="67C35851"/>
    <w:rsid w:val="67CE6957"/>
    <w:rsid w:val="67D15561"/>
    <w:rsid w:val="67D40913"/>
    <w:rsid w:val="67DA328C"/>
    <w:rsid w:val="67DC7F9C"/>
    <w:rsid w:val="67DE2B76"/>
    <w:rsid w:val="67E64277"/>
    <w:rsid w:val="67F40489"/>
    <w:rsid w:val="67F644D4"/>
    <w:rsid w:val="67FC7A07"/>
    <w:rsid w:val="680C3507"/>
    <w:rsid w:val="680F4760"/>
    <w:rsid w:val="681F6961"/>
    <w:rsid w:val="68275C64"/>
    <w:rsid w:val="682D20F7"/>
    <w:rsid w:val="68311001"/>
    <w:rsid w:val="68331B39"/>
    <w:rsid w:val="6833299C"/>
    <w:rsid w:val="683426D7"/>
    <w:rsid w:val="68350BC4"/>
    <w:rsid w:val="683B74A5"/>
    <w:rsid w:val="683C3F47"/>
    <w:rsid w:val="684302F2"/>
    <w:rsid w:val="68464DC5"/>
    <w:rsid w:val="684B7AC5"/>
    <w:rsid w:val="684F402D"/>
    <w:rsid w:val="685079F2"/>
    <w:rsid w:val="68586977"/>
    <w:rsid w:val="685A0B0D"/>
    <w:rsid w:val="68610A2F"/>
    <w:rsid w:val="686B6B0D"/>
    <w:rsid w:val="686D5FFE"/>
    <w:rsid w:val="686F673B"/>
    <w:rsid w:val="68706C4B"/>
    <w:rsid w:val="687D34FD"/>
    <w:rsid w:val="68805514"/>
    <w:rsid w:val="68866C37"/>
    <w:rsid w:val="68866F70"/>
    <w:rsid w:val="68882CE8"/>
    <w:rsid w:val="689361BB"/>
    <w:rsid w:val="68970802"/>
    <w:rsid w:val="689C143D"/>
    <w:rsid w:val="689E7477"/>
    <w:rsid w:val="68A22F22"/>
    <w:rsid w:val="68AB177D"/>
    <w:rsid w:val="68AD2BC9"/>
    <w:rsid w:val="68B00491"/>
    <w:rsid w:val="68BB3203"/>
    <w:rsid w:val="68BE495C"/>
    <w:rsid w:val="68C1444C"/>
    <w:rsid w:val="68C656C9"/>
    <w:rsid w:val="68C901BB"/>
    <w:rsid w:val="68CA0D2F"/>
    <w:rsid w:val="68CD1043"/>
    <w:rsid w:val="68CD7E39"/>
    <w:rsid w:val="68D127DA"/>
    <w:rsid w:val="68D73077"/>
    <w:rsid w:val="68D73C6F"/>
    <w:rsid w:val="68E00D76"/>
    <w:rsid w:val="68E5718D"/>
    <w:rsid w:val="68E63EB3"/>
    <w:rsid w:val="68E80164"/>
    <w:rsid w:val="68F405E6"/>
    <w:rsid w:val="68F5452B"/>
    <w:rsid w:val="68F5745F"/>
    <w:rsid w:val="68F760C0"/>
    <w:rsid w:val="68FA16FC"/>
    <w:rsid w:val="68FA68EF"/>
    <w:rsid w:val="68FE11FC"/>
    <w:rsid w:val="69030E7F"/>
    <w:rsid w:val="69056A0C"/>
    <w:rsid w:val="690A194F"/>
    <w:rsid w:val="690B0E8D"/>
    <w:rsid w:val="69143AB3"/>
    <w:rsid w:val="6914700F"/>
    <w:rsid w:val="691770FC"/>
    <w:rsid w:val="6918017E"/>
    <w:rsid w:val="69194849"/>
    <w:rsid w:val="69216C99"/>
    <w:rsid w:val="69283BC7"/>
    <w:rsid w:val="692A6705"/>
    <w:rsid w:val="69316E2F"/>
    <w:rsid w:val="693367BF"/>
    <w:rsid w:val="69344933"/>
    <w:rsid w:val="693552A2"/>
    <w:rsid w:val="694330B3"/>
    <w:rsid w:val="694E2071"/>
    <w:rsid w:val="6955518E"/>
    <w:rsid w:val="69566D0E"/>
    <w:rsid w:val="69586B5E"/>
    <w:rsid w:val="695E1C9B"/>
    <w:rsid w:val="695F159C"/>
    <w:rsid w:val="69601EB7"/>
    <w:rsid w:val="69694C28"/>
    <w:rsid w:val="69733998"/>
    <w:rsid w:val="69766163"/>
    <w:rsid w:val="69787200"/>
    <w:rsid w:val="697A3B33"/>
    <w:rsid w:val="697A4836"/>
    <w:rsid w:val="697D2A6B"/>
    <w:rsid w:val="69815EC1"/>
    <w:rsid w:val="6989424A"/>
    <w:rsid w:val="698D2052"/>
    <w:rsid w:val="698E425B"/>
    <w:rsid w:val="698F00A6"/>
    <w:rsid w:val="69923C61"/>
    <w:rsid w:val="699658D9"/>
    <w:rsid w:val="699A1D68"/>
    <w:rsid w:val="699D784C"/>
    <w:rsid w:val="69A02EEB"/>
    <w:rsid w:val="69A12410"/>
    <w:rsid w:val="69A13A36"/>
    <w:rsid w:val="69A53E97"/>
    <w:rsid w:val="69AC62C8"/>
    <w:rsid w:val="69B67D29"/>
    <w:rsid w:val="69BA3375"/>
    <w:rsid w:val="69C515DF"/>
    <w:rsid w:val="69CE5072"/>
    <w:rsid w:val="69D44760"/>
    <w:rsid w:val="69D56819"/>
    <w:rsid w:val="69D65B56"/>
    <w:rsid w:val="69EA4DEB"/>
    <w:rsid w:val="69EA5BA5"/>
    <w:rsid w:val="69EB0BBA"/>
    <w:rsid w:val="69F66377"/>
    <w:rsid w:val="69F84196"/>
    <w:rsid w:val="69FB7B68"/>
    <w:rsid w:val="69FC1BE0"/>
    <w:rsid w:val="69FF522C"/>
    <w:rsid w:val="69FF6FDA"/>
    <w:rsid w:val="6A002D52"/>
    <w:rsid w:val="6A026ACA"/>
    <w:rsid w:val="6A0307E1"/>
    <w:rsid w:val="6A0C7949"/>
    <w:rsid w:val="6A0F1269"/>
    <w:rsid w:val="6A103DAD"/>
    <w:rsid w:val="6A1324D3"/>
    <w:rsid w:val="6A1F6BD7"/>
    <w:rsid w:val="6A21323F"/>
    <w:rsid w:val="6A2674F0"/>
    <w:rsid w:val="6A270375"/>
    <w:rsid w:val="6A2D0C32"/>
    <w:rsid w:val="6A2F53C6"/>
    <w:rsid w:val="6A382922"/>
    <w:rsid w:val="6A3D5C86"/>
    <w:rsid w:val="6A42586F"/>
    <w:rsid w:val="6A482ED9"/>
    <w:rsid w:val="6A484E25"/>
    <w:rsid w:val="6A4964A7"/>
    <w:rsid w:val="6A4B36CA"/>
    <w:rsid w:val="6A520EC7"/>
    <w:rsid w:val="6A5437CA"/>
    <w:rsid w:val="6A6652AB"/>
    <w:rsid w:val="6A666142"/>
    <w:rsid w:val="6A6C1936"/>
    <w:rsid w:val="6A6D488B"/>
    <w:rsid w:val="6A835E5D"/>
    <w:rsid w:val="6A851406"/>
    <w:rsid w:val="6A876A6E"/>
    <w:rsid w:val="6A897D1D"/>
    <w:rsid w:val="6A9029FB"/>
    <w:rsid w:val="6A9168A8"/>
    <w:rsid w:val="6A974245"/>
    <w:rsid w:val="6AA13BE7"/>
    <w:rsid w:val="6AA3480E"/>
    <w:rsid w:val="6AA6114D"/>
    <w:rsid w:val="6AAE6273"/>
    <w:rsid w:val="6AAF6C52"/>
    <w:rsid w:val="6AB302C8"/>
    <w:rsid w:val="6ABD11EB"/>
    <w:rsid w:val="6ABE0CB9"/>
    <w:rsid w:val="6AC117A3"/>
    <w:rsid w:val="6AC35C25"/>
    <w:rsid w:val="6AC978EB"/>
    <w:rsid w:val="6ACA583A"/>
    <w:rsid w:val="6ACD532A"/>
    <w:rsid w:val="6AD3009F"/>
    <w:rsid w:val="6AD7625B"/>
    <w:rsid w:val="6AD77F57"/>
    <w:rsid w:val="6ADC0A54"/>
    <w:rsid w:val="6ADF0020"/>
    <w:rsid w:val="6AE065FC"/>
    <w:rsid w:val="6AE747BC"/>
    <w:rsid w:val="6AE83F12"/>
    <w:rsid w:val="6AEB57B0"/>
    <w:rsid w:val="6AEC0B57"/>
    <w:rsid w:val="6AF22AF0"/>
    <w:rsid w:val="6AF87E20"/>
    <w:rsid w:val="6AFF7B70"/>
    <w:rsid w:val="6B0A3E88"/>
    <w:rsid w:val="6B0B3A24"/>
    <w:rsid w:val="6B15606C"/>
    <w:rsid w:val="6B194A35"/>
    <w:rsid w:val="6B1B42E7"/>
    <w:rsid w:val="6B1D005F"/>
    <w:rsid w:val="6B1E7B31"/>
    <w:rsid w:val="6B224480"/>
    <w:rsid w:val="6B28106D"/>
    <w:rsid w:val="6B2D5DC9"/>
    <w:rsid w:val="6B2E2FFC"/>
    <w:rsid w:val="6B2F1B41"/>
    <w:rsid w:val="6B322639"/>
    <w:rsid w:val="6B3C2769"/>
    <w:rsid w:val="6B4A24D7"/>
    <w:rsid w:val="6B4C1713"/>
    <w:rsid w:val="6B59096C"/>
    <w:rsid w:val="6B5A2FD8"/>
    <w:rsid w:val="6B60266D"/>
    <w:rsid w:val="6B6537B4"/>
    <w:rsid w:val="6B686914"/>
    <w:rsid w:val="6B6932A5"/>
    <w:rsid w:val="6B721D7B"/>
    <w:rsid w:val="6B73680C"/>
    <w:rsid w:val="6B7C7274"/>
    <w:rsid w:val="6B937DFB"/>
    <w:rsid w:val="6B956B36"/>
    <w:rsid w:val="6B96396E"/>
    <w:rsid w:val="6B96571C"/>
    <w:rsid w:val="6B981AE6"/>
    <w:rsid w:val="6BA52A7A"/>
    <w:rsid w:val="6BAB00E2"/>
    <w:rsid w:val="6BB13803"/>
    <w:rsid w:val="6BB169FA"/>
    <w:rsid w:val="6BB81B36"/>
    <w:rsid w:val="6BCD23E3"/>
    <w:rsid w:val="6BD55A92"/>
    <w:rsid w:val="6BDB75D3"/>
    <w:rsid w:val="6BE0530C"/>
    <w:rsid w:val="6BE42452"/>
    <w:rsid w:val="6BE50451"/>
    <w:rsid w:val="6BE91CF0"/>
    <w:rsid w:val="6BEA5A4B"/>
    <w:rsid w:val="6BF52A60"/>
    <w:rsid w:val="6BF67A71"/>
    <w:rsid w:val="6BFD39ED"/>
    <w:rsid w:val="6BFE004C"/>
    <w:rsid w:val="6C0D4207"/>
    <w:rsid w:val="6C0E5D55"/>
    <w:rsid w:val="6C146E66"/>
    <w:rsid w:val="6C1E5210"/>
    <w:rsid w:val="6C1F5711"/>
    <w:rsid w:val="6C253E09"/>
    <w:rsid w:val="6C2B67AC"/>
    <w:rsid w:val="6C336CFF"/>
    <w:rsid w:val="6C354F35"/>
    <w:rsid w:val="6C3B18ED"/>
    <w:rsid w:val="6C3D028D"/>
    <w:rsid w:val="6C3F7CC2"/>
    <w:rsid w:val="6C417D7E"/>
    <w:rsid w:val="6C482A24"/>
    <w:rsid w:val="6C4D4B5E"/>
    <w:rsid w:val="6C541F44"/>
    <w:rsid w:val="6C594904"/>
    <w:rsid w:val="6C5A7941"/>
    <w:rsid w:val="6C632685"/>
    <w:rsid w:val="6C636C38"/>
    <w:rsid w:val="6C6A0AC0"/>
    <w:rsid w:val="6C6B6BA9"/>
    <w:rsid w:val="6C6C232A"/>
    <w:rsid w:val="6C7E21C3"/>
    <w:rsid w:val="6C801A18"/>
    <w:rsid w:val="6C894CB3"/>
    <w:rsid w:val="6C8E6D3B"/>
    <w:rsid w:val="6C8F2B36"/>
    <w:rsid w:val="6C922387"/>
    <w:rsid w:val="6C926EB0"/>
    <w:rsid w:val="6C9901DA"/>
    <w:rsid w:val="6C9A691C"/>
    <w:rsid w:val="6C9C141C"/>
    <w:rsid w:val="6CA64085"/>
    <w:rsid w:val="6CA71E4E"/>
    <w:rsid w:val="6CB23638"/>
    <w:rsid w:val="6CB423CE"/>
    <w:rsid w:val="6CB73B9C"/>
    <w:rsid w:val="6CB86BB6"/>
    <w:rsid w:val="6CB87914"/>
    <w:rsid w:val="6CC10EBE"/>
    <w:rsid w:val="6CC4450B"/>
    <w:rsid w:val="6CC60283"/>
    <w:rsid w:val="6CC62031"/>
    <w:rsid w:val="6CC938CF"/>
    <w:rsid w:val="6CCB3AEB"/>
    <w:rsid w:val="6CD769C2"/>
    <w:rsid w:val="6CE63CE7"/>
    <w:rsid w:val="6CED11A2"/>
    <w:rsid w:val="6CF62A1C"/>
    <w:rsid w:val="6D0436D2"/>
    <w:rsid w:val="6D075D47"/>
    <w:rsid w:val="6D093001"/>
    <w:rsid w:val="6D0977E1"/>
    <w:rsid w:val="6D1C7EA3"/>
    <w:rsid w:val="6D1E00BF"/>
    <w:rsid w:val="6D1E1E6D"/>
    <w:rsid w:val="6D1F3CE0"/>
    <w:rsid w:val="6D260D22"/>
    <w:rsid w:val="6D2B31DC"/>
    <w:rsid w:val="6D305D6C"/>
    <w:rsid w:val="6D3450DB"/>
    <w:rsid w:val="6D3E05AF"/>
    <w:rsid w:val="6D4C69DA"/>
    <w:rsid w:val="6D4E6145"/>
    <w:rsid w:val="6D4F45C3"/>
    <w:rsid w:val="6D68651B"/>
    <w:rsid w:val="6D6D032D"/>
    <w:rsid w:val="6D711926"/>
    <w:rsid w:val="6D7952F5"/>
    <w:rsid w:val="6D7B7659"/>
    <w:rsid w:val="6D80788B"/>
    <w:rsid w:val="6D814C24"/>
    <w:rsid w:val="6D821E63"/>
    <w:rsid w:val="6D8F592F"/>
    <w:rsid w:val="6D920165"/>
    <w:rsid w:val="6D921E65"/>
    <w:rsid w:val="6DA12DF1"/>
    <w:rsid w:val="6DA22A9E"/>
    <w:rsid w:val="6DA902A3"/>
    <w:rsid w:val="6DAA3701"/>
    <w:rsid w:val="6DAB5F0A"/>
    <w:rsid w:val="6DB34098"/>
    <w:rsid w:val="6DB545B6"/>
    <w:rsid w:val="6DB6217A"/>
    <w:rsid w:val="6DBB590E"/>
    <w:rsid w:val="6DC02145"/>
    <w:rsid w:val="6DC17CBB"/>
    <w:rsid w:val="6DC40610"/>
    <w:rsid w:val="6DC43782"/>
    <w:rsid w:val="6DCA69DB"/>
    <w:rsid w:val="6DD145D8"/>
    <w:rsid w:val="6DD8574A"/>
    <w:rsid w:val="6DDD352A"/>
    <w:rsid w:val="6DE02FB4"/>
    <w:rsid w:val="6DE22867"/>
    <w:rsid w:val="6DE82EFD"/>
    <w:rsid w:val="6DF56417"/>
    <w:rsid w:val="6DFB3F5C"/>
    <w:rsid w:val="6E032E11"/>
    <w:rsid w:val="6E1011CE"/>
    <w:rsid w:val="6E112D49"/>
    <w:rsid w:val="6E1B63AC"/>
    <w:rsid w:val="6E274D51"/>
    <w:rsid w:val="6E2C7162"/>
    <w:rsid w:val="6E2D5A2D"/>
    <w:rsid w:val="6E3015B8"/>
    <w:rsid w:val="6E3301E4"/>
    <w:rsid w:val="6E332604"/>
    <w:rsid w:val="6E3336F6"/>
    <w:rsid w:val="6E364F3B"/>
    <w:rsid w:val="6E374F08"/>
    <w:rsid w:val="6E390902"/>
    <w:rsid w:val="6E3A62FB"/>
    <w:rsid w:val="6E4242E5"/>
    <w:rsid w:val="6E432A18"/>
    <w:rsid w:val="6E445903"/>
    <w:rsid w:val="6E480A9F"/>
    <w:rsid w:val="6E4A55DD"/>
    <w:rsid w:val="6E4B2966"/>
    <w:rsid w:val="6E4B6B00"/>
    <w:rsid w:val="6E514CED"/>
    <w:rsid w:val="6E661D1D"/>
    <w:rsid w:val="6E6715B8"/>
    <w:rsid w:val="6E7348AC"/>
    <w:rsid w:val="6E755215"/>
    <w:rsid w:val="6E796066"/>
    <w:rsid w:val="6E7979BD"/>
    <w:rsid w:val="6E7A0338"/>
    <w:rsid w:val="6E7A30D3"/>
    <w:rsid w:val="6E7C228C"/>
    <w:rsid w:val="6E833DC0"/>
    <w:rsid w:val="6E856008"/>
    <w:rsid w:val="6E945E7A"/>
    <w:rsid w:val="6E996E4B"/>
    <w:rsid w:val="6E9E7C3E"/>
    <w:rsid w:val="6EAE2C28"/>
    <w:rsid w:val="6EB51F62"/>
    <w:rsid w:val="6EB563D5"/>
    <w:rsid w:val="6EB70120"/>
    <w:rsid w:val="6EB96428"/>
    <w:rsid w:val="6EC35B23"/>
    <w:rsid w:val="6ECE1671"/>
    <w:rsid w:val="6ECF78C3"/>
    <w:rsid w:val="6ED0718B"/>
    <w:rsid w:val="6ED722D3"/>
    <w:rsid w:val="6ED81442"/>
    <w:rsid w:val="6ED85891"/>
    <w:rsid w:val="6ED92677"/>
    <w:rsid w:val="6EDF1A89"/>
    <w:rsid w:val="6EE36ECA"/>
    <w:rsid w:val="6EE82732"/>
    <w:rsid w:val="6EE92007"/>
    <w:rsid w:val="6EE92B1B"/>
    <w:rsid w:val="6EF249D7"/>
    <w:rsid w:val="6EFA2466"/>
    <w:rsid w:val="6EFA45B4"/>
    <w:rsid w:val="6F032669"/>
    <w:rsid w:val="6F125A01"/>
    <w:rsid w:val="6F145C7D"/>
    <w:rsid w:val="6F1620EC"/>
    <w:rsid w:val="6F176B74"/>
    <w:rsid w:val="6F1C23DC"/>
    <w:rsid w:val="6F1F3C7A"/>
    <w:rsid w:val="6F225983"/>
    <w:rsid w:val="6F241291"/>
    <w:rsid w:val="6F253F62"/>
    <w:rsid w:val="6F2F2774"/>
    <w:rsid w:val="6F307C36"/>
    <w:rsid w:val="6F365906"/>
    <w:rsid w:val="6F40256E"/>
    <w:rsid w:val="6F4276E1"/>
    <w:rsid w:val="6F4316AD"/>
    <w:rsid w:val="6F43600D"/>
    <w:rsid w:val="6F4D76D9"/>
    <w:rsid w:val="6F504DD0"/>
    <w:rsid w:val="6F55769C"/>
    <w:rsid w:val="6F58585A"/>
    <w:rsid w:val="6F5A23DA"/>
    <w:rsid w:val="6F5D3371"/>
    <w:rsid w:val="6F606725"/>
    <w:rsid w:val="6F6205A0"/>
    <w:rsid w:val="6F7E3097"/>
    <w:rsid w:val="6F8D6E36"/>
    <w:rsid w:val="6F9149D3"/>
    <w:rsid w:val="6F9173B0"/>
    <w:rsid w:val="6F964430"/>
    <w:rsid w:val="6F9C5CC0"/>
    <w:rsid w:val="6FA20A3B"/>
    <w:rsid w:val="6FA4272F"/>
    <w:rsid w:val="6FA7231F"/>
    <w:rsid w:val="6FA91F92"/>
    <w:rsid w:val="6FC80B18"/>
    <w:rsid w:val="6FD0271D"/>
    <w:rsid w:val="6FD25EDF"/>
    <w:rsid w:val="6FD601DD"/>
    <w:rsid w:val="6FD827A7"/>
    <w:rsid w:val="6FDE58E3"/>
    <w:rsid w:val="6FE169C0"/>
    <w:rsid w:val="6FE9742F"/>
    <w:rsid w:val="6FEB7477"/>
    <w:rsid w:val="6FF10DE0"/>
    <w:rsid w:val="6FF25AA2"/>
    <w:rsid w:val="6FFC5590"/>
    <w:rsid w:val="70001CFE"/>
    <w:rsid w:val="70003E5C"/>
    <w:rsid w:val="70017C18"/>
    <w:rsid w:val="70056F1C"/>
    <w:rsid w:val="700F1F41"/>
    <w:rsid w:val="701511C7"/>
    <w:rsid w:val="70180DF5"/>
    <w:rsid w:val="701D70F5"/>
    <w:rsid w:val="701F6449"/>
    <w:rsid w:val="703419A7"/>
    <w:rsid w:val="703674CE"/>
    <w:rsid w:val="70413AD1"/>
    <w:rsid w:val="70435E56"/>
    <w:rsid w:val="704C651B"/>
    <w:rsid w:val="7052492B"/>
    <w:rsid w:val="705373D3"/>
    <w:rsid w:val="70542388"/>
    <w:rsid w:val="70614F23"/>
    <w:rsid w:val="70624A53"/>
    <w:rsid w:val="706C3CE5"/>
    <w:rsid w:val="706D1DD0"/>
    <w:rsid w:val="706E4EB9"/>
    <w:rsid w:val="707B7ADE"/>
    <w:rsid w:val="70856B87"/>
    <w:rsid w:val="7087549C"/>
    <w:rsid w:val="708C5E3D"/>
    <w:rsid w:val="708E4DE6"/>
    <w:rsid w:val="709025ED"/>
    <w:rsid w:val="709A56C4"/>
    <w:rsid w:val="709B3EEF"/>
    <w:rsid w:val="709C7BD0"/>
    <w:rsid w:val="70A058E1"/>
    <w:rsid w:val="70BC18E3"/>
    <w:rsid w:val="70BD0596"/>
    <w:rsid w:val="70C33821"/>
    <w:rsid w:val="70C76378"/>
    <w:rsid w:val="70C851BD"/>
    <w:rsid w:val="70CF0E5A"/>
    <w:rsid w:val="70D33588"/>
    <w:rsid w:val="70D527EE"/>
    <w:rsid w:val="70D52957"/>
    <w:rsid w:val="70DA4E7A"/>
    <w:rsid w:val="70DB22EB"/>
    <w:rsid w:val="70DD3DED"/>
    <w:rsid w:val="70E10F46"/>
    <w:rsid w:val="70EB3BFC"/>
    <w:rsid w:val="70F711F4"/>
    <w:rsid w:val="70F829D5"/>
    <w:rsid w:val="70FB40C5"/>
    <w:rsid w:val="71062EC8"/>
    <w:rsid w:val="711041C2"/>
    <w:rsid w:val="71186BD3"/>
    <w:rsid w:val="711958DE"/>
    <w:rsid w:val="711A294B"/>
    <w:rsid w:val="711B2AA8"/>
    <w:rsid w:val="711E3936"/>
    <w:rsid w:val="712436CD"/>
    <w:rsid w:val="71284FD1"/>
    <w:rsid w:val="713019DF"/>
    <w:rsid w:val="713175D4"/>
    <w:rsid w:val="71325B7C"/>
    <w:rsid w:val="713734FD"/>
    <w:rsid w:val="71414918"/>
    <w:rsid w:val="7142407F"/>
    <w:rsid w:val="71431EA2"/>
    <w:rsid w:val="71452B7B"/>
    <w:rsid w:val="715220E5"/>
    <w:rsid w:val="71532D90"/>
    <w:rsid w:val="71596D97"/>
    <w:rsid w:val="715B5300"/>
    <w:rsid w:val="715D4DFE"/>
    <w:rsid w:val="716B489A"/>
    <w:rsid w:val="716D33C3"/>
    <w:rsid w:val="716F71DE"/>
    <w:rsid w:val="71706A0F"/>
    <w:rsid w:val="717961C9"/>
    <w:rsid w:val="71832E39"/>
    <w:rsid w:val="71870F42"/>
    <w:rsid w:val="718B3849"/>
    <w:rsid w:val="71951E84"/>
    <w:rsid w:val="719B725E"/>
    <w:rsid w:val="71A10942"/>
    <w:rsid w:val="71A27B98"/>
    <w:rsid w:val="71B27538"/>
    <w:rsid w:val="71B608C6"/>
    <w:rsid w:val="71BD2899"/>
    <w:rsid w:val="71BF648A"/>
    <w:rsid w:val="71BF724C"/>
    <w:rsid w:val="71C01745"/>
    <w:rsid w:val="71CA7D6E"/>
    <w:rsid w:val="71CC1E85"/>
    <w:rsid w:val="71CE33FE"/>
    <w:rsid w:val="71D1732D"/>
    <w:rsid w:val="71D27F8A"/>
    <w:rsid w:val="71DB063A"/>
    <w:rsid w:val="71DE56C0"/>
    <w:rsid w:val="71E05943"/>
    <w:rsid w:val="71E57322"/>
    <w:rsid w:val="71E95B91"/>
    <w:rsid w:val="71EC42E8"/>
    <w:rsid w:val="71F94967"/>
    <w:rsid w:val="71FB2726"/>
    <w:rsid w:val="720136EF"/>
    <w:rsid w:val="72021DBB"/>
    <w:rsid w:val="720813CB"/>
    <w:rsid w:val="721B6FB3"/>
    <w:rsid w:val="721C5103"/>
    <w:rsid w:val="722362A9"/>
    <w:rsid w:val="722F3B17"/>
    <w:rsid w:val="723C51C9"/>
    <w:rsid w:val="723E2F2B"/>
    <w:rsid w:val="72413D0C"/>
    <w:rsid w:val="72553024"/>
    <w:rsid w:val="72574C9F"/>
    <w:rsid w:val="725865B8"/>
    <w:rsid w:val="726B62BE"/>
    <w:rsid w:val="726D24B0"/>
    <w:rsid w:val="7274711A"/>
    <w:rsid w:val="72895FDA"/>
    <w:rsid w:val="728F70E8"/>
    <w:rsid w:val="72923A68"/>
    <w:rsid w:val="72936E59"/>
    <w:rsid w:val="7295497F"/>
    <w:rsid w:val="7298621E"/>
    <w:rsid w:val="72A5093A"/>
    <w:rsid w:val="72B30086"/>
    <w:rsid w:val="72B740D0"/>
    <w:rsid w:val="72BD18D3"/>
    <w:rsid w:val="72BE74CF"/>
    <w:rsid w:val="72C71A5F"/>
    <w:rsid w:val="72CE4BC1"/>
    <w:rsid w:val="72D336FA"/>
    <w:rsid w:val="72DF3E4C"/>
    <w:rsid w:val="72E3288A"/>
    <w:rsid w:val="72E977C0"/>
    <w:rsid w:val="72EB459F"/>
    <w:rsid w:val="72ED47BB"/>
    <w:rsid w:val="72F54098"/>
    <w:rsid w:val="72FD0776"/>
    <w:rsid w:val="730544F5"/>
    <w:rsid w:val="730579C3"/>
    <w:rsid w:val="73075422"/>
    <w:rsid w:val="73110C99"/>
    <w:rsid w:val="73122968"/>
    <w:rsid w:val="73127C14"/>
    <w:rsid w:val="731F5D5E"/>
    <w:rsid w:val="73261A7B"/>
    <w:rsid w:val="73294AD0"/>
    <w:rsid w:val="732B71ED"/>
    <w:rsid w:val="732C0596"/>
    <w:rsid w:val="732C1547"/>
    <w:rsid w:val="73422E69"/>
    <w:rsid w:val="73441C3D"/>
    <w:rsid w:val="73453B63"/>
    <w:rsid w:val="734A6FCB"/>
    <w:rsid w:val="73540C92"/>
    <w:rsid w:val="73583FDF"/>
    <w:rsid w:val="735D0BC8"/>
    <w:rsid w:val="736D117C"/>
    <w:rsid w:val="736F0C2F"/>
    <w:rsid w:val="73702CF6"/>
    <w:rsid w:val="737A3ECB"/>
    <w:rsid w:val="737E18B7"/>
    <w:rsid w:val="738821DC"/>
    <w:rsid w:val="739015EB"/>
    <w:rsid w:val="739254F8"/>
    <w:rsid w:val="7396667C"/>
    <w:rsid w:val="73A06C1C"/>
    <w:rsid w:val="73A70E53"/>
    <w:rsid w:val="73A97C26"/>
    <w:rsid w:val="73AA334A"/>
    <w:rsid w:val="73AB4C34"/>
    <w:rsid w:val="73B452D9"/>
    <w:rsid w:val="73B53CC2"/>
    <w:rsid w:val="73B54777"/>
    <w:rsid w:val="73BB0416"/>
    <w:rsid w:val="73BC5F3C"/>
    <w:rsid w:val="73C403E1"/>
    <w:rsid w:val="73C51AD5"/>
    <w:rsid w:val="73CE64F3"/>
    <w:rsid w:val="73DC038C"/>
    <w:rsid w:val="73DE59B4"/>
    <w:rsid w:val="73DE7879"/>
    <w:rsid w:val="73E66704"/>
    <w:rsid w:val="73E85095"/>
    <w:rsid w:val="73ED29F3"/>
    <w:rsid w:val="73F26870"/>
    <w:rsid w:val="73F34293"/>
    <w:rsid w:val="73F9363E"/>
    <w:rsid w:val="73FA5DFE"/>
    <w:rsid w:val="74092758"/>
    <w:rsid w:val="74104710"/>
    <w:rsid w:val="74104D5B"/>
    <w:rsid w:val="741144D9"/>
    <w:rsid w:val="741E793C"/>
    <w:rsid w:val="7420471D"/>
    <w:rsid w:val="74262812"/>
    <w:rsid w:val="742D758E"/>
    <w:rsid w:val="74316CAD"/>
    <w:rsid w:val="7433268B"/>
    <w:rsid w:val="743326A2"/>
    <w:rsid w:val="74341D3F"/>
    <w:rsid w:val="743A5B7D"/>
    <w:rsid w:val="743A60BD"/>
    <w:rsid w:val="743A753C"/>
    <w:rsid w:val="74441AFF"/>
    <w:rsid w:val="74463A57"/>
    <w:rsid w:val="744D4DE6"/>
    <w:rsid w:val="744F1883"/>
    <w:rsid w:val="744F5002"/>
    <w:rsid w:val="74512B28"/>
    <w:rsid w:val="7451449C"/>
    <w:rsid w:val="745215D2"/>
    <w:rsid w:val="74551119"/>
    <w:rsid w:val="745E3944"/>
    <w:rsid w:val="74601DC5"/>
    <w:rsid w:val="74656F72"/>
    <w:rsid w:val="74685100"/>
    <w:rsid w:val="746C2A97"/>
    <w:rsid w:val="746F2FAE"/>
    <w:rsid w:val="74713E21"/>
    <w:rsid w:val="747340BD"/>
    <w:rsid w:val="74744A68"/>
    <w:rsid w:val="747A2B0E"/>
    <w:rsid w:val="747B5DF7"/>
    <w:rsid w:val="747D391D"/>
    <w:rsid w:val="74836A59"/>
    <w:rsid w:val="748A7DE8"/>
    <w:rsid w:val="748E2F8C"/>
    <w:rsid w:val="74931367"/>
    <w:rsid w:val="74997DF7"/>
    <w:rsid w:val="749A7529"/>
    <w:rsid w:val="749E5641"/>
    <w:rsid w:val="74A23383"/>
    <w:rsid w:val="74A67741"/>
    <w:rsid w:val="74AC5FB0"/>
    <w:rsid w:val="74B21F34"/>
    <w:rsid w:val="74B50C95"/>
    <w:rsid w:val="74BD1F6B"/>
    <w:rsid w:val="74BD640F"/>
    <w:rsid w:val="74BF5C12"/>
    <w:rsid w:val="74C22589"/>
    <w:rsid w:val="74C63D91"/>
    <w:rsid w:val="74C91C54"/>
    <w:rsid w:val="74D626D0"/>
    <w:rsid w:val="74DB2A04"/>
    <w:rsid w:val="74E20DD2"/>
    <w:rsid w:val="74E271FF"/>
    <w:rsid w:val="74E36253"/>
    <w:rsid w:val="74E364B6"/>
    <w:rsid w:val="74E5669D"/>
    <w:rsid w:val="74EC015C"/>
    <w:rsid w:val="74EC2851"/>
    <w:rsid w:val="74EE0377"/>
    <w:rsid w:val="74F57957"/>
    <w:rsid w:val="74FA31C0"/>
    <w:rsid w:val="75020307"/>
    <w:rsid w:val="75154A19"/>
    <w:rsid w:val="751B7FA6"/>
    <w:rsid w:val="751F6782"/>
    <w:rsid w:val="75230ECD"/>
    <w:rsid w:val="75275A87"/>
    <w:rsid w:val="7527760C"/>
    <w:rsid w:val="752E4590"/>
    <w:rsid w:val="75371D1E"/>
    <w:rsid w:val="753F0BD2"/>
    <w:rsid w:val="753F68BA"/>
    <w:rsid w:val="755616C4"/>
    <w:rsid w:val="75630D65"/>
    <w:rsid w:val="75695C4F"/>
    <w:rsid w:val="756C0B14"/>
    <w:rsid w:val="75713FEC"/>
    <w:rsid w:val="75741D9B"/>
    <w:rsid w:val="75786AA4"/>
    <w:rsid w:val="757B3E1A"/>
    <w:rsid w:val="757F1B1E"/>
    <w:rsid w:val="75803660"/>
    <w:rsid w:val="7585099C"/>
    <w:rsid w:val="75862CA5"/>
    <w:rsid w:val="758C63E9"/>
    <w:rsid w:val="75910222"/>
    <w:rsid w:val="759E41E9"/>
    <w:rsid w:val="75A603E7"/>
    <w:rsid w:val="75A62FB2"/>
    <w:rsid w:val="75AD311D"/>
    <w:rsid w:val="75B832A3"/>
    <w:rsid w:val="75B8477D"/>
    <w:rsid w:val="75BA64AB"/>
    <w:rsid w:val="75BF3B21"/>
    <w:rsid w:val="75C2394F"/>
    <w:rsid w:val="75C24FD3"/>
    <w:rsid w:val="75C67C4F"/>
    <w:rsid w:val="75C93C76"/>
    <w:rsid w:val="75CB06B8"/>
    <w:rsid w:val="75CB1F57"/>
    <w:rsid w:val="75CB4270"/>
    <w:rsid w:val="75D04E86"/>
    <w:rsid w:val="75D73501"/>
    <w:rsid w:val="75D7705D"/>
    <w:rsid w:val="75DE57AE"/>
    <w:rsid w:val="75DF0808"/>
    <w:rsid w:val="75E55076"/>
    <w:rsid w:val="75ED762B"/>
    <w:rsid w:val="75EF41E1"/>
    <w:rsid w:val="75F63130"/>
    <w:rsid w:val="75FC2F67"/>
    <w:rsid w:val="75FE2526"/>
    <w:rsid w:val="76033702"/>
    <w:rsid w:val="7612302F"/>
    <w:rsid w:val="761262E7"/>
    <w:rsid w:val="761279AC"/>
    <w:rsid w:val="76176804"/>
    <w:rsid w:val="761C0DAE"/>
    <w:rsid w:val="761D1811"/>
    <w:rsid w:val="761D2456"/>
    <w:rsid w:val="76276CD5"/>
    <w:rsid w:val="762D7625"/>
    <w:rsid w:val="76326989"/>
    <w:rsid w:val="7635099D"/>
    <w:rsid w:val="76393874"/>
    <w:rsid w:val="763A5527"/>
    <w:rsid w:val="76414B86"/>
    <w:rsid w:val="76432944"/>
    <w:rsid w:val="764378F7"/>
    <w:rsid w:val="76465B33"/>
    <w:rsid w:val="76466E3C"/>
    <w:rsid w:val="76515048"/>
    <w:rsid w:val="76564426"/>
    <w:rsid w:val="76592268"/>
    <w:rsid w:val="765D0AC2"/>
    <w:rsid w:val="76652D2F"/>
    <w:rsid w:val="76674885"/>
    <w:rsid w:val="766B4167"/>
    <w:rsid w:val="766C2B27"/>
    <w:rsid w:val="767B0A6B"/>
    <w:rsid w:val="768014A2"/>
    <w:rsid w:val="76852F5D"/>
    <w:rsid w:val="769506A3"/>
    <w:rsid w:val="7697081D"/>
    <w:rsid w:val="76977AC8"/>
    <w:rsid w:val="76984A3E"/>
    <w:rsid w:val="769F401E"/>
    <w:rsid w:val="76A059D5"/>
    <w:rsid w:val="76A333E3"/>
    <w:rsid w:val="76A63920"/>
    <w:rsid w:val="76A84D8B"/>
    <w:rsid w:val="76A95EDC"/>
    <w:rsid w:val="76AA4749"/>
    <w:rsid w:val="76B44A2E"/>
    <w:rsid w:val="76B906EE"/>
    <w:rsid w:val="76BA593F"/>
    <w:rsid w:val="76BF4573"/>
    <w:rsid w:val="76C12744"/>
    <w:rsid w:val="76CA2D80"/>
    <w:rsid w:val="76CC46E8"/>
    <w:rsid w:val="76CF04D1"/>
    <w:rsid w:val="76D87563"/>
    <w:rsid w:val="76DB492B"/>
    <w:rsid w:val="76DB4A3C"/>
    <w:rsid w:val="76DC3D77"/>
    <w:rsid w:val="76DC53EC"/>
    <w:rsid w:val="76DF5548"/>
    <w:rsid w:val="76E52D88"/>
    <w:rsid w:val="76EC740F"/>
    <w:rsid w:val="76F0487A"/>
    <w:rsid w:val="76F23CED"/>
    <w:rsid w:val="76FD6F97"/>
    <w:rsid w:val="7700192F"/>
    <w:rsid w:val="770970D0"/>
    <w:rsid w:val="770F6291"/>
    <w:rsid w:val="77265B2F"/>
    <w:rsid w:val="77276D63"/>
    <w:rsid w:val="772938E8"/>
    <w:rsid w:val="772947AC"/>
    <w:rsid w:val="77294D9B"/>
    <w:rsid w:val="772B498D"/>
    <w:rsid w:val="772C162A"/>
    <w:rsid w:val="773504DF"/>
    <w:rsid w:val="77416605"/>
    <w:rsid w:val="774F43F3"/>
    <w:rsid w:val="7751509D"/>
    <w:rsid w:val="77527A03"/>
    <w:rsid w:val="77536AA1"/>
    <w:rsid w:val="77536BB7"/>
    <w:rsid w:val="775546DD"/>
    <w:rsid w:val="7758241F"/>
    <w:rsid w:val="775D17E4"/>
    <w:rsid w:val="775E3CDB"/>
    <w:rsid w:val="77612729"/>
    <w:rsid w:val="77660698"/>
    <w:rsid w:val="776A6FD0"/>
    <w:rsid w:val="776B5CAF"/>
    <w:rsid w:val="777032C5"/>
    <w:rsid w:val="7770664B"/>
    <w:rsid w:val="77762421"/>
    <w:rsid w:val="777E5D17"/>
    <w:rsid w:val="777E795C"/>
    <w:rsid w:val="77813BEB"/>
    <w:rsid w:val="7782531E"/>
    <w:rsid w:val="778475C9"/>
    <w:rsid w:val="77865515"/>
    <w:rsid w:val="778A2856"/>
    <w:rsid w:val="778D7E1E"/>
    <w:rsid w:val="778E3ABA"/>
    <w:rsid w:val="778E7BEF"/>
    <w:rsid w:val="77936F6D"/>
    <w:rsid w:val="77950F7E"/>
    <w:rsid w:val="77A01CD5"/>
    <w:rsid w:val="77A722AB"/>
    <w:rsid w:val="77AB595B"/>
    <w:rsid w:val="77B27D81"/>
    <w:rsid w:val="77B35F03"/>
    <w:rsid w:val="77B56B1F"/>
    <w:rsid w:val="77B75DAA"/>
    <w:rsid w:val="77BA44A3"/>
    <w:rsid w:val="77C16217"/>
    <w:rsid w:val="77C31F8A"/>
    <w:rsid w:val="77D2650D"/>
    <w:rsid w:val="77D543BA"/>
    <w:rsid w:val="77D62FE0"/>
    <w:rsid w:val="77D664C4"/>
    <w:rsid w:val="77D71596"/>
    <w:rsid w:val="77E139A5"/>
    <w:rsid w:val="77E1549F"/>
    <w:rsid w:val="77E65308"/>
    <w:rsid w:val="77F6612C"/>
    <w:rsid w:val="77FA4128"/>
    <w:rsid w:val="77FB2C90"/>
    <w:rsid w:val="77FC0D3A"/>
    <w:rsid w:val="78063C29"/>
    <w:rsid w:val="780C082F"/>
    <w:rsid w:val="780E5DBD"/>
    <w:rsid w:val="780F09F4"/>
    <w:rsid w:val="78106856"/>
    <w:rsid w:val="7812790F"/>
    <w:rsid w:val="782B4B43"/>
    <w:rsid w:val="783110B9"/>
    <w:rsid w:val="78323723"/>
    <w:rsid w:val="78324A1E"/>
    <w:rsid w:val="783365AA"/>
    <w:rsid w:val="7836450F"/>
    <w:rsid w:val="783E33C3"/>
    <w:rsid w:val="784E03AB"/>
    <w:rsid w:val="785A4D01"/>
    <w:rsid w:val="785C0035"/>
    <w:rsid w:val="78603EFA"/>
    <w:rsid w:val="78633F48"/>
    <w:rsid w:val="786366B7"/>
    <w:rsid w:val="786D5A56"/>
    <w:rsid w:val="78706C88"/>
    <w:rsid w:val="7872670E"/>
    <w:rsid w:val="7873799C"/>
    <w:rsid w:val="78821357"/>
    <w:rsid w:val="78895C63"/>
    <w:rsid w:val="788F1E71"/>
    <w:rsid w:val="789607FB"/>
    <w:rsid w:val="78A000BA"/>
    <w:rsid w:val="78A04E22"/>
    <w:rsid w:val="78A7540C"/>
    <w:rsid w:val="78A90480"/>
    <w:rsid w:val="78AD6067"/>
    <w:rsid w:val="78B11C28"/>
    <w:rsid w:val="78B35AFC"/>
    <w:rsid w:val="78B5393C"/>
    <w:rsid w:val="78B70597"/>
    <w:rsid w:val="78B80B58"/>
    <w:rsid w:val="78B81769"/>
    <w:rsid w:val="78C34C9F"/>
    <w:rsid w:val="78CD329E"/>
    <w:rsid w:val="78D550AD"/>
    <w:rsid w:val="78D5671F"/>
    <w:rsid w:val="78DA2124"/>
    <w:rsid w:val="78DB50B6"/>
    <w:rsid w:val="78DE6954"/>
    <w:rsid w:val="78DF4BA6"/>
    <w:rsid w:val="78E52CCD"/>
    <w:rsid w:val="78EA048F"/>
    <w:rsid w:val="78EE6B97"/>
    <w:rsid w:val="78FF6510"/>
    <w:rsid w:val="790A1BF3"/>
    <w:rsid w:val="790C0796"/>
    <w:rsid w:val="79112886"/>
    <w:rsid w:val="791906A2"/>
    <w:rsid w:val="791C519A"/>
    <w:rsid w:val="791C748D"/>
    <w:rsid w:val="792E42AF"/>
    <w:rsid w:val="79483C5B"/>
    <w:rsid w:val="79490A9D"/>
    <w:rsid w:val="794B6EAC"/>
    <w:rsid w:val="794C5FB4"/>
    <w:rsid w:val="794F5C09"/>
    <w:rsid w:val="79533C02"/>
    <w:rsid w:val="796039A4"/>
    <w:rsid w:val="79622E65"/>
    <w:rsid w:val="796F7168"/>
    <w:rsid w:val="798412AA"/>
    <w:rsid w:val="79955475"/>
    <w:rsid w:val="79986663"/>
    <w:rsid w:val="799C310A"/>
    <w:rsid w:val="799F4335"/>
    <w:rsid w:val="79A01DE7"/>
    <w:rsid w:val="79B2497B"/>
    <w:rsid w:val="79B45BE2"/>
    <w:rsid w:val="79B56F66"/>
    <w:rsid w:val="79C51E34"/>
    <w:rsid w:val="79C83F22"/>
    <w:rsid w:val="79CD1CD8"/>
    <w:rsid w:val="79D537C0"/>
    <w:rsid w:val="79DA68B2"/>
    <w:rsid w:val="79DC10E6"/>
    <w:rsid w:val="79E41D48"/>
    <w:rsid w:val="79E71A1D"/>
    <w:rsid w:val="79F71A7C"/>
    <w:rsid w:val="79FA341E"/>
    <w:rsid w:val="79FB7705"/>
    <w:rsid w:val="7A095271"/>
    <w:rsid w:val="7A0C004D"/>
    <w:rsid w:val="7A166F89"/>
    <w:rsid w:val="7A1A541E"/>
    <w:rsid w:val="7A215F4D"/>
    <w:rsid w:val="7A232871"/>
    <w:rsid w:val="7A2800DC"/>
    <w:rsid w:val="7A2D36EF"/>
    <w:rsid w:val="7A2E2C70"/>
    <w:rsid w:val="7A2E4AB4"/>
    <w:rsid w:val="7A304F8E"/>
    <w:rsid w:val="7A3114EA"/>
    <w:rsid w:val="7A3630B3"/>
    <w:rsid w:val="7A364017"/>
    <w:rsid w:val="7A37302C"/>
    <w:rsid w:val="7A37631C"/>
    <w:rsid w:val="7A3A2594"/>
    <w:rsid w:val="7A3B709D"/>
    <w:rsid w:val="7A421904"/>
    <w:rsid w:val="7A443709"/>
    <w:rsid w:val="7A481F25"/>
    <w:rsid w:val="7A4D4937"/>
    <w:rsid w:val="7A5D1A4A"/>
    <w:rsid w:val="7A68719D"/>
    <w:rsid w:val="7A6909E4"/>
    <w:rsid w:val="7A6C214D"/>
    <w:rsid w:val="7A7109BE"/>
    <w:rsid w:val="7A773D73"/>
    <w:rsid w:val="7A805499"/>
    <w:rsid w:val="7A8265E1"/>
    <w:rsid w:val="7A8613C0"/>
    <w:rsid w:val="7A884CFA"/>
    <w:rsid w:val="7A886A8A"/>
    <w:rsid w:val="7A8A0103"/>
    <w:rsid w:val="7A94376E"/>
    <w:rsid w:val="7A951295"/>
    <w:rsid w:val="7A990D85"/>
    <w:rsid w:val="7A994665"/>
    <w:rsid w:val="7A9C5F38"/>
    <w:rsid w:val="7A9D26BA"/>
    <w:rsid w:val="7AA80FC8"/>
    <w:rsid w:val="7AA81BB9"/>
    <w:rsid w:val="7AB57DBA"/>
    <w:rsid w:val="7AC85892"/>
    <w:rsid w:val="7ACE1841"/>
    <w:rsid w:val="7ACE7893"/>
    <w:rsid w:val="7AD4644B"/>
    <w:rsid w:val="7AD73922"/>
    <w:rsid w:val="7AD86AF4"/>
    <w:rsid w:val="7ADC1E5C"/>
    <w:rsid w:val="7AE53FCA"/>
    <w:rsid w:val="7AE55D78"/>
    <w:rsid w:val="7AE77A1F"/>
    <w:rsid w:val="7AEF3A04"/>
    <w:rsid w:val="7AEF4E49"/>
    <w:rsid w:val="7AF46C8B"/>
    <w:rsid w:val="7AF62BC6"/>
    <w:rsid w:val="7AFE6E3A"/>
    <w:rsid w:val="7B0326A2"/>
    <w:rsid w:val="7B036B51"/>
    <w:rsid w:val="7B0572E4"/>
    <w:rsid w:val="7B09488F"/>
    <w:rsid w:val="7B154869"/>
    <w:rsid w:val="7B1A7536"/>
    <w:rsid w:val="7B2528B4"/>
    <w:rsid w:val="7B272AA4"/>
    <w:rsid w:val="7B284494"/>
    <w:rsid w:val="7B292109"/>
    <w:rsid w:val="7B29542B"/>
    <w:rsid w:val="7B3005A6"/>
    <w:rsid w:val="7B340AAD"/>
    <w:rsid w:val="7B38234C"/>
    <w:rsid w:val="7B3B62E0"/>
    <w:rsid w:val="7B4038F6"/>
    <w:rsid w:val="7B4553AE"/>
    <w:rsid w:val="7B4671FB"/>
    <w:rsid w:val="7B4972A4"/>
    <w:rsid w:val="7B4F609B"/>
    <w:rsid w:val="7B5A5A9F"/>
    <w:rsid w:val="7B5A7782"/>
    <w:rsid w:val="7B5B0730"/>
    <w:rsid w:val="7B613568"/>
    <w:rsid w:val="7B6770D5"/>
    <w:rsid w:val="7B686D42"/>
    <w:rsid w:val="7B6D1B0B"/>
    <w:rsid w:val="7B6D5EB4"/>
    <w:rsid w:val="7B746003"/>
    <w:rsid w:val="7B753C4B"/>
    <w:rsid w:val="7B7A2D23"/>
    <w:rsid w:val="7B7F1E5C"/>
    <w:rsid w:val="7B803CF3"/>
    <w:rsid w:val="7B841746"/>
    <w:rsid w:val="7B877535"/>
    <w:rsid w:val="7B8803AD"/>
    <w:rsid w:val="7B8A0059"/>
    <w:rsid w:val="7B8A22AA"/>
    <w:rsid w:val="7B8E48A8"/>
    <w:rsid w:val="7B8F1A83"/>
    <w:rsid w:val="7B947174"/>
    <w:rsid w:val="7B9618B9"/>
    <w:rsid w:val="7B964997"/>
    <w:rsid w:val="7B9D52EB"/>
    <w:rsid w:val="7B9F13EB"/>
    <w:rsid w:val="7BA369CD"/>
    <w:rsid w:val="7BA65B27"/>
    <w:rsid w:val="7BAB5F4D"/>
    <w:rsid w:val="7BAE449F"/>
    <w:rsid w:val="7BB0354B"/>
    <w:rsid w:val="7BB05120"/>
    <w:rsid w:val="7BB120FE"/>
    <w:rsid w:val="7BB80F12"/>
    <w:rsid w:val="7BC167E5"/>
    <w:rsid w:val="7BC462D5"/>
    <w:rsid w:val="7BC9569A"/>
    <w:rsid w:val="7BCE2CB0"/>
    <w:rsid w:val="7BD72D0D"/>
    <w:rsid w:val="7BD80BF8"/>
    <w:rsid w:val="7BDF310F"/>
    <w:rsid w:val="7BDF7AA9"/>
    <w:rsid w:val="7BE02445"/>
    <w:rsid w:val="7BE129E3"/>
    <w:rsid w:val="7BE800D3"/>
    <w:rsid w:val="7BE929C7"/>
    <w:rsid w:val="7BE95D3C"/>
    <w:rsid w:val="7BEC1169"/>
    <w:rsid w:val="7BF02C26"/>
    <w:rsid w:val="7BF73FB5"/>
    <w:rsid w:val="7BF914AA"/>
    <w:rsid w:val="7BFB7CB5"/>
    <w:rsid w:val="7BFC15CB"/>
    <w:rsid w:val="7C0A5D83"/>
    <w:rsid w:val="7C156CD4"/>
    <w:rsid w:val="7C167E53"/>
    <w:rsid w:val="7C1B739B"/>
    <w:rsid w:val="7C266648"/>
    <w:rsid w:val="7C2823C0"/>
    <w:rsid w:val="7C2A52B2"/>
    <w:rsid w:val="7C2C3AA4"/>
    <w:rsid w:val="7C2F7BF3"/>
    <w:rsid w:val="7C30077B"/>
    <w:rsid w:val="7C352D2F"/>
    <w:rsid w:val="7C386AE4"/>
    <w:rsid w:val="7C3B7155"/>
    <w:rsid w:val="7C550244"/>
    <w:rsid w:val="7C57648A"/>
    <w:rsid w:val="7C587BDE"/>
    <w:rsid w:val="7C5915A1"/>
    <w:rsid w:val="7C5A50F0"/>
    <w:rsid w:val="7C612F33"/>
    <w:rsid w:val="7C6829F0"/>
    <w:rsid w:val="7C6C5AC7"/>
    <w:rsid w:val="7C773348"/>
    <w:rsid w:val="7C7B2E38"/>
    <w:rsid w:val="7C7E0732"/>
    <w:rsid w:val="7C95557C"/>
    <w:rsid w:val="7C96744A"/>
    <w:rsid w:val="7C9B30A0"/>
    <w:rsid w:val="7C9E2968"/>
    <w:rsid w:val="7CAF6B09"/>
    <w:rsid w:val="7CBD00CE"/>
    <w:rsid w:val="7CBE2D25"/>
    <w:rsid w:val="7CC227B8"/>
    <w:rsid w:val="7CC2297D"/>
    <w:rsid w:val="7CC47F1E"/>
    <w:rsid w:val="7CC6544B"/>
    <w:rsid w:val="7CC77E2B"/>
    <w:rsid w:val="7CC85951"/>
    <w:rsid w:val="7CCC3693"/>
    <w:rsid w:val="7CD12A58"/>
    <w:rsid w:val="7CD35B48"/>
    <w:rsid w:val="7CD51E1C"/>
    <w:rsid w:val="7CDE33C7"/>
    <w:rsid w:val="7CE73A77"/>
    <w:rsid w:val="7CE81B50"/>
    <w:rsid w:val="7CEE6788"/>
    <w:rsid w:val="7CEF7382"/>
    <w:rsid w:val="7CF03827"/>
    <w:rsid w:val="7CF36E72"/>
    <w:rsid w:val="7CF62B8F"/>
    <w:rsid w:val="7CFB64B3"/>
    <w:rsid w:val="7D0239FF"/>
    <w:rsid w:val="7D0346CF"/>
    <w:rsid w:val="7D07647A"/>
    <w:rsid w:val="7D0D221F"/>
    <w:rsid w:val="7D0E47B8"/>
    <w:rsid w:val="7D1114FF"/>
    <w:rsid w:val="7D136216"/>
    <w:rsid w:val="7D151663"/>
    <w:rsid w:val="7D207B7A"/>
    <w:rsid w:val="7D256900"/>
    <w:rsid w:val="7D330EA6"/>
    <w:rsid w:val="7D386417"/>
    <w:rsid w:val="7D3B25C7"/>
    <w:rsid w:val="7D3C7D9A"/>
    <w:rsid w:val="7D423956"/>
    <w:rsid w:val="7D4E1740"/>
    <w:rsid w:val="7D503847"/>
    <w:rsid w:val="7D586CD5"/>
    <w:rsid w:val="7D5E40CD"/>
    <w:rsid w:val="7D6A489F"/>
    <w:rsid w:val="7D6C570B"/>
    <w:rsid w:val="7D747887"/>
    <w:rsid w:val="7D7569F2"/>
    <w:rsid w:val="7D7B228F"/>
    <w:rsid w:val="7D9076F6"/>
    <w:rsid w:val="7D997846"/>
    <w:rsid w:val="7D9D407D"/>
    <w:rsid w:val="7DA34E42"/>
    <w:rsid w:val="7DA43703"/>
    <w:rsid w:val="7DAE009A"/>
    <w:rsid w:val="7DB2325A"/>
    <w:rsid w:val="7DC05F6B"/>
    <w:rsid w:val="7DCD56F2"/>
    <w:rsid w:val="7DCE585F"/>
    <w:rsid w:val="7DD8701C"/>
    <w:rsid w:val="7DDE7BC7"/>
    <w:rsid w:val="7DE720B0"/>
    <w:rsid w:val="7DEB0C99"/>
    <w:rsid w:val="7DEB3451"/>
    <w:rsid w:val="7DEF658E"/>
    <w:rsid w:val="7DF056EF"/>
    <w:rsid w:val="7E106464"/>
    <w:rsid w:val="7E1923EC"/>
    <w:rsid w:val="7E1E7F1F"/>
    <w:rsid w:val="7E21356B"/>
    <w:rsid w:val="7E260B81"/>
    <w:rsid w:val="7E332CFD"/>
    <w:rsid w:val="7E552DD9"/>
    <w:rsid w:val="7E5A32C1"/>
    <w:rsid w:val="7E61605D"/>
    <w:rsid w:val="7E67674A"/>
    <w:rsid w:val="7E694F12"/>
    <w:rsid w:val="7E6C202C"/>
    <w:rsid w:val="7E6C674D"/>
    <w:rsid w:val="7E6D055E"/>
    <w:rsid w:val="7E6D6660"/>
    <w:rsid w:val="7E703B46"/>
    <w:rsid w:val="7E7B3DD3"/>
    <w:rsid w:val="7E867872"/>
    <w:rsid w:val="7E867BE9"/>
    <w:rsid w:val="7E8B1E83"/>
    <w:rsid w:val="7E8E6727"/>
    <w:rsid w:val="7E983D42"/>
    <w:rsid w:val="7E9E229F"/>
    <w:rsid w:val="7EA0293B"/>
    <w:rsid w:val="7EA37E2C"/>
    <w:rsid w:val="7EB841FA"/>
    <w:rsid w:val="7EBA1FB9"/>
    <w:rsid w:val="7EBB576E"/>
    <w:rsid w:val="7EBD2C41"/>
    <w:rsid w:val="7EC21E98"/>
    <w:rsid w:val="7EC301BA"/>
    <w:rsid w:val="7ECF54A6"/>
    <w:rsid w:val="7ED4682F"/>
    <w:rsid w:val="7EDC25F7"/>
    <w:rsid w:val="7EDE320A"/>
    <w:rsid w:val="7EDE76AE"/>
    <w:rsid w:val="7EE34CC4"/>
    <w:rsid w:val="7EE36A72"/>
    <w:rsid w:val="7EF24969"/>
    <w:rsid w:val="7EF667A6"/>
    <w:rsid w:val="7EFB1850"/>
    <w:rsid w:val="7EFB1BF0"/>
    <w:rsid w:val="7EFE3254"/>
    <w:rsid w:val="7EFF7750"/>
    <w:rsid w:val="7F001CE7"/>
    <w:rsid w:val="7F055219"/>
    <w:rsid w:val="7F074F9A"/>
    <w:rsid w:val="7F0E477B"/>
    <w:rsid w:val="7F0F354E"/>
    <w:rsid w:val="7F19259D"/>
    <w:rsid w:val="7F1D3240"/>
    <w:rsid w:val="7F216ED9"/>
    <w:rsid w:val="7F2831A1"/>
    <w:rsid w:val="7F2A66F0"/>
    <w:rsid w:val="7F3361BC"/>
    <w:rsid w:val="7F3472CE"/>
    <w:rsid w:val="7F364DF4"/>
    <w:rsid w:val="7F402117"/>
    <w:rsid w:val="7F437894"/>
    <w:rsid w:val="7F46479C"/>
    <w:rsid w:val="7F4D356B"/>
    <w:rsid w:val="7F5274C2"/>
    <w:rsid w:val="7F555EF3"/>
    <w:rsid w:val="7F560E51"/>
    <w:rsid w:val="7F630D7E"/>
    <w:rsid w:val="7F6544BC"/>
    <w:rsid w:val="7F6556D9"/>
    <w:rsid w:val="7F674E25"/>
    <w:rsid w:val="7F7629E6"/>
    <w:rsid w:val="7F765B38"/>
    <w:rsid w:val="7F7D2A23"/>
    <w:rsid w:val="7F7E5C7D"/>
    <w:rsid w:val="7F8060A3"/>
    <w:rsid w:val="7F816675"/>
    <w:rsid w:val="7F827CD5"/>
    <w:rsid w:val="7F8B6823"/>
    <w:rsid w:val="7F8D6506"/>
    <w:rsid w:val="7F9F143B"/>
    <w:rsid w:val="7FA8016E"/>
    <w:rsid w:val="7FA91A6A"/>
    <w:rsid w:val="7FB66DFD"/>
    <w:rsid w:val="7FBD72C3"/>
    <w:rsid w:val="7FC90260"/>
    <w:rsid w:val="7FC9180E"/>
    <w:rsid w:val="7FCA0C55"/>
    <w:rsid w:val="7FCA348D"/>
    <w:rsid w:val="7FCE0033"/>
    <w:rsid w:val="7FD34D39"/>
    <w:rsid w:val="7FD41DF1"/>
    <w:rsid w:val="7FD67854"/>
    <w:rsid w:val="7FD72826"/>
    <w:rsid w:val="7FD85EAB"/>
    <w:rsid w:val="7FE05AD5"/>
    <w:rsid w:val="7FE3353D"/>
    <w:rsid w:val="7FE47E50"/>
    <w:rsid w:val="7FE66D69"/>
    <w:rsid w:val="7FE961F6"/>
    <w:rsid w:val="7FEE1B73"/>
    <w:rsid w:val="7FF4717D"/>
    <w:rsid w:val="7FF703B8"/>
    <w:rsid w:val="7FF74C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5"/>
    <w:qFormat/>
    <w:uiPriority w:val="99"/>
    <w:pPr>
      <w:keepNext/>
      <w:overflowPunct w:val="0"/>
      <w:snapToGrid w:val="0"/>
      <w:spacing w:before="120" w:after="160" w:line="240" w:lineRule="auto"/>
      <w:ind w:left="431" w:hanging="431"/>
      <w:jc w:val="center"/>
      <w:outlineLvl w:val="0"/>
    </w:pPr>
    <w:rPr>
      <w:rFonts w:ascii="Times New Roman" w:hAnsi="Times New Roman" w:eastAsia="黑体"/>
      <w:bCs/>
      <w:color w:val="000000"/>
      <w:kern w:val="44"/>
      <w:sz w:val="30"/>
      <w:szCs w:val="30"/>
    </w:rPr>
  </w:style>
  <w:style w:type="paragraph" w:styleId="6">
    <w:name w:val="heading 2"/>
    <w:basedOn w:val="1"/>
    <w:next w:val="1"/>
    <w:link w:val="36"/>
    <w:qFormat/>
    <w:uiPriority w:val="0"/>
    <w:pPr>
      <w:keepNext/>
      <w:keepLines/>
      <w:spacing w:before="260" w:after="260" w:line="416" w:lineRule="auto"/>
      <w:outlineLvl w:val="1"/>
    </w:pPr>
    <w:rPr>
      <w:rFonts w:ascii="Arial" w:hAnsi="Arial" w:eastAsia="黑体"/>
      <w:b/>
      <w:bCs/>
      <w:sz w:val="32"/>
      <w:szCs w:val="32"/>
      <w:lang w:eastAsia="zh-CN"/>
    </w:rPr>
  </w:style>
  <w:style w:type="paragraph" w:styleId="7">
    <w:name w:val="heading 3"/>
    <w:basedOn w:val="1"/>
    <w:next w:val="1"/>
    <w:link w:val="37"/>
    <w:qFormat/>
    <w:uiPriority w:val="0"/>
    <w:pPr>
      <w:keepNext/>
      <w:keepLines/>
      <w:snapToGrid w:val="0"/>
      <w:spacing w:before="120" w:beforeLines="0" w:beforeAutospacing="0" w:after="120" w:afterLines="0" w:afterAutospacing="0" w:line="240" w:lineRule="auto"/>
      <w:ind w:firstLine="720" w:firstLineChars="200"/>
      <w:jc w:val="left"/>
      <w:outlineLvl w:val="2"/>
    </w:pPr>
    <w:rPr>
      <w:kern w:val="0"/>
      <w:szCs w:val="20"/>
    </w:rPr>
  </w:style>
  <w:style w:type="paragraph" w:styleId="8">
    <w:name w:val="heading 4"/>
    <w:basedOn w:val="1"/>
    <w:next w:val="1"/>
    <w:qFormat/>
    <w:uiPriority w:val="0"/>
    <w:pPr>
      <w:keepNext/>
      <w:spacing w:line="380" w:lineRule="exact"/>
      <w:ind w:left="-113" w:right="-113"/>
      <w:jc w:val="center"/>
      <w:outlineLvl w:val="3"/>
    </w:pPr>
    <w:rPr>
      <w:rFonts w:ascii="宋体" w:hAnsi="宋体"/>
      <w:b/>
      <w:spacing w:val="-10"/>
    </w:rPr>
  </w:style>
  <w:style w:type="paragraph" w:styleId="9">
    <w:name w:val="heading 5"/>
    <w:basedOn w:val="1"/>
    <w:next w:val="1"/>
    <w:qFormat/>
    <w:uiPriority w:val="1"/>
    <w:pPr>
      <w:ind w:left="1576"/>
      <w:outlineLvl w:val="5"/>
    </w:pPr>
    <w:rPr>
      <w:rFonts w:ascii="宋体" w:hAnsi="宋体" w:eastAsia="宋体" w:cs="宋体"/>
      <w:b/>
      <w:bCs/>
      <w:sz w:val="24"/>
      <w:szCs w:val="24"/>
      <w:lang w:val="zh-CN" w:eastAsia="zh-CN" w:bidi="zh-CN"/>
    </w:rPr>
  </w:style>
  <w:style w:type="paragraph" w:styleId="10">
    <w:name w:val="heading 7"/>
    <w:basedOn w:val="1"/>
    <w:next w:val="1"/>
    <w:link w:val="38"/>
    <w:qFormat/>
    <w:uiPriority w:val="0"/>
    <w:pPr>
      <w:keepNext/>
      <w:keepLines/>
      <w:spacing w:before="240" w:after="64" w:line="320" w:lineRule="auto"/>
      <w:outlineLvl w:val="6"/>
    </w:pPr>
    <w:rPr>
      <w:b/>
      <w:bCs/>
      <w:sz w:val="24"/>
    </w:rPr>
  </w:style>
  <w:style w:type="character" w:default="1" w:styleId="30">
    <w:name w:val="Default Paragraph Font"/>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link w:val="43"/>
    <w:unhideWhenUsed/>
    <w:qFormat/>
    <w:uiPriority w:val="0"/>
    <w:pPr>
      <w:spacing w:after="120" w:line="240" w:lineRule="auto"/>
      <w:ind w:left="420" w:leftChars="200" w:firstLine="420"/>
    </w:pPr>
    <w:rPr>
      <w:sz w:val="21"/>
    </w:rPr>
  </w:style>
  <w:style w:type="paragraph" w:styleId="3">
    <w:name w:val="Body Text Indent"/>
    <w:basedOn w:val="1"/>
    <w:next w:val="4"/>
    <w:link w:val="42"/>
    <w:qFormat/>
    <w:uiPriority w:val="0"/>
    <w:pPr>
      <w:spacing w:after="120"/>
      <w:ind w:left="420" w:leftChars="200"/>
    </w:pPr>
    <w:rPr>
      <w:kern w:val="0"/>
      <w:sz w:val="24"/>
      <w:szCs w:val="20"/>
    </w:rPr>
  </w:style>
  <w:style w:type="paragraph" w:styleId="4">
    <w:name w:val="Body Text Indent 2"/>
    <w:basedOn w:val="1"/>
    <w:next w:val="2"/>
    <w:qFormat/>
    <w:uiPriority w:val="0"/>
    <w:pPr>
      <w:spacing w:line="400" w:lineRule="exact"/>
      <w:ind w:firstLine="573"/>
    </w:pPr>
    <w:rPr>
      <w:rFonts w:ascii="宋体" w:hAnsi="宋体"/>
      <w:sz w:val="28"/>
    </w:rPr>
  </w:style>
  <w:style w:type="paragraph" w:styleId="11">
    <w:name w:val="Normal Indent"/>
    <w:basedOn w:val="1"/>
    <w:qFormat/>
    <w:uiPriority w:val="0"/>
    <w:pPr>
      <w:ind w:firstLine="200" w:firstLineChars="200"/>
    </w:pPr>
    <w:rPr>
      <w:rFonts w:eastAsia="宋体"/>
      <w:kern w:val="2"/>
      <w:sz w:val="28"/>
      <w:szCs w:val="24"/>
      <w:lang w:val="en-US" w:eastAsia="zh-CN" w:bidi="ar-SA"/>
    </w:rPr>
  </w:style>
  <w:style w:type="paragraph" w:styleId="12">
    <w:name w:val="Document Map"/>
    <w:basedOn w:val="1"/>
    <w:link w:val="39"/>
    <w:qFormat/>
    <w:uiPriority w:val="0"/>
    <w:rPr>
      <w:rFonts w:ascii="宋体"/>
      <w:sz w:val="18"/>
      <w:szCs w:val="18"/>
    </w:rPr>
  </w:style>
  <w:style w:type="paragraph" w:styleId="13">
    <w:name w:val="annotation text"/>
    <w:basedOn w:val="1"/>
    <w:link w:val="40"/>
    <w:qFormat/>
    <w:uiPriority w:val="0"/>
    <w:pPr>
      <w:jc w:val="left"/>
    </w:pPr>
    <w:rPr>
      <w:kern w:val="0"/>
      <w:sz w:val="24"/>
      <w:szCs w:val="20"/>
    </w:rPr>
  </w:style>
  <w:style w:type="paragraph" w:styleId="14">
    <w:name w:val="Salutation"/>
    <w:basedOn w:val="1"/>
    <w:next w:val="1"/>
    <w:unhideWhenUsed/>
    <w:qFormat/>
    <w:uiPriority w:val="99"/>
  </w:style>
  <w:style w:type="paragraph" w:styleId="15">
    <w:name w:val="Body Text"/>
    <w:basedOn w:val="1"/>
    <w:next w:val="1"/>
    <w:link w:val="41"/>
    <w:qFormat/>
    <w:uiPriority w:val="0"/>
    <w:pPr>
      <w:widowControl/>
      <w:snapToGrid w:val="0"/>
      <w:spacing w:line="480" w:lineRule="exact"/>
      <w:ind w:right="0"/>
      <w:jc w:val="left"/>
    </w:pPr>
    <w:rPr>
      <w:kern w:val="0"/>
      <w:szCs w:val="20"/>
    </w:rPr>
  </w:style>
  <w:style w:type="paragraph" w:styleId="16">
    <w:name w:val="Plain Text"/>
    <w:basedOn w:val="1"/>
    <w:next w:val="14"/>
    <w:qFormat/>
    <w:uiPriority w:val="0"/>
    <w:rPr>
      <w:rFonts w:ascii="宋体" w:hAnsi="Courier New"/>
      <w:szCs w:val="20"/>
      <w:lang w:eastAsia="zh-CN"/>
    </w:rPr>
  </w:style>
  <w:style w:type="paragraph" w:styleId="17">
    <w:name w:val="Date"/>
    <w:basedOn w:val="1"/>
    <w:next w:val="1"/>
    <w:link w:val="44"/>
    <w:qFormat/>
    <w:uiPriority w:val="0"/>
    <w:pPr>
      <w:ind w:left="100" w:leftChars="2500"/>
    </w:pPr>
    <w:rPr>
      <w:kern w:val="0"/>
      <w:sz w:val="24"/>
      <w:szCs w:val="20"/>
    </w:rPr>
  </w:style>
  <w:style w:type="paragraph" w:styleId="18">
    <w:name w:val="Balloon Text"/>
    <w:basedOn w:val="1"/>
    <w:link w:val="45"/>
    <w:semiHidden/>
    <w:qFormat/>
    <w:uiPriority w:val="0"/>
    <w:rPr>
      <w:kern w:val="0"/>
      <w:sz w:val="18"/>
      <w:szCs w:val="20"/>
    </w:rPr>
  </w:style>
  <w:style w:type="paragraph" w:styleId="19">
    <w:name w:val="footer"/>
    <w:basedOn w:val="1"/>
    <w:link w:val="46"/>
    <w:qFormat/>
    <w:uiPriority w:val="99"/>
    <w:pPr>
      <w:tabs>
        <w:tab w:val="center" w:pos="4153"/>
        <w:tab w:val="right" w:pos="8306"/>
      </w:tabs>
      <w:snapToGrid w:val="0"/>
      <w:jc w:val="left"/>
    </w:pPr>
    <w:rPr>
      <w:kern w:val="0"/>
      <w:sz w:val="18"/>
      <w:szCs w:val="20"/>
    </w:rPr>
  </w:style>
  <w:style w:type="paragraph" w:styleId="20">
    <w:name w:val="header"/>
    <w:basedOn w:val="1"/>
    <w:link w:val="47"/>
    <w:qFormat/>
    <w:uiPriority w:val="0"/>
    <w:pPr>
      <w:pBdr>
        <w:bottom w:val="single" w:color="auto" w:sz="6" w:space="1"/>
      </w:pBdr>
      <w:tabs>
        <w:tab w:val="center" w:pos="4153"/>
        <w:tab w:val="right" w:pos="8306"/>
      </w:tabs>
      <w:snapToGrid w:val="0"/>
      <w:jc w:val="center"/>
    </w:pPr>
    <w:rPr>
      <w:kern w:val="0"/>
      <w:sz w:val="18"/>
      <w:szCs w:val="20"/>
    </w:rPr>
  </w:style>
  <w:style w:type="paragraph" w:styleId="21">
    <w:name w:val="toc 1"/>
    <w:basedOn w:val="1"/>
    <w:next w:val="1"/>
    <w:qFormat/>
    <w:uiPriority w:val="39"/>
    <w:rPr>
      <w:b/>
      <w:bCs/>
      <w:caps/>
      <w:sz w:val="20"/>
    </w:rPr>
  </w:style>
  <w:style w:type="paragraph" w:styleId="22">
    <w:name w:val="List"/>
    <w:basedOn w:val="1"/>
    <w:qFormat/>
    <w:uiPriority w:val="0"/>
    <w:pPr>
      <w:ind w:left="200" w:hanging="200" w:hangingChars="200"/>
    </w:pPr>
  </w:style>
  <w:style w:type="paragraph" w:styleId="23">
    <w:name w:val="toc 2"/>
    <w:basedOn w:val="1"/>
    <w:next w:val="1"/>
    <w:unhideWhenUsed/>
    <w:qFormat/>
    <w:uiPriority w:val="39"/>
    <w:pPr>
      <w:ind w:left="420" w:leftChars="200"/>
    </w:pPr>
  </w:style>
  <w:style w:type="paragraph" w:styleId="24">
    <w:name w:val="Normal (Web)"/>
    <w:basedOn w:val="1"/>
    <w:link w:val="48"/>
    <w:qFormat/>
    <w:uiPriority w:val="0"/>
    <w:pPr>
      <w:widowControl/>
      <w:spacing w:before="100" w:beforeAutospacing="1" w:after="100" w:afterAutospacing="1"/>
      <w:jc w:val="left"/>
    </w:pPr>
    <w:rPr>
      <w:rFonts w:ascii="宋体" w:hAnsi="宋体"/>
      <w:kern w:val="0"/>
      <w:sz w:val="24"/>
      <w:szCs w:val="20"/>
    </w:rPr>
  </w:style>
  <w:style w:type="paragraph" w:styleId="25">
    <w:name w:val="Title"/>
    <w:basedOn w:val="1"/>
    <w:next w:val="1"/>
    <w:qFormat/>
    <w:uiPriority w:val="10"/>
    <w:pPr>
      <w:spacing w:before="240" w:after="60"/>
      <w:jc w:val="center"/>
      <w:outlineLvl w:val="0"/>
    </w:pPr>
    <w:rPr>
      <w:rFonts w:ascii="Cambria" w:hAnsi="Cambria" w:cs="Times New Roman"/>
      <w:b/>
      <w:bCs/>
      <w:sz w:val="32"/>
      <w:szCs w:val="32"/>
    </w:rPr>
  </w:style>
  <w:style w:type="paragraph" w:styleId="26">
    <w:name w:val="annotation subject"/>
    <w:basedOn w:val="13"/>
    <w:next w:val="13"/>
    <w:link w:val="49"/>
    <w:semiHidden/>
    <w:qFormat/>
    <w:uiPriority w:val="0"/>
    <w:rPr>
      <w:b/>
      <w:kern w:val="2"/>
    </w:rPr>
  </w:style>
  <w:style w:type="paragraph" w:styleId="27">
    <w:name w:val="Body Text First Indent"/>
    <w:basedOn w:val="15"/>
    <w:next w:val="1"/>
    <w:qFormat/>
    <w:uiPriority w:val="0"/>
    <w:pPr>
      <w:ind w:firstLine="420" w:firstLineChars="100"/>
    </w:pPr>
  </w:style>
  <w:style w:type="table" w:styleId="29">
    <w:name w:val="Table Grid"/>
    <w:basedOn w:val="28"/>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qFormat/>
    <w:uiPriority w:val="0"/>
  </w:style>
  <w:style w:type="character" w:styleId="32">
    <w:name w:val="Emphasis"/>
    <w:basedOn w:val="30"/>
    <w:qFormat/>
    <w:uiPriority w:val="20"/>
    <w:rPr>
      <w:i/>
      <w:iCs/>
    </w:rPr>
  </w:style>
  <w:style w:type="character" w:styleId="33">
    <w:name w:val="Hyperlink"/>
    <w:basedOn w:val="30"/>
    <w:qFormat/>
    <w:uiPriority w:val="0"/>
    <w:rPr>
      <w:color w:val="0000FF"/>
      <w:u w:val="single"/>
    </w:rPr>
  </w:style>
  <w:style w:type="character" w:styleId="34">
    <w:name w:val="annotation reference"/>
    <w:qFormat/>
    <w:uiPriority w:val="99"/>
    <w:rPr>
      <w:sz w:val="21"/>
    </w:rPr>
  </w:style>
  <w:style w:type="character" w:customStyle="1" w:styleId="35">
    <w:name w:val="标题 1 Char"/>
    <w:link w:val="5"/>
    <w:qFormat/>
    <w:uiPriority w:val="99"/>
    <w:rPr>
      <w:rFonts w:ascii="Times New Roman" w:hAnsi="Times New Roman" w:eastAsia="黑体"/>
      <w:bCs/>
      <w:color w:val="000000"/>
      <w:kern w:val="44"/>
      <w:sz w:val="30"/>
      <w:szCs w:val="30"/>
    </w:rPr>
  </w:style>
  <w:style w:type="character" w:customStyle="1" w:styleId="36">
    <w:name w:val="标题 2 Char"/>
    <w:link w:val="6"/>
    <w:qFormat/>
    <w:uiPriority w:val="0"/>
    <w:rPr>
      <w:rFonts w:ascii="Arial" w:hAnsi="Arial" w:eastAsia="黑体"/>
      <w:b/>
      <w:bCs/>
      <w:sz w:val="32"/>
      <w:szCs w:val="32"/>
      <w:lang w:eastAsia="zh-CN"/>
    </w:rPr>
  </w:style>
  <w:style w:type="character" w:customStyle="1" w:styleId="37">
    <w:name w:val="标题 3 Char"/>
    <w:link w:val="7"/>
    <w:qFormat/>
    <w:uiPriority w:val="0"/>
    <w:rPr>
      <w:rFonts w:ascii="Times New Roman" w:hAnsi="Times New Roman" w:eastAsia="宋体"/>
      <w:sz w:val="21"/>
    </w:rPr>
  </w:style>
  <w:style w:type="character" w:customStyle="1" w:styleId="38">
    <w:name w:val="标题 7 Char"/>
    <w:basedOn w:val="30"/>
    <w:link w:val="10"/>
    <w:semiHidden/>
    <w:qFormat/>
    <w:uiPriority w:val="0"/>
    <w:rPr>
      <w:b/>
      <w:bCs/>
      <w:kern w:val="2"/>
      <w:sz w:val="24"/>
      <w:szCs w:val="24"/>
    </w:rPr>
  </w:style>
  <w:style w:type="character" w:customStyle="1" w:styleId="39">
    <w:name w:val="文档结构图 Char"/>
    <w:basedOn w:val="30"/>
    <w:link w:val="12"/>
    <w:qFormat/>
    <w:uiPriority w:val="0"/>
    <w:rPr>
      <w:rFonts w:ascii="宋体"/>
      <w:kern w:val="2"/>
      <w:sz w:val="18"/>
      <w:szCs w:val="18"/>
    </w:rPr>
  </w:style>
  <w:style w:type="character" w:customStyle="1" w:styleId="40">
    <w:name w:val="批注文字 Char"/>
    <w:link w:val="13"/>
    <w:qFormat/>
    <w:uiPriority w:val="0"/>
    <w:rPr>
      <w:rFonts w:ascii="Times New Roman" w:hAnsi="Times New Roman" w:eastAsia="宋体"/>
      <w:sz w:val="24"/>
    </w:rPr>
  </w:style>
  <w:style w:type="character" w:customStyle="1" w:styleId="41">
    <w:name w:val="正文文本 Char"/>
    <w:link w:val="15"/>
    <w:qFormat/>
    <w:uiPriority w:val="0"/>
    <w:rPr>
      <w:rFonts w:ascii="Times New Roman" w:hAnsi="Times New Roman" w:eastAsia="宋体"/>
      <w:sz w:val="21"/>
    </w:rPr>
  </w:style>
  <w:style w:type="character" w:customStyle="1" w:styleId="42">
    <w:name w:val="正文文本缩进 Char"/>
    <w:link w:val="3"/>
    <w:semiHidden/>
    <w:qFormat/>
    <w:uiPriority w:val="0"/>
    <w:rPr>
      <w:rFonts w:ascii="Times New Roman" w:hAnsi="Times New Roman" w:eastAsia="宋体"/>
      <w:sz w:val="24"/>
    </w:rPr>
  </w:style>
  <w:style w:type="character" w:customStyle="1" w:styleId="43">
    <w:name w:val="正文首行缩进 2 Char"/>
    <w:link w:val="2"/>
    <w:qFormat/>
    <w:uiPriority w:val="0"/>
    <w:rPr>
      <w:sz w:val="21"/>
    </w:rPr>
  </w:style>
  <w:style w:type="character" w:customStyle="1" w:styleId="44">
    <w:name w:val="日期 Char"/>
    <w:link w:val="17"/>
    <w:qFormat/>
    <w:uiPriority w:val="0"/>
    <w:rPr>
      <w:rFonts w:ascii="Times New Roman" w:hAnsi="Times New Roman" w:eastAsia="宋体"/>
      <w:sz w:val="24"/>
    </w:rPr>
  </w:style>
  <w:style w:type="character" w:customStyle="1" w:styleId="45">
    <w:name w:val="批注框文本 Char"/>
    <w:link w:val="18"/>
    <w:semiHidden/>
    <w:qFormat/>
    <w:uiPriority w:val="0"/>
    <w:rPr>
      <w:rFonts w:ascii="Times New Roman" w:hAnsi="Times New Roman" w:eastAsia="宋体"/>
      <w:sz w:val="18"/>
    </w:rPr>
  </w:style>
  <w:style w:type="character" w:customStyle="1" w:styleId="46">
    <w:name w:val="页脚 Char"/>
    <w:link w:val="19"/>
    <w:qFormat/>
    <w:uiPriority w:val="99"/>
    <w:rPr>
      <w:sz w:val="18"/>
    </w:rPr>
  </w:style>
  <w:style w:type="character" w:customStyle="1" w:styleId="47">
    <w:name w:val="页眉 Char"/>
    <w:link w:val="20"/>
    <w:qFormat/>
    <w:uiPriority w:val="0"/>
    <w:rPr>
      <w:sz w:val="18"/>
    </w:rPr>
  </w:style>
  <w:style w:type="character" w:customStyle="1" w:styleId="48">
    <w:name w:val="普通(网站) Char"/>
    <w:link w:val="24"/>
    <w:qFormat/>
    <w:uiPriority w:val="0"/>
    <w:rPr>
      <w:rFonts w:ascii="宋体" w:hAnsi="宋体" w:eastAsia="宋体"/>
      <w:sz w:val="24"/>
    </w:rPr>
  </w:style>
  <w:style w:type="character" w:customStyle="1" w:styleId="49">
    <w:name w:val="批注主题 Char"/>
    <w:link w:val="26"/>
    <w:semiHidden/>
    <w:qFormat/>
    <w:uiPriority w:val="0"/>
    <w:rPr>
      <w:rFonts w:ascii="Times New Roman" w:hAnsi="Times New Roman" w:eastAsia="宋体"/>
      <w:b/>
      <w:kern w:val="2"/>
      <w:sz w:val="24"/>
    </w:rPr>
  </w:style>
  <w:style w:type="paragraph" w:customStyle="1" w:styleId="50">
    <w:name w:val="Default"/>
    <w:basedOn w:val="51"/>
    <w:next w:val="52"/>
    <w:qForma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51">
    <w:name w:val="标题 段落4级"/>
    <w:qFormat/>
    <w:uiPriority w:val="0"/>
    <w:pPr>
      <w:spacing w:line="500" w:lineRule="exact"/>
      <w:outlineLvl w:val="3"/>
    </w:pPr>
    <w:rPr>
      <w:rFonts w:ascii="Times New Roman" w:hAnsi="Times New Roman" w:eastAsia="FangSong_GB2312" w:cs="Calibri"/>
      <w:b/>
      <w:kern w:val="2"/>
      <w:sz w:val="28"/>
      <w:szCs w:val="24"/>
      <w:lang w:val="en-US" w:eastAsia="zh-CN" w:bidi="ar-SA"/>
    </w:rPr>
  </w:style>
  <w:style w:type="paragraph" w:customStyle="1" w:styleId="52">
    <w:name w:val="样式35"/>
    <w:basedOn w:val="1"/>
    <w:next w:val="53"/>
    <w:qFormat/>
    <w:uiPriority w:val="0"/>
    <w:pPr>
      <w:adjustRightInd w:val="0"/>
      <w:spacing w:line="312" w:lineRule="auto"/>
      <w:ind w:firstLine="567"/>
    </w:pPr>
    <w:rPr>
      <w:rFonts w:ascii="宋体"/>
      <w:kern w:val="0"/>
      <w:sz w:val="28"/>
    </w:rPr>
  </w:style>
  <w:style w:type="paragraph" w:customStyle="1" w:styleId="53">
    <w:name w:val="font6"/>
    <w:basedOn w:val="1"/>
    <w:next w:val="23"/>
    <w:qFormat/>
    <w:uiPriority w:val="0"/>
    <w:pPr>
      <w:widowControl/>
      <w:spacing w:before="100" w:beforeAutospacing="1" w:after="100" w:afterAutospacing="1"/>
      <w:jc w:val="left"/>
    </w:pPr>
    <w:rPr>
      <w:rFonts w:hint="eastAsia" w:ascii="宋体" w:hAnsi="宋体"/>
      <w:b/>
      <w:bCs/>
      <w:kern w:val="0"/>
      <w:sz w:val="28"/>
      <w:szCs w:val="28"/>
      <w:lang w:eastAsia="zh-CN"/>
    </w:rPr>
  </w:style>
  <w:style w:type="character" w:customStyle="1" w:styleId="54">
    <w:name w:val="页脚 字符"/>
    <w:qFormat/>
    <w:uiPriority w:val="99"/>
  </w:style>
  <w:style w:type="character" w:customStyle="1" w:styleId="55">
    <w:name w:val="font71"/>
    <w:basedOn w:val="30"/>
    <w:qFormat/>
    <w:uiPriority w:val="0"/>
    <w:rPr>
      <w:rFonts w:hint="eastAsia" w:ascii="宋体" w:hAnsi="宋体" w:eastAsia="宋体" w:cs="宋体"/>
      <w:color w:val="000000"/>
      <w:sz w:val="16"/>
      <w:szCs w:val="16"/>
      <w:u w:val="none"/>
    </w:rPr>
  </w:style>
  <w:style w:type="character" w:customStyle="1" w:styleId="56">
    <w:name w:val="font21"/>
    <w:qFormat/>
    <w:uiPriority w:val="0"/>
    <w:rPr>
      <w:rFonts w:hint="default" w:ascii="Times New Roman" w:hAnsi="Times New Roman" w:cs="Times New Roman"/>
      <w:color w:val="000000"/>
      <w:sz w:val="18"/>
      <w:szCs w:val="18"/>
      <w:u w:val="none"/>
    </w:rPr>
  </w:style>
  <w:style w:type="character" w:customStyle="1" w:styleId="57">
    <w:name w:val="font11"/>
    <w:basedOn w:val="30"/>
    <w:qFormat/>
    <w:uiPriority w:val="0"/>
    <w:rPr>
      <w:rFonts w:hint="eastAsia" w:ascii="宋体" w:hAnsi="宋体" w:eastAsia="宋体" w:cs="宋体"/>
      <w:b/>
      <w:color w:val="000000"/>
      <w:sz w:val="18"/>
      <w:szCs w:val="18"/>
      <w:u w:val="none"/>
    </w:rPr>
  </w:style>
  <w:style w:type="character" w:customStyle="1" w:styleId="58">
    <w:name w:val="font01"/>
    <w:qFormat/>
    <w:uiPriority w:val="0"/>
    <w:rPr>
      <w:rFonts w:hint="eastAsia" w:ascii="宋体" w:hAnsi="宋体" w:eastAsia="宋体" w:cs="宋体"/>
      <w:color w:val="000000"/>
      <w:sz w:val="18"/>
      <w:szCs w:val="18"/>
      <w:u w:val="none"/>
    </w:rPr>
  </w:style>
  <w:style w:type="character" w:customStyle="1" w:styleId="59">
    <w:name w:val="表格内容 Char"/>
    <w:link w:val="60"/>
    <w:qFormat/>
    <w:uiPriority w:val="0"/>
    <w:rPr>
      <w:kern w:val="2"/>
      <w:sz w:val="18"/>
      <w:lang w:val="en-US" w:eastAsia="zh-CN" w:bidi="ar-SA"/>
    </w:rPr>
  </w:style>
  <w:style w:type="paragraph" w:customStyle="1" w:styleId="60">
    <w:name w:val="表格内容"/>
    <w:next w:val="1"/>
    <w:link w:val="59"/>
    <w:qFormat/>
    <w:uiPriority w:val="0"/>
    <w:pPr>
      <w:snapToGrid w:val="0"/>
      <w:jc w:val="center"/>
    </w:pPr>
    <w:rPr>
      <w:rFonts w:ascii="Times New Roman" w:hAnsi="Times New Roman" w:eastAsia="宋体" w:cs="Times New Roman"/>
      <w:kern w:val="2"/>
      <w:sz w:val="18"/>
      <w:lang w:val="en-US" w:eastAsia="zh-CN" w:bidi="ar-SA"/>
    </w:rPr>
  </w:style>
  <w:style w:type="character" w:customStyle="1" w:styleId="61">
    <w:name w:val="批注文字 字符1"/>
    <w:semiHidden/>
    <w:qFormat/>
    <w:uiPriority w:val="0"/>
    <w:rPr>
      <w:rFonts w:ascii="Times New Roman" w:hAnsi="Times New Roman" w:eastAsia="宋体"/>
      <w:sz w:val="24"/>
    </w:rPr>
  </w:style>
  <w:style w:type="character" w:customStyle="1" w:styleId="62">
    <w:name w:val="日期 字符"/>
    <w:semiHidden/>
    <w:qFormat/>
    <w:uiPriority w:val="0"/>
    <w:rPr>
      <w:rFonts w:ascii="Times New Roman" w:hAnsi="Times New Roman" w:eastAsia="宋体"/>
      <w:sz w:val="24"/>
    </w:rPr>
  </w:style>
  <w:style w:type="character" w:customStyle="1" w:styleId="63">
    <w:name w:val="fontstyle01"/>
    <w:qFormat/>
    <w:uiPriority w:val="0"/>
    <w:rPr>
      <w:rFonts w:hint="eastAsia" w:ascii="宋体" w:hAnsi="宋体" w:eastAsia="宋体"/>
      <w:color w:val="000000"/>
      <w:kern w:val="0"/>
      <w:sz w:val="24"/>
      <w:szCs w:val="24"/>
      <w:lang w:eastAsia="en-US"/>
    </w:rPr>
  </w:style>
  <w:style w:type="character" w:customStyle="1" w:styleId="64">
    <w:name w:val="表格 Char"/>
    <w:link w:val="65"/>
    <w:qFormat/>
    <w:uiPriority w:val="0"/>
    <w:rPr>
      <w:rFonts w:ascii="宋体"/>
      <w:sz w:val="21"/>
    </w:rPr>
  </w:style>
  <w:style w:type="paragraph" w:customStyle="1" w:styleId="65">
    <w:name w:val="表格"/>
    <w:basedOn w:val="66"/>
    <w:next w:val="1"/>
    <w:link w:val="64"/>
    <w:qFormat/>
    <w:uiPriority w:val="0"/>
    <w:pPr>
      <w:adjustRightInd w:val="0"/>
      <w:snapToGrid w:val="0"/>
      <w:spacing w:beforeLines="10" w:afterLines="10" w:line="259" w:lineRule="auto"/>
      <w:jc w:val="center"/>
    </w:pPr>
    <w:rPr>
      <w:rFonts w:ascii="宋体"/>
      <w:kern w:val="0"/>
      <w:szCs w:val="20"/>
    </w:rPr>
  </w:style>
  <w:style w:type="paragraph" w:customStyle="1" w:styleId="66">
    <w:name w:val="表格内表格正文"/>
    <w:basedOn w:val="1"/>
    <w:qFormat/>
    <w:uiPriority w:val="0"/>
    <w:pPr>
      <w:spacing w:line="240" w:lineRule="auto"/>
      <w:ind w:firstLine="0"/>
      <w:jc w:val="center"/>
    </w:pPr>
    <w:rPr>
      <w:spacing w:val="0"/>
      <w:sz w:val="21"/>
      <w:szCs w:val="21"/>
    </w:rPr>
  </w:style>
  <w:style w:type="character" w:customStyle="1" w:styleId="67">
    <w:name w:val="正文文本 字符1"/>
    <w:semiHidden/>
    <w:qFormat/>
    <w:uiPriority w:val="0"/>
    <w:rPr>
      <w:rFonts w:ascii="Times New Roman" w:hAnsi="Times New Roman" w:eastAsia="宋体"/>
      <w:sz w:val="24"/>
    </w:rPr>
  </w:style>
  <w:style w:type="paragraph" w:customStyle="1" w:styleId="68">
    <w:name w:val="表格CAT"/>
    <w:basedOn w:val="69"/>
    <w:qFormat/>
    <w:uiPriority w:val="0"/>
    <w:pPr>
      <w:widowControl/>
      <w:tabs>
        <w:tab w:val="left" w:pos="277"/>
        <w:tab w:val="left" w:pos="600"/>
        <w:tab w:val="left" w:pos="780"/>
        <w:tab w:val="left" w:pos="2517"/>
      </w:tabs>
      <w:adjustRightInd w:val="0"/>
      <w:spacing w:line="240" w:lineRule="auto"/>
      <w:jc w:val="center"/>
      <w:textAlignment w:val="baseline"/>
    </w:pPr>
    <w:rPr>
      <w:color w:val="000000"/>
      <w:sz w:val="21"/>
      <w:szCs w:val="21"/>
      <w:lang w:val="en-GB"/>
    </w:rPr>
  </w:style>
  <w:style w:type="paragraph" w:customStyle="1" w:styleId="69">
    <w:name w:val="表格文字"/>
    <w:basedOn w:val="1"/>
    <w:qFormat/>
    <w:uiPriority w:val="0"/>
    <w:pPr>
      <w:spacing w:line="240" w:lineRule="auto"/>
      <w:jc w:val="center"/>
    </w:pPr>
    <w:rPr>
      <w:sz w:val="21"/>
    </w:rPr>
  </w:style>
  <w:style w:type="paragraph" w:customStyle="1" w:styleId="70">
    <w:name w:val="表标题2"/>
    <w:basedOn w:val="1"/>
    <w:qFormat/>
    <w:uiPriority w:val="0"/>
    <w:pPr>
      <w:jc w:val="center"/>
    </w:pPr>
    <w:rPr>
      <w:bCs/>
    </w:rPr>
  </w:style>
  <w:style w:type="paragraph" w:customStyle="1" w:styleId="71">
    <w:name w:val="表格 32"/>
    <w:basedOn w:val="1"/>
    <w:qFormat/>
    <w:uiPriority w:val="0"/>
    <w:pPr>
      <w:autoSpaceDE w:val="0"/>
      <w:autoSpaceDN w:val="0"/>
      <w:adjustRightInd w:val="0"/>
      <w:jc w:val="center"/>
      <w:textAlignment w:val="baseline"/>
    </w:pPr>
    <w:rPr>
      <w:rFonts w:ascii="宋体" w:hAnsi="Impact"/>
      <w:kern w:val="24"/>
      <w:sz w:val="24"/>
      <w:szCs w:val="20"/>
    </w:rPr>
  </w:style>
  <w:style w:type="paragraph" w:customStyle="1" w:styleId="72">
    <w:name w:val="纯文本1"/>
    <w:basedOn w:val="1"/>
    <w:qFormat/>
    <w:uiPriority w:val="0"/>
    <w:pPr>
      <w:adjustRightInd w:val="0"/>
      <w:ind w:firstLine="0"/>
      <w:jc w:val="center"/>
      <w:textAlignment w:val="baseline"/>
    </w:pPr>
    <w:rPr>
      <w:rFonts w:ascii="宋体" w:hAnsi="Courier New"/>
    </w:rPr>
  </w:style>
  <w:style w:type="paragraph" w:customStyle="1" w:styleId="73">
    <w:name w:val="表头文字"/>
    <w:basedOn w:val="1"/>
    <w:qFormat/>
    <w:uiPriority w:val="0"/>
    <w:pPr>
      <w:spacing w:line="240" w:lineRule="atLeast"/>
      <w:jc w:val="center"/>
    </w:pPr>
    <w:rPr>
      <w:position w:val="-10"/>
      <w:sz w:val="24"/>
      <w:szCs w:val="22"/>
    </w:rPr>
  </w:style>
  <w:style w:type="paragraph" w:customStyle="1" w:styleId="74">
    <w:name w:val="*正文"/>
    <w:qFormat/>
    <w:uiPriority w:val="0"/>
    <w:pPr>
      <w:spacing w:line="360" w:lineRule="auto"/>
      <w:ind w:firstLine="200" w:firstLineChars="200"/>
      <w:jc w:val="both"/>
      <w:textAlignment w:val="baseline"/>
    </w:pPr>
    <w:rPr>
      <w:rFonts w:ascii="Times New Roman" w:hAnsi="Times New Roman" w:eastAsia="宋体" w:cs="Times New Roman"/>
      <w:color w:val="000000"/>
      <w:sz w:val="24"/>
      <w:szCs w:val="22"/>
      <w:lang w:val="en-US" w:eastAsia="zh-CN" w:bidi="ar-SA"/>
    </w:rPr>
  </w:style>
  <w:style w:type="paragraph" w:customStyle="1" w:styleId="75">
    <w:name w:val="标号正文"/>
    <w:next w:val="1"/>
    <w:qFormat/>
    <w:uiPriority w:val="0"/>
    <w:pPr>
      <w:widowControl w:val="0"/>
      <w:tabs>
        <w:tab w:val="left" w:pos="1540"/>
      </w:tabs>
      <w:overflowPunct w:val="0"/>
      <w:snapToGrid w:val="0"/>
      <w:spacing w:line="360" w:lineRule="auto"/>
      <w:ind w:firstLine="1040"/>
    </w:pPr>
    <w:rPr>
      <w:rFonts w:ascii="Arial" w:hAnsi="Arial" w:eastAsia="宋体" w:cs="Times New Roman"/>
      <w:kern w:val="2"/>
      <w:sz w:val="24"/>
      <w:lang w:val="en-US" w:eastAsia="zh-CN" w:bidi="ar-SA"/>
    </w:rPr>
  </w:style>
  <w:style w:type="paragraph" w:customStyle="1" w:styleId="76">
    <w:name w:val="6表内容"/>
    <w:basedOn w:val="1"/>
    <w:qFormat/>
    <w:uiPriority w:val="0"/>
    <w:pPr>
      <w:spacing w:line="340" w:lineRule="exact"/>
      <w:jc w:val="center"/>
    </w:pPr>
    <w:rPr>
      <w:rFonts w:cs="宋体"/>
      <w:color w:val="000000"/>
      <w:szCs w:val="20"/>
    </w:rPr>
  </w:style>
  <w:style w:type="paragraph" w:customStyle="1" w:styleId="77">
    <w:name w:val="+正文"/>
    <w:basedOn w:val="1"/>
    <w:qFormat/>
    <w:uiPriority w:val="0"/>
    <w:pPr>
      <w:spacing w:line="360" w:lineRule="auto"/>
      <w:ind w:firstLine="200" w:firstLineChars="200"/>
    </w:pPr>
    <w:rPr>
      <w:sz w:val="24"/>
      <w:szCs w:val="28"/>
    </w:rPr>
  </w:style>
  <w:style w:type="paragraph" w:customStyle="1" w:styleId="78">
    <w:name w:val="正文（海红）"/>
    <w:basedOn w:val="1"/>
    <w:qFormat/>
    <w:uiPriority w:val="0"/>
    <w:pPr>
      <w:spacing w:line="500" w:lineRule="exact"/>
      <w:ind w:firstLine="200" w:firstLineChars="200"/>
    </w:pPr>
    <w:rPr>
      <w:sz w:val="24"/>
    </w:rPr>
  </w:style>
  <w:style w:type="paragraph" w:customStyle="1" w:styleId="79">
    <w:name w:val="报告书 正文"/>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80">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81">
    <w:name w:val="样式 正文文本缩进 + 行距: 1.5 倍行距"/>
    <w:basedOn w:val="3"/>
    <w:qFormat/>
    <w:uiPriority w:val="0"/>
    <w:pPr>
      <w:spacing w:after="120"/>
      <w:ind w:left="90" w:leftChars="32" w:firstLine="560"/>
    </w:pPr>
    <w:rPr>
      <w:rFonts w:ascii="Times New Roman" w:hAnsi="Times New Roman"/>
      <w:lang w:val="en-US"/>
    </w:rPr>
  </w:style>
  <w:style w:type="paragraph" w:customStyle="1" w:styleId="82">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83">
    <w:name w:val="Table Paragraph"/>
    <w:basedOn w:val="1"/>
    <w:qFormat/>
    <w:uiPriority w:val="1"/>
    <w:pPr>
      <w:jc w:val="center"/>
    </w:pPr>
    <w:rPr>
      <w:rFonts w:ascii="宋体" w:hAnsi="宋体" w:eastAsia="宋体" w:cs="宋体"/>
      <w:lang w:val="zh-CN" w:eastAsia="zh-CN" w:bidi="zh-CN"/>
    </w:rPr>
  </w:style>
  <w:style w:type="paragraph" w:customStyle="1" w:styleId="84">
    <w:name w:val="表格正文"/>
    <w:basedOn w:val="1"/>
    <w:qFormat/>
    <w:uiPriority w:val="0"/>
    <w:pPr>
      <w:spacing w:line="360" w:lineRule="auto"/>
      <w:ind w:firstLine="467" w:firstLineChars="200"/>
    </w:pPr>
    <w:rPr>
      <w:rFonts w:hAnsi="宋体"/>
      <w:bCs/>
      <w:sz w:val="24"/>
    </w:rPr>
  </w:style>
  <w:style w:type="paragraph" w:customStyle="1" w:styleId="85">
    <w:name w:val="24磅正文"/>
    <w:basedOn w:val="1"/>
    <w:qFormat/>
    <w:uiPriority w:val="0"/>
    <w:pPr>
      <w:spacing w:line="480" w:lineRule="exact"/>
      <w:ind w:firstLine="480" w:firstLineChars="200"/>
    </w:pPr>
    <w:rPr>
      <w:sz w:val="24"/>
    </w:rPr>
  </w:style>
  <w:style w:type="paragraph" w:customStyle="1" w:styleId="86">
    <w:name w:val="Normal_44_0"/>
    <w:qFormat/>
    <w:uiPriority w:val="0"/>
    <w:pPr>
      <w:spacing w:before="120" w:after="240"/>
      <w:jc w:val="both"/>
    </w:pPr>
    <w:rPr>
      <w:rFonts w:ascii="Calibri" w:hAnsi="Calibri" w:eastAsia="Calibri" w:cs="Times New Roman"/>
      <w:sz w:val="22"/>
      <w:szCs w:val="22"/>
      <w:lang w:val="en-US" w:eastAsia="en-US" w:bidi="ar-SA"/>
    </w:rPr>
  </w:style>
  <w:style w:type="paragraph" w:customStyle="1" w:styleId="87">
    <w:name w:val="样式 小四 行距: 1.5 倍行距"/>
    <w:basedOn w:val="1"/>
    <w:qFormat/>
    <w:uiPriority w:val="0"/>
    <w:pPr>
      <w:ind w:firstLine="480" w:firstLineChars="200"/>
    </w:pPr>
    <w:rPr>
      <w:rFonts w:hint="default" w:cs="宋体"/>
    </w:rPr>
  </w:style>
  <w:style w:type="paragraph" w:customStyle="1" w:styleId="8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89">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90">
    <w:name w:val="No Spacing"/>
    <w:basedOn w:val="1"/>
    <w:qFormat/>
    <w:uiPriority w:val="1"/>
    <w:pPr>
      <w:widowControl w:val="0"/>
      <w:spacing w:line="380" w:lineRule="exact"/>
      <w:jc w:val="center"/>
    </w:pPr>
    <w:rPr>
      <w:kern w:val="2"/>
      <w:sz w:val="21"/>
      <w:szCs w:val="22"/>
      <w:lang w:val="en-US" w:eastAsia="zh-CN" w:bidi="ar-SA"/>
    </w:rPr>
  </w:style>
  <w:style w:type="paragraph" w:customStyle="1" w:styleId="91">
    <w:name w:val="A标准格式"/>
    <w:basedOn w:val="1"/>
    <w:qFormat/>
    <w:uiPriority w:val="0"/>
    <w:pPr>
      <w:ind w:firstLine="480"/>
    </w:pPr>
  </w:style>
  <w:style w:type="paragraph" w:customStyle="1" w:styleId="92">
    <w:name w:val="表内文字"/>
    <w:basedOn w:val="1"/>
    <w:qFormat/>
    <w:uiPriority w:val="0"/>
    <w:pPr>
      <w:adjustRightInd w:val="0"/>
      <w:spacing w:line="240" w:lineRule="auto"/>
      <w:ind w:firstLine="0" w:firstLineChars="0"/>
      <w:jc w:val="center"/>
      <w:textAlignment w:val="baseline"/>
    </w:pPr>
    <w:rPr>
      <w:sz w:val="21"/>
      <w:szCs w:val="20"/>
    </w:rPr>
  </w:style>
  <w:style w:type="paragraph" w:customStyle="1" w:styleId="93">
    <w:name w:val="表格内容11"/>
    <w:basedOn w:val="1"/>
    <w:qFormat/>
    <w:uiPriority w:val="0"/>
    <w:pPr>
      <w:spacing w:line="240" w:lineRule="auto"/>
      <w:ind w:firstLine="0" w:firstLineChars="0"/>
      <w:jc w:val="center"/>
    </w:pPr>
    <w:rPr>
      <w:sz w:val="21"/>
    </w:rPr>
  </w:style>
  <w:style w:type="paragraph" w:customStyle="1" w:styleId="94">
    <w:name w:val="正文文本，表格"/>
    <w:basedOn w:val="1"/>
    <w:qFormat/>
    <w:uiPriority w:val="0"/>
    <w:pPr>
      <w:jc w:val="center"/>
    </w:pPr>
    <w:rPr>
      <w:rFonts w:cs="宋体"/>
      <w:szCs w:val="21"/>
    </w:rPr>
  </w:style>
  <w:style w:type="paragraph" w:customStyle="1" w:styleId="95">
    <w:name w:val="报告正文"/>
    <w:basedOn w:val="1"/>
    <w:qFormat/>
    <w:uiPriority w:val="0"/>
    <w:pPr>
      <w:adjustRightInd w:val="0"/>
      <w:spacing w:line="360" w:lineRule="auto"/>
      <w:ind w:firstLine="200" w:firstLineChars="200"/>
      <w:jc w:val="left"/>
      <w:textAlignment w:val="center"/>
    </w:pPr>
    <w:rPr>
      <w:sz w:val="24"/>
      <w:szCs w:val="22"/>
    </w:rPr>
  </w:style>
  <w:style w:type="paragraph" w:customStyle="1" w:styleId="96">
    <w:name w:val="列出段落1"/>
    <w:basedOn w:val="1"/>
    <w:qFormat/>
    <w:uiPriority w:val="0"/>
    <w:pPr>
      <w:ind w:firstLine="420" w:firstLineChars="200"/>
    </w:pPr>
    <w:rPr>
      <w:rFonts w:ascii="Calibri" w:hAnsi="Calibri"/>
      <w:szCs w:val="22"/>
      <w:lang w:eastAsia="zh-CN"/>
    </w:rPr>
  </w:style>
  <w:style w:type="paragraph" w:customStyle="1" w:styleId="97">
    <w:name w:val="【表中文字】"/>
    <w:basedOn w:val="1"/>
    <w:qFormat/>
    <w:uiPriority w:val="0"/>
    <w:pPr>
      <w:jc w:val="center"/>
    </w:pPr>
    <w:rPr>
      <w:rFonts w:eastAsia="新宋体"/>
      <w:sz w:val="21"/>
      <w:szCs w:val="20"/>
    </w:rPr>
  </w:style>
  <w:style w:type="paragraph" w:customStyle="1" w:styleId="98">
    <w:name w:val="表格标题"/>
    <w:basedOn w:val="16"/>
    <w:next w:val="60"/>
    <w:qFormat/>
    <w:uiPriority w:val="0"/>
    <w:pPr>
      <w:spacing w:before="120" w:after="60" w:line="240" w:lineRule="auto"/>
      <w:ind w:firstLine="0" w:firstLineChars="0"/>
      <w:jc w:val="center"/>
    </w:pPr>
    <w:rPr>
      <w:rFonts w:ascii="Times New Roman" w:hAnsi="Times New Roman" w:eastAsia="黑体"/>
    </w:rPr>
  </w:style>
  <w:style w:type="paragraph" w:customStyle="1" w:styleId="99">
    <w:name w:val="表格1"/>
    <w:basedOn w:val="11"/>
    <w:qFormat/>
    <w:uiPriority w:val="0"/>
    <w:pPr>
      <w:adjustRightInd w:val="0"/>
      <w:spacing w:line="360" w:lineRule="auto"/>
      <w:ind w:firstLine="0" w:firstLineChars="0"/>
      <w:jc w:val="center"/>
      <w:textAlignment w:val="baseline"/>
    </w:pPr>
    <w:rPr>
      <w:rFonts w:ascii="宋体" w:hAnsi="宋体"/>
      <w:kern w:val="0"/>
      <w:sz w:val="24"/>
    </w:rPr>
  </w:style>
  <w:style w:type="paragraph" w:customStyle="1" w:styleId="100">
    <w:name w:val="正文01"/>
    <w:basedOn w:val="1"/>
    <w:qFormat/>
    <w:uiPriority w:val="0"/>
    <w:pPr>
      <w:spacing w:before="60" w:beforeLines="0" w:line="460" w:lineRule="exact"/>
      <w:ind w:firstLine="200" w:firstLineChars="200"/>
    </w:pPr>
    <w:rPr>
      <w:rFonts w:eastAsia="仿宋_GB2312"/>
      <w:snapToGrid w:val="0"/>
      <w:kern w:val="0"/>
    </w:rPr>
  </w:style>
  <w:style w:type="paragraph" w:customStyle="1" w:styleId="101">
    <w:name w:val="表格字体文本"/>
    <w:basedOn w:val="1"/>
    <w:next w:val="1"/>
    <w:qFormat/>
    <w:uiPriority w:val="0"/>
    <w:pPr>
      <w:jc w:val="center"/>
    </w:pPr>
    <w:rPr>
      <w:rFonts w:ascii="Times New Roman" w:hAnsi="Times New Roman" w:eastAsia="宋体" w:cs="宋体"/>
      <w:sz w:val="21"/>
      <w:szCs w:val="22"/>
      <w:lang w:val="zh-CN" w:bidi="zh-CN"/>
    </w:rPr>
  </w:style>
  <w:style w:type="paragraph" w:customStyle="1" w:styleId="102">
    <w:name w:val="xl24"/>
    <w:basedOn w:val="1"/>
    <w:qFormat/>
    <w:uiPriority w:val="0"/>
    <w:pPr>
      <w:widowControl/>
      <w:pBdr>
        <w:right w:val="single" w:color="auto" w:sz="4" w:space="0"/>
      </w:pBdr>
      <w:spacing w:before="100" w:beforeAutospacing="1" w:after="100" w:afterAutospacing="1"/>
      <w:jc w:val="left"/>
    </w:pPr>
    <w:rPr>
      <w:rFonts w:ascii="宋体" w:hAnsi="宋体"/>
      <w:kern w:val="0"/>
      <w:sz w:val="28"/>
      <w:szCs w:val="28"/>
    </w:rPr>
  </w:style>
  <w:style w:type="paragraph" w:customStyle="1" w:styleId="103">
    <w:name w:val="_Style 101"/>
    <w:unhideWhenUsed/>
    <w:qFormat/>
    <w:uiPriority w:val="99"/>
    <w:rPr>
      <w:rFonts w:ascii="Times New Roman" w:hAnsi="Times New Roman" w:eastAsia="宋体" w:cs="Times New Roman"/>
      <w:kern w:val="2"/>
      <w:sz w:val="21"/>
      <w:szCs w:val="24"/>
      <w:lang w:val="en-US" w:eastAsia="zh-CN" w:bidi="ar-SA"/>
    </w:rPr>
  </w:style>
  <w:style w:type="paragraph" w:customStyle="1" w:styleId="104">
    <w:name w:val="正文 + 仿宋_GB2312"/>
    <w:basedOn w:val="1"/>
    <w:qFormat/>
    <w:uiPriority w:val="0"/>
    <w:pPr>
      <w:ind w:firstLine="480" w:firstLineChars="200"/>
    </w:pPr>
    <w:rPr>
      <w:rFonts w:ascii="仿宋_GB2312" w:eastAsia="仿宋_GB2312"/>
      <w:sz w:val="24"/>
    </w:rPr>
  </w:style>
  <w:style w:type="paragraph" w:customStyle="1" w:styleId="105">
    <w:name w:val="1正文段落"/>
    <w:basedOn w:val="1"/>
    <w:qFormat/>
    <w:uiPriority w:val="0"/>
    <w:pPr>
      <w:spacing w:line="360" w:lineRule="auto"/>
      <w:ind w:firstLine="480" w:firstLineChars="200"/>
      <w:jc w:val="left"/>
    </w:pPr>
    <w:rPr>
      <w:snapToGrid w:val="0"/>
      <w:kern w:val="0"/>
      <w:sz w:val="24"/>
    </w:rPr>
  </w:style>
  <w:style w:type="paragraph" w:customStyle="1" w:styleId="106">
    <w:name w:val="正文(首行缩进)"/>
    <w:basedOn w:val="1"/>
    <w:qFormat/>
    <w:uiPriority w:val="0"/>
    <w:pPr>
      <w:spacing w:line="360" w:lineRule="auto"/>
      <w:ind w:firstLine="480" w:firstLineChars="200"/>
    </w:pPr>
    <w:rPr>
      <w:snapToGrid w:val="0"/>
      <w:color w:val="000000"/>
      <w:kern w:val="0"/>
      <w:sz w:val="24"/>
    </w:rPr>
  </w:style>
  <w:style w:type="character" w:customStyle="1" w:styleId="107">
    <w:name w:val="批注文字 Char2"/>
    <w:qFormat/>
    <w:uiPriority w:val="99"/>
    <w:rPr>
      <w:kern w:val="2"/>
      <w:sz w:val="21"/>
      <w:szCs w:val="24"/>
    </w:rPr>
  </w:style>
  <w:style w:type="paragraph" w:customStyle="1" w:styleId="108">
    <w:name w:val="Body text|1"/>
    <w:basedOn w:val="1"/>
    <w:qFormat/>
    <w:uiPriority w:val="0"/>
    <w:pPr>
      <w:widowControl w:val="0"/>
      <w:shd w:val="clear" w:color="auto" w:fill="auto"/>
      <w:spacing w:line="430" w:lineRule="auto"/>
      <w:ind w:firstLine="400"/>
    </w:pPr>
    <w:rPr>
      <w:rFonts w:ascii="宋体" w:hAnsi="宋体" w:eastAsia="宋体" w:cs="宋体"/>
      <w:sz w:val="20"/>
      <w:szCs w:val="20"/>
      <w:u w:val="none"/>
      <w:shd w:val="clear" w:color="auto" w:fill="auto"/>
      <w:lang w:val="zh-TW" w:eastAsia="zh-TW" w:bidi="zh-TW"/>
    </w:rPr>
  </w:style>
  <w:style w:type="paragraph" w:customStyle="1" w:styleId="109">
    <w:name w:val="Picture caption|1"/>
    <w:basedOn w:val="1"/>
    <w:qFormat/>
    <w:uiPriority w:val="0"/>
    <w:pPr>
      <w:widowControl w:val="0"/>
      <w:shd w:val="clear" w:color="auto" w:fill="auto"/>
    </w:pPr>
    <w:rPr>
      <w:rFonts w:ascii="宋体" w:hAnsi="宋体" w:eastAsia="宋体" w:cs="宋体"/>
      <w:b/>
      <w:bCs/>
      <w:sz w:val="20"/>
      <w:szCs w:val="20"/>
      <w:u w:val="none"/>
      <w:shd w:val="clear" w:color="auto" w:fill="auto"/>
      <w:lang w:val="zh-TW" w:eastAsia="zh-TW" w:bidi="zh-TW"/>
    </w:rPr>
  </w:style>
  <w:style w:type="paragraph" w:customStyle="1" w:styleId="110">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11">
    <w:name w:val="Table caption|1"/>
    <w:basedOn w:val="1"/>
    <w:qFormat/>
    <w:uiPriority w:val="0"/>
    <w:pPr>
      <w:widowControl w:val="0"/>
      <w:shd w:val="clear" w:color="auto" w:fill="auto"/>
      <w:spacing w:line="408" w:lineRule="exact"/>
      <w:ind w:firstLine="440"/>
    </w:pPr>
    <w:rPr>
      <w:rFonts w:ascii="宋体" w:hAnsi="宋体" w:eastAsia="宋体" w:cs="宋体"/>
      <w:sz w:val="20"/>
      <w:szCs w:val="20"/>
      <w:u w:val="none"/>
      <w:shd w:val="clear" w:color="auto" w:fill="auto"/>
      <w:lang w:val="zh-TW" w:eastAsia="zh-TW" w:bidi="zh-TW"/>
    </w:rPr>
  </w:style>
  <w:style w:type="paragraph" w:customStyle="1" w:styleId="112">
    <w:name w:val="Other|1"/>
    <w:basedOn w:val="1"/>
    <w:qFormat/>
    <w:uiPriority w:val="0"/>
    <w:pPr>
      <w:widowControl w:val="0"/>
      <w:shd w:val="clear" w:color="auto" w:fill="auto"/>
      <w:spacing w:line="432" w:lineRule="auto"/>
      <w:ind w:firstLine="400"/>
    </w:pPr>
    <w:rPr>
      <w:rFonts w:ascii="宋体" w:hAnsi="宋体" w:eastAsia="宋体" w:cs="宋体"/>
      <w:sz w:val="20"/>
      <w:szCs w:val="20"/>
      <w:u w:val="none"/>
      <w:shd w:val="clear" w:color="auto" w:fill="auto"/>
      <w:lang w:val="zh-TW" w:eastAsia="zh-TW" w:bidi="zh-TW"/>
    </w:rPr>
  </w:style>
  <w:style w:type="paragraph" w:customStyle="1" w:styleId="113">
    <w:name w:val="正文 首行缩进:  2 字符"/>
    <w:basedOn w:val="5"/>
    <w:next w:val="1"/>
    <w:semiHidden/>
    <w:qFormat/>
    <w:uiPriority w:val="0"/>
    <w:pPr>
      <w:keepNext w:val="0"/>
      <w:keepLines w:val="0"/>
      <w:tabs>
        <w:tab w:val="left" w:pos="0"/>
      </w:tabs>
      <w:spacing w:before="0" w:after="0" w:line="460" w:lineRule="exact"/>
      <w:ind w:firstLine="480"/>
      <w:outlineLvl w:val="9"/>
    </w:pPr>
    <w:rPr>
      <w:rFonts w:ascii="宋体" w:hAnsi="宋体" w:cs="宋体"/>
      <w:bCs w:val="0"/>
      <w:kern w:val="0"/>
      <w:sz w:val="24"/>
      <w:szCs w:val="20"/>
    </w:rPr>
  </w:style>
  <w:style w:type="paragraph" w:customStyle="1" w:styleId="114">
    <w:name w:val="Normal Indent1"/>
    <w:basedOn w:val="1"/>
    <w:unhideWhenUsed/>
    <w:qFormat/>
    <w:uiPriority w:val="99"/>
    <w:pPr>
      <w:spacing w:beforeLines="0" w:afterLines="0"/>
      <w:ind w:firstLine="420"/>
    </w:pPr>
    <w:rPr>
      <w:rFonts w:hint="eastAsia"/>
      <w:sz w:val="21"/>
    </w:rPr>
  </w:style>
  <w:style w:type="paragraph" w:customStyle="1" w:styleId="115">
    <w:name w:val="4正文文本"/>
    <w:basedOn w:val="1"/>
    <w:qFormat/>
    <w:uiPriority w:val="0"/>
    <w:pPr>
      <w:spacing w:line="360" w:lineRule="auto"/>
      <w:ind w:firstLine="840" w:firstLineChars="200"/>
      <w:jc w:val="left"/>
    </w:pPr>
    <w:rPr>
      <w:sz w:val="24"/>
    </w:rPr>
  </w:style>
  <w:style w:type="table" w:customStyle="1" w:styleId="116">
    <w:name w:val="Table Normal"/>
    <w:unhideWhenUsed/>
    <w:qFormat/>
    <w:uiPriority w:val="0"/>
    <w:tblPr>
      <w:tblCellMar>
        <w:top w:w="0" w:type="dxa"/>
        <w:left w:w="0" w:type="dxa"/>
        <w:bottom w:w="0" w:type="dxa"/>
        <w:right w:w="0" w:type="dxa"/>
      </w:tblCellMar>
    </w:tblPr>
  </w:style>
  <w:style w:type="paragraph" w:customStyle="1" w:styleId="117">
    <w:name w:val="Default1"/>
    <w:basedOn w:val="118"/>
    <w:next w:val="1"/>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118">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119">
    <w:name w:val="表格内容自定"/>
    <w:basedOn w:val="1"/>
    <w:qFormat/>
    <w:uiPriority w:val="0"/>
    <w:pPr>
      <w:spacing w:line="280" w:lineRule="exact"/>
      <w:jc w:val="center"/>
    </w:pPr>
    <w:rPr>
      <w:kern w:val="0"/>
      <w:sz w:val="18"/>
      <w:szCs w:val="21"/>
    </w:rPr>
  </w:style>
  <w:style w:type="paragraph" w:customStyle="1" w:styleId="120">
    <w:name w:val="正文首行缩进 2 + Times New Roman"/>
    <w:basedOn w:val="1"/>
    <w:qFormat/>
    <w:uiPriority w:val="0"/>
    <w:pPr>
      <w:tabs>
        <w:tab w:val="left" w:pos="0"/>
        <w:tab w:val="left" w:pos="870"/>
        <w:tab w:val="left" w:pos="3150"/>
      </w:tabs>
      <w:autoSpaceDE w:val="0"/>
      <w:autoSpaceDN w:val="0"/>
      <w:snapToGrid w:val="0"/>
      <w:spacing w:line="360" w:lineRule="auto"/>
      <w:ind w:firstLine="200" w:firstLineChars="200"/>
      <w:jc w:val="left"/>
    </w:pPr>
    <w:rPr>
      <w:color w:val="000000"/>
      <w:kern w:val="0"/>
    </w:rPr>
  </w:style>
  <w:style w:type="table" w:customStyle="1" w:styleId="121">
    <w:name w:val="三线表"/>
    <w:basedOn w:val="28"/>
    <w:qFormat/>
    <w:uiPriority w:val="99"/>
    <w:pPr>
      <w:jc w:val="center"/>
    </w:p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tblStylePr w:type="firstRow">
      <w:pPr>
        <w:jc w:val="center"/>
      </w:pPr>
      <w:tcPr>
        <w:tcBorders>
          <w:top w:val="nil"/>
          <w:left w:val="nil"/>
          <w:bottom w:val="single" w:color="auto" w:sz="12" w:space="0"/>
          <w:right w:val="nil"/>
          <w:insideH w:val="nil"/>
          <w:insideV w:val="nil"/>
          <w:tl2br w:val="nil"/>
          <w:tr2bl w:val="nil"/>
        </w:tcBorders>
        <w:vAlign w:val="center"/>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jEwMDY4Njc2ODE0IiwKCSJHcm91cElkIiA6ICIxMjM4MDY5Nzc1IiwKCSJJbWFnZSIgOiAiaVZCT1J3MEtHZ29BQUFBTlNVaEVVZ0FBQW5RQUFBQytDQVlBQUFDOGhaSTBBQUFBQ1hCSVdYTUFBQXNUQUFBTEV3RUFtcHdZQUFBZ0FFbEVRVlI0bk8zZGVYeE1WLzhIOE0rZExDSnBnMXBLVzJyWFVrc3l0U1JDVVdtTFdFS2xpSWowa2FwUVVUelJSU3FXMm11di9TZFIvRVNyMWhBdDJucUVDQTJ0aUI5aWlTWklnaUtKckROemZuL01NN2NaU2NnKzIrZjllbm1adTUrWjc5dzczNXg3enJrQ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tUkhKMEFXb0NrS0lvd0I2R2JvY1ZlaTBKRW1kRFYySWltU0JNWHdhczRndlkxcXNLbzh2WTJIeXpPS2FRT1ZqS1FtZE1IUVpxcG9rU1dZVlcwdU00ZE9ZUTN3WjArSlZkWHdaQzlObkR0Y0VLaCtGb1F0QVJFUmtpZFJxdGFHTFFHYUVDUjBSRVJsTVdGZ1lOQnFOb1l0UktuMzY5Q2swTHk0dURyTm16WHJxZG01dWJ2THJodzhmd3NQREF5cVZxc0xMUjViSjJ0QUZJQ0lpMHpONDhHQUFnSzJ0TGNMRHd3RUFMaTR1YU5hc21kNTZHUmtaMkx0M0wwNmRPb1U1YytZVTJzK2RPM2Z3d3c4L29LZzdodlBtemNQbzBhUFJ0V3RYckZpeFFtOVpYRndjUm84ZWplam9hTmphMnBhNi9BTUhEc1R6eno4UEFMaDY5U3FhTjIrT3JLd3NXRnRyZnhZZlBYcUU3T3hzMUs5Zkh3Q3dkT2xTbkRoeEFsNWVYdkkra3BPVGNlL2VQWFRvMEFITm16ZkhiNy85aG9DQUFOU3BVMGZ2V011WEw4Zjc3Nyt2TisvUW9VTndjWEdSajBkVVh2d21FUkZScWVYbDVTRWlJZ0llSGg3eXZIcjE2bUhyMXExNjZ3MGNPQkFBMEtWTEYwUkVSQlRhajFLcHhPN2R1NHRNeXVMaTRnQUE1ODZkSzNTc2lxQXJxNGVIQjdadTNZckJnd2ZqKysrL0J3Q0VoSVNnYnQyNkdEOSt2THorcVZPbm9GUXE1ZWtOR3phZ2YvLytBSURxMWF2RHg4Y0g2ZW5waFJLNnFLZ29qQnc1VXA0V1F1RDc3Ny9Idlh2M2NQejQ4VUxsMnJsekoyclVxRkZ4YjVRc0FoTTZJaUtxRUdscGFYcUpTMFh4OC9QRE45OThBMWRYVjd6d3dnc1Z0bDlkYmR2ZHUzZmwxMU9tVEVGcWFpcXVYNytPT25YcUlEbzZHaSs4OEFKV3JGaUI5OTU3RC92MjdRTUFYTHg0RVpjdlgwWmVYaDZDZzRQbGZlb1NRZ0NJakl4RWZuNCtrcE9UNGUvdmo1eWNIQXdlUEJqZHVuWERLNis4Z3FWTGwyTGF0R2tJRHc5SHQyN2Q4T3V2djhMZDNSMTJkbllWOWg3SmNqQ2hJeUtpY2hzNWNpVHk4dklBYUd1K0preVlnSWNQSHlJNU9SbWZmLzQ1NXMyYmg4dVhMMlBLbENsNjJ6Vm8wRUMrZlZ0UXdkcThEejc0QUZGUlVaZy9mejRXTGx4WVlXWFdKVjhlSGg3NC92dnZNWGp3WUZ5OWVoVjc5KzRGQUp3NWN3WWRPM2FVYXhtN2QrK09WMTk5RlQvLy9ETnExNjZObVRObm9rbVRKdGkxYXhlR0RSc203L2VubjM1QzA2Wk5BV2hyR1pWS0pWYXRXZ1UzTnpmczJMRURIM3p3QVdiT25Ja3JWNjdnOWRkZng0TUhEMUNyVmkxWVcxc2pKeWNIMWFwVnE3RDNTSmFEQ1IwUkVaVmJYbDRlWW1OajVacXV0TFEwT1dIU3pXdlZxbFdSdDEyZlJaSWt6Smd4QThPR0RjUFJvMGZ4OXR0dlYwaVpodzhmRGtCYlE2ZDdYZERNbVRQMXl1dnA2UW1OUm9ONzkrNWg5T2pSQUFCdmIyOXMyYklGbnA2ZWNpSzJlZk5tZlBIRkZ3Q0FXN2R1NlhXR1VLbFUrT2lqajlDMmJWdnMyclVMblR0M1JrSkNBbHEyYkltOHZEd21jMVJtVE9pSWlLamNrcEtTTUhMa1NDUWxKUUVBTWpNemk3ejlxbFFxOGNvcnI4alR5Y25KZXRPNmViR3hzWHJ6WG4zMVZRUUVCR0QrL1BubzJMRmp1Y3M3WU1BQS9PdGYvd0tncmFIYnZuMDdRa05Ec1dmUEhnQ0FScU9CUXFFL0VFUmtaQ1Npb3FJUUdCaUl5TWhJZVg1TVRBd3VYYnFFOXUzYkl5c3JDeWtwS1dqZHVqVUFvSC8vL3RCb05Nak56WVZLcFVKSVNBajY5dTJMQnc4ZUlEbzZHdi8rOTcreGVmTm1kT2pRQVptWm1YQndjQ2ozZXlQTHhJU09pQ3pPeFlzWDhmcnJyeGZaczVMS0pqZzRHSDM3OWtWTVRBd0FZTWFNR2VqY1dmdndnb01IRCtxdHUydlhMbGhaV1FIUUpuaTZXNXc2QlRzZUZPVHQ3WTJqUjQ5aThlTEZHRHAwYUxuS3Ewdm1Ddkx6ODVNVHVxeXNyQ0k3YXV6YnR3OE9EZzRJQ0FpQXI2OHZPbmZ1ak5kZmZ4My85My8vaC9idDJ5TXVMZzVPVGs1eU1uanQyalZzM0xnUk1URXhFRUxnM1hmZmhZdUxDNEtEZytIdDdRMDdPenY4OU5OUFdMRmlCVEl5TXBqUVVaa3hvYXRrWVdGaEdEVnFWS0cvOU1pd0ZpNWNpRUdEQnFGbHk1YUdMZ3FWMDkyN2Q1R1FrQUJYVjljU2IrUGo0MVBtNFM2b3NOOSsrdzFoWVdFSUN3c0RBQ1FtSnFKeDQ4WjY2L1R0MjFkdVkvZGtNbFpVRzdxaUtCUUtoSVNFWVBqdzRZVnE5VXByK1BEaFVLdlZlUERnQWRMVDAvV0dJd0dBbXpkdm9sNjllbnJ6L3Z6elR6ejMzSE53Y0hEQVYxOTloUysvL0JKV1ZsWm8yYktsM0ZzMU5qWVdMaTR1OGpZcWxRck96czc0L1BQUDBiZHZYL1RzMlJOTGxpekI0OGVQNGUzdGpWMjdkcUZSbzBabzFLZ1I0dUxpOE54eno1WHJmWkhsWWtKWERGTWZZOG5TNlM3T3FhbXBBSUFYWDN3UkFCQWVIbzRmZi93UmQrL2V4VXN2dllUUTBGRDQrdnJLQ1hkNmVqb21UWnFrdDYrTEZ5L0t0MDkwM25ubkhiMUcwRUlJSERod0FIdjI3TUdWSzFlUW5aMk5talZyb25YcjFsaXlaQW1zckt5ZzBXaHcvdng1SEQxNkZJR0JnUngvcW9Kb05CcUVoSVFnTkRRVUw3Lzhjcm4ybzFBb01HWEtGT1RuNSt1ZGsxbFpXZWpac3lmR2pCa0RmMzkvZVg1NGVEZzJidHlJdzRjUEl5a3BDYXRXcmNLWk0yZVFrNU9EOXUzYkl6ZzR1RnhsTW1acGFXa1lQSGd3bm52dU9mVG8wUU05ZXZSQVJFUUVWcTllaldyVnFrR2xVbUhhdEdseUxSMmdUYjVidEdnaFgxT0xVMXdOSFFBMGJ0d1lZOGVPeGZyMTYvWG1wNmFteXVkNVNXemZ2aDEvL2ZVWDVzNmRpNFNFQkxSdDJ4Wmp4NDdGdkhuekFBQUhEaHlBRUFJcWxVcnU0TEI0OFdMTW1UTUgwZEhScUYrL1B0YXVYUXNoQk83Y3VTUDNmajF6NWd6bXpwMHJINmRWcTFabzFhcVZQSjJSa1lITXpFd3NYTGdRbHk1ZHd0cTFhL0UvLy9NL0FJQUhEeDR3b2FNeTR5OUtNY3hoakNWTHBtdU1yV3ZEbzR2Ykw3Lzhnb01IRDJMTm1qV29WcTBhTGwrK2pPblRwMlBPbkRsUUtCUVlObXdZNnRhdFcyaC9UejZpSnpJeUVvY09IVUpZV0JqVWFqV21UWnVHMjdkdlkvejQ4WEJ5Y29LMXRUVnUzTGlCeU1oSWFEUWFXRmxaNGIzMzNvTWtTYmgzN3g0KytlU1RTdjRFekpkU3FVU0RCZzMwNXRuYTJtTHMyTEdGMWwyMmJCbWFOMjllNUg3Ky9QTlB1UzFXV0ZnWUVoTVRFUklTQWxkWFZ5eGJ0Z3dxbFVwT3VtTmlZcURSYUJBVEU2T1gwUDMrKysvbzNMa3pKRW5Dc1dQSDhPYWJiMkw2OU9seVc2bnAwNmNqTkRTMG90NjZVZG0xYTVkY1M1YVNrb0pseTVZaExpNE9LMWV1eElRSkU3Qmd3UUpNbkRnUm5UdDNobytQRDVvMWE0WXpaODZnUTRjT3o5eTM3clpuY1VhTkdvVmZmdmtGOGZIeEFMVFg2NDgrK2dpREJnMkNuNTlmaWNwLzVNZ1JmUGZkZDFpd1lBSDgvZjN4cjMvOUMrdldyY1BTcFV2eDg4OC9RNkZRb0hYcjFnZ0lDTURpeFlzQkFHUEhqc1dycjc0cTc4UEd4Z2FBdG4zZmloVXJrSjZlanB5Y25FTGZ6NEljSFIweFk4WU1uRDE3RmtGQlFmajN2LytOQmcwYVFLUFI0TVNKRStXdWVTVEx4WVN1RkV4dGpDVkxGaFFVaEtTa0pOeThlUk9BOXZaS3c0WU5vZEZva0orZmo0Q0FBR2cwR25tWWdJU0VCTFJxMVFvMk5qYjQrdXV2OGZYWFg4djdxbFdyVnFGNWE5YXNrWlA1OWV2WEl5a3BDV0ZoWWFoZXZicTh6cE4vbWE5WXNRTDUrZmx5N3pncUcxdGJXMFJFUkNBeU1oS2RPM2ZHaFFzWGtKNmVEZzhQRDV3OWV4WkhqeDZGdjc4L2F0YXNpWWlJQ0wzUFc1SWsrZGJZamgwNzBMRmpSK3pjdVJOYnRtekI2dFdyQVFCZHUzYkYzTGx6NWJaUUFIRHk1RWwwNk5BQjU4K2ZSM1oyTnFwWHJ3NGhCR0pqWStWaE9MeTl2ZldhVm5oN2UyUDgrUEZGTnE0M0I3ckVJekl5RWlFaEllamV2VHUyYnQyS1dyVnFBUUJhdEdpQkxWdTJZTjY4ZWZqZ2d3K3daODhlYk42OEdmUG56My9tdmhzMmJBZ0FhTnUyYmFIT0VZRDIxdXQzMzMybk4yL2p4bzBZTjI0Y0hqMTZWS2lXL1VsWldWbUlqSXpFeXBVcjVRRjhYM3JwSlV5ZVBCbXpaOCtHdGJVMXBrMmJCb1ZDZ1lpSUNJd2RPeGFob2FGNnZWVjFDajRHVEtWU0lUYzNWNTdYcGswYk9Sa3NLQ1VsQlo5OTlobG16cHlKNnRXcnk4MEZtalp0aXFWTGx6NjE3RVRGWVVKWFFxWTR4cElsUzB4TXhJNGRPK0RyNnd1TlJvT3RXN2ZDeThzTDRlSGhtRFJwRWdJREE1R1hsNGVWSzFkaTBhSkY4bzlRdDI3ZFNueU1idDI2UWFWU0lUdzhIQ0VoSVhySlhGRmVlKzAxdVZhV3l1ZisvZnZZdUhFajNOM2RjZUxFQ2J6MjJtc0FBQ2NuSjl5NmRRdWhvYUg0OU5OUDRlSGhJZGQ4WDc5K0haOS8vcm04ajRzWEwyTHUzTGs0ZWZJa05tellJTjlXcTErL1BwbzJiWXFZbUJnNW9kUDFScHcrZlRyT25qMkxybDI3NHNxVkswaFBUMGVYTGwwQW9GRFM5dmZmZjZOV3JWcG1tY3dWMUxWclY2eGN1UktkT25XUzUrazZQTlNwVXdmZmZQTU5ybDI3aGt1WExrR3BWT3I5a1ZPUjZ0YXRpN1ZyMStMYXRXdlBYTmZlM2g3ZmZQT05QTzNqNHdOQW0vRDM2dFVMWGJ0MmxaZDVlSGlnVmF0V2VvUDlqaGt6Um41ZHNMZnJzd1FHQmdMUWZzZjI3dDByWHpOKy8vMTNzMDM4cWVvd29Tc2hVeHhqeWRMcGVveGxaR1RJOHhZc1dJQzZkZXVpZHUzYXFGbXpKcnAwNlFJZkh4OHNYNzRjelpvMXc5U3BVd0VBUzVZc3dZRURCL0R1dSs5aTBxUkplT1dWVjdCbXpScTkvVStkT2hVM2J0eEFabVltMnJkdlg2WHZ6ZEtkUFhzV0twVUtRNFlNd2UzYnQ5R2dRUU81UWI3T2I3LzlodTNidDhQZTNoNkF0cWVsdTd1N3ZOelB6dzhyVnF6QTd0MjdDejJxeWRYVkZhZFBuOGJISDMrTUd6ZHU0UDc5KytqY3VUTTZkZXFFbUpnWWRPM2FGV2ZPbkVHelpzMEtiUXRvYTJxMmJkdUdJVU9HVlB5Yk56S09qbzU2eVJ5QVF0ZkJaczJhb1Ztelp1alpzMmVsbHFWT25UcEZ4dU5aUHZqZ0F3RGFSSzlnTXFmVG9rVUx2ZW15eHJWZ1o1QW4vd0JrTWtmbHhZU3VoRXh0akNYU3RsRnMxS2dScmx5NWdsdTNiaUU5UFIyWm1abm8yYk1uWnN5WWdlWExsMlBVcUZHd3Q3ZEhmbjQrQUczaWZ2RGdRYXhmdng3WjJkbnljQXNmZnZnaEFPRDI3ZHU0Zi84K0ZpMWFoQjQ5ZXNpMXRnVXZ4bHUyYk1HeVpjdmthWFpzcVRpNjlvanU3dTV3ZDNmSHJWdTM0Ty92THpkSUwwNW1aaWIyNzkrdjF3Yld3OE1EZS9mdVJXUmtwRnhEbytQcTZvcnQyN2NqS3lzTEowK2VoSk9URSt6czdOQ2xTeGZzM0xrVGdMWldwV0J2eG9MbXpac0hoVUloZjI5SVMxZHpSMFFWandsZENabmFHRXNFYk51MkRkN2UzbWpYcmgyQ2c0UGg2T2lJa0pBUWpCZ3hBcG1abWVqVHB3OHlNelBoNit1TDExNTdEVUlJeko0OUc4MmFOVU5ZV0JpT0hEa2l0NjFMU2twQ1Nrb0tPbmJzaVA3OSs4dEora3N2dlFTRlFvRnIxNjdKY2ZYeDhZR1BqNC9jVTVrcVRsWldsbHpqQm1qUHZkVFVWQXdZTUVEdXdKQ2Jtd3VGUW9IOSsvZkw2NjFkdXhZOWV2VFE2L0JpWldXRjJiTm5ZOVNvVVdqU3BJbGUreWduSnlmWTJ0b2lOallXSjArZWxCTTNGeGNYeko4L0gybHBhVGg3OXF4ZVQyZWRwVXVYNHR5NWM5aTRjU01UZVNLcU1rem9Tc0FVeDFnaTdXTjZYRjFkSVVrUyt2WHJCeTh2TDJ6WXNBRjM3dHhCYUdnb1dyUm9nVkdqUnNtMzRlTGo0L0hnd1FQOC92dnZ1SFRwRWh3ZEhhRlFLRkNyVmkyb1ZDcGtaR1Rnd29VTE9IMzZOTEt6czZGUUtEQmp4Z3k0dWJsaDgrYk5UeDFxZ1NyR3ZYdjM1STVEV1ZsWjh2TTNYM2poQll3Yk53NEFNRzNhTkxScjEwN2VKaVltQmovLy9ETisrT0dIUXZ0cjBxUUpaczJhaGM4Kyt3eHo1ODVGOSs3ZEFXZzdYblRzMkJGUlVWRTRlL1lzUHYzMFV3RGFqZ0F2di93eXZ2dnVPM2w4c1lKV3JWcUZxS2dvckYrL25oMmNET1JaNHhLbXBxWmkvZnIxQ0E0T0xuSzV2NzgvMXExYngxdWdaSEtZMEJYRDJNWllvdExidEdrVE5tM2FKRStyVkNyY3VYTUhxMWV2eG9JRkMrRHU3bzQzM25oREhvYWdkZXZXV0xCZ0FZS0RnNUdXbG9hMHREUThmUGdRQ1FrSmVtUEdTWktFUllzV3dkSFJFVFZxMU1DMGFkUHc0WWNmWXVyVXFmRDM5MGZUcGsyUm5aMk44K2ZQVi9sN05uY0pDUW55V0pEcjFxMUQ5KzdkRVJRVWhERmp4cUJodzRaSVNFaUFScVBCaUJFakFHZ0hoLzNpaXk4UUhCd3M5Mlo4VXMrZVBSRVVGSVNnb0NDTUh6OWV2djNhdFd0WGZQdnR0NmhSbzRiZTBDY3VMaTdZdDIrZlhJdW5zMjdkT2h3N2Rnd2JObXl3dUdTdUpPTXcvdlhYWDFVeVR0K3p4aVg4N2JmZkNqMk5ZZGFzV1hCemMwT3ZYcjN3eHg5L0ZMbmZqaDA3b2ttVEpzODhmbXBxS280ZE80YlUxRlNzV3JVSzBkSFJlUFRvRWV6dDdURjgrSEI4L1BISEFMVHRkQThlUElqMDlIUzBhTkVDbjMzMkdkcTJiVnVHZDB5a3hZU3VHTVkweGhLVnpmYnQyL1dtdmJ5OE1IdjJiR2cwR2pnNE9HRFpzbVY2NnlnVUNqZzRPR0RKa2lVQWdJY1BIeUlvS0FqcjFxM1RHeGg2ekpneGNIQndrQk9FK3ZYclkrdldyZGk0Y1NNbVQ1Nk11M2Z2b2xxMWFtalNwQWtDQWdMa1pMQmdJbCt3N1ZWUnd6SlEwWTRkTzRiT25Udmp4SWtUK09tbm54QWVIZzRiR3h0TW5qd1pZOGFNUWMyYU5SRWVIaTdIS3k0dURxTkdqVUtQSGoyUWs1TURHeHNiSkNZbXdzYkdSaTlKSHpCZ0FHclhycTMzWUhSWFYxZk1temNQL2Z2MzF5dURpNHNMZHU3Y1dhajluTzZQc0lJZEx3RHpiME5aMG5FWUsydWN2dEtPUzdoLy8zN2N2Mzhmdi96eUN4d2RIUkVhR29yRGh3L2ovZmZmQjZCTkNJc2FDTDVhdFdweVI3aW5lZXV0dDZCU3FlRHY3NCtlUFh0aXg0NGRxRkdqQnBLU2tuRDc5bTE1dlhidDJtSE1tREdRSkFuTGxpM0QxS2xUY2VqUUlUNk9qc3JNSXI0NVFnaFIxbTBManJIMHhSZGZvRmF0V3VqVHB3OGlJeU54Nzk0OXpKczNEOGVPSGNPZVBYdnd5U2VmWVA3OCtaWFdMYjgwSkRPN0twUTJobDVlWG9VYVlPZmw1V0hNbURFNGNPQUF1blhyaGc0ZE9tRERoZzJvVTZjT1JvNGNLU2Z3ang4L3h1SERoN0ZqeHc1ODl0bG5lT09OTjZCUUtDQkpFaDQ5ZW9TUkkwZGkzNzU5QnIzd21rTjhTeHZUNU9SaytQcjZZdjM2OVJnN2RpeENRa0xrV0YyL2ZoMWp4NDVGVWxJU2Z2amhCM1RxMUFtdXJxNTQrKzIzNVdScS9mcjE4cTIwa1NOSHlrTklHS09xam05NXJwRnIxcXlSbTZVOGJlaWVKNGZsaUltSndmang0M0g2OU9seTNkNTBjWEZCZEhSMGljWWxqSTZPUmt4TWpONDRkUWNPSE1Dc1diUGc2T2dJUUR2Y2pLNkd0Vy9mdnZMdDl1SnE2SjdzK1BiZ3dRT3NXclVLSTBhTXdPSERoMHRVVy92Nzc3OWovUGp4aUk2T0x2Tm5ZUTdYQktKbkV1WHc2TkVqRVJNVG96ZXZYNzkrZXROWHIxNFZodzhmRnJObnp5N1BvU3FVb1QvemlsYmE5My9wMHFWQzg2NWN1U0tpbzZORmJtNnUzdnlVbEJUeCtQRmpvVktweFBqeDQ4WFFvVVBGNnRXcnhkOS8veTJFRUdMLy92MWk0TUNCd3RQVFV3d2RPbFRzM3IyN2pGR3BPSWFPUjBVbzdYdCsvUGl4T0hyMHFCQkNHN08wdERReFk4WU1jZXpZTWFGV3EvWFcyN2R2bjFpL2ZyM2U5aXFWU282enNUUDJXT2prNStlTDd0MjdpMTkrK2FYVTJ4NDhlRkQwN3QyN3JJZVdkZW5TUmR5N2QwOE1IanhZNU9mbmk3bHo1NHBkdTNZSklZVFFhRFJpMzc1OVlzbVNKVUlJN1RWZzBLQkJvbCsvZnFKZnYzNWkvLzc5d3NmSFI2eGF0VW9JSVVSdWJxN28yTEZqa2NmcDJyV3JFRUtJK1BoNHNXREJBdms3MTZWTEZ5R0VFSGw1ZVNJb0tFajgvZmZmNHRHalI4TFYxVlhNbURGRFBINzh1Tml5YXpRYWNlZk9IVEY1OG1TeGFOR2ljbjBPVmYyZEllTmpFUmw5VlgzWjFXcTEwWFRMTjdlLzFxb3Fobmw1ZVNaeGU4d2M0c3Nmb2VLWlNnM2RqUnMzOFA3Nzc1ZTRKa3BIcFZKaDlPalJjSE56azl1VWxaV0xpd3RtelpxRlZhdFdBWUE4TG1GUkg2RnVYTUtPSFR2aXpKa3pBSUNjbkJ3QWdKMmRIZExUMDlHdlh6LzVhU0lGdWJtNUlTb3FDZ0F3ZCs1Y3ZQdnV1MUFxbFhJTjRkR2pSNUdhbWlxMzM0eUtpc0pYWDMwRmhVS0JFU05HWU5pd1lYbzl0R05pWWhBUUVBQkFPMGo1d29VTHkzWHRNWWRyQXBXUFJYd0JMUEdIdzl4T2JrdU00ZE9ZUTN3WjArS1pTa0ozK2ZKbGpCZ3hBa2VQSGtYTm1qVUJsR3djeHRtelp5TWhJYUhjUTd0b05CcDA3OTVkVHJSMDR4SStPWlRVa3dvbWRDRWhJVGh4NGdRQWJlZU9odzhmeWsrT0FZRERodzhEK0NlaGMzZDMxMXYrcEFjUEhzamJaR1JrWU51MmJRZ1BENGU5dlQyV0xWdUdsaTFiNnBWZjl3emhoZzBiNmoxZXNMVE00WnBBOUV6bHFzYzJVWWIrekN1YW9UOVBZMlBvZUZRRVEzK0d4c3hVWXBHZW5pN2VmUE5OOGZ2dnZ4ZGFkdjc4ZWVIczdGeW9pY09TSlV1RXA2ZW51SC8vZmxrUEs4dkl5QkR1N3U3eTlQcjE2NFd6czdQbzM3Ky84UFQwRko2ZW5xSnYzNzdDdzhORENDSEVuajE3Ukw5Ky9ZU3pzN1BvMTYrZkdEbHlwTjcrZHUvZUxaeWRuZVZiK3pyWjJkbWlSNDhlUWdqeHpOdkVSUzEvOU9pUkdEZHVuQmd5WkVpUjIwUkZSWWxPblRycE5SMG9yYXIrenBEeFlTOVhJaUlxaytlZmY3NVU0ekJXOURoOXBSMlhjT0RBZ1JnNGNDQTZkdXhZNUdNYWQrL2VEYVZTaWFOSGo2SlhyMTd5L1BUMGRMMmhUblNQZXl3cFIwZEgrUG41WWR5NGNjVStzOVhhMnBwajMxRzU4TnREUkVSbE5tM2FORnk5ZWhWVHAwN0Y1Y3VYa1orZmovVDA5RUxqTUJZY3A2K281NjJtcHFhVyt0akZqVXQ0NnRRcFJFUkVZT25TcFhyakVqN3A0c1dMOHV1ZE8zZmlyNy8rd3RkZmY0MlltQmhjdjM1ZFhuYmp4bzFTalplWGtKQ0FEUnMyNEsrLy9vSmFyY2I5Ky9leGUvZHVkT3JVQ1FxRkF0ZXZYOGVoUTRlUW01dUxsSlFVYk55NHNkQndOMFNseFJvNklpSXFzNUtPdy9pMGNmb0E0S09QUHNLZ1FZUGc1K2RYNG1PWGRseENRTnNoUXdpQnI3NzZDdkh4OGRpeFl3Y09IRGlBUllzVzRldXZ2MGJkdW5YaDUrZUhvS0FnYk5xMENZNk9qamgxNmhSYXQyNHQ3K05wNDlHNXU3dkQwZEVSc2JHeCtOLy8vVjlrWm1haWR1M2E2TmF0RzZaTm13WUFxRjY5T3I3Nzdqdk1tREVEOXZiMjZOMjdOeVpQbmx6aTkwMWtzY3JjS01HRUdmb3pyMmlHL2p5TmphSGpVUkVNL1JrYU0wdU1SVnBhbWhneVpJaFl1blJwaWRaUFNrb1N2WHIxRWxldlhoVnZ2LzIyT0g3OHVEaDA2SkNZTW1XSzhQVDBGSWNPSFJJYk5td1E3N3p6anBnK2ZibzRlUENneU0zTkZmSHg4ZUt0dDk0U08zZnVGS21wcVdMS2xDbWljK2ZPWXMrZVBmSytOUnFObUR4NXNoZzhlTEI0K1BDaDZOMjd0NGlQanhkQ0ZOMUc3dSsvL3hhUEh6OFc4Zkh4aFlhMXFpcFYvWjBoNDhNYU9pSWlNcmk2ZGV0aTdkcTF1SGJ0V29uV2YrR0ZGL0RsbDEraVdiTm0yTFp0R3hRS0JiNzk5bHNNR0RBQWJtNXVjbnMwWFMvYzVPUmsyTnJhb25YcjF0aTNieDhjSFIyaDBXalFxbFVyK1B2NzZ3MElMMGtTRmk1Y2lBc1hMaUEzTnhldXJxNTZOWFJQV3JObURZNGZQdzRiR3h2NTBYRkVWYzBpdWpsYjRsOHY1dGFGM1JKaitEVG1FRi9HdEhpbU1td0pHUTl6dUNaUStWaEtwNGpUaGppb0VBSWFqY1lRaDc1Z2lJTldNb1BFOEVrcWxjclFSUURNSjc1R0VWUEFvT2RxVVF3Ulg2T0pSV1V3c3ZoV0JuTzVKaEFaSjJkbloyWDc5dTE3R3JvY1ZER2FOMjllemRuWitkK0dMZ2RWUEo2cjVvM3hKVXRnS1RWMEJpR0VHS0JRS0lydUwwOG14OTdldmcyQVdZWXVCMVU4bnF2bWpmRWxTOEJPRVpWSWtpUnZJWVFkdEcwVjJVYkZ4RmxaV2EwRVlBZnRIMEptZmYvRzB2QmNOVytNTDFrQzF0QlZFbWRuNTNZQW1rbVM5SEtIRGgxY0RWMGVLcDlXclZvOUwwbVNLd0FvbGNyeVBVMmNqQXJQVmZQRytKS2xZRUpYZWZyclhyQ3EzL1E1T0RpMDBiMFdRc3lIaGZRUXR4QThWODBiNDBzV2dRbGQ1ZkhXdlJCQzlEVmtRYWo4aEJEekNrdyszNlpORzRkaVZ5WlR3M1BWdkRHK1pCR1kwRlVDWjJmbjF3RzhycHVXSktteGs1UFRtd1lzRXBWRHUzYnRIQ1JKNmxGd1hyVnExYnlMV1oxTUNNOVY4OGI0a2lWaFFsY0pOQnBOdnlmblNaTEVCTUJFU1pMVThzbDUvNjJ4NC9sajRuaXVtamZHbHl3SmY1QXFRVkVYREZiMW15NkZRakhueVhtU0pOVnljbktxYllqeVVNWGh1V3JlR0YreUpFem9LcGhTcVd3bVNWS0hKK2RMa3RSU3FWUzJOVVNacU95VVNtVU5TWktLL0FHUUpNbXpxc3RERllmbnFubGpmTW5TTUtHcllFVlY4UmRZeHFwK0U2UFJhSXA5SXJjUVloWjREcGtzbnF2bWpmRWxTOE1mb3dvbVNkTFR1c1Y3VkZsQnFLSk1LMjZCSkVrdnZ2YmFhN1dxc2pCVWNYaXVtamZHbHl3TkU3b0sxS1pObTBZQU9oZTNYSktrTnUzYnR5L1V3SjZNVTl1MmJXdEpralR3YWV2WTJkbTlWMVhsb1lyRGM5VzhNYjVraVpqUVZhQnExYXIxZWRZNkNvV0NWZjBtd3RyYXV0MnoxbEVvRkhQQjg4ams4RncxYjR3dkVWVW9aMmRuNGV6c3pPY0dFaGs1bnF2bWpmRWxTMkJ0NkFLWU15SEVGRU9YZ1lpZWplZXFlV044aVloSTFxNWR1M3J0MnJXcloraHlFQkVSUFlrMWRFUWxaRzF0bmZyZmw1SkJDMEtWd3NuSmFURUFuRHQzYnFxaHkwSkVWRnBzekYySm5KMmRGems3T3k4eWREbW93andzT09IazVMUllsd1NRNlpNa2FZb2tTZkt0T2NiWGZQQmFUSmFBTlhTVlMvZVgvcjhOV2dxcUVFS0lEZ0NHNktZTC9QaXpSc2NNUE5uT2l2RTFLN3dXazlsalFsZUoyQkRYdkp3N2QrNG1nQ1c2YWNiWHZKdzdkMjVKd1duRzEzd3dsa1JFUkVSRVJFUkVSRVJFSm9zTmNjMGJHODJiTjhiWGZQQmFUSmFBYmVncUZ4dmltakUybWpkdmpLOVo0YldZekI0VHVrckVocmptamZFMWI0eXYrV0FzaVlpSWlJaUlpSWlJaUloTUZodmltamMybWpkdmpLLzU0TFdZTEFIYjBGVXVOc1ExWTJ3MGI5NFlYN1BDYXpHWlBTWjBsWWdOY2MwYjQydmVHRi96d1ZnU0VSRVJFUkVSRVJFUkVaa3NOc1ExYjJ3MGI5NFlYL1BCYXpGWkFyYWhxMXhzaUd2RzJHamV2REcrWm9YWFlqSjdrcUVMVUI3T3pzNUhBZlF5ZERsTWxSRGk5TGx6NXpvYnVoekZZWHpMaC9FMWI4WVVYOGF5Zkl3bGxveGorUmc2amdwREhiaUM4SXRYRHBJa2RUSjBHWjZCOFMwSHh0ZThHVmw4R2N0eU1LSllNbzdsWU9nNG1zVXQxOWpZV0VNWHdlUW9sVXBERjZIRUdOL1NZM3pObTdIR2w3RXNQV09NSmVOWWVzWVFSMU92b1NNaUlpS3llRXpvaUlpSWlFd2NFem9pSWlJaUU4ZUVqb2lJaU1qRU1hRWpJaUlpTW5GTTZJaUlpSWhNSEJNNklpSWlJaFBIaEk2SWlJakl4REdoSTJkM1NBMEFBQklCU1VSQlZDSWlJakp4VE9pSWlJaUlUQndUT2lJaUlpSVR4NFNPaUlpSXlNUXhvU01pSXFNaGhFQmlZbUtadDgvS3lxcTR3aENaRUNaMGxTdzdPMXQrL2ZISEh4ZTYyUGo1K1ZWMWthZ01GaTVjaUN0WHJoU2FIeEVSZ1VlUEhzblRDUWtKeU03T2hrYWpnYSt2YjFVV2taNGlQVDBkZVhsNVJTNVRLcFZRcTlWRkxtTjhxMTUrZmo2R0RCbFNwbTNWYWpXNmRldFc2dTN1M2JzSGpVWlRhUDRmZi95QnZYdjM2czBUUWlBM054ZnA2ZWxJU1VuQjFhdFg4ZmZmZjVlcHZGUlliR3dzN3Q2OWEraGltQ1JyUXhmQWxLalZhblRxMUFuVnExY3ZkcDNzN0d5Y1BuMGFWbFpXQUlBcFU2YWdiZHUyR0RkdUhKS1Rrd3Y5Y0NRa0pGUnFtWTJCazVQVDJ3QlU1ODZkT3dGQVplanlGTVhMeXdzQWtKcWFDZ0I0OGNVWEFRRGg0ZUg0OGNjZmNmZnVYYnowMGtzSURRMkZyNjh2RkFydDMwSXFsUW9qUm94QWNIQXd1blRwZ3FsVHB5STBOQlMydHJhNGNPR0NZZDVNRlRPRitNNlpNd2RObWpUQnVISGpTcldkcGNYWEZHSUpBTDE2OWRLYnpzcktRcE1tVGJCMTY5Wml0M256elRkUnQyNWRQSDc4R0I0ZUhnZ0tDZ0tnVFNER2p4K1A2ZE9udzhQRFEyK2JMVnUyNEkwMzNnQUFKQ2NuWTl5NGNiQ3lzb0tkblIwU0V4UFJvVU1IMk52Ym8yL2Z2dWpkdTNjRnY4dXlNNVU0RnVYWFgzOUZSa1lHWnM2Y1dldzZTcVVTOWVyVkszWjVXbG9hWW1Oaks2TjRSbzBKWFJsRVJVVVZ1MHlwVk9wTno1MDdGeE1uVGtUMzd0MEJBQWNPSE5DNzZPVGs1T2hkUkNJaUlpcTR0RWFoanlSSlU1eWNuUDRHc0FQQXJveU1qT05YcjE3Tk5YVEJkTDcvL25zQXdNaVJJd0ZBanRFdnYveUNnd2NQWXMyYU5haFdyUm91WDc2TTZkT25ZODZjT1ZBb0ZCZzBhQkNhTm0wS0t5c3JYTGx5QmJkdTNZS25wNmU4MzdmZWVrdCtQWDM2ZExpN3UxZmh1Nm95UmgvZnNXUEhZdlRvMGVqYnR5OWVmZlhWRW05bmdmR3Q4bGk2dUxpVWFMNnRyUzJPSFRzR1FIdGU2a1JFUkdEaHdvVVlQMzc4VTQvajRPQ0F5TWhJekp3NUV5MWF0QUFBUEh6NEVQUG56OGU2ZGVzUUhCeU1wazJib25YcjFnQ0FLMWV1NFBqeDQ3aDY5U3IyN05tRERSczJZUC8rL2ZMKyt2VHBnN1ZyMTViK0RWY05vejhuNCtQak1XblNwR0tYRjNVdUhUNThXSDRkRVJFaFY1d1VwS3Q0c1VSTTZDcVpvNk1qL1AzOXNXN2RPdHk5ZXhmOSt2WERzR0hENU9WdWJtN21tc1FWSWtuU0N3REdBUmpuNk9pWTd1VGt0Rk1JOFdOYVd0cHZ0Mi9mTm1qRGw2Q2dJQ1FsSmVIbXpac0FnT0hEaDZOaHc0YlFhRFRJejg5SFFFQUFOQm9OcksydGtaT1RnNFNFQk5TdVhSdHhjWEhvMmJNbkFHRCsvUG1ZUG4wNkJnMGFKRjlVZEQ5QWxzQ1k0OXVzV1RNTUhUb1UzM3p6RFZhc1dJR09IVHZpK2VlZmw1ZnJmanl5czdNUkhSME5RSHNiemxMalc1V3h6TXZMUTNSME5HeHRiUUZvYTFlR0RoMnE5OWxtWkdUZ25YZmVLYlR0dm4zN3NIYnRXbXpZc0FHdFdyVXE5dFo1UWFkUG4wWkFRQUF5TWpJUUdCaUlBUU1Hb0gzNzlwZzFheFltVDU2TTRPQmdkT3JVQ2JObno0YWZuNTljcS92UlJ4L0pOZmhaV1ZsNCtQQWgrdmJ0Q3hzYkd3QW9kR3ZXR0Jqek9kbW1UUnM1UVV0S1NzSzhlZk93YU5FaU9EZzRBTkFtWnRPbVRjUFlzV1BsQkp5ZWpnbGRHUlQ4cXp3ckt3djI5dlpGcm5mejVrMEVCQVNnWHIxNkNBb0t3dlhyMXdGQXIwYXVZQTNkd0lFRDRlL3ZYNGtsTnlxT2tpUjlLRW5TaC9YcjEzOWN2Mzc5UFJxTlptZDJkdmJSeTVjdloxUjFZUklURTdGanh3NzQrdnBDbzlGZzY5YXQ4UEx5UW5oNE9DWk5tb1RBd0VEazVlVmg1Y3FWV0xSb0VXclZxb1VMRnk0Z0pDUUVxYW1wR0RKa0NFNmVQSWtKRXlaVWRkR05sVkhGRndER2pCbWoxelpIVjh1alZDcmxIeFkzTnpkNWVVcEtDdU9yVmFXeHZISGpCbDUrK2VVU3JUdHIxaXhFUkVTZ2Z2MzZKVnIvNXMyYnFGbXpKbkp5Y2pCaHdnUTBidHdZUGo0K0FJQU9IVHBnL3Z6NW1ESmxDbHhkWGRHN2QyOGNQbndZaHc0ZFFxMWF0UkFXRmdZQTJMOS9QLzc0NHcvODV6Ly9nWk9URXdJQ0FrcGNYZ016dW5OU3AySERobWpkdWpXMmJ0MktzV1BIQWdCV3Jsd0pPenM3TkcvZXZNaHRucnc5VGt6b1NrV1NKTHorK3V2eTdiaWkva29mT1hJa0pFa0NvUDJTVHBvMENiMTc5NWJuQ1NIUXRXdFhUSmd3UWErR3dGQ2NuWjN6aFJCcVNaTFVBRlJDQ0JXMGJTNVVraVNwQ3M1N2N2cUplV3JkNnlLMmVmTVp4WEFBNEsxUUtMd2RIQnh5bkp5Y0lvUVEzMWZTV3k1V1JrWUdIQndja0pIeHo3VnR3WUlGcUZ1M0xtclhybzJhTld1aVM1Y3U4UEh4d2ZMbHkvSEdHMi9nMjIrL1JXQmdJSHIwNklFZmZ2Z0IxYXBWcStwaVB4WGorNC9xMWF1WDZuYXJpY1EzRDRENnYvSEloelltK2RER3FlRC8rUVhYQVpELzM5akowMEtJZkFBZG5uSElTbzlsWkdRa2twS1NjT1RJa1dlMlN4TkM0T0xGaTlpNmRTdnExYXNIYjIvdnA2NGZGeGVINXMyYjQ2ZWZma0s3ZHUwUUZSV0ZQbjM2SUMwdFRXNlQ5ZTY3NzBLdFZzUEh4d2UrdnI3bzFhc1g5dTdkaTF1M2J1SGJiNy9GODg4L2p5Ky8vQkluVDU3RXhJa1Q4ZW1ubjZKWHIxN3c4dktDbzZOam1kOTNFYkVzR005OElVVEJtT1UvdVI2QVBFbVNWUCtOWS90bkhNNG96c204dkR3TUhEZ1FnRGFXa2lSaHo1NDlBTFExdGJWcjEwYmZ2bjBCQUkwYk44YWFOV3ZrYlhuTHRUQW1kS1dnVUNpZTJ1Z1dnTjV5aFVLaDF3NUFkMnMxTlRVVkJ3NGMwTHYxYWloQ0NDdEprdVR2Z1M3eExPakplV1ZkcDRUbFVmejNOa0hKL3VTdVFIRnhjV2pVcUpIY1ZpbzlQUjJabVpubzJiTW5ac3lZZ2VYTGwyUFVxRkd3dDdkSGZuNCtBTzJQL3A0OWUzRHExQ25NbVRNSGdQWWlaV3RyQzF0Ylc3aTR1TWkza2dCVStTMDZ4dmNmRnk1Y3dMZmZmbHVxZGsvR0hsOW9yK0UySlluSHM5WXBiVXdySTVaSGpoekJyNy8raW1YTGxtSE9uRG1JaTR0RFlHQ2czanJYcmwzRDBhTkhjZkxrU1FEYTY2cFNxWlRiS1QvTk8rKzhnN0N3TUhoN2U2Tmx5NWJ5ZkJjWEYwUkdSajUxMjYrKytncERodzdGZSsrOUIwRGJ5ZUxGRjEvRW1qVnJNRy9lUEdSbFpaVXJvY016WWxuU2M5QVk0bGdhWmVuQUVCMGRYV1F5QndCV1ZsWnlzd2xMdzRTdUZKUktaWkU5WEF2ZXBnRzA3WEJpWTJPeGYvOStyRjY5V205WmJtNHVIajE2aFBQbnoyUHo1czJGOXZXc2kwcEZPM2Z1bkFLQVZmUG16YTN0N2UydGJXeHNySE55Y3F5c3JLeXNyYXlzclBQeThxd1ZDb1g4VDVJa2E1VktaUzFKa3Q0L3RWb3R2OVpvTkZhNjF3Q3NKVW55QnZEdVU0cVJEZUNZUnFQNVB5SEUvai8vL1BOWEFIQjJkbDVSQlIrQmJOdTJiZkQyOWthN2R1MFFIQndNUjBkSGhJU0VZTVNJRWNqTXpFU2ZQbjJRbVprSlgxOWZ2UGJhYXdDMHQ5eVBIRGtDVDA5UHVMdTdJemMzRjIrOTlaYjh3NjVVS2cxNmNXRjgvM0g4K0hHOUdycUNmMnpwZnFTZlpPenhQWHYyckFLQWRlUEdqYTJyVmF0bVkydHJheTFKa28yVmxaVTFBSnU4dkR3Yk96czc2N3k4UEJ1RlFxRkxHS3dsU2JMUnZRWmdvMWFycmEyc3JHd0FqQUxRN3ltSHpBWndUQWh4VWFQUlJGUlVMUFB5OGhBV0ZvWXRXN1pnOGVMRlVDcVZDQXNMUTJCZ0lDWk9uSWpnNEdCNTNkallXRHg2OUFnVEowNkV2NzgvRmkxYUpQKzRQOW1HVHFWU0lTOHZUMjRXWTJ0ckN5OHZMK3pac3dlLy92cXIzdkg3OU9ralR3OFlNRUMrRForUmtZSEJnd2RqNmRLbG1EaHhJcjc2NmlzMGFOQUFnUFk3TkdUSUVNeWZQNzg4YngvQVA3Rjg1WlZYYkJ3Y0hLeXRyYTF0ZExFc0VDODViaXFWeXNiYTJ0cEdyVlpiRjFobUxVbVNqU1JKbzJHQU9KYVdTcVdTUnd3b3FTZDd1RDU4K0JEUjBkRndjWEZCelpvMTVmbVcyTk9WQ1YwcEZlemhxcXZhTFdvZUFQVHYzeC85Ky9lWGw5MjhlUk5CUVVGbzM3NDkxR28xbGk5ZkRrbVNjT0hDQlp3NmRRcGp4b3lwdWplaVQzMzE2bFUxZ0VycEFlWGs1TlJla2lTOUgzd2h4R05Ka243UmFEUS81dWZuL3hnZkg1OVpHY2N1RFU5UFQ3aTZ1a0tTSlBUcjF3OWVYbDdZc0dFRDd0eTVnOURRVUxSbzBRS2pSbzNTU3dRdVhMaUE3ZHUzeXowZkV4TVRuOXFkM2tBWVgyamJ6SDMrK2VmeXRPNEhXNmxVNHRDaFF3QUsvM0ZtSXZGVkpTWW1xZ0RrbEhkSFRrNU9uU1JKMGtzRXFpS1dTNWN1UlZ4Y0hEWnUzSWhXclZvQkFHclVxSUhWcTFkanlwUXBPSGZ1bkx5dWJvaWhra2hOVFlXdnJ5K09IRGtpejZ0ZHV6YisrT01QUkVaRzRxKy8va0tqUm8za0dycjA5SFM1bHUyamp6NENvRTNhZnZqaEIxaFpXV0h2M3IxNDc3MzM1QTRRMjdadGt4dnhWeEJWY25KeXVZY1pjWEp5Nm1LSU9KWldlbm82bm52dXVWSnRZMnRycTFmeFViQTNkSEh6TFFVVHVpcVFrWkdCYmR1MllkdTJiWmc5ZXphNmQrK09DUk1tNElzdnZvQmFyVVp5Y2pKR2pCaGg2R0pXaFhRQVI0UVFQOXk5ZTNkdmNuSnk5ak8zcUVLYk5tM0NwazJiNUdtVlNvVTdkKzVnOWVyVldMQmdBZHpkM2ZIR0cyL28xZktjUFhzV2I3NzVUeE95Z3djUG9uUG56a1h1UHlnb0NGT25UalhHaEtDaUdHMThFeElTa0pHUkFTY25Kd0RBc21YTENxMmpVQ2l3ZVBGaXZYa1dITjhxaldWZ1lDQWNIQndLM1VhenQ3ZkhtalZyOU5xMWxzYkRody8xRW9aUFB2a0VseTVkd2llZmZJS1RKMC9pKysrL2w3OExHbzBHZm41KzhQUHpnNGVIaDE1Wk5Cb05KRWxDZG5ZMjdPenM1UG41K2ZuWXZIa3p0bS9mamgwN2RwU3BqSlhNYU05SlFIdjdYRmZiU2VYSGhLNkMzTDE3RjNsNWVVaEpTWkhiMU55NGNRUGJ0Mi9Ia1NOSDhQYmJiME9oVUtCSGp4NEF0QU1PZi9QTk43aDgrVEptelpvRlYxZFhBNWErMGtWck5CclAvUHo4Zy9IeDhVVVAxMjhFdG0vZnJqZnQ1ZVdGMmJOblE2UFJ3TUhCQWN1V0xTdTBUa3hNak53UU96bzZHcnQyN2RKclJ5bEpFdkx5OG1CbFpZV3paOCtXdDQyTnNUTDYrTzdmdjE4K0J3R2dhOWV1aGRhUkpLblFmQXVNcjBGaWFXZG5WeWlaMDJnMGNnM083ZHUzNWVGQkFHM1RsY3pNVENnVUNyMDJZd3FGQXJhMnRyaDgrVElhTkdpQUV5ZE9vRkdqUnZMeWlSTW53czdPRG5YcjFzV0lFU093WU1FQ3ZXMW56WnFGZ0lBQXZQTEtLK2pRNFovK0lYUG16RUZnWUNDaW9xTDB4aG9kUFhvMDNuNzdiY3liTjY5Q1A0OEtZUFRuSktBZGRxWXNOV25GUGZYRjBqR2hxeUQvK2M5L3NIUG5UbGhiVzhzRFhGcFpXYUYyN2RvSUR3OUhqUm8xY09EQUFTeGR1aFRIangvSFN5KzloRldyVm1IMzd0MllQMzgrMUdvMWV2WHFoYWxUcHhyNG5WUzhjK2ZPL1dqb01wVEU4T0hEOWFiVmFqVWlJeU54NE1BQmRPdldEUUVCQVZpMWFoWHExS21Ea1NOSHdzSEJBUmN1WElDenN6TTJidHlJelpzM1k5YXNXWG8xZUc1dWJuanZ2ZmVnVUNqZzV1YW05OWU5dVRDRitGNjZkRWtlRHFHa0hqeDRZSEh4TmJaWTl1dlhEems1T2JDeHNkRzdpK0h0N1kzRXhFUzlKQjNRSnRnZmZ2Z2hQdjMwVTZoVUt0U3VYUnVmZmZhWnZGdzNudG1jT1hQZzR1S0NoZzBiSWowOVhWN2VwazBiQkFjSFk4V0tGZGkwYVJNdVhyeUlSNDhlb1czYnRyaC8vejQyYnR3bzk3UjgvUGd4N08zdDhlZWZmNkpodzRhVi9WR1VpckhGc1NnblQ1N0U2ZE9uNVNkMmxGUitmbjZ4SFFvTDNvN1hkVndqRStIczdDeWNuWjJGb2FqVmF1SG41MWVpZFZOU1VvU1BqNC9Zc21XTHVIWHJsdDR5alVZajR1TGl4SjkvL2xrWnhTeVM3ck16ZEF5ZnBpcmplK25TcFVMenJseTVJcUtqbzBWdWJxN2UvSlNVRlBINDhXT2hWcXRGZkh5OHZIMXljbktWbExVa0dOL0NOQnBOa2ZORFEwT0xYTWI0bGx4NVlubnIxcTFpWXlPRU5nN0Z4YWMwdW5mdkxyOU9URXdVang4L0Znc1hMaFF1TGk1aXhvd1pldXRtWjJjTEliVFhnTysrKzA2bzFXb3hkT2hRY2VIQ0JYbWRTWk1taVI0OWVvaGh3NGFKNjlldmw2b3NCUmxUTEt2eW5Nek96aGJuejU4djlYYWVucDVGVGhjM3Y2b1lReHpMTnZhQWtkQjllSmJXazZVaTZHNGJuRDE3MW1pL0E0eHYyVEcrNXMzWTRtc0tzYngxNjFhNUJnRE96YzJ0bEhFSWpTbVdwaEJIWTJVTWNTeGRmMkVpSWlJVFZONm5PUmpib05KRVQySkNSMFJFUkdUaW1OQVJFUkVSbVRnbWRFUkVSRVFtamdrZEVSRVJrWWxqUWtkRVJFUms0cGpRRVJFUkVaazRKblJFUkVSRUpvNEpIUkVSRVpHSlkwSkhSRVJFWk9LWTBCRVJFUkdaT0d0REY2QWk2SjZoUnVhSjhUVnZqSy81WUN6TkErTm9ta3k2aGs0SWNkclFaVEJ4Rnd4ZGdLZGhmTXVOOFRWdlJoTmZ4ckxjakNLV2pHTzVHVVVjaVlpSWlJaUlpSWlJaUlpSWlJaUlpSWlJaUlpSWlJaUlpSWlJaUlpSWlJaUlpSWlJaUlpSWlJaUlpSWlJaUlpSWlJaUlpSWlJaUlpSWlJaUlpSWlJaUlpSWlJaUlpSWlJaUlpSWlJaUlpSWlJaUlpSWlJaUlpSWlJaUlpSWlJaUlpSWlJaUlpSWlJaUlpSWlJaUlpSWlJaUlpSWlJaUlpSWlJaUlpSWlJaUlpSWlJaUlpSWlJaUlpSWlJaUlpSWlJaUlpSWlJaUl5S0w4UC9TYk9vUHoxSGxSQUFBQUFFbEZUa1N1UW1DQyIsCgkiVGhlbWUiIDogIiIsCgkiVHlwZSIgOiAiZmxvdyIsCgkiVmVyc2lvbiIgOiAiMTkiCn0K"/>
    </extobj>
    <extobj name="ECB019B1-382A-4266-B25C-5B523AA43C14-2">
      <extobjdata type="ECB019B1-382A-4266-B25C-5B523AA43C14" data="ewoJIkZpbGVJZCIgOiAiMjEwMDY4NDQ2NzkyIiwKCSJHcm91cElkIiA6ICIxMjM4MDY5Nzc1IiwKCSJJbWFnZSIgOiAiaVZCT1J3MEtHZ29BQUFBTlNVaEVVZ0FBQWh3QUFBRHZDQVlBQUFDNVp3M2lBQUFBQ1hCSVdYTUFBQXNUQUFBTEV3RUFtcHdZQUFBZ0FFbEVRVlI0bk8zZGFYaFVaWnIvOGQrcFFBQkJwRm5VVnRFUjJ4WWxkcWNxUURvU1JjVFFZdE1NeXg4UVpMMG1YQ2pqY2lFYWtZWVdBenJvNkxSTlE4dWlMRG9Jc204U1dpU0tiQUdHUkNFd1lMQUhHcUlTZ2tnV0FrbFZQZjhYbU5NcFVvRUVVbFZKNnZ0NUEyZS9UK3FwcXJ1ZTg1ejdTQUFBQUFBQUFBQUFBQUFBQUFBQUFBQUFBQUFBQUFBQUFBQUFBQUFBQUFBQUFBQUFBQUFBQUFBQUFBQUFBQUFBQUFBQUFBQUFBQUFBQUFBQUFBQUFBQUFBQUFBQUFBQUFBQUFBQUFBQUFBQUFBQUFBQUFBQUFBQUFBQUFBQUFBQUFBQUFBQUFBQUFBQUFBQUFBQUFBQUFBQUFBQUFBQUFBQUFBQUFBQUFBQUFBQUFBQUFBQUFBQUFBQUFBQUFBQUFBQUFBQUtoRnJGQUhBQUJYd3hpelUxTEhVTWNSaHI2MExNc1o2aUJRZTVCd0FLalZqREVtMURHRUs4dXkrQTVCcFRsQ0hRQUFBS2o3U0RnQUFFREFrWEFBQUlDQUkrRUFBQUFCUjhJQkFBQUNqb1FEQUFBRUhBa0hBQUFJT0JJT0FBQVFjQ1FjQUFBZzRFZzRBQUJBd0pGd0FBQ0FnQ1BoQUFBQUFVZkNBU0RzNWVUa2hEb0VvTTRqNFFBUTFvd3g2dDY5ZTVXM0t5b3EwbXV2dlZadS90bXpaNVdVbEZTbGZaV1VsR2pNbURGYXVYS2xpb3VMSzF6djFLbFRpb21KcWZSK3ZWNnY4dkx5cWhRTEVDajFRaDBBQUlTU01VWU9SOVYvZTUwL2YxN0xseS9YK1BIamZlWVhGeGRyMDZaTlB2TUdEQmlnd3NKQ2UzcmR1blhsWXNqT3pwWXhSaGtaR1lxTmphMXlQSkowNk5BaDdkNjlXOGVPSGRNMzMzeWpiNzc1UnQyNmRkTkxMNzEwUmZzRHFoTUpCNEN3TlhueVpLMWZ2MTVlcjFkeGNYSDIvSFhyMXFsYnQyNXEwcVNKUGErZ29FQjc5dXk1b3VOODlORkhXcjU4dWJLenMvWE1NODlvK1BEaE9uSGloTTg2cDA2ZDBwdzVjK3oxbXpadFd1WGp1TjF1bFpTVUtEbzZXbXZXck5IbXpac1ZHUmtwajhlampoMDdsanVmWGJ0MktTSWk0b3JPQ2FncUVnNEFZV3ZpeElrYU4yNmNPbmZ1ck8zYnQwdVNIbjc0WWZ0TGVQUG16ZmE2VmJtVTRjK3VYYnZVczJkUFNSY3V1NlNrcE5qTHZGNnYrdmJ0cTVVclYvcHNFeE1UNDVNa0dHTWtTWjA3ZC9iWnRubno1bHE5ZXJYYXRXdW5kdTNhU1pLU2s1TVZHUm5wczcvcVBCK2dxa2c0QUlTMWtwSVMxYXYzejQ5Q2o4ZFRwVi85OGZIeDVlWTFhdFRJWi82eVpjdjA1WmRmYXZMa3lmYThIMzc0UVU4ODhZUWtLVG82V2w2dlY1SjA1c3daWFhmZGRmWjZLU2twdXVhYWF5UmQ2QVhwMXEyYlQrSnc2TkFoZTh6SVN5KzlwQU1IRHFpa3BFUWxKU1g2MTMvOVYwblNpaFVyS24wK1FLQ1FjQUFJYStmT25WUERoZzN0YWJmYjdaT0FYSXBsV2RxNmRldGwxMXV5WklueTh2STBlUEJnZTE3ejVzMjFaTWtTZTdwWHIxNHFMaTdXbURGak5IZnUzQ3Fjd1QvOXgzLzhoeVRwblhmZTBmdnZ2Ni9WcTFkTHVwQkVBYUhHWFNvQXd0cnAwNmZWckZremU3cXlDWWZiN2E1VVQwaHhjYkVXTFZxazFxMWIreVFZa2pSdzRFQU5IRGhRNzd6empod09oM2J2M3EzMjdkdFgvU1RLT0gzNnRGYXVYQ212MTZzLy9PRVBLaW9xdXFyOUFkV0ZIZzRBWWUzWXNXTzYrZWFiN1dtMzI2MzY5ZXRmZHJ1Q2dnSzUzVzZmd2FabGZmenh4MnJldkxra2FkaXdZZnJ3d3cvTHJkT29VU085OHNvcmV2ZmRkMVcvZm4xOS9QSEhHajU4dU04NlpXL1p2ZFFZamxKdnZmV1dmdmU3MzJueDRzV0tpb3JTMkxGak5XM2F0TXVlRHhCb0pCd0F3dHBYWDMybHUrKytXOUtGM29qS1hrNDVmdnk0MnJadHE0VUxGNVpiRmhNVFl5Y0hrWkdSNnRXcmwwL0NVVHBlbzZ5Zi9leG4rdjc3NzlXNmRXdDdYbFJVbEdiUG5xMEdEUnBJOGorRzR4Ly8rSWRtekpnaFNWcTdkcTB5TWpLMGRPbFNMVjY4V0FNSERsU2JObTFrV1ZhbHpna0lKQzZwQUFoYnhoaWxwcWJxdnZ2dWszUmhQRWRsZWpja2FkdTJiWXFLaXFyeU1VdEtTdXdFNHV1dnY5YVlNV01rWGVoWkdUQmdnR2JQbnEydnZ2cEtrclJnd1FKNzNZcmNldXV0ZXYzMTF5VkplL2Z1MWF1dnZtb1BNcFYweFRVOWdPcEdEd2VBc0xWcDB5WTFhTkRBVGh4Mjc5NnRGaTFhMk1zVEVoTDhidmZ0dDk5cXpabzFtamx6WnFXUGRlellNZlh2MzE5NWVYbTY5OTU3SlVtLy9PVXZOWGZ1WEsxWXNVSzdkKy9XLy8zZi95ay9QOS9uVnRpcWVPbWxseTVaeE95aGh4NjZvdjBDQUJEMnpGWG8wNmVQMmJ4NXM1azVjNlp4dVZ3bU5qYldMRnUyekJoampNdmw4bG0zN1BTSUVTUE11SEhqS3R5dnkrVXl1Ym01UHZQR2p4OXZqREZtenB3NUppVWx4UmhqVEhGeHNkbTJiWnZwMTYrZnljM05OUU1HRERCOSt2UXg1ODZkODd2ZjNOemNjbkZWNURlLytZMzlmN2ZiN2ZkODNHNTNwZlpWa1ZDLzlnQUFCTTNWZkdFZVAzN2Mvci9INHpGZXI5ZWV2dmpMdU96MGpoMDdUR0ZoWVlYNy9jLy8vTThLbDMvenpUZW11TGpZbnY3eHh4OU5UazZPSFU5YVdscUYreTBvS0RDdnZ2cHFoY3ZMS3B0d2VEd2VrNXljN0xNOE9UblplRHllU3UycklxRis3Vkc3TUpJSVFLM0dGNTkvWHEvM2lwNFJVeFVXbzFGUkJRd2FCWUE2S05ESkJsQlZ0RWdBQUJCd0pCd0FBQ0RnU0RnQUFFREFrWEFBQUlDQUkrRUFBQUFCUjhJQkFBQUNqb1FEQUFBRUhBa0hBQUFJT0JJT0FBQVFjQ1FjQUFBZzRFZzRBTlIybWFFT0lFd2RESFVBQUFEZ01sd3VsM0c1WER4NERtR0RIZzRBQUJCd0pCd0FBQ0RnU0RnQUFFREFrWEFBQUlDQUkrRUFBQUFCUjhJQkFBQUNqb1FEQUFBRUhBa0hBQUFJT0JJT0FBQVFjQ1FjQUFBZzRFZzRBQUJBd0pGd0FBQ0FnQ1BoQUFBQUFVZkNBUUFBQW82RUF3QUFCQndKQndBQUNEZ1NEZ0FBRUhBa0hBQUFJT0JJT0FBQVFNQ1JjQUFBZ0lBajRRQUFBQUZId2dFQUFBS09oQU1BQUFRY0NRY0FBQWc0RWc0QUFCQndKQndBQUNEZ1NEZ0FBRURBV2FFT0FBRENnZFBwN0NxcGUrbTBaVmxqSmNrWTgxYVoxWFprWkdRc0QzWnNRRERVQzNVQUFCQW0zS1ZKUmxsbDUzazhuajdCRFFrSUhpNnBBRUFRWkdSa2JEUEcvSENKVmZMY2J2ZkhRUXNJQ0RJU0RnQUlEcmVrank2eC9OUDkrL2NYQnlzWUlOaElPQUFnZUZaVXRNQVlzelNZZ1FEQlJzSUJBRUdTbjUrL1JWTGV4Zk9OTVlXblQ1OWVGWUtRZ0tBaDRRQ0FJRGw4K1BCNVk4eXlpK2RibHBWNjVNaVJjNkdJQ1FnV0VnNEFDQ0pqVExuYlhyMWVMN2ZDb3M0ajRRQ0FJTXJKeWZsY1VtR1pXVVVsSlNVa0hLanpTRGdBSUlpKy9mYmJzNUxLanRmWXZILy8vb0pReFFNRUN3a0hBQVNaMStzdE80NkR3YUlJQ3lRY0FCQmtSVVZGbXlTZE04WVVsNVNVTEFsMVBFQXcxT3BucWJoY3JrMlNIZ3AxSERXSk1XWlhSa1pHYktqakFIQnBUcWR6cVdWWnpkUFQwN3VHT2hZZ0dHcjdzMVJJTmk1aVdWYkhVTWNBNFBLTU1Vc2szUmpxT0lCZ3FlMEpoeVJwejU0OW9RNmhSb2lKaVFsMUNBSGhkRHAza2tnRm56SG15NHlNREdlbzQ3aWMydDQrWEM3WHRGREhjQ1ZxV3Zzd3h1eVVWR3ZiUVJCOWFWbFdTRjQzeG5DZ3hxdk5YeWExbVdWWjBhR09vVEpvSDZGUkE5c0g3YUJ5UXZhNjFZa2VEb1FIZXJLQ3B6YjJsdEUrZ3FjMnRnK0VIajBjQUFBZzRFZzRBQUJBd0pGd0FBQ0FnQ1BoQUdxSkF3Y095QmdUNmpBQTRJcVFjQ0FzNWVYbHFiaTQyTyt5bUpnWWVUd2V2OHZXclZ1bk0yZk8yTk5aV1ZrcUtpcVMxK3ZWc0dIREtuMzhreWRQYXZ2MjdWV0tlY2lRSVNvcEthblNOZ0JRVTVCd0lDeE5tVEpGNzczM1hwVzNjN3ZkR2pSb2tOTFMwaVJKenovL3ZJcUtpbVNNVVdabVpxWDM0L1Y2TlduU0pHVm5aMWM1aG92M0F3QzFBYmZGSWl5TkdqVkt3NGNQMTZPUFBxcmJicnV0MHR2MTZ0VkxiZHEwVVVSRWhMNysrbXRsWjJlcmQrL2U5dkxPblR2Yi81OHdZWUlTRWhJa1hlZzErZm5QZis2enI4aklTSTBhTmFyY01kNSsrMjM5NGhlLzhIdjhyNzc2U2gwNmRKQWt6WjgvWDBlT0hOR2tTWk1xSFQ4QWhBb0pCOExTSFhmY29YNzkrdW10dDk3U3RHblQxS0ZEQjExNzdiWDI4dEpFb2Fpb1NEdDI3SkFrNWVibWF0KytmZXJTcFlza2FlclVxWm93WVlKNjllb2xqOGVqamgwN2F2UG16WDZQRnhrWnFYWHIxaWtsSlVXeHNiSEt6TXhVWGw2ZWV2VG9vZlQwZEczYXRFa2pSNDVVczJiTnRHN2RPZzBmUHR6ZTFySXNiZG15UlpMMDBVY2ZxVU9IRGxxMmJKaysrT0FEL2ZXdmZ3M0Vud2NBcWgyWFZCQzJFaE1UTlhic1dIczZOVFZWcWFtcGtxU05HemRxNDhhTlB1dC8vLzMzbWpScGtoWXZYcXlTa2hKdDM3NWREei84Y0tXUGQrclVLYjM3N3J0cTJyU3B0bTNiWm8vSGNEcWRhdHUycmViTm15ZEo2dEdqaDdadTNhcXRXN2ZxL2ZmZjEwMDMzV1R2NDhDQkEzcnR0ZGMwZi81OHpaa3pSM2ZkZGRjVm56OEFCQk05SEFoYmpSbzFxdExsbEtpb0tNMllNVVBQUHZ1c0huendRUzFkdWxRTkdqU285UGJwNmVseXU5M3EyN2V2dnYzMlcvMzg1ei9YL1BuemZkYjUvUFBQdFdqUklsMXp6VFdTcFBYcjE5dTlMWkkwWXNRSVRaczJUU3RYcmxUTGxpMHJmV3dBQ0RVU0RvU3R6TXhNelpneFF6Tm56cXowTmxGUlVWcTFhcFhTMHRJMFpjb1VTVkp4Y2JFaUl5TVZHUm1wdUxnNFJVWkcydXR2M3J4WlhxOVhFUkVSU2toSVVFSkNnckt6c3pWeTVFaXRXYlBta3NjcUtDalEyclZyOWQvLy9kLzJ2QjQ5ZW1qMTZ0VktTVW5Sa0NGRHFuakdBQkE2SkJ3SVcxdTJiUEhwNFNqYmsvRElJNC80M2ViczJiUDY5Tk5QMWJ0M2J5VWtKT2o4K2ZQcTNMbXpQWFlqSmliR0h2TlJkcHZTSGd2cFFxL0ZpUk1uMUxOblQ5V3JkK0V0ZVA3OGVUa2NEcTFkdTlaZWIrYk1tWHJ3d1FmVnFsVXJlMTVFUklRbVQ1NnNvVU9INnZiYmIxZDhmUHhWL0FWUUd4MDRjRUIzMzMyM0xNc0tkU2hBbFRDR3c0OVExMmhBY0tTbXBxcGJ0MjcyZE5seEd4czJiTkNHRFJ2S2JaT1ptYWxGaXhiWjAwZU9ITkgxMTE5L3llUGs1dWFxZWZQbWtpNGtIMHVXTEZHZlBuM1V2WHQzclZpeFFpdFdyRkJVVkpRZWUrd3hlNXVkTzNmcWswOCswZWpSbzh2dDcvYmJiMWR5Y3JMR2pSdW5MNzc0b21vbkRSK2hmcTlYZHoyVy9mdjNhKy9ldlg2WFBmbmtrMVU2RHFvbU56ZTMzRzNxQlFVRnlzbko4YnYrdUhIamdoRldqVUxDNFVlb2F6VFVWVTZuYzZqTDVZcFJEV2gzV1ZsWnlzL1BsOVBwbEhUaFZ0U0xPUndPdmZubW16N3owdFBUMWI1OWUzdDYvZnIxaW8yTjlYdU1wS1FrNWVUa0tDc3JTM2ZjY1lja2FkYXNXWHJnZ1FlVWxKU2t0TFEwclZ1M1RuLzYwNS9rOVhvMWFOQWdTZExSbzBjMWZ2eDRqUjgvWHRkZGQ1M2ZmWGZwMGtWSlNVbEtTa3JTQng5OFVQVS9RQTBVSFIyZCtPdGYvOW9wS1dnLzNVUDlYcS91ZWl6MTZ0WFRoQWtUTkhQbVRIbTlYczJaTThkZVo5ZXVYVmQxakdCeE9wMVBCcnNkVkZiNzl1M1Z2WHQzUGZEQUEzcmpqVGZzK1h2MjdGR1BIajIwZnYxNm4vVS8vL3h6alJneFFzZU9IU3UzcjlyeWVsUW5McW40RWV3YURlSENzcXhuSk1XNFhLNWp4cGdQalRGcnYvenl5elJKL245R0J0RGF0V3ZWdFd0WE9Sd1hjcDlPblRxVlc4ZXlySEx6ZCs3Y3FjY2ZmMXlTdEdQSERxMVlzY0puaklWbFdTb3VMbFpFUklUUzA5UFZ0R2xUYmQ2OFdiR3hzZHEyYlp2KzlyZS9hZkhpeGFwZnY3NmVlKzQ1SlNZbXFsbXpabHE4ZUxIZFJiNXYzejROSFRwVUR6NzRvTTZkTzZmNjlldnJ5SkVqcWwrL3ZuMEpScEo2OXV5cEZpMWFWR25nYWszbWNEaWVsM1NYMCtrOEttbXhwTlVaR1JtN0ZNRDJVZGZxc2R4MTExMmFPM2V1bGl4WklrbWFQWHUyUm80Y2FXOTM5dXhaZmZYVlYwcFBUOWVRSVVQVXRHblRTcDl6c0ZpV05TRWlJdUltcDlONTFMS3NoVzYzZTgzZXZYdi9SeUg0bkxoWTQ4YU5sWktTb2xkZWVVVjMzbm1uSk9uSEgzL1UxS2xUTld2V0xFMmNPRkZ0MnJUUlBmZmNJK25DbUt1OHZEdzk5OXh6bWp4NXN2NzR4ejlLa2s2ZlBxMHpaODdvb1ljZThobjhYZnE2MVZVa0hINEV1MFpER0dwdFdkYUxsbVc5NkhRNlQwcGE1UFY2VjduZDdtMzc5Ky8zMzc5ZHpRNGVQT2ozUS81U1RwOCtyY3pNVExsY0xyMzc3cnRhc0dDQmtwT1RmYjZvNHVQajljZ2pqOGpoY0NnK1BsNjV1Ym5hc1dPSFJvd1lvVkdqUm1uU3BFbmF1WE9uTm03Y3FMLy8vZSthTW1XS2poMDdwa0dEQnFsang0NjY3Nzc3MUsxYk4zdmc2ZnZ2djY5WnMyYko0WEJvOE9EQmRvSlV5bCtpVk50WmxuV2JwQmNsdmVoME9rOUkrc2pyOWE2cVY2L2UxajE3OWxScmJmZTZWSS9GNC9Fb0pTVkZqejc2cU0rbHVBMGJOaWdqSTBPUzlOaGpqeWs2T2xxZmZmYVpCZzRjV0gxL3lBRDRxUjJNcjFldjNuaW4wM25Dc3F3UGpUR3JIUTdIOXVwdUIxVzFhOWN1alI0OVd2bjUrWHIyMldmVnMyZFAvZnJYdjFaeWNyS2VlKzQ1VFp3NDBYNXZEaG8wU0QxNjlGRFRwazMxNFljZmF0bXlaZnJmLy8xZmZmYlpaK3JUcDQ4aUlpSTBZTUFBKzdKclhVYkNVWUhFeEVTZFBIblNuaTZ0enhBVEUyTmY1eTg3WUsrMFJzT0pFeWZVdDI5ZmJkKytYVTg5OVZSd2c2NkZMTXRxSmVtWmlJaUlaeUlpSXM0NG5jNmxrbGFjUEhueTgrUEhqeGNGNnJpelo4K3U4RUZvVHovOWRMa3Zka202N3JycnRHREJBalZ2M2x6MzMzKy91bmZ2cnB0dnZ0bG5uWXN2elp3OWUxWi8rTU1mZE1jZGQyamh3b1Z5T0J5YU1XT0dldmJzcWZqNGVQczRnd1lOMHFaTm0zVDgrSEdmdTF6KzdkLytUWU1IRDFhREJnMFVFUkZ4dGFkZDYxaVdkWU4rYWg5ZXIvZTAwK2xjSW1sMWRiYVBZTC9YUyt1eEpDUWthTnUyYldyYnRxMmtDL1ZZc3JPek5XL2VQSTBaTTBZOWV2UlFqeDQ5SkVsLy8vdmY5ZEpMTDluN0tLM0hzbjM3ZHMyWk0wZHQyclJSWVdHaDFxOWZyelZyMXVqRkYxL1VNODg4STYvWHF6MTc5c2psY21uWnNtWDJuVkZkdTNhdFZUMWpQN1dETVpabGpTbHRCNVpscmN6Snlma2lrSjhUL2h3OWVsVE5talhUdVhQbjlOUlRUK2xmL3VWZjdEdkdvcU9qTlhYcVZJMGRPMWFkT25YU3NXUEgxS1ZMRncwY09GRHo1OC9YWjU5OXBuNzkrdW1WVjE3UmxpMWI5TlJUVCttYmI3N1I5T25UbFp1YnExR2pScWxkdTNiQlBKMmdxbkhYeUtyQzVYSVo2Y0wxcytwbWpMRzd1RHQwNktEZHUzZEx1dkFoVkhydExUNCszdWVPaE16TVREMzc3TE5hdUhDaGZ2YXpuOWx2Nk5KZlBZR0lzNnlZbUppQTdqK1lqREdGa2xZYlk1WmFsclhTc3F5QS8vM3dUelc5TFJsakNpM0xXbUdNV1NacDlkVzBqMkMrMStQaTRwU2NuS3pwMDZkTGtsMlB4ZDhkSjJYcnNVeWZQbDBOR3paVVltS2lZbUppTkc3Y09MLzFXTHhlcjk1NjZ5MTE3OTVkdDk5K3V4NTg4RUdmOHltTkt6NCtYcDkvL3JuUEpicXFxQ250bzJ3NzJMSmx5K3JHalJzSDlIaWRPM2ZXQ3krOG9OMjdkNnQxNjlZNmNlS0V0bTdkS2tuS3ljbXhCNUIzNmRKRkhvOUhJMGVPMU1zdnY2eUVoQVE1blU1Tm5EaXh3Z0cvYytmT0xYZlpORkNzRU4zaVJBOUhCWUpWb3dIK1daYmxrTlRpcDE4MmdBL0xzaHpHbUpiR21Pdjk5VVpWUlYycXgrSndPUFRDQ3k5VXVDKzMyNjI4dkR4WmxoV1VMN1pBSzlzT2d2VWd3MjdkdW1uKy9QbDYvUEhIOWN0Zi90S2VIeGNYcDVTVWxITHJUNTgrM1U0b2p4NDk2dmR6UHo0K1hvMGFOUXBjMERWRTdXOXhBUktzR2cyQmtKNmVYaU43cmx3dTEvOUlxdkNua1RHbVFGS3FwT1VlajJmNTNyMTdDMy9hcnZMZkJLaFd3V3hMTHBmcm9LUkwxV3JQbC9TcE1XYlZSZTFqemlXMnVheTZWby9sejMvK3MyNi8vWGIxN05telhOeno1OC9YckZtemZBYTRYbzFBdEErWHk1VXQ2YVpMckpJdjZWTkp5OTF1OTZyU2RuRHR0ZGRlVlR1b3JNaklTUFh2MzErclZxM1NaNTk5WnM4dkxpNVc5KzdkN2VtZVBYdnF5U2VmVkVwS2ltNjg4VWE1WEM1SjhqdDI1dno1ODRFUHZBWWc0YWhBYW1xcXp6WFQwbXU1TVRFeGRuMkdpNHN1bGRab0tIMHpWNlpHUTdnenhweTJMR3VqTVdiSjZkT25QejV5NU1pNVVNZDBwZDU0NHczMTZ0WEw1MWRQcVprelorcUpKNTRvTjMvV3JGa2FPWEtrM3pFamtDU2RrclRKR0xNa1B6OS8zZUhEaDZ2OWt6bFk3L1dLNnJFMGI5N2NycEh4NG9zdjZsZS8rcFc5VFdrOWxxVkxsNWJiWDlsNkxLKzk5cG9lZU9BQlNSZHV4U3k5UytKaWlZbUpTa3hNMU5HalI1V2NuR3pmTlZFTG5ETEdiRFRHZkZSUVVKQVNpSFpRRlMxYXROQ1hYMzZwbEpRVS9lTWYvOUN0dDk1cTkzRGs1ZVg1M1AyelpzMGFud1N2YkIyZlV1RlN3SStFdzQ5ZzFXaDQvdm5ud3pJaE1jYWNrUFNKWlZsTEhBN0gzMEk5NHJ5c3c0Y1BLeWtwU1hQbnpsV3paczE4bHZYdjMxK1NkT0xFQ1VuU0RUZGN1TnF6ZVBGaUxWKytYQ2RQbnRSTk45MmtlZlBtYWRpd1lUNUp4SHZ2dldjbkhJY09IVkphV3BxR0RSdW0yYk5uS3pFeDhaSXg1ZVhsS1RFeFVaTW5UdzZYaDdWOVo0ejVWTktpakl5TWpaTGNnVHBRTU4vckZkVmpTVXhNVk92V3JaV1ZsZVczSHN2RWlSTXJWWS9sMy8vOTM5V2xTeGQ5KysyM2lvdUx1K1I1Zi9mZGQ4ckt5cnJrT2pYQWQ4YVlUeHdPeDRkNzl1eEpWUURiUVZVOC9mVFRPbmp3b0o1KyttbHQzNzVkUzVZc3NkdU4xK3ZWaUJFak5HTEVDUFhvMFVOdXQxdVptWmw2OWRWWDdlM3A0WUNQWU5ab0NETkwzRzUzMHQ2OWV6K1hGSndMcmxYZzlYcjF4ei8rVVdQR2pDbVhiRWovdkVkKzhPREJrbVMvdHFtcHFWcS9mcjNlZWVjZE5XalFRSWNPSGRLRUNSTTBaY29VbjZSajA2Wk42dHExcTc3NDRndTUzWlgvN0d6YXRLbkdqaDJyaVJNbmF2SGl4WFcyTjhRWXMxRFNGeGtaR1ZzVXBQWlIxK3F4Yk5pd1FVNm5VMDJhTkpGMDRRR0YyZG5adXZubW0zMEdzcWFscGRsM3g5UkE4NHd4RzRQWkRxcmltV2VlVWNPR0RkV3FWU3NOR2pSSXI3Lyt1cjNNNFhBb09UbFpvMGVQMWkyMzNLTGk0bUxkY01NTmF0R2loYVFMbCtqSzlxYVZLcnVQdW95RXc0OWcxV2hvMkxCaGRZZGVvNlducDc5eCtiVkM1NHN2dnBCbFdici8vdnY5TGs5S1N0S3hZOGQwOU9oUlNSZCtxYlJ1M1ZwZXIxY2xKU1VhUFhxMHZGNnY2dFdycDNQbnppa3JLMHZGeGNWMkRZVDMzbnRQTjk1NG96NzU1QlA5K09PUDltREIwbHNmcFF1RnFIcjE2bFh1MkxHeHNXclNwSWxTVTFQMThNTVBWL2VwMXdnWkdSbVRnMzNNdWxhUDVTOS8rWXRQdWY3Qmd3ZHJ3SUFCUHV0NnZWNjFiTmxTZi9yVG42cDAzc0dTbnA0K0lkUXhYRXBwd2E4cFU2WW9MaTVPclZ1M1ZsNWVucjI4WGJ0Mm1qaHhvcVpObTZaNzdybkg3Z2tyN1NFdC9mZGkvZnYzMXhOUFBLR0hIbm9vd0dlQUsrSnl1WXpMNVRLQjRQVjYvYzZmTjIrZTMyVWVqOGZzMzcvZkdHUE13WU1IemZIanh3TVMxNldVL2oxQy9icFV0MEMrem1XTkd6Zk9MRml3b01MbC9mcjFNMTZ2MXd3Wk1zUTgvdmpqOWp5UHgyT2VmdnBwYy9qd1lYUGd3QUh6NUpOUG1oOSsrTUVZWTh5aVJZdk0rKysvYjlxM2IyL1MwdExNYTYrOVpvWU1HV0x2MCtWeUdiZmJYYW40RmkxYVpKS1NrcTdpREN1dk5yV2xxMjBmd1hpdkZ4WVdtazJiTmhsampQbisrKzlOVGs2T2VmbmxsODNtelp1TngrUHhXVy9ObWpWbTl1elpQdHU3M1c1VFdGaDQyYlpTV0Zob3pwdzVjOWw0cmxaTmJCOEJQMmxqekFNUFBHRC8vOGlSSTZhd3NOQzg4Y1liSmk0dXpyejg4c3MrNnhZVkZabFRwMDZGNUx2Z2NrTDFHdEhEVVlHS2JsTXVXL212TElmRFlRL1VDcFByN0hWT1ptWm1oYjgrU3VYbjU2dHg0OGJLejgrMzU3MysrdXRxMWFxVldyUm9vV2JObXVrM3YvbU5oZ3dab2ovLytjL2F0MitmM1dNUkd4dXJqejc2NklvclBMWnIxNjdPUERlbEpnbkdlLzJhYTY2eGY3bVdqdjJaTkdtUzMvVisvL3ZmbDVzZkVSSGhjNGZMcFk2RHdQbnd3dy90LzVmMmFMM3d3Z3QrYjBWdTJMQmgyUFZpWDA3ZHZCZ01YSUd5aFhzcXNtL2ZQdDE2NjYycVg3Kytzck96bFplWHA0S0NBc1hGeGVubGwxK1dKQTBkT2xURGh3OVhTVW1KT25YcTVGTTVjTUtFQ2ZydGIzOTdSZkZkZi8zMXlzM052YUp0QVZ5OWl5c0xvMnJvNFFCK1lzcFVuS3pJd29VTDlmampqK3RYdi9xVkprNmNxS1pObTJyU3BFa2FOR2lRQ2dvSzFMMTdkeFVVRkdqWXNHRnEyN1p0dVlGNStmbjU5bUREVW1YSGNNeVlNVU50MnJTcHZwTUNnQnFDaEFQNFNjdVdMWFhxMUNuZGRGUEZOWWQ2OSs2dCsrNjdUNVpsNlhlLys1MzY5Kyt2T1hQbTZMdnZ2dE84ZWZOMDU1MTNhdWpRb1JVK0NmaTIyMjd6cVVZWUV4T2pkZXZXVmVvNUtTZFBudlFwWXcwQXRRa0pCL0NUdSsrK1cvdjM3OWU5OTk1YjRUcHo1ODdWM0xsejdXbTMyNjN2dnZ0T2YvM3JYL1g2NjY4cklTRkJVVkZSVlhyVWVXWHQzNysvd29KT0FGRFRrWEFBUDBsSVNOQ1NKVXYwMkdPUFZiak94VlVDKy9mdnI4bVRKOHZyOWFweDQ4WjYrKzIzL1ZZU3JBNGJOMjVVdjM3OUFySnZBQWcwRWc3Z0p3OC8vTEJtejU2dFBYdjJWUGcwekl2dk1QRjRQRXBKU2RISEgzK3MrKysvWDZOSGo5YjA2ZFBWc21WTERSNDhXTGZjY292UCttV2Z0VkNxN0JpTzFxMWJhL2JzMmVYV1NVOVAxdzgvL0ZCbmEzQUFxUHRJT0lDZjFLdFhUNis4OG9xbVRKbWllZlBtbGJ2RjBGOXA4YXlzTEowNmRVci85Vi8vWlJkcGV2UE5OM1hpeEFsZGUrMjE1WTdoNzJtU2wzUDI3RmxOblRwVmt5Wk5xdFJZRHdDb2lVZzRnREx1dmZkZXpaczN6K2ZSNHFYODFWeTQ4ODQ3N2NxRFpaWFdXaWkxZS9mdUs0NHBNakpTOCtmUHA4WUNnRnFOaEFPNFNFMzdZcTlYcjU3UHN6TUFvRGFpOEJjQUFBZzRmamFoMXFob0lDY2cwVDZBbW80ZUR0UUdtYUVPNEVxRThCbEoxZVZncUFPb3BGclpQdXFBbXRZK2FBZVZFN0xYN2RKMW5HdTRtdmEwd3BvaVBUMjlWcit1ZFVWMGRIUXZoOE54UTNwNitxeFF4NEthcC9UemkvY3J3a1d0N3VFd3h1d0tkUXcxRUZsK0RXRlpWajlKdlVNZEJ3RFVCR1RXUUFERXhNUmNZNHc1S2NsUldGaDQvYUZEaC9JdnV4SENDajBjQ0RlMXVvY0RxS25jYnZkRGtxNlIxTEJ4NDhiL0w5VHhBRUNva1hBQUFXQlpWcDh5azMwcVhCRUF3Z1FKQjFETmZ2R0xYelJ3T0J4bGV6VzYzSExMTFkxQ0ZoQUExQUFrSEVBMWE5eTRjV2RKWlIrazByaFZxMWE5UWhVUEFOUUVKQnhBTlhNNEhPWHVUUG5wamhVQUNGc2tIRUExaW9tSnFTK3B2NTlGWGR1MWExZitpWEFBRUNZb2JRNVVJNC9IMDhuaGNEVDNzNmhwZ3dZTmVraGFFZXlZVURzWll6WkplaWpVY1lUUUxzdXlZa01kQktvUFBSeEFOWEk0SEpjYXErR3Y1d09vU0Rnbkc1TFVNZFFCb0hxUmNBRFZKOElZTTdDaWhjYVlCTkdyQ0NCTWtYQUExU1E2T2pyV3NxenJLMXB1V1ZiejZPam8zd1l6SmdDb0tmaTFCVlFUeTdKYUdtTVdsWmtlS0VsbDV6a2NqZ29URWdDb3k2amhEd1FJejhyQXBWeXVmUmhqd3Y1cDJKWmw4ZDZwUTdpa0FnQUFBbzZFQXdBQUJCd0pCd0RVY1hsNWVTb3VMdmE3TENZbVJoNlB4Kyt5ZGV2VzZjeVpNL1owVmxhV2lvcUs1UFY2Tld6WXNJREVpcnFMaEFNQTZyZ3BVNmJvdmZmZXEvSjJicmRiZ3dZTlVscGFtaVRwK2VlZlYxRlJrWXd4eXN6TXJPNHdVY2R4bHdvQTFIR2pSbzNTOE9IRDllaWpqK3EyMjJTWlY3c0FBQU5lU1VSQlZHNnI5SGE5ZXZWU216WnRGQkVSb2ErLy9scloyZG5xM2Z1Zmp3cnEzTG16L2Y4SkV5WW9JU0doV3VORzNjSUlZQ0JBdUVzRmx4THN1MVNtVFp1bXc0Y1BhOXEwYWVyUW9ZT3V2ZmJDQTQzUG5EbWo2NjY3VHBKVVZGU2tIVHQyU0pKeWMzTzFiOTgrZGVuU1JaSTBkZXBVdFczYlZyMTY5WkxINDFISGpoMjFaOCtlNmd5eEhPNVNxVnZvNFFDQU1KQ1ltS2lUSjAvYTA2bXBxWkl1ak9IWXVIR2pKQ2srUHQ1ZS92MzMzMnZTcEVrNmNlS0UrdmJ0cSszYnQrdXBwNTRLYnRDb1V4akRBUUJob0ZHalJsVzZuQklWRmFVWk0yWm96cHc1T25YcWxKWXVYYW9tVFpvRU1FTFVkZlJ3QUVBWXlNek0xSXdaTXpSejVzeEtieE1WRmFWVnExWXBMUzFOVTZaTWtTUVZGeGNyTWpKU2taR1Jpb3VMVTJSa3BMMys1czJicXoxdTFCMGtIQUFRQnJaczJlTFR3MUYyZ09jamp6emlkNXV6WjgvcTAwOC9WZS9ldlpXUWtLRHo1OCtyYytmT2RtSVJFeE5qai9rQUxvZExLZ0FRQmxKVFU5V3RXemQ3ZXVQR2pmYllqUTBiTm1qRGhnM2x0c25Nek5TaVJmYWpnSFRreUJGZGZ6MlBBOEtWSWVFQWdEb3VLeXRMK2ZuNWNqcWRrcVMzMzM2NzNEb09oME52dnZtbXo3ejA5SFMxYjkvZW5sNi9mcjFpWTJQOUhpTXBLVWs1T1RuVkdEWHFHaElPQUtqajFxNWRxNjVkdThyaHVQQ1IzNmxUcDNMcldKWlZidjdPblR2bGNya2tTVHQyN05DS0ZTczBlUEJnbjIyS2k0dmw4WGlVbnA2dXBrMmJCdkFzVU5zeGhnTUlzT2pvNkdkREhRUEMyOEdEQnpWcTFLZ3FiWFA2OUdsbFptYks1WExwM1hmZjFZSUZDNVNjbk93ekRpUStQbDZQUFBLSUhBNkg0dVBqMWJCaHcrb09IWFVJUlZXQUFIRzVYT2NsUlY1MlJZU3prdlQwZEw5dHBMb0xmeGxqNUsrTzF2ejU4elZzMkxCeXk3eGVydzRlUEtoNzdybEhodzRkVXBNbVRYVHp6VGRYWjBpWFJlR3Z1b1VYRXdnUXA5UFoxN0tzK011dmlYQmxqRW5QeU1qNG9JSmwxWnB3MUVZa0hIVUxMeVlBMUVBa0hDUWNkUTJEUmdFQVFNQ1JjQUFBZ0lBajRRQUFBQUZId2dFQUFBS09oQU1BQUFRY0NRY0ExRXk3UWgxQWlHV0dPZ0FBQUFBQUFBQUFBQUFBQUFBQUFBQUFBQUFBQUFBQUFBQUFBQUFBQUFBQUFBQUFBQUFBQUFBQUFBQUFBQUFBQUFBQUFBQUFBQUFBQUFBQUFBQUFBQUFBQUFBQUFBQUFBQUFBQUFBQUFBQUFBQUFBQUFBQUFBQUFBQUFBQUFBQXFKbitQeTJFeE14V0VoRXFBQUFBQUVsRlRrU3VRbUNDIiwKCSJUaGVtZSIgOiAiIiwKCSJUeXBlIiA6ICJmbG93IiwKCSJWZXJzaW9uIiA6ICIxNCIKfQo="/>
    </extobj>
    <extobj name="ECB019B1-382A-4266-B25C-5B523AA43C14-3">
      <extobjdata type="ECB019B1-382A-4266-B25C-5B523AA43C14" data="ewoJIkZpbGVJZCIgOiAiMjExMzk0NjgxMTYxIiwKCSJHcm91cElkIiA6ICIxMjM4MDY5Nzc1IiwKCSJJbWFnZSIgOiAiaVZCT1J3MEtHZ29BQUFBTlNVaEVVZ0FBQXZNQUFBRHhDQVlBQUFCR1VqajFBQUFBQ1hCSVdYTUFBQXNUQUFBTEV3RUFtcHdZQUFBZ0FFbEVRVlI0bk8zZGQzZ1UxZm9IOE8vTUpodENpVFFSNVhxUm92U3lHNG9VS1ZJdVVTUnc0U0lZUUVHS0ZQRXFBb3JneFhBUks2R0VGaUpTUkNRVVJhcFNKSUtHY3NtU2hDREZRSVFBS2hBaFBkbmRPYjgvd3M0dnk2WW5XL1A5UEE5UGRzL016cnk3Nyt6eTd1eVpjd0F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ydVFuQjBBa1NjVFFod0U4TFN6NHlpbUU1SWtkWFIyRUVSRVJGUjhMT2FKN0VnSUlad2RRMGxJa3NUUEJDSWlJamNpT3pzQUlpSWlJaUlxSFJielJFUkVSRVJ1aXNVOEVSRVJFWkdiWWpGUFJFUkVST1NtV013VEVSRVJFYmtwRnZORVJFUkVSRzZLeFR5Umk3cHk1UXBtekppQm5qMTdvbE9uVG5qbGxWZHc3ZHExZk5jZFAzNDgvUDM5a1pHUjRlQW9pWWlJeUpsWXpCTzVxTWpJU0xScjF3NDdkdXpBN3QyN29kVnFNWHYyYkp2MXZ2dnVPeVFtSmpvK1FDSWlJaUlpVHliS3dHdzJXOTAvZHV5WThQZjN0MnJQeU1nUUFRRUJZdVBHalVLdjE0djA5UFN5N05LdEpyZ2lJaUlpbnBrbmNsbXliUDMyVEU1T1JvMGFOYXphdzhQRDBiNTllN1JxMWNyUjRSRVJFWkVMWURGUDVBWk1KaE0yYnR5SXdZTUhxMjFYcmx6Qk45OThnNmxUcHpveE1pSWlJbkltRnZORWJtREJnZ1dRWlJsanhveFIyejc1NUJPTUhqMGF0V3JWY21Ka1JFUkU1RXhlemc2QWlBb1hFaElDZzhHQThQQndhTFZhQUxrWHgxNi9maDNEaGcxemNuUkVSRVRrVEpLekF5RHlaR1c5cURRME5CUS8vUEFEVnExYWhkcTFhNnZ0MDZaTncvSGp4NkhSYUFBQWlxSWdJeU1EVmF0V3hRY2ZmSUJPblRxVmFuK1NKUEV6Z1lpSWlJZ0lLTnRvTml0WHJoUkRoZ3dSdDIvZkxuTGQyTmhZam1aRFJFUlVBYkdiRFZFNWFkcTBhUzBmSDU5R3NpeHJEQVpEVkZtM0Z4WVdCZ0RvMDZlUFZYdFVWSlRhM1lhSWlJZ3FOdjZrVGxReWNvc1dMZjZtMFdnYXk3TGNTSmJsNWdCYUN5R2VraVRKV3doeFdWR1VwMkppWXE0QlplOW00MmpzWmtORVJPUmVlR2FlcUFCdDJyUjVRcVBSTkJGQ1BDNUpVa3NBclFDMEFPQjcvN3FTSk9IK1FwNklpSWpJM2xqTUV4VkFsdVh4QUtZVjUyUzFFT0t5Mld6dUZSc2J5MEtlaUlpSUhJYmp6Qk1WUUpibFR3RmtGcldlNVl4OGJHenNaUWVFUlVSRVJLUmlNVTlVZ0ZPblR0MFFRaXd1YkIxMnJTRWlJaUpuWWpGUFZMaVlnaGF3a0NjaUlpSm5ZNTk1T3hKQ0hBVHd0TFBqS0tVVGtpUjFkSFlRanRhaVJRdXRWcXR0WmpBWVlnQkFrcVNMK2EzSFFwNklpSWhjQWMvTTI1ZTdGdklBME1IWkFUaWFUcWQ3VUt2VkpnRTQxTGh4WXg4QWlJNk9QZ1VnUUFpUlpsbXZoSVg4Q1R1RmF3OW5uQjBBRVJFUmxReUxlYXF3MnJadFc3MXQyN1l2UGZMSUk1VUJ3R0F3M0FTUUtFblM5V3JWcWpXeXJCY2RIYjBQd01kQXljL0lTNUxVVWJvUGdFTjJlRHJsb1dXZXlXQ1BPenNZSWs4aGhEaFlwcW1aN2UrbUVPSlJaNzlPUkZRNjdHWkRGWllzeTFzQjlLcGJ0NjcyK3ZYcllRQ1FtcHJhKzlkZmYwMjVmOTJjbkp4UUh4K2ZnWXFpUEZjT1hXdmM0UmViQ3ZmTERKRWR1ZnA3dmphQUFRQ1dPVHNRSWlvNUZ2TlVZYlJ1M2JxalJxUHhNUmdNUDk1cldnMUFWaFJGTGM3eksrUUJJRDQrUGhsQWV3Qm0rMGRLbms2NDV2VTB0d0RvSlVtNjZ1eEF5Q2tTbkIxQVJlYWlud24zNDJlRWkrTFU3WFlraEJET2pxRXNwT0xNbHVRbTJyUnAwMStqMGV3RUVCY2RIZDBHZ05OeTR5N0hoU2ZsMzlXNDhERXdSWklrbnAwdFp5NmM3N3dDSkVuYTUrd2dLaW8zT1VZQWZrYTRKUGFaSjArbUh0L3A2ZW43aFJCbkZVWFoxN2h4WTYwemd5SnlZVHc3UzBTRjRXZUVDMkkzRy9KSXpabzFlN2hTcFVvN2hSQlRUNTgrL2ZPdnYvNmFEYUNGcytNaUlpSWlLazg4TTA4ZXljZkg1OStTSlBuTHN2eGZaOGRDUkVSRVpDOHM1bDJNb2lnNGZmbzBQdjMwVTVoTUpwdmxWNjVjd1l3Wk05Q3paMDkwNnRRSnI3enlDcTVkdTJiMStKQ1FFUFRzMlJNOWV2VEFraVZMNEQ1ZDhjclA2ZE9uM3hGQ2ZHbzBHZ2M3T3hZaUlpSWllK0VGYm5aVW1ndGErdmJ0QzBtU2NPdldMVVJGUlVHcnRlN2V2V0hEQnZqNCtLQmZ2MzR3bVV5WU8zY3VVbE5UOGZubm53TUExcTVkaTUwN2QyTFpzbVhJeU1qQStQSGpNV1hLRkF3Y09MREU4YnZwQlpBeUFNWFpRUlRHWFM1MGN0UDh1d1VYUGdaNEVhUWR1SEMrODJMdW5jaE5qaEdBeHdsVk5LV1p1ZU9YWDM0UnNiR3hRcS9YaSt6c2JKdmxaclBaNnY2eFk4ZUV2NysvMnY3TU04K0luVHQzcXN0RFEwUEYyTEZqU3hPS3UzeXdxSFE2WFhPOVhuOVJyOWMvNyt4WUNsT3FaQWdoYnQyNkphWk5teWE2ZE9raWV2YnNLWll0V3lZVVJiRmE1OEtGQzJMQ2hBbWlVNmRPb252MzdtTC8vdjJsM1ozYjVkK2R1SER1K3puN3RmRkVwVW1FbzkvdnpMMXpsVFpwUEU0SVlEY2JsOU8wYWROQ2w4dXlkY3FTazVOUm8wWU55TEtNMjdkdjQvZmZmMGVyVnEzVTVjMmJOOGZGaXhmdEVxc0xlaDFBWTdqK1dMMmw4dnJycjBPajBXRFBuajFZdDI0ZERodzRnRzNidHFuTGs1S1NNSDc4ZUR6NTVKTTRjT0FBSWlJaTBLUkpFeWRHVE9XRnVhOTRtSE1xRGg0blJIWlcycSs5aFoyWno4dG9OSXFnb0NDeFlzVUtJWVFRNTg2ZEUzcTlYcVNrcEtqclJFZEhDNzFlYjNOR3Z6aWMvZnFWMUdPUFBWWkpwOU9OYk5teXBVdFBTMTdpUkFnaGZ2dnRONkhYNjhXTkd6ZlV0bjM3OW9tZ29DRDEvdHR2dnkxbXo1NWRtczNueTltdmt5ZHo0ZHp6ckpzZGxEUUp6bmkvQytiZXFVcVRNQjRuWk1FejgyNXN3WUlGa0dVWlk4YU1BUUNZemJtVGsrWTlleS9MTWlwSzErZkV4TVFzZzhHdzRjeVpNeDQzTzExMmRqWUFXT1d5Um8wYVNFaklIZkxYYkRiajhPSERHREJnZ0ZQaUkvdGg3aXNlNXB5S2c4Y0pXYkNZZDFNaElTRXdHQXhZdEdpUmVwR3NuNThmQU9EdTNidnFlbmZ1M0VIMTZ0VnR1dWVRZTJuWXNDRWVmdmhoTEYrK0hLbXBxYmg1OHlZKy8veHo1T1Rrd0d3Mkl5a3BDZG5aMmZqamp6OFFHQmlJVHAwNllkS2tTZmp6enorZEhUcVZFWE5mOFREblZCdzhUc2lDRlo0YkNnME54ZEdqUnhFV0ZvYWFOV3VxN1k4ODhnaXFWYXVHczJmUHFtMW56NTVGeTVZdG5SR21RN1Z0Mi9ZMXZWNS9RNmZUdmVYc1dPeEJvOUZnMGFKRnVITGxDbnIzN28wSkV5YkEzOThmV3EwV0dvMEc2ZW5wQUlDWW1CaHMyTEFCdTNidFFrNU9EdDU3N3owblIwNWx4ZHhYUE13NUZRZVBFeUlIS0cySHRNTDZ6SzljdVZJTUdUSkUzTDU5TzkvSGZ2TEpKMkw0OE9IaTVzMmJJaUVoUWZUdTNWdjgvUFBQcFlyRDJhOWZTYlJ0Mi9hL2VyMWU2UFg2ZDV3ZFMxRktsWXg4Yk4rK1hUei8vUE5DQ0NFdVhib2s5SHE5dUhuenBycjh5SkVqb2wyN2RxVzZYa0lJOThxL3UzSGgzTE0vckIyVU5kOTJ6cmtGYys5RVpUOUNjdkU0cVppOG5CMEFXZlAzOTFkdmQrclVTYjE5NnRRcEFFQllXQmdBb0UrZlBsYVBzNHhKUDJYS0ZNeWZQeCtCZ1lHb1ZxMGFKa3lZWUxXZHN0THI5UWZob3FQRkNDRWdTZEovOVhxOVM4MzZLb1E0WVRBWU9wYjNkdmZ2MzQ5dTNib0JBQjU5OUZGVXJsd1phV2xwcUYyN05vRGNmcFErUGo3bDFzWEtsWFB2cXBqN2lxdThjKytvbkRQWGppZUVPRkZlMjdMM2NmTHFxNi91MWV2MTVSV3V4N0RYWjMxeHNaaDNNWmFpdmJUTGZYeDhFQndjak9EZzRQSU1LeStYL1pCMzFRdDlKVW5xVUI3YmlZbUpRY09HRFNHRXdJWU5HM0RwMGlVc1dMQUFBT0RsNVlVQkF3Wmc0Y0tGQ0E0T2h0Rm9SSGg0T0FJQ0FzcGoxeFl1bTN0WHhkeFhYR1hOdlJOenpsdzdXRm1PRlJmNGJDQ1UzMmQ5YWJHWXAxSXA2a3NGNWNyN1MwdFpSVVpHWXNxVUtlcDJWNjllalFjZWVFQmQvdHBycitHamp6N0NjODg5QjQxR2czLzg0eDk0NDQwM3ltMy9Gc3g5OFREM0ZWZDU1TjdaT1dldUhhT3N4NHFqajVPbFM1ZVdLVjVQVko2ZjlhWGxtcWN5UFlRUTd0M3ZXTXJuVkxkZXJ4Y0FQK2lMeS9JbWo0Nk9WbDlMZHprdTdzOC9jMTh5K2VYZXdvV1BnWHluYW1mdVMrYiszTHR3dnZNS2tDUnBIM1B0V0paamhhKzMreXJzczk1Uk9Kb05FUkVSbFl1dnYvNGExNjVkYzNZWTVTNDdPeHZoNGVFQWdKeWNIUFUya1N0Z054c2lJaUlxcytUa1pJU0dobUw3OXUyNGRlc1doZzRkYXJWY0NJR1VsQlQxTFBRMzMzeURlZlBtRlh2N2xzZTFiOSsrV090WHIxNGQrL2Z2QjFEOHJoQlBQUEVFTm0zYVpOT2VtWm1KRlN0V1lPellzY2pPemxadkU3a0NGdk5FUkVSVVptdlhyc1d3WWNQVVB0dUhEaDJ5V3I1bzBTTGN2bjFidlI4WUdJam5ubnNPQU5DaFF3ZEVSa2JDMTlkWFhaNWZHd0FvaW9LREJ3OUNraVNyL3VFV0JvTUJUWm8wUWVYS2xkVzJFeWVzQjR5NWNlTUdBZ01EYmRwZGRTQUZvc0t3bXcwUkVSR1Z5YlZyMXhBWkdZa1JJMFpneVpJbGlJNk9WcGNwaW9LbFM1Zmk0TUdEbUQ1OXV0b3VTUkkwR2cwMEdnMEFRSlpsOVg1K2JmZGJzR0FCM24zM1hSaU5SclV0SVNFQnI3MzJHbjc1NVJlcmRmTnVWNlBScUVNekZ0UU9BRE5tek1EUFAvOWM1SE5mdm53NSs3eVRVN0dZSnlJaW9qTDU4TU1QTVduU0pGeS9maDJIRGgxQ2t5Wk5BT1NlQVgvdHRkZXdkdTFhTkc3Y0dDYVRxZHoyT1hmdVhOeTlleGVUSjA5R1dsb2FVbEpTTUgzNmRJd2JONjVjUmhoNTRva244TVVYWHhTNlRsWldGalp0Mm9RNmRlcVVlWDlFcGNWaTNyN0tiU0lJSnpqajdBQ0lQSmdyZmpiY0FYRFIyVUdRKzhuSnljR2xTNWV3Yk5reUJBVUZZZjc4K1VoT1RrWklTQWhlZU9FRjFLdFhEN3QyN1VMSGpoMHhldlJvZlBYVlYxQVVwY3o3clZTcEVoWXVYSWc2ZGVwZzdOaXhlT09OTjZEVDZUQnk1TWh5ZUZiQVAvLzVUeGdNQmlRa0pCUzR6cUZEaDlDeVpVczgrdWlqWmQyZEszNG1rSnRnbjNrN2tpVEphYk9CRVpIcjRtY0RlUkt0Vm90ZHUzYmg0NDgvUm9NR0RmREVFMC9nazA4K3dSTlBQSUZ2di8wVzFhcFZBd0FNR3pZTXp6NzdMTUxEdzNIMTZsWDg4NS8vdE5yT1UwODlaYlB0dkczang0L0hoQWtUckpack5Cck1tVE1IZ3dZTnd1WExsekZuenB4eWUxNDFhOVpFdDI3ZHNHWExGcnp5eWl2NXJoTVJFWUZSbzBhVmVWK3UrSm5BWVVyZEI0dDVvbnljUFhzV3pabzFzOWZGVUNjQU9IVzJ1R0tvc0wvTTJEbjNWREc1K251K3pML0tMRnEwQ0NkUG5zUkREejJFRHo3NEFJTUdEY0xVcVZPeGJOa3ltM1huelp1SCt2WHJxMFZpVGs0T09uWHFoQk1uVGxqMWpmZjM5OGVSSTBlc0xtUzlYMFpHQmw1Ly9YVTBhdFFJM2J0M3gvang0N0Y4K1hJMGF0U29MRTlIOWR4enoySFdyRm41RnV4bno1N0ZyVnUzMEtOSGozTFpGLzAvUlZIVTZ4ZHljbktnMVdxZEhKRnJZemNiY3FqTXpFejE5dkRodzNIMzd0MTgxMU1VQmN1WEw4Zk5temR0bHBuTlpxU2twT0RxMWF1SWk0dkREei84Z0V1WExwVnJuQ05IanJTNnFLbzhTWkxVVVhKOXJjcjdlZHM3OTl1MmJVTjZlbnFaNDdSbjd1bi9DU0V3YXRRb3hNVEVBQUJTVWxMdzRvc3ZGdnFZNDhlUFc3M1hKMDJhWkxVOE9qb2F2Ly8rT3dBZ1BqNGVzYkd4K1c1bjRzU0paUW05eENUWGY4L1hrQ1NwNEw0a3hYRHo1azIwYU5FQ2tpU2hlL2Z1YU5hc0dRNGRPcVQrdTN2M3JucTdTNWN1Tm8vMTgvUEw5eUxYd2x5N2RnMWp4NDVGMWFwVnNYRGhRc3ljT1JOOSsvYkZ1SEhqY083Y3ViSThIVlduVHAwd2N1UkltTTFtbTJWR294RlRwMDYxdW1pV1NtN1pzbVU0Zi82OGV2LzI3ZHZvMDZjUFVsSlNjUERnUVV5YU5NbW1XOWFGQ3hjY0hhWkxjK3N6ODBLSWd3Q2VkblljZG5CQ3N2TlBianFkcmhjQWs4RmcrQWxBK1YyUlZJamZmLzhkSTBlT3hIZmZmUWRabG5IaHdvVkNMNGFTSkFuRGh3L0gvUG56Y2ZueVpheGF0UXBHb3hHU0pDRWpJd09OR2pXQ241OGZxbGV2am9DQUFEUnMyRkE5dzFPMWFsV3JiYVdscFZtMXBhV2wyWndGS2tyZU13WHV6Qk56WDc5K2ZjVEh4MlBkdW5YNCtPT1BzV0xGQ3Z6dmYvOHJjUHRIang0dFVmek1mZm43My8vK2grdlhyNk5aczJZQWNndWpNMmVzZnhCS1NFaXdPc042K2ZKbHZQbm1tNWd5WlFxZWYvNTV4TWZIcTh1aW82TXhjK1pNTEZ5NEVIWHIxb1dYbHhmZWZ2dHRQUFBNTXhnL2ZqdysrK3d6akJzM0RvRHRNSVdleU5HNW5qOS92bnI3eXBVcnVIWHJGaDU2NktGaVBmYllzV05vMGFKRmlmYVhrSkNBYWRPbW9YLy8vbmpqalRmVTkrZTBhZE9RazVPREdUTm1ZUHYyN2ZEeUtsdVpvOUZvTUc3Y09OeTVjOGRtV1pzMmJjcTBiVWR4cGZkOWZ0cTJiWXNwVTZiZ3JiZmVRcTlldmJCOSszWjA2ZElGZm41KzZObXpKL2J0MjRlclY2K2lmdjM2QUhJbjhKbzllemJhdEdtREdUTm1vSGZ2M2dWdU95MHREUzFhdE1ENjllc2Q5WFNjd3EyTGVYaG1JUTg0NXVmWUFFbVNwdWwwdW1RQW13RnNUMDFOUGZMcnI3OW0yMnVIMjdadFEvZnUzWXRWRk1teWpJa1RKK0x4eHg5SFZsWVdCZzhlak1EQVFQajYrcW9GZTBSRVJJR1BqWXlNVk8rYnpXWjF2R0tMNG94MEVCTVRvMDVPc25idFdpUW1KbUx1M0xsRlBzNE5lR1R1MzMzM1hYejExVmVJalkzRm9rV0x5aFF2YzI5L0d6WnN3SWdSSXdyOCtmenc0Y09ZTldzV0lpSWk4TGUvL1ExQWJwL3JWcTFhNGNjZmY3UlovNmVmZnNKNzc3MkhWcTF5ZjFScTBxUUoxcXhab3g0cllXRmhhakVQNUhiUGlJbUpRWFIwTkVhT0hBay9QNy95Zm9yTzVyQmNHNDFHckZ1M0RtZlBuc1c1YytmdzBFTVA0YzAzM3l4V01YL3AwaVdzV0xFQzc3MzNYb24yMmFoUkkzenl5U2RvMTY2ZHpiSzMzbm9MU1VsSlpTN2tQWWpMdk8vejA2VkxGNFNFaE9EYXRXdkl5TWpBcGsyYklFa1MrdmZ2cjY0emVmSmtBRUNWS2xXd2VmTm1yRm16QmxPblRzWG16WnV0L20vUHkvTC9oYWNYOG9EN0YvTlVScElrMVFRd0VjQkVQeisvRkoxT3QxVUlzZTNQUC84OGZQMzY5WXp5Mms5S1Nnb2lJaUtRa1pHQkhUdDJxTzM5K3ZXeldmZjk5OTlIOCtiTm9kRm9yTDV4ZTN0N2wxYzRxbDI3ZHVHRER6NVE3MHVTaENOSGpnQUFObS9lalBidDIyUHIxcTNZc0dFRGxpOWZYdTc3ZHlaUHluMXljaks4dkx3d2JOaXdZc2ZGM05zLzl3V0pqNC9IVHovOVZPQVhwRE5uem1ET25EbVlOV3VXV3NqZlA1dm9wazJia0o2ZWpuYnQycUYrL2ZyUWFEUTRjdVFJRmkxYWhNYU5HNk56NTg1NDVwbG5yTHJpN051M0R3YURBVUR1RjRPMmJkdmloeDkrd1BEaHcrM3pSRjJBSTNMdDdlMk5TcFVxSVNnb0NLMWF0WUpXcTBXZlBuMXMxc3ZiRmg0ZWp0T25UMlBod29VWVAzNjhUZGVid21pMVdnUUVCQlJyM2UzYnQxc1ZoZmZMNzhST1dGZ1lUcHc0Z2ErKytzcXF2V3JWcXVqZXZidk5iWXVDaWtwWDRlejNmWDZ5czdOeDZkSWx0R3paRWkxYnRzVGl4WXVSbXBxS2t5ZFBxdXY0Ky92YlhJUmJ0V3BWTEZ1MnpDNTFnVHRpTVU5NStVbVNORWFTcERGMTY5Wk5yMXUzN2plS29tek56TXc4ZVA3OCtkU3liSGpac21YbzBxVUwzbi8vZmJYTjM5OGYrL2J0UTYxYXRXelcvK2FiYjdCbzBTSk1tVElGT3AwT0kwYU1zRm1uVTZkT1Z2ZWpvcUlBNUhhSmVQcHAyeDl0OG12cjM3Ky8ra0YvNmRJbHZQMzIyK3F5czJmUDR2MzMzOGZQUC8rTTFhdFhvMkhEaHNWOHRtN0pyWFAvK3V1dlkvWHExWmc1Y3licTFLbGowNWM2UDBlUEhtWHVjOWt0OS9rUlF1RGpqejhHa1ArWHRPUEhqK1BOTjkvRTVNbVRyWXF3aUlnSVhMdDJEVkZSVVRoNThpUUNBZ0t3WnMwYVRKZ3dBVC84OEFOYXRXcUZqaDA3b21uVHB0QnF0WmcrZlRxKy9mWmJ6Snc1RTFPblRvV2lLRGgxNmhUMGVqMjJidDJLYjcvOUZnRFFxMWN2K1BqNGxQZlRkRlYyeS9YOTc5UDkrL2NYK1pnYk4yNWcwYUpGME9sMCtTNGZQMzU4dnNlSTViTyt1RW96R291L3Y3L0RyNjF3TUllKzd3dHk0Y0lGVEowNkZXKzg4UVlhTldxa3ZpOExFeEVSZ1FjZWVBRC8rTWMvQU1DbWEyMWFXbHFKanhGM3gyTGVUYlZ0MjdhSEpFbDZBRm9BM3BhL1FnaXRKRW5lQUx3bFNiSmFsdWV2dHhEaWlTSjJVUVZBa0N6TFFWV3FWTW5TNlhTN2hCRDU5MnNwd2s4Ly9ZVHZ2dnNPbXpkdkx2WmpCZzRjaUFZTkd1REREejlFcjE2OXJONllscC9PQ25xenlySnNOWTI0cFp0TjNyYjh6c2JzMmJQSDZzelI2Tkdqc1dUSkVuejk5ZGVvWGJ0MnNXUFBqMTZ2TndGUUFKaUVFSW9rU1NZaGhGbVNKRE1BcytWMlFXMEFUSG1YMzJzejM5OG1TWklwbjhmZXYrM09SWVRybHJtdlc3Y3U1cytmankrKytBSkhqeDdGMjIrL2pUWnQyaFRyYkQxenJ5cTMzQmRrNDhhTmhWNHY4ZWFiYjJMbXpKbFdoZnlGQ3hjd2MrWk1OR2pRQUgzNjlFRmdZQ0E2ZCs2TXRXdlhZc1NJRVFnS0NzTG5uMytPdUxnNGJOeTRFVWFqRWN1V0xVTklTQWd5TXpNUkVSR0JIajE2NEoxMzNnRUF6SjQ5VzkxMmRuYTIzWXA1dlY1dktpQ1hKdngvYmt4NThtNjVuZmNZeWU5MjNseWI4dVRhY3RzRTRNa2l3ck43cm92eTVKT0ZoM2ovTUpTZVRLL1hHL1BrMW9UY1hKc0FHSkY3M05pMDM4dTNaWm54WHU2TmxuWHZyV2U2VnlzVXhtbkhRcXRXcmJCaXhRcUVoSVNnZWZQbWVQWFZWekZ2M2p5YlgxTXM5M3YxNm9YQXdFRE1uRGtUQm9NQmI3MzFGZ0RyTDQvM24reXBDRmpNdXlsSmt2WkprbVR6UDVCVXpPSDBpcnNlQUFnaDVIcy96OVV0OW9QeXFGdTNMdWJPblZ2c2k2RXMyclJwZ3krLy9MSkVqekdiemFYNjJTMHRMUTA3ZCs2MG11MnZmLy8rMkxGakIvYnUzVnZtU1VqdXZZWWE1SDdKQW1DZEEwZTJsU0p1dDhoOXQyN2Q4T1NUVDZwOXNPUGk0aEFVRkZUazQ1ajdRdU11ZGU0THNtZlBIZ1FIQitQNTU1OVgyNjVldmFxZXJWKzVjcVhOeFpCUFBQRUV0bTdkcWw2dzNyMTdkMFJHUnFyZEdpUkp3cG8xYTJ3dWJKNCtmWHFCY1poTUpxU2twRUNTSkx2MXJjNlQrd0x6VVI2M1hUWFhWSHhDQ0kwa1NWNEExUC9YQzhwbGNZNk53aDVmUkJ3T1B4YWFObTJLVmF0V3FRTU56SjgvSDd0MjdWS1grL3Y3VzkwSGdIWHIxaUV1THM1UklibzhGdk51eWxMSUN5RStCSkNEM0cvdk9jajlWbTUxMzNKYlVaUWNJWVFSZ0ZHVzVRbVNKRDJmLzlZQkFKa0FJb1VRTzB3bTArYTR1TGkvQUVDdjF5OHBhYXlOR2pWQzdkcTExUXNLODhxdjMzVGV2bklyVnF6QTBLRkRVYXRXTFpzK21IbnZXNzZWWjJkbkl5Y25wOGorbXZkYnVYSWxldlRvZ1FjZmZGQnQwMmcwbURkdkhrYU5Hb1VHRFJxZ2E5ZXVoVHpMd2hrTUJobUE1Ty92NzNYNzltMk5uNStmSmlNalErUHI2NnZKenM3V2FMVmFqYmUzdDhab05HcTh2THcwUnFQUnk4dkxTNVpsMmN0a01tazBHbzFHbG1XTjJXeld5TEtza1dWWm95aUtCb0RYdlE5ZkwwVlJOSklrYWU3OXA2RCtFMEpZclFkZ2lDUkp2UW9KTnhOQXBLSW92d2doZHNiRXhQd0F1SDd1Z2R6WkdMdDE2NGJzN0d6Y3ZYdlhacUlYazhtRVBuMzZZTjY4ZVdvYmMyK2wzSEpma0dYTGxxRkdqUm9BY3E5MVdMeDRNZmJ0MjZkZUkxSFFxQ1o1KzdWblpHVFk5S0hQenM1VzJ6NysrR1BVcjE4Zml4Y3ZSb01HRFRCZ3dBQ2I3YTFkdXhhclZxM0NvRUdEeXVWNTVlZGU3bVYvZjMvTkgzLzg0ZlhBQXc5b0tsV3FwRWxQVC9mU2FyVWFqVWJqbFRmdm1uc2tTZkl5bTgwYVMyNWxXZFpJa3VRbFNaTG1YcTR0T2ZleTVGcFJsUHR2UHk5SlVzSERmRGdnMTZWVkVlZDZ1SGVzYUJvM2J1eFZ1WEpsTDFtV3ZUTXlNcnk4dmIyOU5CcU5seXpMWHJJc2V3SHdOaHFOWHJJc2U5M0x2eGR5VHhSNG1jMW10YzNTZnU4NEdTbEprdTBIN3Y5eityRnc0TUFCdEd2WER0V3JWeS9XK3BVclY4WnZ2LzJHbGkxYjJqa3k5OEJpM3MwWkRJYTNTdk00blU3MzdQMXRRb2gwU1pJT0tZcXl6V2cwYm91UGowOHJlNFM1SG5qZ0FhdENEU2k4M3pRQS9QSEhIMWl6Wm8zNkgzUnljbksrZlIvekZvb3BLU2xvMHFRSk5tN2NxTFpadXRua0xmcnlkck01ZnZ3NHZ2LytlMnpac3NWbTJ3MGFORUJ3Y0REZWV1c3R2UC8rKytqV3JWc3huM0creEtsVHB5eGZycHhHcDlNMUJtQlYwSGxDN3YvNjZ5L01tVE1IVzdkdVJmMzY5ZFdMV2ZOYXRXcVYxWGozekwxOWM1OGZTeUVQQUw2K3Z2RHo4OFBtelp0UnFWSWw3Tnk1MDJyZCtQaDRIRDkrSEdQR2pMRWF3YWg3OSs0Mkl4cDE3ZHJWcHUzdzRjTm8zcng1dm5HTUhUc1dZOGVPeFcrLy9ZYmc0R0M4Kys2N1pYMXFCVkZPblRxbEFEQW1KU1haYXg4MmREcGRVd0JXeGJ5OWM3MXQyemIwNjljUFZhcFVLZE4yUm80Y2lhaW9xRUluQ3ZybGwxK2cxV3F0aGk0MW04M1lzMmNQbm52dXVUTHQzNG5Ndi83NnF4bEF1WTR5bzlQcDlBQ3NpbmxIdis4TFk3bU9Kanc4SE5XclY0ZWlLSVYyczNuOTlkZHg0OFlOaElTRXFMa3U3R1JkUmNCaW5sSUFIQkJDYkxsNTgrYU9wS1NrekNJZjRTQlJVVkZvMGFKRmdRVmZmcTVkdTRaNjllb1ZlLzNmZnZzTnMyYk53cHc1Yy9EQUF3L2t1MDdQbmoweFk4WU16Smd4QTVNblR5NXp0d3NYNGxHNVAzcjBLQm8xYXFTT1JaeWZXN2R1cWN1WmUrZm4zdGZYRjFPblRnV1FPMUhNL1JJVEUvSFRUei9oc2NjZXc4cVZLOVgyb3M3TUE4RENoUXR4L2ZyMUl2dlAzcmh4QXhjdmxtbnlVMWZua0Z5YnpXYUh6dlVRSGg2T3pwMDdXeFh6MmRuWm1EdDNyazB4ZitEQUFYejY2YWRXYlJrWkdlcFo0THovYjF5L2Z0MW1KSlhpR0R4NE1HYk5tbFdpNStRRUx2Ryt2OS9aczJkUnRXcFZQUHJvb3dCeXIzc3JxcHZOVHovOWhQYnQyOFBYMXhkQThTNjQ5bVFzNWl1dUtFVlJCaG1OeGozeDhmRTV6ZzRtUDk5Ly96MTY5dXhab3NlY1BuMjZSSk9QeE1YRllkU29VZWpSb3dleXNyTGc3ZTJOeE1SRWVIdDdXL1dqSFRCZ0FHclZxdVVwbzE1NFpPNTM3dHhwYzNZbUpTVUZXcTBXV3EwV2QrN2N3YWxUcDlRdU04eTlhK1hlOHZyKy92dnZxRnUzTG9RUU9ISGlCQm8xYW9Tbm4zNWFIWTNxNnRXcjJMcDFLN3AwNllJT0hYS241Rmk5ZWpXOHZiM1J1M2R2ZFNqTDhQQnc2SFE2ZFpRTFgxOWZ0V2pMK3l2UHNXUEgwTFJwVTBjK1ZVZHhhSzQxR28zRDVucFFGQVVHZ3dHdnYvNTZzYmJWdTNkdjlPN2RXNzNXQXNqOWRjY3lWRzdYcmwzVjIvY1BOd2tBWDMzMVZaRW5pVng4VEh1WGZkOER1VU42UHZYVVV5VjZ6TjY5ZS9ITU04OEFBRjU5OVZXMVhRZ0JrOGtFYjI5dlhMMTYxU01tK3lzT2x6NzZ5SDRNQnNNMlIrMHJQRHdjYTlldXRXbjM5ZlZGWUdCZ3ZvL1pzV01IVHA0OGlaa3paMXExNStvN3FJOEFBQnJOU1VSQlZQZFRtbVdhWjVQSmhOMjdkeU0wTkRUZmJRb2hZRGFiOGRkZmYwR1daWnRKS2Rhdlg0OVZxMVpCbG1XTUdESEM1a09nSk9NZ3V6SlB6UDN0MjdjUkV4TmowMVZpelpvMTJMQmhnM3EvZmZ2MjZOdzVkMEFYNXQ2MVZLMWFGUU1IRGxUN3NDdUtnb2NmZmhpZmZ2b3B6R1l6dnY3NmEzei8vZmRJUzB2RDRNR0QxY21oQUtCejU4N1l0MjhmUm84ZWpYcjE2bUhZc0dFNGN1UUkrdmJ0cTY0ellzUUlxNHR1TGZ1b1hiczJRa0pDSFBNa0hjalJ1WGJrWEEreHNiRklUVTFWOTVXVGs0TlpzMlpaNWJzNExML2s1UDFWSnlQRGRyajFTcFVxb1hMbHlpWGF0aXR4NWZjOWtQdkxTZDRScGhSRnNacEhvRTZkT2xiM0Z5MWFoTmpZV0h6MDBVY0FnQmRlZUVGZGxwbVppVzdkdWtFSUFRREZubytBbkVoNHNLS2V1MTZ2RjNxOXZzajF5cHRsdi9abU1wbkVpUk1uck5vV0xseVk3N3FMRnk4V1FnZ1JFeE1qSmt5WVlMUGNiRGFMTGwyNkNKUEpKRHAyN0NqOC9mM0ZhNis5bHU4KzA5UFRoY2xrS29kbmtNdFplYklIVjg2OUVFTGN2SGt6MzIybHBxYUtPM2Z1aUt5c3JFTDN5ZHdYekI2NTM3SmxpOGpKeVNuV3VvcWlpQlVyVm9qejU4OFh1cDdKWkJLSERoMFNKMCtlRk9ucDZlTHUzYnZsRVdxSnVYUHVTNXZyelpzM2k5NjllNHY5Ky9lTG1KZ1kwYVZMbHlMLzVaV1FrQ0NHRGgycXZuNEJBUUZpL3Z6NTR0bG5ueFVKQ1FsVzZ5NVlzRUFzWDc1Y3ZUOWx5aFR4NDQ4L2l2VDBkS0hYNjhYY3VYTkZYRnljVFl6ZHVuWEw5M2JlV1BLMlcySzVjdVZLaVYrUDRuTGxZOFVSbi9tWm1abml2ZmZlRTJheldXM3IxNjlma1krN2NlTkdnY3RTVWxMRW5UdDNSRVpHUnJuRVdCUlh5R0dGUGpPdktBcGlZMk54OE9CQnZQYmFhelkvazEyNWNnV2hvYUU0ZWZJa3NyS3kwS1pORzh5Wk0wZjl1YTJvNVZSNkdvM0daZ1NVZ241U3RmUzViZDI2TlQ3NTVCT2I1YklzcS8wem82S2kxSi9nOHR1bk81OTk4UlNseVQyQWZNZUQxMmcwVnBPSkZMWlA1dDZ4aGd3WlV1eDFKVW15R1prb1B4cU5wc1RkczZoOERCMDYxQ0Z6UFdSa1pHRHYzcjFXb3hCZHVuVEpxdTk4cDA2ZDhPcXJyMkwwNk5FWU5Xb1VZbU5qTVhQbVRLU25weU1nSUtEWWMwZUllK2ZWS2twWERXZW9WS21TelMrcWUvZnVMZkp4ZGVzV1BISm10V3JWeWh5WHU2blFSMmkvZnYwd2MrWk1mUG5sbCtyUDlYbEZSa2FpWGJ0MjJMRmpCM2J2M2cydFZtdjFVMUJSeThueGlpcmNKRW5pOU05RVJIYlFyVnMzN055NVV4M21OUzR1cmxoREIxcm1lc2piOWE1Ly8vNm9YNysrVFdFWEVSR0JldlhxNGVlZmZ3WUFKQ1VsUVpJa1BQTElJK282ZmZ2MnhlZWZmNDd0MjdkajZkS2xhTjI2TmZidTNZc3FWYXBnNzk2OWF0ZTd3TUJBQkFZR0lpc3JTNzJkdDV1TjBaZzcrSlNIWEM5REhxeENuNWxmc21RSmpFWWpYbnJwcFh5WEJ3VUZXWDBqRHdvS3d1VEprOVdyNm90YVRrUkVWSkhZZTY2SEtsV3FZTmFzV1FnT0RzYjU4K2R4K1BCaDlPcGxPM1hDWTQ4OWh2WHIxeU0xTlRYZk9JY05HNGFKRXljQ3NMNEFkc1dLRmVvNmQrN2NBUUQ0K2ZtVjVxVWdjcGdLWGN3M2JkcTAwQm5FN2kvSWs1T1RVYU5HRGJXOXFPVkVSRVFWaFNQbWV2alh2LzRGQVBqWHYvNkZaY3VXNFpkZmZzRm5uMzJXYnp4K2ZuNEZGdUtXUXI2dzlpdFhycUJPblRxRmpuZFA1QXBZZFJhVHlXVEN4bzBiTVhqdzRGSXRKeUlpOG1URm5ldkIwbWZkTXRmRHJGbXppalhYUTk2UnFRSURBeEVmSDQ5V3JWcmg3My8vZTdGalZCUUZOMjdjUUVCQWdQb3ZLeXZMNnI1bDhySWpSNDZnYmR1MnhkNDJrYk5VNkRQekpiRmd3UUxJc293eFk4YVVhamtSRVpFbmM5UmNEMGFqRVo5KytpbXFWYXVHYytmT1lkcTBhUWdJQ0ZBSG44akp5UjFLWFZFVTVPVGtJQ2twQ1R0MjdFQk9UZzdHakJtRHh4OS8zS292ZnRldVhXMzY1dCs2ZFF2YnQyOVhoejhrY21VczVvc2hKQ1FFQm9NQjRlSGgrZjdjVnRSeUlpSWlUK2FvdVI3T25UdUhkOTk5Rnc4KytDRFdyMThQYjI5djdONjlHN3QyN2NMbHk1ZFJ1WEpsZE83Y0dVSUlTSktFRGgwNjROMTMzMFhmdm4zeDczLy9HNzYrdmdnT0RyYmFkMVpXbHRWOUFPallzU05hdFdwVjVBekNSSzZBeFh3UlFrTkRjZlRvVVlTRmhhRm16Wm9sWGs1RVJPVHBhdFdxaGQyN2Q5c00rL2pxcTY5aTdOaXhNSnZOcUZTcFVvRWp3N3o4OHNzWU1XSUVmSHg4b05Gb0N0elBvNDgraWdrVEpsaGQ5RHBreUJDYm9VNHR4YnhGM3FFTTcvL0NrWi9VMUZSa1pXVVZ1UjZSSzJBeFg0aFZxMVloTWpJU3ExZXZ6cmRRTDJxNUovUDM5M2QyQ09Ra3pIM0Z4ZHhYSE13MVdmQlljSDBWdXBqUGU0RG0vU250MUtsVEFJQ3dzREFBdHRQSVIwVkZRYXZWRnJuY0V3a2hUa2lTMU1IWmNiaVpNODRPb0R3dzk2WEMzRmRjYnBsNzV0b3BYUEpZNGJGUUlrN05vVlQwS3E1TFdLWm44MEJTM3Q4SDgyR1pPamc2T3RxdGMwaEVSRVJFcGNlaEtZbUlpSWlJM0ZTRjdtWkQ1QXhDaUlNQW5uWnlHQ2NrU2VybzVCaUlpSWlvakhobW5zanhuRjNJQXdEN1FSSVJFWGtBRnZORVJFUkVSRzZLeFR3UkVSRVJrWnRpTVU5RVJFUkU1S1pZekJNUkVSRVJ1U2tXODBSRVJFUkVib3JGUEJFUkVSR1JtK0k0ODBSdTRzcVZLd2dORGNYSmt5ZVJsWldGTm0zYVlNNmNPYWhYcjU2elF5TWlJaUluY2Zjejh5ZWNIWUNkbkhGMkFGUTBuVTYzUmFmVGZhblg2NE5hdDI3OU4zdnZMekl5RXUzYXRjT09IVHV3ZS9kdWFMVmF6SjQ5Mjk2N0pTSWlJaGZtMW1mbVBXVUdTNzFlUDhWb05PNkppNHU3NU94WXFFUmtTWktHQXhqdTVlVUZ2VjUvUmdqeERZQURmLzMxMS9IRXhNU3M4dHhaVUZBUVpGbTJ1ajk1OG1Rb2ltTFZUa1JFUkJXSFd4ZnpIbVNwdDdmM1VyMWVieEJDYkRTWlRMdmo0dUxPT1Rzb0tsTGFmZmRiU3BMVUVzRHNtalZyWnRTc1dmTjdJY1F1bzlGNCtNeVpNd2xsM2RuOUJYdHljakpxMUtqQlFwNklpS2dDWXpIdlduU1NKT204dmIwLzBlbDBaNFVRWDVqTjVsMXhjWEZ4emc2TWNyVnAwK1lKU1pJZU41bE0vd09RWHNpcWxRRU1sQ1Jwb0ZhcmhWNnZ2dzdnUzdQWnZEOGpJd09WSzFjdVV4d21rd2tiTjI3RTRNR0R5N1FkSWlJaWNtOHM1bDJVSkVuTkpVbDZYNWJsOS9WNmZRS0FMd0Rzakk2T2pnWWduQnhlaGRDbVRadEJzaXozQlBDWndXQ0lBUUJabGhkTGt0VFB5OHRya0NSSjk1K1pMOHdqUW9oblpGbE9UVTlQTDNNeHYyREJBc2l5akRGanhwUnBPMFJFUk9UZVBLYVkxK3YxSmdCQ0NHR1dKRWtweGw5RmtpUXpBQVdBT2M5OVMxdUJqOG56dDZqbGhmNjl0dytsR0UrdkVZRC9BUGlQWHErL0tvVDRRZ2dCU1pMczlYSldPSzFhdFdxcTBXaitvU2pLa2RqWTJHZ0FrR1c1dnlSSlk0UVF2d0NJdWJmcVllVDJsVTlHNFdmbUxXNEtJYjVGN2hlQ0tBQjQ4TUVIM3l0THJDRWhJVEFZREFnUEQ0ZFdxeTNMcG9pSWlNak5lVW94THdraFpDbVhGd0MxMEMzcXI3cUJmQXJqNG02anRIOEwybTloaEJCYUFJOUlrZ1FoZUlLK0RPUW1UWnBVT1gvK2ZDb0FlSGw1QlVtU05GdVNwSVVBb2dGQVVaVE5zaXpIQTRpMFBNaGdNSHdJNEVNQThQZjM3NUJmRG9RUTJaSWs3UmRDckRNWUROOEFNSlZYMEtHaG9UaDY5Q2pDd3NKUXMyYk44dG9zRVJFUnVTbFBLZWFGd1dDUUFVZ0E1Qll0V21qUzA5TmxQejgvVFhaMnRseTFhbFU1S3l0TFl6UWFaYTFXcS9IeDhaR05ScVBHMjl0Yk5ocU5Ha1ZSWkkxR28xRVVSWlpsV2VQbDVTVXJpaUtieldhTlJxTlIveXFLb3BGbDJlcHZmdTMzdmxobzd2K3JLSW9HdVdkMTFYWWhoRWFXNVpCQ241d1FTWklrSFJCQzNEWVlETk1CQ0wxZS95TFB6SmVPWHE5L0dzQXFBRDhDZUJrQWhCQjdBZndkd0FITGVqRXhNZDhEK0w2UVRXVllib2pjcWo0YXdLYWNuSnpQNCtQams4czc3bFdyVmlFeU1oS3JWNjltSVU5RVJFUUFQS2VZdHhBQXpQSHg4V1puQjFJU2VyM2VwcGdYUWx5V0pHbVBvaWhmbmo1OSttZG54T1dwekdiekh4cU5wakdBVEV2YnZkZTRSSyt6RUNKVENIRk5rcVF0a2lTRlJVZEgvMUxlc2VZVkZoWUdBT2pUcDQ5VmUxUlVGTHZiRUJFUlZWQ2VWc3k3dS9OQ2lOMlNKSDFwTUJoT09Uc1lUOUd5WmN0RzN0N2UvekdielJOalkyUFRZMkppNHZWNmZiZm82T2lqWmRsdWVucjYxdlBuejYrRmd5NUlQbldLaHdRUkVSRlpZekh2QW9RUUN4UkYyUmdURXhQdjdGZzhrVmFyWFErZ3M1ZVgxeTBBYndCQWRIVDBrYkp1MTlMZm5vaUlpTWhaV015N0FJUEJNTXZaTVhneUljUTRBTytrcHFiT2RYWXNSRVJFUk9XSnhUeDVwTFp0Mi83cjFxMWJ1NUtTa2pJTkJzTlpBRUhPam9tSWlJaW92SEVlZVBJNE9wMnV0eXpMRVhYcTFQbk8yYkVRRVJFUjJST0xlZkk0aXFLa0NDRVNoUkQ3blIwTEVSRVJrVDJ4bXcxNW5KaVltQk5ObWpScHpRdFVpWWlJeU5QeHpEeDVqTWNlZTZ3U2NpY09jL1dSWms0NE93QUFaNXdkQUJFUkVaVWR6OHlUeDZoUm84Wi9hdFNvOFl6WmJCNGZHeHQ3M05ueEZFU1NwSTdPam9HSWlJZzhBNHQ1OGlRREpFbHFMc3V5bjdNRElTSWlJbklFZHJNaGo1R2FtcXBYRktYdjZkT25Eemc3RmlJaUlpSkg0Smw1OGhpLy92cHJOZ0NPWUVORVJFUVZCcy9NRXhFUkVSRzVLUmJ6NUJIYXRtMDdWNmZUM2RicGRGT2RIUXNSRVJHUm83Q2JEWGtFV1pZZkJGQVRnT0xzV0lpSWlJZ2NSWEoyQUZRNmVyMWVBRUIwZExSRGM2alg2dzhDZU5xUit5d3VJUVFreWZVT2FTSEVDWVBCd09Fb2lZaUlxTnl4bXcyVmxFc1c4Z0Jjc3BBSEFFbVNPamc3QmlJaUl2Sk03R1pEcFhMcTFDbG5oK0FXL1AzOW5SMENFUkVSZVRDZW1TY2lJaUlpY2xNczVzbnBQdnJvSTF5NGNNR21mZGV1WGJoNzk2NTYvK0xGaThqTXpJU2lLSGp4eFJkdDFvK1BqMGRzYkd5Kys1ZzRjV0tCKzFjVUJXZk9uTEZwTjV2TjJMcDFhM0dlQWhFUkVaRlRzSmdudXhzNmRDaUdEaDJLN3QyN28zdjM3dXA5UlZHd1pjc1czTHg1RTQ4ODhnZysvL3h6S01yL0QwWmpNcG53d2dzdjROaXhZd0NBTjk5OEU1bVptUkJDNUZ0OGUzbDVZZmJzMlZpNWNpVVVSY0hxMWF2VlpTZE9uQ2d3dnZUMGRFeWRPdFZtbTluWjJWaXdZRUZabno0UkVSR1IzYkRQUE5sZFJFUUVBR0RFaUJFQWdDKysrQUlBY09qUUllelpzd2NyVnF5QWo0OFB6cDgvajltelorTy8vLzB2WkZuR3dJRUQwYkJoUTJnMEdseTRjQUhYcmwzRG9FR0QxTzEyNzk1ZHZUMTc5bXowNmRNSGE5YXNVZmNYRmhhR2NlUEdxZXRrWkdRZ0ppWUcwZEhSR0RseUpQejgvQUFBMWFwVnc2UkprL0RYWDMvWjk0VWdJaUlpS21jczVzbnVac3lZZ2F0WHIrSzMzMzREQUF3ZlBoeVBQdm9vRkVXQjBXakVwRW1Ub0NnS3ZMeThrSldWaFlzWEw2SldyVnFJaTR0RHo1NDlBUUFmZlBBQlpzK2VqWUVEQjhKc05xTkRodzZJakl4VTkyRTJtN0ZyMXk0ODg4d3ptRFJwa3RxK2I5OCtHQXdHQU1Dd1ljUFF0bTFiL1BERER4ZytmRGdBSURnNEdBY1BIZ1FBNU9Ua0lDY25oeGYzRWhFUmtkdGdOeHV5dThURVJIejU1WmRvM0xneEdqWnNpRTJiTmlFeE1SRWZmZlFSYXRhc2lYZmVlUWN6Wjg2RVZxdkYwcVZMMGFSSkUveisrKytZTzNjdXZ2cnFLeGlOUnZ6ODg4L28zYnQzZ2Z2SXlzckNuajE3OE1vcnJ5QWhJUUhQUHZzc0ZFWEJxVk9uMExadFd3REF0OTkraStEZ1lHaTFXdmo0K0FBQTNuMzNYVVJHUnVLNzc3NUQzYnAxTVdiTUdKdHRyMTI3RmlrcEtmWjVjWWlJaUlqS2dNVThPVVJxYWlxcVZLbGkxZmJoaHgvaXdRY2ZSSzFhdGRDc1dUTTgrZVNUR0RseUpCSVNFdEN5WlVzc1c3WU1xMWV2eHUzYnQ3Rmx5eFpVclZxMXdPMVhxVklGb2FHaGVQenh4NUdabVltSWlBaklzb3gzM25rSEFRRUJWdXRtWjJlcnhiekZ2SG56MExWclYweWNPQkZMbGl5eDZqLy81NTkvNHVXWFg4YWZmLzVaRHE4RUVSRVJVZmxoTnh0eWlMaTRPUHo5NzM5WCs3Nm5wS1FnTFMwTlBYdjJ4SC8rOHg4c1hyd1lvMGFOUXVYS2xXRTBHZ0VBTFZ1MnhEZmZmSU5qeDQ3aHYvLzlMNERjcmpCYXJSWmFyUmFkT25XQ1ZxdFY5eEVaR1lucDA2Y1hHSVBKWkVKS1Nnb2tTWUtYMS84Zitvc1hMOGErZmZ1d1o4OGV6Smt6QjhuSnlSZzFhcFM2Zk1hTUdmam9vNDh3ZHV4WWhJV0ZvVzdkdXVYOThoQVJFUkdWQ290NWNvaU5HemNpS0NnSXJWdTN4cHc1YytEbjU0ZTVjK2ZpaFJkZVFGcGFHZ0lDQXBDV2xvWVhYM3dSVFpzMkJaQjd3ZXFCQXdjd2FOQWc5T25UQjluWjJlamV2YnZhVjk3ZjN4OVJVVkZXKzFtOGVERWFOR2lBQVFNRzJNU3dkdTFhckZxMXl1b2kyc1dMRnlNcEtRa0FNSERnUUR6MjJHTll0MjRkdEZvdE1qSXkxUFdtVDUrT3UzZnZZdkxreVlpSWlJQkdveW4zMTRpSWlJaW9wTmpOaGh4aTBLQkI2Tnk1TTU1OTlsbXNXYk1HQUxCNjlXcmN1SEVEUzVZc3dkNjllOUdnUVFQMDZkTkhmY3laTTJld2FkTW05WDVpWWlMcTFLbFQ2SDRPSHo0TVgxL2ZmSmVOSFRzV0owK2VSRkJRRUlLRGd3RUFqUm8xd3Z6NTh3RUFhOWFzZ1krUEQwYU5Hb1U3ZCs1WVBWYVNKTXlkT3hkejU4NWxJVTlFUkVRdWcyZm1LeWlkVHRjTGdNbGdNUHdFd0dUdi9hMVpzMFl0NG9IY0xpODNidHpBOHVYTDhlR0hINkpQbno1bzJiSWw2dGV2cjY0VEhSMk5kdTNhcWZmMzdObURqaDA3NXJ2OUdUTm1JQ2dvQ05ldlgwZW5UcDBLamVYR2pSdTRlUEVpQUtCLy8vNXFlNk5HamJCbXpSb2NQWG9VMWF0WHR6b3pEd0RlM3Q1bzFhcFY4WjgwRVJFUmtaMnhtSys0QWlSSm1xYlQ2WklCYkFhd1BUVTE5Y2l2di82YWJZK2Q1VDNERHVST0pEVnYzandvaW9JcVZhcGcwYUpGTnVzY1AzNGNRVUZCQUlDb3FDaHMzNzVkSGFNZXlEMWJucE9UQTQxR2cram9hRFJzMkJBNm5VNjlVTmJYMXhmWHJsMUR2WHIxcklhYlBIYnNtTnFWNTM2eUxLTmJ0MjdsOHB5SmlJaUk3STNGZkFVblNWSk5BQk1CVFBUejgwdlI2WFJiaFJEYi92enp6OFBYcjEvUEtPcnh4V1VaMTkzQ2JEWmo3OTY5MkwxN041NTY2aWxNbWpRSm9hR2hxRjI3TmthTUdJRXFWYXJnekprejBPdjFDQThQeDdwMTZ4QWNIR3gxNXI1cjE2N28xNjhmWkZsRzE2NWRFUlVWaGI1OSs2ckxSNHdZZ2VlZmY5NXF2NHFpb0hidDJnZ0pDU212cDBaRVJFVGtOSkt6QTZEUzBldjFBZ0NpbzZOTGxVT2RUdmVKSkVuVENsa2xIY0EzaXFKc3pjek1QSGorL1BuVXZQc3R5Y1JLNTgrZlI1TW1UYXphTGw2OGlOdTNiME92MTF1TlNQUEhIMytnV3JWcXFGU3BFczZkTzRmbXpadmovUG56cUZxMUt1clZxMWZvZmpJeU1tQXltZFNaWFV2Q2NqRnQzbGd5TWpMdzFGTlBsV2tTS1g5L2Z3Q2x6eE1SRVJGUllWaGd1Q2xMVWEwb3lyOUw4M2habGdNQjlDem02bGxDaUYxQ2lBaFpsaU9Ba2hYekZSbUxlU0lpSXJJbmRyTnhYemtBdExJc0w3TDNqb1FROHIzdU9CeGduWWlJaU1pRnNKaDNVMEtJRnlSSjZscUdUWFFEb0M5a2VTYUFTQURuQU95T2pvNCtBQUI2dlg1SkdmYnBGR2ZQbmtXelpzMGdTVHc1VGtSRVJKNkZ4YnliTWhnTTJ3QnNLKzNqNy9XWnR5cm1oUkRwa2lRZFVoUmxtOUZvM0JZZkg1OVc1a0RMMmQ2OWUxR3paczBDaDZqTXo4aVJJMjM2d3hNUkVSRjVBaGJ6bEFMZ2dCQml5ODJiTjNja0pTVmxPanVnd2p6MDBFUFl1SEZqaVlyNS9DaUtBbG5tbkdsRVJFVGszbGpNVjF4UmlxSU1NaHFOZStMajQzT2NIY3o5TGwrK2pKZGVlc21xeldnMHdtZzBvbkxseXVqZXZidk5ZeUlqSXd2Y1hreE1ETnEzYnc4QVdMdDJMUklURXpGMzd0enlESm1JaUlpSXlMWHA5WHFoMSt1Rm85MjllMWNNSGp4WTdOcTFTd2doaE5sc0ZwY3ZYN1phWitmT25hSkxseTdxdjY1ZHV3b2hoTkRyOVdMYXRHbENDQ0cyYk5raW5uNzZhWEh1M0RtSHhHMTV2WnlkTnlJaUlpSWlweFR6cWFtcFl0U29VU0lzTEV4dFMweE1GSDM3OWhWbnpweko5ekVKQ1FsaTZOQ2hRb2pjZ2pvZ0lFRE1uejlmUFB2c3N5SWhJY0VoY1Z2MnpXS2VpSWlJN0lXZGhsMk1FT0tnd3lyTmdoMTM5dXRnOGNjZmYrQ1ZWMTVCNjlhdE1XN2NPQUNBRUFJUFAvd3dwazZkaXFsVHArTEtsU3Myajl1elp3LzY5T21qM2g4OWVqVDI3dDJMdFd2WG9tSERoZzZMbjRpSWlNaWUyR2ZlOVR6dDdBQUFkSEIyQUVEdURLelBQLzg4VWxOVGtaU1VoSysvL2hyZTN0N3c4dkpDY25JeUdqWnNpQm8xYXVEZi8vNDMxcTlmajZwVnF3SUEwdExTc0hQblRuenh4UmZxdHZyMzc0OGRPM1pnNzk2OUdEbHlwTE9lRWhFUkVWRzVZakZQTHF0eTVjcFl0MjRkcWxhdENtOXZiL1R0MnhkSGpoeUJvaWpvMEtFRHRtelpBZ0Q0N0xQUGtKcWFxaGJ6SzFldVJJOGVQZkRnZ3crcTI5Sm9OSmczYng1R2pScUZCZzBhb0d2WHNnelJUMFJFUk9RYTJNMkdYRnI5K3ZWUnExWXQvUExMTDJqWXNHRytFeis5L1BMTGVQamhod0VBeDQ4ZngvZmZmNDlKa3liWnJOZWdRUU1FQndmanJiZmV3bzgvL21qMzJJbUlpSWpzamNVOHVieTB0RFNFaElSZzBLQkJCYTR6ZXZSb3hNVEVZTmFzV1pnMWF4WWVlT0NCZk5mcjJiTW5ac3lZZ1JrelptRERoZzMyQ3BtSWlJaklJZGpOaGx5V29pZzRlUEFnbGk1ZENuOS9md3daTWdRQTFMUHpHUmtacUZ5NU1tN2R1b1V6Wjg0Z01URVJvMGFOUW84ZVBaQ1ZsUVZ2YjI4a0ppYXEvZXd0Qmd3WWdGcTFhc0hIeDhjcHo0dUlpSWlvdkxDWUo1ZDA1Y29WdlBUU1M2aGR1elplZmZWVnE1RnBaRmxHNzk2OThkeHp6OEhYMXhkWldWa1lQbnc0QWdNRDFYWFdyMStQVmF0V1FaWmxqQmd4d21hMjF5NWR1ampzdVJBUkVSSFppMjBIWkhJcUlZUkxqRWt1NWRjNUhibmp6QVBBcVZPbjdCNURVbElTL3ZhM3Y1WHFzV2F6R2RuWjJmRHg4WUZHb3lubnlJclAzOThmQUJBZEhjMzNHaEVSRVpVN25wbjNFRmV1WEVGb2FDaE9uanlKckt3c3RHblRCblBtekVHOWV2WHNzajlMa1VwRVJFUkV6c01MWUQxRVpHUWsyclZyaHgwN2RtRDM3dDNRYXJXWVBYdDJ1ZTlIQ0hHaTNEZnErYzQ0T3dBaUlpSWljb0RTVHRscU5wdXQ3aDg3ZGt6NCsvdmJ0QmVYczE4SElpSWlJaW9hejh4N2lQc3Y4RXhPVGthTkdqVnMyb21JaUlqSWM3RFM4MEFta3drYk4yN0U0TUdEblIwS0VSRVJFZGtSaTNrUHRHREJBc2l5akRGanhqZzdGQ0lpSWlLaWlxTzBmZVl0Rmk1Y0tBWU5HaVJ1Mzc1ZHB1MDQrM1VnSWlJaUluSTdaU25BbHk1ZEt2NzV6MytLbXpkdmxxbVFaekZQUkVSRVJGUUtwUzIrVjY1Y0tZWU1HVkxtTS9JczVvbUlpSWpjQjJlbGRER2xMYVFMbXNRcEtpb0tXcTIyeE5zcmFBWllJaUlpSW5JZExOaGNqS3VjRldjeFQwUkVST1Q2T0pvTkVSRVJFWkdiWWpGUFJFUkVST1NtV013VEVSRVJFYmtwRnZORVJFUkVSRzZLeFR3UkVSRVJrWnRpTVU5RVJFUkU1S1pZekx1ZUU4NE9BTUFaWndkQ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VaFA4RFVpS2JtK1ZpL040QUFBQUFTVVZPUks1Q1lJST0iLAoJIlRoZW1lIiA6ICIiLAoJIlR5cGUiIDogImZsb3ciLAoJIlZlcnNpb24iIDogIjI4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59</Pages>
  <Words>29083</Words>
  <Characters>33030</Characters>
  <Lines>456</Lines>
  <Paragraphs>128</Paragraphs>
  <TotalTime>11</TotalTime>
  <ScaleCrop>false</ScaleCrop>
  <LinksUpToDate>false</LinksUpToDate>
  <CharactersWithSpaces>33581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盐汽水</cp:lastModifiedBy>
  <cp:lastPrinted>2023-01-05T02:04:00Z</cp:lastPrinted>
  <dcterms:modified xsi:type="dcterms:W3CDTF">2023-01-31T05:16:53Z</dcterms:modified>
  <dc:title>附件2</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D7307E8BC4564E819E6B76B5EFAF3179</vt:lpwstr>
  </property>
  <property fmtid="{D5CDD505-2E9C-101B-9397-08002B2CF9AE}" pid="4" name="commondata">
    <vt:lpwstr>eyJoZGlkIjoiZWNkOGUzOTRiZGVlMTc0YWIzNmRkNTk4Y2NiYmM3YmUifQ==</vt:lpwstr>
  </property>
</Properties>
</file>