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46"/>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46"/>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46"/>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潘环审复〔</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号</w:t>
      </w:r>
    </w:p>
    <w:p>
      <w:pPr>
        <w:keepNext w:val="0"/>
        <w:keepLines w:val="0"/>
        <w:pageBreakBefore w:val="0"/>
        <w:widowControl w:val="0"/>
        <w:shd w:val="clear" w:color="auto" w:fill="FFFFFF"/>
        <w:kinsoku/>
        <w:wordWrap w:val="0"/>
        <w:overflowPunct/>
        <w:topLinePunct/>
        <w:autoSpaceDE/>
        <w:autoSpaceDN/>
        <w:bidi w:val="0"/>
        <w:adjustRightInd/>
        <w:snapToGrid/>
        <w:spacing w:line="560" w:lineRule="exact"/>
        <w:ind w:firstLine="880" w:firstLineChars="200"/>
        <w:jc w:val="center"/>
        <w:textAlignment w:val="auto"/>
        <w:rPr>
          <w:rFonts w:ascii="方正小标宋简体" w:hAnsi="方正小标宋简体" w:eastAsia="方正小标宋简体" w:cs="方正小标宋简体"/>
          <w:bCs/>
          <w:color w:val="auto"/>
          <w:sz w:val="44"/>
          <w:szCs w:val="44"/>
        </w:rPr>
      </w:pP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val="en-US" w:eastAsia="en-US"/>
        </w:rPr>
        <w:t>安徽</w:t>
      </w:r>
      <w:r>
        <w:rPr>
          <w:rFonts w:hint="eastAsia" w:ascii="方正小标宋简体" w:hAnsi="方正小标宋简体" w:eastAsia="方正小标宋简体" w:cs="方正小标宋简体"/>
          <w:color w:val="auto"/>
          <w:sz w:val="44"/>
          <w:szCs w:val="44"/>
          <w:lang w:val="en-US" w:eastAsia="zh-CN"/>
        </w:rPr>
        <w:t>田福农业科技</w:t>
      </w:r>
      <w:r>
        <w:rPr>
          <w:rFonts w:hint="eastAsia" w:ascii="方正小标宋简体" w:hAnsi="方正小标宋简体" w:eastAsia="方正小标宋简体" w:cs="方正小标宋简体"/>
          <w:color w:val="auto"/>
          <w:sz w:val="44"/>
          <w:szCs w:val="44"/>
          <w:lang w:val="en-US" w:eastAsia="en-US"/>
        </w:rPr>
        <w:t>有限公司</w:t>
      </w:r>
      <w:r>
        <w:rPr>
          <w:rFonts w:hint="eastAsia" w:ascii="方正小标宋简体" w:hAnsi="方正小标宋简体" w:eastAsia="方正小标宋简体" w:cs="方正小标宋简体"/>
          <w:color w:val="auto"/>
          <w:sz w:val="44"/>
          <w:szCs w:val="44"/>
          <w:lang w:val="en-US" w:eastAsia="zh-CN"/>
        </w:rPr>
        <w:t>架河循环产业园秸秆粪便资源化利用（一期）项目</w:t>
      </w:r>
    </w:p>
    <w:p>
      <w:pPr>
        <w:keepNext w:val="0"/>
        <w:keepLines w:val="0"/>
        <w:pageBreakBefore w:val="0"/>
        <w:widowControl w:val="0"/>
        <w:kinsoku/>
        <w:wordWrap w:val="0"/>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环境影响报告表的批复</w:t>
      </w:r>
    </w:p>
    <w:p>
      <w:pPr>
        <w:keepNext w:val="0"/>
        <w:keepLines w:val="0"/>
        <w:pageBreakBefore w:val="0"/>
        <w:widowControl w:val="0"/>
        <w:kinsoku/>
        <w:wordWrap w:val="0"/>
        <w:overflowPunct/>
        <w:topLinePunct/>
        <w:autoSpaceDE/>
        <w:autoSpaceDN/>
        <w:bidi w:val="0"/>
        <w:adjustRightInd/>
        <w:snapToGrid/>
        <w:spacing w:line="560" w:lineRule="exact"/>
        <w:ind w:firstLine="643" w:firstLineChars="200"/>
        <w:textAlignment w:val="auto"/>
        <w:rPr>
          <w:rFonts w:ascii="楷体" w:hAnsi="楷体" w:eastAsia="楷体" w:cs="楷体"/>
          <w:b/>
          <w:bCs/>
          <w:color w:val="auto"/>
          <w:sz w:val="32"/>
          <w:szCs w:val="32"/>
        </w:rPr>
      </w:pPr>
    </w:p>
    <w:p>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ascii="楷体" w:hAnsi="楷体" w:eastAsia="楷体" w:cs="楷体"/>
          <w:b/>
          <w:bCs/>
          <w:color w:val="auto"/>
          <w:sz w:val="32"/>
          <w:szCs w:val="32"/>
        </w:rPr>
      </w:pPr>
      <w:r>
        <w:rPr>
          <w:rFonts w:hint="eastAsia" w:ascii="楷体" w:hAnsi="楷体" w:eastAsia="楷体" w:cs="楷体"/>
          <w:b/>
          <w:bCs/>
          <w:color w:val="auto"/>
          <w:sz w:val="32"/>
          <w:szCs w:val="32"/>
          <w:lang w:val="en-US" w:eastAsia="en-US"/>
        </w:rPr>
        <w:t>安徽</w:t>
      </w:r>
      <w:r>
        <w:rPr>
          <w:rFonts w:hint="eastAsia" w:ascii="楷体" w:hAnsi="楷体" w:eastAsia="楷体" w:cs="楷体"/>
          <w:b/>
          <w:bCs/>
          <w:color w:val="auto"/>
          <w:sz w:val="32"/>
          <w:szCs w:val="32"/>
          <w:lang w:val="en-US" w:eastAsia="zh-CN"/>
        </w:rPr>
        <w:t>田福农业科技</w:t>
      </w:r>
      <w:r>
        <w:rPr>
          <w:rFonts w:hint="eastAsia" w:ascii="楷体" w:hAnsi="楷体" w:eastAsia="楷体" w:cs="楷体"/>
          <w:b/>
          <w:bCs/>
          <w:color w:val="auto"/>
          <w:sz w:val="32"/>
          <w:szCs w:val="32"/>
          <w:lang w:val="en-US" w:eastAsia="en-US"/>
        </w:rPr>
        <w:t>有限公司</w:t>
      </w:r>
      <w:r>
        <w:rPr>
          <w:rFonts w:hint="eastAsia" w:ascii="楷体" w:hAnsi="楷体" w:eastAsia="楷体" w:cs="楷体"/>
          <w:b/>
          <w:bCs/>
          <w:color w:val="auto"/>
          <w:sz w:val="32"/>
          <w:szCs w:val="32"/>
        </w:rPr>
        <w:t>：</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w:t>
      </w:r>
      <w:r>
        <w:rPr>
          <w:rFonts w:hint="eastAsia" w:ascii="仿宋_GB2312" w:hAnsi="仿宋_GB2312" w:eastAsia="仿宋_GB2312" w:cs="仿宋_GB2312"/>
          <w:color w:val="auto"/>
          <w:sz w:val="32"/>
          <w:szCs w:val="32"/>
          <w:lang w:val="en-US" w:eastAsia="en-US"/>
        </w:rPr>
        <w:t>安徽</w:t>
      </w:r>
      <w:r>
        <w:rPr>
          <w:rFonts w:hint="eastAsia" w:ascii="仿宋_GB2312" w:hAnsi="仿宋_GB2312" w:eastAsia="仿宋_GB2312" w:cs="仿宋_GB2312"/>
          <w:color w:val="auto"/>
          <w:sz w:val="32"/>
          <w:szCs w:val="32"/>
          <w:lang w:val="en-US" w:eastAsia="zh-CN"/>
        </w:rPr>
        <w:t>田福农业科技</w:t>
      </w:r>
      <w:r>
        <w:rPr>
          <w:rFonts w:hint="eastAsia" w:ascii="仿宋_GB2312" w:hAnsi="仿宋_GB2312" w:eastAsia="仿宋_GB2312" w:cs="仿宋_GB2312"/>
          <w:color w:val="auto"/>
          <w:sz w:val="32"/>
          <w:szCs w:val="32"/>
          <w:lang w:val="en-US" w:eastAsia="en-US"/>
        </w:rPr>
        <w:t>有限公司</w:t>
      </w:r>
      <w:r>
        <w:rPr>
          <w:rFonts w:hint="eastAsia" w:ascii="仿宋_GB2312" w:hAnsi="仿宋_GB2312" w:eastAsia="仿宋_GB2312" w:cs="仿宋_GB2312"/>
          <w:color w:val="auto"/>
          <w:sz w:val="32"/>
          <w:szCs w:val="32"/>
          <w:lang w:val="en-US" w:eastAsia="zh-CN"/>
        </w:rPr>
        <w:t>架河循环产业园秸秆粪便资源化利用（一期）项目</w:t>
      </w:r>
      <w:r>
        <w:rPr>
          <w:rFonts w:hint="eastAsia" w:ascii="仿宋_GB2312" w:hAnsi="仿宋_GB2312" w:eastAsia="仿宋_GB2312" w:cs="仿宋_GB2312"/>
          <w:color w:val="auto"/>
          <w:sz w:val="32"/>
          <w:szCs w:val="32"/>
        </w:rPr>
        <w:t>环境影响报告表》（以下简称《报告表》）收悉，经审查研究后批复如下：</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在全面落实环评文件提出的各项污染防治措施和风险防范措施的前提下，结合专家审查意见，原则同意该项目按照</w:t>
      </w:r>
      <w:r>
        <w:rPr>
          <w:rFonts w:hint="eastAsia" w:ascii="仿宋_GB2312" w:hAnsi="仿宋_GB2312" w:eastAsia="仿宋_GB2312" w:cs="仿宋_GB2312"/>
          <w:snapToGrid/>
          <w:color w:val="auto"/>
          <w:kern w:val="2"/>
          <w:sz w:val="32"/>
          <w:szCs w:val="32"/>
          <w:lang w:eastAsia="zh-CN"/>
        </w:rPr>
        <w:t>安徽国燚环境科技有限公司</w:t>
      </w:r>
      <w:r>
        <w:rPr>
          <w:rFonts w:hint="eastAsia" w:ascii="仿宋_GB2312" w:hAnsi="仿宋_GB2312" w:eastAsia="仿宋_GB2312" w:cs="仿宋_GB2312"/>
          <w:color w:val="auto"/>
          <w:sz w:val="32"/>
          <w:szCs w:val="32"/>
        </w:rPr>
        <w:t>编制的《报告表》及本审批意见要求进行建设。</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一、项目概况</w:t>
      </w:r>
    </w:p>
    <w:p>
      <w:pPr>
        <w:pStyle w:val="63"/>
        <w:keepNext w:val="0"/>
        <w:keepLines w:val="0"/>
        <w:pageBreakBefore w:val="0"/>
        <w:widowControl w:val="0"/>
        <w:kinsoku/>
        <w:wordWrap/>
        <w:overflowPunct/>
        <w:topLinePunct/>
        <w:autoSpaceDE/>
        <w:autoSpaceDN/>
        <w:bidi w:val="0"/>
        <w:adjustRightInd/>
        <w:snapToGrid/>
        <w:spacing w:before="0" w:beforeLines="0" w:after="0" w:afterLines="0" w:line="560" w:lineRule="exact"/>
        <w:ind w:firstLine="640" w:firstLineChars="200"/>
        <w:jc w:val="left"/>
        <w:textAlignment w:val="auto"/>
        <w:rPr>
          <w:rFonts w:hint="default"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eastAsia="zh-CN"/>
        </w:rPr>
        <w:t>项目选址位于安徽省淮南市潘集区架河镇立富产业园</w:t>
      </w:r>
      <w:r>
        <w:rPr>
          <w:rFonts w:hint="eastAsia" w:ascii="仿宋_GB2312" w:hAnsi="仿宋_GB2312" w:eastAsia="仿宋_GB2312" w:cs="仿宋_GB2312"/>
          <w:snapToGrid/>
          <w:color w:val="auto"/>
          <w:kern w:val="2"/>
          <w:sz w:val="32"/>
          <w:szCs w:val="32"/>
          <w:lang w:val="en-US" w:eastAsia="zh-CN"/>
        </w:rPr>
        <w:t>内</w:t>
      </w:r>
      <w:r>
        <w:rPr>
          <w:rFonts w:hint="eastAsia" w:ascii="仿宋_GB2312" w:hAnsi="仿宋_GB2312" w:eastAsia="仿宋_GB2312" w:cs="仿宋_GB2312"/>
          <w:snapToGrid/>
          <w:color w:val="auto"/>
          <w:kern w:val="2"/>
          <w:sz w:val="32"/>
          <w:szCs w:val="32"/>
          <w:lang w:eastAsia="zh-CN"/>
        </w:rPr>
        <w:t>，</w:t>
      </w:r>
      <w:r>
        <w:rPr>
          <w:rFonts w:hint="eastAsia" w:ascii="仿宋_GB2312" w:hAnsi="仿宋_GB2312" w:eastAsia="仿宋_GB2312" w:cs="仿宋_GB2312"/>
          <w:snapToGrid/>
          <w:color w:val="auto"/>
          <w:kern w:val="2"/>
          <w:sz w:val="32"/>
          <w:szCs w:val="32"/>
          <w:lang w:val="en-US" w:eastAsia="en-US"/>
        </w:rPr>
        <w:t>项目建设规模及内容：</w:t>
      </w:r>
      <w:r>
        <w:rPr>
          <w:rFonts w:hint="eastAsia" w:ascii="仿宋_GB2312" w:hAnsi="仿宋_GB2312" w:eastAsia="仿宋_GB2312" w:cs="仿宋_GB2312"/>
          <w:snapToGrid/>
          <w:color w:val="auto"/>
          <w:kern w:val="2"/>
          <w:sz w:val="32"/>
          <w:szCs w:val="32"/>
          <w:lang w:val="en-US" w:eastAsia="zh-CN"/>
        </w:rPr>
        <w:t>建设3000立方米厌氧发酵罐2座，20000立方米黑膜沼气池1座，8000立方米的好氧塘、500千瓦沼气发电机和200平方米的发电机房及预处理及脱硫装置，建成后可形成年产</w:t>
      </w:r>
      <w:r>
        <w:rPr>
          <w:rFonts w:hint="eastAsia" w:ascii="仿宋_GB2312" w:hAnsi="仿宋_GB2312" w:cs="仿宋_GB2312"/>
          <w:snapToGrid/>
          <w:color w:val="auto"/>
          <w:kern w:val="2"/>
          <w:sz w:val="32"/>
          <w:szCs w:val="32"/>
          <w:lang w:val="en-US" w:eastAsia="zh-CN"/>
        </w:rPr>
        <w:t>沼气219万方</w:t>
      </w:r>
      <w:r>
        <w:rPr>
          <w:rFonts w:hint="eastAsia" w:ascii="仿宋_GB2312" w:hAnsi="仿宋_GB2312" w:eastAsia="仿宋_GB2312" w:cs="仿宋_GB2312"/>
          <w:snapToGrid/>
          <w:color w:val="auto"/>
          <w:kern w:val="2"/>
          <w:sz w:val="32"/>
          <w:szCs w:val="32"/>
          <w:lang w:val="en-US" w:eastAsia="zh-CN"/>
        </w:rPr>
        <w:t>、</w:t>
      </w:r>
      <w:r>
        <w:rPr>
          <w:rFonts w:hint="eastAsia" w:ascii="仿宋_GB2312" w:hAnsi="仿宋_GB2312" w:cs="仿宋_GB2312"/>
          <w:snapToGrid/>
          <w:color w:val="auto"/>
          <w:kern w:val="2"/>
          <w:sz w:val="32"/>
          <w:szCs w:val="32"/>
          <w:lang w:val="en-US" w:eastAsia="zh-CN"/>
        </w:rPr>
        <w:t>年发电372万度、</w:t>
      </w:r>
      <w:r>
        <w:rPr>
          <w:rFonts w:hint="eastAsia" w:ascii="仿宋_GB2312" w:hAnsi="仿宋_GB2312" w:eastAsia="仿宋_GB2312" w:cs="仿宋_GB2312"/>
          <w:snapToGrid/>
          <w:color w:val="auto"/>
          <w:kern w:val="2"/>
          <w:sz w:val="32"/>
          <w:szCs w:val="32"/>
          <w:lang w:val="en-US" w:eastAsia="zh-CN"/>
        </w:rPr>
        <w:t>年产液态有机肥</w:t>
      </w:r>
      <w:r>
        <w:rPr>
          <w:rFonts w:hint="eastAsia" w:ascii="仿宋_GB2312" w:hAnsi="仿宋_GB2312" w:cs="仿宋_GB2312"/>
          <w:snapToGrid/>
          <w:color w:val="auto"/>
          <w:kern w:val="2"/>
          <w:sz w:val="32"/>
          <w:szCs w:val="32"/>
          <w:lang w:val="en-US" w:eastAsia="zh-CN"/>
        </w:rPr>
        <w:t>（副产品）</w:t>
      </w:r>
      <w:r>
        <w:rPr>
          <w:rFonts w:hint="eastAsia" w:ascii="仿宋_GB2312" w:hAnsi="仿宋_GB2312" w:eastAsia="仿宋_GB2312" w:cs="仿宋_GB2312"/>
          <w:snapToGrid/>
          <w:color w:val="auto"/>
          <w:kern w:val="2"/>
          <w:sz w:val="32"/>
          <w:szCs w:val="32"/>
          <w:lang w:val="en-US" w:eastAsia="zh-CN"/>
        </w:rPr>
        <w:t>11993.3吨，年产固态有机肥</w:t>
      </w:r>
      <w:r>
        <w:rPr>
          <w:rFonts w:hint="eastAsia" w:ascii="仿宋_GB2312" w:hAnsi="仿宋_GB2312" w:cs="仿宋_GB2312"/>
          <w:snapToGrid/>
          <w:color w:val="auto"/>
          <w:kern w:val="2"/>
          <w:sz w:val="32"/>
          <w:szCs w:val="32"/>
          <w:lang w:val="en-US" w:eastAsia="zh-CN"/>
        </w:rPr>
        <w:t>（副产品）</w:t>
      </w:r>
      <w:r>
        <w:rPr>
          <w:rFonts w:hint="eastAsia" w:ascii="仿宋_GB2312" w:hAnsi="仿宋_GB2312" w:eastAsia="仿宋_GB2312" w:cs="仿宋_GB2312"/>
          <w:snapToGrid/>
          <w:color w:val="auto"/>
          <w:kern w:val="2"/>
          <w:sz w:val="32"/>
          <w:szCs w:val="32"/>
          <w:lang w:val="en-US" w:eastAsia="zh-CN"/>
        </w:rPr>
        <w:t>3127.5吨。</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eastAsia" w:cs="Times New Roman"/>
          <w:bCs/>
          <w:color w:val="auto"/>
          <w:sz w:val="24"/>
          <w:lang w:val="en-US" w:eastAsia="zh-CN"/>
        </w:rPr>
      </w:pPr>
      <w:r>
        <w:rPr>
          <w:rFonts w:hint="eastAsia" w:ascii="仿宋_GB2312" w:hAnsi="仿宋_GB2312" w:eastAsia="仿宋_GB2312" w:cs="仿宋_GB2312"/>
          <w:color w:val="auto"/>
          <w:sz w:val="32"/>
          <w:szCs w:val="32"/>
          <w:lang w:val="en-US" w:eastAsia="zh-CN"/>
        </w:rPr>
        <w:t>本项目已由淮南市潘集区发展和改革委员会备案，项目编码：</w:t>
      </w:r>
      <w:r>
        <w:rPr>
          <w:rFonts w:hint="eastAsia" w:ascii="仿宋_GB2312" w:hAnsi="仿宋_GB2312" w:eastAsia="仿宋_GB2312" w:cs="仿宋_GB2312"/>
          <w:snapToGrid/>
          <w:color w:val="auto"/>
          <w:kern w:val="2"/>
          <w:sz w:val="32"/>
          <w:szCs w:val="32"/>
          <w:lang w:eastAsia="zh-CN"/>
        </w:rPr>
        <w:t>2308-340406-04-01-426952</w:t>
      </w:r>
      <w:r>
        <w:rPr>
          <w:rFonts w:hint="eastAsia" w:ascii="仿宋_GB2312" w:hAnsi="仿宋_GB2312" w:eastAsia="仿宋_GB2312" w:cs="仿宋_GB2312"/>
          <w:color w:val="auto"/>
          <w:sz w:val="32"/>
          <w:szCs w:val="32"/>
          <w:lang w:val="en-US" w:eastAsia="zh-CN"/>
        </w:rPr>
        <w:t>，未经同意不得擅自改变建设内容、工艺、规模和选址等。若工程建设发生重大变动，必须严格依照《中华人民共和国环境影响评价法》的有关规定办理相关手续。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二、污染防治措施要求</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keepNext w:val="0"/>
        <w:keepLines w:val="0"/>
        <w:pageBreakBefore w:val="0"/>
        <w:widowControl w:val="0"/>
        <w:numPr>
          <w:ilvl w:val="0"/>
          <w:numId w:val="0"/>
        </w:numPr>
        <w:kinsoku/>
        <w:wordWrap w:val="0"/>
        <w:overflowPunct/>
        <w:topLinePunct/>
        <w:autoSpaceDE/>
        <w:autoSpaceDN/>
        <w:bidi w:val="0"/>
        <w:adjustRightInd/>
        <w:snapToGrid/>
        <w:spacing w:line="560" w:lineRule="exact"/>
        <w:ind w:firstLine="640" w:firstLineChars="200"/>
        <w:jc w:val="both"/>
        <w:textAlignment w:val="auto"/>
        <w:rPr>
          <w:rFonts w:hint="default"/>
          <w:color w:val="auto"/>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严格落实大气污染防治措施。</w:t>
      </w:r>
      <w:r>
        <w:rPr>
          <w:rFonts w:hint="eastAsia" w:ascii="仿宋_GB2312" w:hAnsi="仿宋_GB2312" w:eastAsia="仿宋_GB2312" w:cs="仿宋_GB2312"/>
          <w:color w:val="auto"/>
          <w:sz w:val="32"/>
          <w:szCs w:val="32"/>
          <w:lang w:val="en-US" w:eastAsia="zh-CN"/>
        </w:rPr>
        <w:t>严格落实报告表中提出的废气污染防治措施。</w:t>
      </w:r>
      <w:r>
        <w:rPr>
          <w:rFonts w:hint="default" w:ascii="仿宋_GB2312" w:hAnsi="仿宋_GB2312" w:eastAsia="仿宋_GB2312" w:cs="仿宋_GB2312"/>
          <w:color w:val="auto"/>
          <w:sz w:val="32"/>
          <w:szCs w:val="32"/>
          <w:lang w:val="en-US" w:eastAsia="zh-CN"/>
        </w:rPr>
        <w:t>生产、输送、储存过程采用全密闭或负压收集处理，提高废气收集效率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严格控制无组织排放</w:t>
      </w:r>
      <w:r>
        <w:rPr>
          <w:rFonts w:hint="eastAsia" w:ascii="仿宋_GB2312" w:hAnsi="仿宋_GB2312" w:eastAsia="仿宋_GB2312" w:cs="仿宋_GB2312"/>
          <w:color w:val="auto"/>
          <w:sz w:val="32"/>
          <w:szCs w:val="32"/>
          <w:lang w:val="en-US" w:eastAsia="zh-CN"/>
        </w:rPr>
        <w:t>，厂区</w:t>
      </w:r>
      <w:r>
        <w:rPr>
          <w:rFonts w:hint="default" w:ascii="仿宋_GB2312" w:hAnsi="仿宋_GB2312" w:eastAsia="仿宋_GB2312" w:cs="仿宋_GB2312"/>
          <w:color w:val="auto"/>
          <w:sz w:val="32"/>
          <w:szCs w:val="32"/>
          <w:lang w:val="en-US" w:eastAsia="zh-CN"/>
        </w:rPr>
        <w:t>路面应实施硬化，对厂区所有</w:t>
      </w:r>
      <w:r>
        <w:rPr>
          <w:rFonts w:hint="eastAsia" w:ascii="仿宋_GB2312" w:hAnsi="仿宋_GB2312" w:eastAsia="仿宋_GB2312" w:cs="仿宋_GB2312"/>
          <w:color w:val="auto"/>
          <w:sz w:val="32"/>
          <w:szCs w:val="32"/>
          <w:lang w:val="en-US" w:eastAsia="zh-CN"/>
        </w:rPr>
        <w:t>裸露土</w:t>
      </w:r>
      <w:r>
        <w:rPr>
          <w:rFonts w:hint="default" w:ascii="仿宋_GB2312" w:hAnsi="仿宋_GB2312" w:eastAsia="仿宋_GB2312" w:cs="仿宋_GB2312"/>
          <w:color w:val="auto"/>
          <w:sz w:val="32"/>
          <w:szCs w:val="32"/>
          <w:lang w:val="en-US" w:eastAsia="zh-CN"/>
        </w:rPr>
        <w:t>地进行高标准绿化</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rPr>
        <w:t>项目秸秆破碎粉尘经集气罩收集后采用“布袋除尘器”处理，处理后废气通过1根15m高排气筒（DA001）排放；</w:t>
      </w:r>
      <w:r>
        <w:rPr>
          <w:rFonts w:hint="eastAsia" w:ascii="仿宋_GB2312" w:hAnsi="仿宋_GB2312" w:eastAsia="仿宋_GB2312" w:cs="仿宋_GB2312"/>
          <w:snapToGrid/>
          <w:color w:val="auto"/>
          <w:kern w:val="2"/>
          <w:sz w:val="32"/>
          <w:szCs w:val="32"/>
          <w:lang w:eastAsia="zh-CN"/>
        </w:rPr>
        <w:t>预处理池</w:t>
      </w:r>
      <w:r>
        <w:rPr>
          <w:rFonts w:hint="eastAsia" w:ascii="仿宋_GB2312" w:hAnsi="仿宋_GB2312" w:eastAsia="仿宋_GB2312" w:cs="仿宋_GB2312"/>
          <w:snapToGrid/>
          <w:color w:val="auto"/>
          <w:kern w:val="2"/>
          <w:sz w:val="32"/>
          <w:szCs w:val="32"/>
          <w:lang w:val="en-US" w:eastAsia="zh-CN"/>
        </w:rPr>
        <w:t>产生的恶臭气体经负压收集后采用“生物滤池处理系统”处理，处理后废气通过</w:t>
      </w:r>
      <w:r>
        <w:rPr>
          <w:rFonts w:hint="eastAsia" w:ascii="仿宋_GB2312" w:hAnsi="仿宋_GB2312" w:eastAsia="仿宋_GB2312" w:cs="仿宋_GB2312"/>
          <w:color w:val="auto"/>
          <w:sz w:val="32"/>
          <w:szCs w:val="32"/>
          <w:lang w:val="en-US" w:eastAsia="zh-CN"/>
        </w:rPr>
        <w:t>1根15m高排气筒（DA002）排放</w:t>
      </w:r>
      <w:r>
        <w:rPr>
          <w:rFonts w:hint="eastAsia" w:ascii="仿宋_GB2312" w:hAnsi="仿宋_GB2312" w:eastAsia="仿宋_GB2312" w:cs="仿宋_GB2312"/>
          <w:snapToGrid/>
          <w:color w:val="auto"/>
          <w:kern w:val="2"/>
          <w:sz w:val="32"/>
          <w:szCs w:val="32"/>
          <w:lang w:val="en-US" w:eastAsia="zh-CN"/>
        </w:rPr>
        <w:t>；</w:t>
      </w:r>
      <w:r>
        <w:rPr>
          <w:rFonts w:hint="eastAsia" w:ascii="仿宋_GB2312" w:hAnsi="仿宋_GB2312" w:eastAsia="仿宋_GB2312" w:cs="仿宋_GB2312"/>
          <w:snapToGrid/>
          <w:color w:val="auto"/>
          <w:kern w:val="2"/>
          <w:sz w:val="32"/>
          <w:szCs w:val="32"/>
          <w:lang w:eastAsia="zh-CN"/>
        </w:rPr>
        <w:t>沼气燃烧</w:t>
      </w:r>
      <w:r>
        <w:rPr>
          <w:rFonts w:hint="eastAsia" w:ascii="仿宋_GB2312" w:hAnsi="仿宋_GB2312" w:eastAsia="仿宋_GB2312" w:cs="仿宋_GB2312"/>
          <w:color w:val="auto"/>
          <w:sz w:val="32"/>
          <w:szCs w:val="32"/>
          <w:lang w:val="en-US" w:eastAsia="zh-CN"/>
        </w:rPr>
        <w:t>废气采用“</w:t>
      </w:r>
      <w:r>
        <w:rPr>
          <w:rFonts w:hint="default" w:ascii="仿宋_GB2312" w:hAnsi="仿宋_GB2312" w:eastAsia="仿宋_GB2312" w:cs="仿宋_GB2312"/>
          <w:color w:val="auto"/>
          <w:sz w:val="32"/>
          <w:szCs w:val="32"/>
          <w:lang w:val="en-US" w:eastAsia="zh-CN"/>
        </w:rPr>
        <w:t>SCR脱硝</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处理</w:t>
      </w:r>
      <w:r>
        <w:rPr>
          <w:rFonts w:hint="eastAsia" w:ascii="仿宋_GB2312" w:hAnsi="仿宋_GB2312" w:eastAsia="仿宋_GB2312" w:cs="仿宋_GB2312"/>
          <w:color w:val="auto"/>
          <w:sz w:val="32"/>
          <w:szCs w:val="32"/>
          <w:lang w:val="en-US" w:eastAsia="zh-CN"/>
        </w:rPr>
        <w:t>后废气通过1根15m高排气筒（DA003）排放。</w:t>
      </w:r>
      <w:r>
        <w:rPr>
          <w:rFonts w:hint="eastAsia" w:ascii="仿宋_GB2312" w:hAnsi="仿宋_GB2312" w:eastAsia="仿宋_GB2312"/>
          <w:kern w:val="0"/>
          <w:sz w:val="32"/>
          <w:szCs w:val="22"/>
        </w:rPr>
        <w:t>同时加强管理，定期喷洒除臭剂。</w:t>
      </w:r>
      <w:r>
        <w:rPr>
          <w:rFonts w:hint="eastAsia" w:ascii="仿宋_GB2312" w:hAnsi="仿宋_GB2312" w:eastAsia="仿宋_GB2312" w:cs="仿宋_GB2312"/>
          <w:snapToGrid/>
          <w:color w:val="auto"/>
          <w:kern w:val="2"/>
          <w:sz w:val="32"/>
          <w:szCs w:val="32"/>
          <w:lang w:eastAsia="zh-CN"/>
        </w:rPr>
        <w:t>各类废气排放按《报告表》中所列的各项标准和要求限值执行。</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（二）严格落实水污染防治措施。</w:t>
      </w:r>
      <w:r>
        <w:rPr>
          <w:rFonts w:hint="eastAsia" w:ascii="仿宋_GB2312" w:hAnsi="仿宋_GB2312" w:eastAsia="仿宋_GB2312" w:cs="仿宋_GB2312"/>
          <w:color w:val="auto"/>
          <w:sz w:val="32"/>
          <w:szCs w:val="32"/>
          <w:lang w:val="en-US" w:eastAsia="zh-CN"/>
        </w:rPr>
        <w:t>厂区生活污水经化粪池预处理后会同生产废水进入厂区</w:t>
      </w:r>
      <w:r>
        <w:rPr>
          <w:rFonts w:hint="eastAsia" w:ascii="仿宋_GB2312" w:hAnsi="仿宋_GB2312" w:eastAsia="仿宋_GB2312" w:cs="仿宋_GB2312"/>
          <w:snapToGrid/>
          <w:color w:val="auto"/>
          <w:kern w:val="2"/>
          <w:sz w:val="32"/>
          <w:szCs w:val="32"/>
          <w:lang w:eastAsia="zh-CN"/>
        </w:rPr>
        <w:t>预处理池</w:t>
      </w:r>
      <w:r>
        <w:rPr>
          <w:rFonts w:hint="eastAsia" w:ascii="仿宋_GB2312" w:hAnsi="仿宋_GB2312" w:eastAsia="仿宋_GB2312" w:cs="仿宋_GB2312"/>
          <w:color w:val="auto"/>
          <w:sz w:val="32"/>
          <w:szCs w:val="32"/>
          <w:lang w:val="en-US" w:eastAsia="zh-CN"/>
        </w:rPr>
        <w:t>回用于生产，不外排。</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rPr>
        <w:t>（三）严格落实噪声污染防治措施。</w:t>
      </w:r>
      <w:r>
        <w:rPr>
          <w:rFonts w:hint="eastAsia" w:ascii="仿宋_GB2312" w:hAnsi="仿宋_GB2312" w:eastAsia="仿宋_GB2312" w:cs="仿宋_GB2312"/>
          <w:color w:val="auto"/>
          <w:kern w:val="0"/>
          <w:sz w:val="32"/>
          <w:szCs w:val="32"/>
          <w:lang w:val="en-US" w:eastAsia="zh-CN" w:bidi="ar-SA"/>
        </w:rPr>
        <w:t xml:space="preserve">优先选用低噪声设备，对产生高噪声的设备进行合理布局，并采取必要的减振、隔声、消声等降噪处理，确保厂界噪声达标。   </w:t>
      </w:r>
      <w:r>
        <w:rPr>
          <w:rFonts w:ascii="仿宋_GB2312" w:hAnsi="仿宋_GB2312" w:eastAsia="仿宋_GB2312" w:cs="仿宋_GB2312"/>
          <w:color w:val="auto"/>
          <w:sz w:val="32"/>
          <w:szCs w:val="32"/>
        </w:rPr>
        <w:t xml:space="preserve">                    </w:t>
      </w:r>
      <w:r>
        <w:rPr>
          <w:rFonts w:ascii="宋?" w:hAnsi="宋?" w:cs="宋?"/>
          <w:color w:val="auto"/>
          <w:sz w:val="32"/>
          <w:szCs w:val="32"/>
        </w:rPr>
        <w:t xml:space="preserve">  </w:t>
      </w:r>
      <w:r>
        <w:rPr>
          <w:rFonts w:ascii="楷体" w:hAnsi="楷体" w:eastAsia="楷体" w:cs="楷体"/>
          <w:color w:val="auto"/>
          <w:sz w:val="32"/>
          <w:szCs w:val="32"/>
        </w:rPr>
        <w:t xml:space="preserve"> (</w:t>
      </w:r>
      <w:r>
        <w:rPr>
          <w:rFonts w:hint="eastAsia" w:ascii="楷体" w:hAnsi="楷体" w:eastAsia="楷体" w:cs="楷体"/>
          <w:color w:val="auto"/>
          <w:sz w:val="32"/>
          <w:szCs w:val="32"/>
        </w:rPr>
        <w:t>四）严格落实固废污染防治措施。</w:t>
      </w:r>
      <w:r>
        <w:rPr>
          <w:rFonts w:hint="default" w:ascii="仿宋_GB2312" w:hAnsi="仿宋_GB2312" w:eastAsia="仿宋_GB2312" w:cs="仿宋_GB2312"/>
          <w:color w:val="auto"/>
          <w:kern w:val="0"/>
          <w:sz w:val="32"/>
          <w:szCs w:val="32"/>
          <w:lang w:val="en-US" w:eastAsia="zh-CN" w:bidi="ar-SA"/>
        </w:rPr>
        <w:t>项目产生的危险废物为废催化剂，</w:t>
      </w:r>
      <w:r>
        <w:rPr>
          <w:rFonts w:hint="eastAsia" w:ascii="仿宋_GB2312" w:hAnsi="仿宋_GB2312" w:eastAsia="仿宋_GB2312" w:cs="仿宋_GB2312"/>
          <w:color w:val="auto"/>
          <w:kern w:val="0"/>
          <w:sz w:val="32"/>
          <w:szCs w:val="32"/>
          <w:lang w:val="en-US" w:eastAsia="zh-CN" w:bidi="ar-SA"/>
        </w:rPr>
        <w:t>废机油、废机油桶，</w:t>
      </w:r>
      <w:r>
        <w:rPr>
          <w:rFonts w:hint="eastAsia" w:ascii="仿宋_GB2312" w:hAnsi="仿宋_GB2312" w:eastAsia="仿宋_GB2312" w:cs="仿宋_GB2312"/>
          <w:sz w:val="32"/>
          <w:szCs w:val="32"/>
        </w:rPr>
        <w:t>废</w:t>
      </w:r>
      <w:r>
        <w:rPr>
          <w:rFonts w:hint="eastAsia" w:ascii="仿宋_GB2312" w:hAnsi="仿宋_GB2312" w:eastAsia="仿宋_GB2312" w:cs="仿宋_GB2312"/>
          <w:sz w:val="32"/>
          <w:szCs w:val="32"/>
          <w:lang w:val="en-US" w:eastAsia="zh-CN"/>
        </w:rPr>
        <w:t>生物</w:t>
      </w:r>
      <w:r>
        <w:rPr>
          <w:rFonts w:hint="eastAsia" w:ascii="仿宋_GB2312" w:hAnsi="仿宋_GB2312" w:eastAsia="仿宋_GB2312" w:cs="仿宋_GB2312"/>
          <w:sz w:val="32"/>
          <w:szCs w:val="32"/>
        </w:rPr>
        <w:t>除臭剂包装</w:t>
      </w:r>
      <w:r>
        <w:rPr>
          <w:rFonts w:hint="eastAsia" w:ascii="仿宋_GB2312" w:hAnsi="仿宋_GB2312" w:eastAsia="仿宋_GB2312" w:cs="仿宋_GB2312"/>
          <w:sz w:val="32"/>
          <w:szCs w:val="32"/>
          <w:lang w:val="en-US" w:eastAsia="zh-CN"/>
        </w:rPr>
        <w:t>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0"/>
          <w:sz w:val="32"/>
          <w:szCs w:val="32"/>
          <w:lang w:val="en-US" w:eastAsia="zh-CN" w:bidi="ar-SA"/>
        </w:rPr>
        <w:t>分类后的废含油抹布、手套。项目新建一座10㎡危废暂存间。</w:t>
      </w:r>
      <w:r>
        <w:rPr>
          <w:rFonts w:hint="default" w:ascii="仿宋_GB2312" w:hAnsi="仿宋_GB2312" w:eastAsia="仿宋_GB2312" w:cs="仿宋_GB2312"/>
          <w:color w:val="auto"/>
          <w:kern w:val="0"/>
          <w:sz w:val="32"/>
          <w:szCs w:val="32"/>
          <w:lang w:val="en-US" w:eastAsia="zh-CN" w:bidi="ar-SA"/>
        </w:rPr>
        <w:t>强化危险废物的暂存和管理，定期委托资质单位安全处置。一般工业固体废弃物主要为</w:t>
      </w:r>
      <w:r>
        <w:rPr>
          <w:rFonts w:hint="eastAsia" w:ascii="仿宋_GB2312" w:hAnsi="仿宋_GB2312" w:eastAsia="仿宋_GB2312" w:cs="仿宋_GB2312"/>
          <w:color w:val="auto"/>
          <w:kern w:val="0"/>
          <w:sz w:val="32"/>
          <w:szCs w:val="32"/>
          <w:lang w:val="en-US" w:eastAsia="zh-CN" w:bidi="ar-SA"/>
        </w:rPr>
        <w:t>废包装袋、布袋除尘器收集的粉尘、</w:t>
      </w:r>
      <w:r>
        <w:rPr>
          <w:rFonts w:hint="default" w:ascii="仿宋_GB2312" w:hAnsi="仿宋_GB2312" w:eastAsia="仿宋_GB2312" w:cs="仿宋_GB2312"/>
          <w:color w:val="auto"/>
          <w:kern w:val="0"/>
          <w:sz w:val="32"/>
          <w:szCs w:val="32"/>
          <w:lang w:val="en-US" w:eastAsia="zh-CN" w:bidi="ar-SA"/>
        </w:rPr>
        <w:t>废脱硫剂</w:t>
      </w:r>
      <w:r>
        <w:rPr>
          <w:rFonts w:hint="eastAsia" w:ascii="仿宋_GB2312" w:hAnsi="仿宋_GB2312" w:eastAsia="仿宋_GB2312" w:cs="仿宋_GB2312"/>
          <w:color w:val="auto"/>
          <w:kern w:val="0"/>
          <w:sz w:val="32"/>
          <w:szCs w:val="32"/>
          <w:lang w:val="en-US" w:eastAsia="zh-CN" w:bidi="ar-SA"/>
        </w:rPr>
        <w:t>、废脱碳膜、滤渣和废过滤膜。废包装袋收集后外售综合利用；收集的粉尘回用于生产；</w:t>
      </w:r>
      <w:r>
        <w:rPr>
          <w:rFonts w:hint="default" w:ascii="仿宋_GB2312" w:hAnsi="仿宋_GB2312" w:eastAsia="仿宋_GB2312" w:cs="仿宋_GB2312"/>
          <w:color w:val="auto"/>
          <w:kern w:val="0"/>
          <w:sz w:val="32"/>
          <w:szCs w:val="32"/>
          <w:lang w:val="en-US" w:eastAsia="zh-CN" w:bidi="ar-SA"/>
        </w:rPr>
        <w:t>废脱硫剂</w:t>
      </w:r>
      <w:r>
        <w:rPr>
          <w:rFonts w:hint="eastAsia" w:ascii="仿宋_GB2312" w:hAnsi="仿宋_GB2312" w:eastAsia="仿宋_GB2312" w:cs="仿宋_GB2312"/>
          <w:color w:val="auto"/>
          <w:kern w:val="0"/>
          <w:sz w:val="32"/>
          <w:szCs w:val="32"/>
          <w:lang w:val="en-US" w:eastAsia="zh-CN" w:bidi="ar-SA"/>
        </w:rPr>
        <w:t>、废脱碳膜、滤渣和废过滤膜交由厂家回收处理。生活垃圾经收集后交由环卫部门统一清运处理。</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kern w:val="2"/>
          <w:sz w:val="32"/>
          <w:szCs w:val="32"/>
        </w:rPr>
        <w:t>（五）严格落实土壤及地下水污染防治措施。</w:t>
      </w:r>
      <w:r>
        <w:rPr>
          <w:rFonts w:hint="eastAsia" w:ascii="仿宋_GB2312" w:hAnsi="仿宋_GB2312" w:eastAsia="仿宋_GB2312" w:cs="仿宋_GB2312"/>
          <w:color w:val="auto"/>
          <w:kern w:val="0"/>
          <w:sz w:val="32"/>
          <w:szCs w:val="32"/>
          <w:lang w:val="en-GB" w:eastAsia="zh-CN" w:bidi="ar-SA"/>
        </w:rPr>
        <w:t>结合环评文件相关内容，对</w:t>
      </w:r>
      <w:r>
        <w:rPr>
          <w:rFonts w:hint="eastAsia" w:ascii="仿宋_GB2312" w:hAnsi="仿宋_GB2312" w:eastAsia="仿宋_GB2312" w:cs="仿宋_GB2312"/>
          <w:color w:val="auto"/>
          <w:kern w:val="0"/>
          <w:sz w:val="32"/>
          <w:szCs w:val="32"/>
          <w:lang w:val="en-US" w:eastAsia="zh-CN" w:bidi="ar-SA"/>
        </w:rPr>
        <w:t>危废暂存间、危险化学品仓库、机油仓库、预处理池、黑膜沼液池</w:t>
      </w:r>
      <w:r>
        <w:rPr>
          <w:rFonts w:hint="eastAsia" w:ascii="仿宋_GB2312" w:hAnsi="仿宋_GB2312" w:eastAsia="仿宋_GB2312" w:cs="仿宋_GB2312"/>
          <w:color w:val="auto"/>
          <w:kern w:val="0"/>
          <w:sz w:val="32"/>
          <w:szCs w:val="32"/>
          <w:lang w:val="en-GB" w:eastAsia="zh-CN" w:bidi="ar-SA"/>
        </w:rPr>
        <w:t>等区域进行重点防渗，严格落实重点防渗区、一般防渗区等分区防渗措施，防止</w:t>
      </w:r>
      <w:r>
        <w:rPr>
          <w:rFonts w:hint="eastAsia" w:ascii="仿宋_GB2312" w:hAnsi="仿宋_GB2312" w:eastAsia="仿宋_GB2312" w:cs="仿宋_GB2312"/>
          <w:color w:val="auto"/>
          <w:kern w:val="0"/>
          <w:sz w:val="32"/>
          <w:szCs w:val="32"/>
          <w:lang w:val="en-US" w:eastAsia="zh-CN" w:bidi="ar-SA"/>
        </w:rPr>
        <w:t>污染土壤及地下水。</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kern w:val="2"/>
          <w:sz w:val="32"/>
          <w:szCs w:val="32"/>
        </w:rPr>
        <w:t>（六）加强环境风险预防和控制</w:t>
      </w:r>
      <w:r>
        <w:rPr>
          <w:rFonts w:hint="eastAsia" w:ascii="楷体" w:hAnsi="楷体" w:eastAsia="楷体" w:cs="楷体"/>
          <w:color w:val="auto"/>
          <w:sz w:val="32"/>
          <w:szCs w:val="32"/>
        </w:rPr>
        <w:t>。</w:t>
      </w:r>
      <w:r>
        <w:rPr>
          <w:rFonts w:hint="eastAsia" w:ascii="仿宋_GB2312" w:hAnsi="仿宋_GB2312" w:eastAsia="仿宋_GB2312" w:cs="仿宋_GB2312"/>
          <w:color w:val="auto"/>
          <w:kern w:val="0"/>
          <w:sz w:val="32"/>
          <w:szCs w:val="32"/>
          <w:lang w:val="en-US" w:eastAsia="zh-CN" w:bidi="ar-SA"/>
        </w:rPr>
        <w:t>落实《报告表》提出的各项风险防范措施。</w:t>
      </w:r>
      <w:r>
        <w:rPr>
          <w:rFonts w:hint="default" w:ascii="仿宋_GB2312" w:hAnsi="仿宋_GB2312" w:eastAsia="仿宋_GB2312" w:cs="仿宋_GB2312"/>
          <w:color w:val="auto"/>
          <w:kern w:val="0"/>
          <w:sz w:val="32"/>
          <w:szCs w:val="32"/>
          <w:lang w:val="en-US" w:eastAsia="zh-CN" w:bidi="ar-SA"/>
        </w:rPr>
        <w:t>厌氧发酵罐区</w:t>
      </w:r>
      <w:r>
        <w:rPr>
          <w:rFonts w:hint="eastAsia" w:ascii="仿宋_GB2312" w:hAnsi="仿宋_GB2312" w:eastAsia="仿宋_GB2312" w:cs="仿宋_GB2312"/>
          <w:color w:val="auto"/>
          <w:kern w:val="0"/>
          <w:sz w:val="32"/>
          <w:szCs w:val="32"/>
          <w:lang w:val="en-US" w:eastAsia="zh-CN" w:bidi="ar-SA"/>
        </w:rPr>
        <w:t>应</w:t>
      </w:r>
      <w:r>
        <w:rPr>
          <w:rFonts w:hint="default" w:ascii="仿宋_GB2312" w:hAnsi="仿宋_GB2312" w:eastAsia="仿宋_GB2312" w:cs="仿宋_GB2312"/>
          <w:color w:val="auto"/>
          <w:kern w:val="0"/>
          <w:sz w:val="32"/>
          <w:szCs w:val="32"/>
          <w:lang w:val="en-US" w:eastAsia="zh-CN" w:bidi="ar-SA"/>
        </w:rPr>
        <w:t>设置围堰，围堰</w:t>
      </w:r>
      <w:r>
        <w:rPr>
          <w:rFonts w:hint="eastAsia" w:ascii="仿宋_GB2312" w:hAnsi="仿宋_GB2312" w:eastAsia="仿宋_GB2312" w:cs="仿宋_GB2312"/>
          <w:color w:val="auto"/>
          <w:kern w:val="0"/>
          <w:sz w:val="32"/>
          <w:szCs w:val="32"/>
          <w:lang w:val="en-US" w:eastAsia="zh-CN" w:bidi="ar-SA"/>
        </w:rPr>
        <w:t>尺寸不低于40m×20m×2.5m。结合本项目存在的环境风险点，编制环境风险应急预案，依法开展应急演练，确保突发事故状态下的次生环境影响程度可控。</w:t>
      </w:r>
      <w:r>
        <w:rPr>
          <w:rFonts w:hint="eastAsia" w:ascii="仿宋_GB2312" w:hAnsi="仿宋_GB2312" w:eastAsia="仿宋_GB2312" w:cs="仿宋_GB2312"/>
          <w:color w:val="auto"/>
          <w:sz w:val="32"/>
          <w:szCs w:val="32"/>
          <w:lang w:val="en-US" w:eastAsia="zh-CN"/>
        </w:rPr>
        <w:t>项目原辅料仅为秸秆及畜禽粪便，严禁使用污泥、豆制品废水等。项目产生的副产品液态有机肥、固态有机肥，仅用于淮南市许家岗蔬菜种植农民工专业合作社架河镇千亩无公害农业示范基地建设项目内，不得长期贮存、</w:t>
      </w:r>
      <w:bookmarkStart w:id="0" w:name="_GoBack"/>
      <w:bookmarkEnd w:id="0"/>
      <w:r>
        <w:rPr>
          <w:rFonts w:hint="eastAsia" w:ascii="仿宋_GB2312" w:hAnsi="仿宋_GB2312" w:eastAsia="仿宋_GB2312" w:cs="仿宋_GB2312"/>
          <w:color w:val="auto"/>
          <w:sz w:val="32"/>
          <w:szCs w:val="32"/>
          <w:lang w:val="en-US" w:eastAsia="zh-CN"/>
        </w:rPr>
        <w:t>倒卖、转运、倾倒等。</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三、环境管理要求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项目建设过程中应严格执行环境保护“三同时”制度。项目建成后，及时申请排污许可证，项目竣工后应及时对配套建设的环境保护设施进行验收，验收合格后方可使用。如有环境功能区划</w:t>
      </w:r>
      <w:r>
        <w:rPr>
          <w:rFonts w:hint="eastAsia" w:ascii="仿宋_GB2312" w:hAnsi="仿宋_GB2312" w:eastAsia="仿宋_GB2312" w:cs="仿宋_GB2312"/>
          <w:color w:val="auto"/>
          <w:sz w:val="32"/>
          <w:szCs w:val="32"/>
          <w:lang w:val="en-US" w:eastAsia="zh-CN"/>
        </w:rPr>
        <w:t>调整、新标准制定实施等情况，按照要求变更执行标准。</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楷体" w:hAnsi="楷体" w:eastAsia="楷体" w:cs="楷体"/>
          <w:color w:val="auto"/>
          <w:kern w:val="2"/>
          <w:sz w:val="32"/>
          <w:szCs w:val="32"/>
        </w:rPr>
      </w:pPr>
      <w:r>
        <w:rPr>
          <w:rFonts w:ascii="楷体" w:hAnsi="楷体" w:eastAsia="楷体" w:cs="楷体"/>
          <w:color w:val="auto"/>
          <w:kern w:val="2"/>
          <w:sz w:val="32"/>
          <w:szCs w:val="32"/>
        </w:rPr>
        <w:t>1.</w:t>
      </w:r>
      <w:r>
        <w:rPr>
          <w:rFonts w:hint="eastAsia" w:ascii="楷体" w:hAnsi="楷体" w:eastAsia="楷体" w:cs="楷体"/>
          <w:color w:val="auto"/>
          <w:kern w:val="2"/>
          <w:sz w:val="32"/>
          <w:szCs w:val="32"/>
        </w:rPr>
        <w:t>废气排放</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val="en-US" w:eastAsia="zh-CN"/>
        </w:rPr>
        <w:t>废气</w:t>
      </w:r>
      <w:r>
        <w:rPr>
          <w:rFonts w:hint="default" w:ascii="仿宋_GB2312" w:hAnsi="仿宋_GB2312" w:eastAsia="仿宋_GB2312" w:cs="仿宋_GB2312"/>
          <w:color w:val="auto"/>
          <w:sz w:val="32"/>
          <w:szCs w:val="32"/>
        </w:rPr>
        <w:t>氨、硫化氢</w:t>
      </w:r>
      <w:r>
        <w:rPr>
          <w:rFonts w:hint="eastAsia" w:ascii="仿宋_GB2312" w:hAnsi="仿宋_GB2312" w:eastAsia="仿宋_GB2312" w:cs="仿宋_GB2312"/>
          <w:color w:val="auto"/>
          <w:sz w:val="32"/>
          <w:szCs w:val="32"/>
          <w:lang w:val="en-US" w:eastAsia="zh-CN"/>
        </w:rPr>
        <w:t>以及臭气浓度</w:t>
      </w:r>
      <w:r>
        <w:rPr>
          <w:rFonts w:hint="default" w:ascii="仿宋_GB2312" w:hAnsi="仿宋_GB2312" w:eastAsia="仿宋_GB2312" w:cs="仿宋_GB2312"/>
          <w:color w:val="auto"/>
          <w:sz w:val="32"/>
          <w:szCs w:val="32"/>
        </w:rPr>
        <w:t>排放执行《恶臭污染物排放标准》（GB14554—93）；沼气燃烧废气</w:t>
      </w:r>
      <w:r>
        <w:rPr>
          <w:rFonts w:hint="default" w:ascii="仿宋_GB2312" w:hAnsi="仿宋_GB2312" w:eastAsia="仿宋_GB2312" w:cs="仿宋_GB2312"/>
          <w:color w:val="auto"/>
          <w:sz w:val="32"/>
          <w:szCs w:val="32"/>
          <w:lang w:val="en-US" w:eastAsia="zh-CN"/>
        </w:rPr>
        <w:t>和粉尘废气</w:t>
      </w:r>
      <w:r>
        <w:rPr>
          <w:rFonts w:hint="default" w:ascii="仿宋_GB2312" w:hAnsi="仿宋_GB2312" w:eastAsia="仿宋_GB2312" w:cs="仿宋_GB2312"/>
          <w:color w:val="auto"/>
          <w:sz w:val="32"/>
          <w:szCs w:val="32"/>
        </w:rPr>
        <w:t>排放执行《大气污染物综合排放标准》（GB16297-1996）表2限值要求</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ascii="楷体" w:hAnsi="楷体" w:eastAsia="楷体" w:cs="楷体"/>
          <w:color w:val="auto"/>
          <w:sz w:val="32"/>
          <w:szCs w:val="32"/>
        </w:rPr>
      </w:pPr>
      <w:r>
        <w:rPr>
          <w:rFonts w:ascii="楷体" w:hAnsi="楷体" w:eastAsia="楷体" w:cs="楷体"/>
          <w:color w:val="auto"/>
          <w:sz w:val="32"/>
          <w:szCs w:val="32"/>
        </w:rPr>
        <w:t>2.</w:t>
      </w:r>
      <w:r>
        <w:rPr>
          <w:rFonts w:hint="eastAsia" w:ascii="楷体" w:hAnsi="楷体" w:eastAsia="楷体" w:cs="楷体"/>
          <w:color w:val="auto"/>
          <w:sz w:val="32"/>
          <w:szCs w:val="32"/>
        </w:rPr>
        <w:t>污水排放</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项目废水</w:t>
      </w:r>
      <w:r>
        <w:rPr>
          <w:rFonts w:hint="eastAsia" w:ascii="仿宋_GB2312" w:hAnsi="仿宋_GB2312" w:eastAsia="仿宋_GB2312" w:cs="仿宋_GB2312"/>
          <w:color w:val="auto"/>
          <w:sz w:val="32"/>
          <w:szCs w:val="32"/>
          <w:lang w:val="en-US" w:eastAsia="zh-CN"/>
        </w:rPr>
        <w:t>不外排。</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楷体" w:hAnsi="楷体" w:eastAsia="楷体" w:cs="楷体"/>
          <w:color w:val="auto"/>
          <w:sz w:val="32"/>
          <w:szCs w:val="32"/>
        </w:rPr>
      </w:pPr>
      <w:r>
        <w:rPr>
          <w:rFonts w:ascii="楷体" w:hAnsi="楷体" w:eastAsia="楷体" w:cs="楷体"/>
          <w:color w:val="auto"/>
          <w:sz w:val="32"/>
          <w:szCs w:val="32"/>
        </w:rPr>
        <w:t>3.</w:t>
      </w:r>
      <w:r>
        <w:rPr>
          <w:rFonts w:hint="eastAsia" w:ascii="楷体" w:hAnsi="楷体" w:eastAsia="楷体" w:cs="楷体"/>
          <w:color w:val="auto"/>
          <w:sz w:val="32"/>
          <w:szCs w:val="32"/>
        </w:rPr>
        <w:t>声环境及噪声排放</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项目营运期厂界噪声执行《工业企业厂界环境噪声排放标准》（</w:t>
      </w:r>
      <w:r>
        <w:rPr>
          <w:rFonts w:ascii="仿宋_GB2312" w:hAnsi="仿宋_GB2312" w:eastAsia="仿宋_GB2312" w:cs="仿宋_GB2312"/>
          <w:color w:val="auto"/>
          <w:kern w:val="2"/>
          <w:sz w:val="32"/>
          <w:szCs w:val="32"/>
        </w:rPr>
        <w:t>GB12348-2008</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类标准。</w:t>
      </w:r>
    </w:p>
    <w:p>
      <w:pPr>
        <w:pStyle w:val="15"/>
        <w:keepNext w:val="0"/>
        <w:keepLines w:val="0"/>
        <w:pageBreakBefore w:val="0"/>
        <w:widowControl w:val="0"/>
        <w:kinsoku/>
        <w:wordWrap w:val="0"/>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一般工业固体废物存放须执行《一般工业固体废物贮存和填埋污染控制标准》（</w:t>
      </w:r>
      <w:r>
        <w:rPr>
          <w:rFonts w:ascii="仿宋_GB2312" w:hAnsi="仿宋_GB2312" w:eastAsia="仿宋_GB2312" w:cs="仿宋_GB2312"/>
          <w:color w:val="auto"/>
          <w:sz w:val="32"/>
          <w:szCs w:val="32"/>
        </w:rPr>
        <w:t>GB18599-2020</w:t>
      </w:r>
      <w:r>
        <w:rPr>
          <w:rFonts w:hint="eastAsia" w:ascii="仿宋_GB2312" w:hAnsi="仿宋_GB2312" w:eastAsia="仿宋_GB2312" w:cs="仿宋_GB2312"/>
          <w:color w:val="auto"/>
          <w:sz w:val="32"/>
          <w:szCs w:val="32"/>
        </w:rPr>
        <w:t>）；危险废物贮存执行《危险废物贮存污染控制标准》（</w:t>
      </w:r>
      <w:r>
        <w:rPr>
          <w:rFonts w:ascii="仿宋_GB2312" w:hAnsi="仿宋_GB2312" w:eastAsia="仿宋_GB2312" w:cs="仿宋_GB2312"/>
          <w:color w:val="auto"/>
          <w:sz w:val="32"/>
          <w:szCs w:val="32"/>
        </w:rPr>
        <w:t>GB18597-2023</w:t>
      </w:r>
      <w:r>
        <w:rPr>
          <w:rFonts w:hint="eastAsia" w:ascii="仿宋_GB2312" w:hAnsi="仿宋_GB2312" w:eastAsia="仿宋_GB2312" w:cs="仿宋_GB2312"/>
          <w:color w:val="auto"/>
          <w:sz w:val="32"/>
          <w:szCs w:val="32"/>
        </w:rPr>
        <w:t>）中的相关规定。</w:t>
      </w:r>
    </w:p>
    <w:p>
      <w:pPr>
        <w:keepNext w:val="0"/>
        <w:keepLines w:val="0"/>
        <w:pageBreakBefore w:val="0"/>
        <w:widowControl w:val="0"/>
        <w:tabs>
          <w:tab w:val="left" w:pos="3990"/>
        </w:tabs>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5.如有环境功能区划调整、新标准制定实施等情况，按照要求变更执行标准。</w:t>
      </w:r>
    </w:p>
    <w:p>
      <w:pPr>
        <w:keepNext w:val="0"/>
        <w:keepLines w:val="0"/>
        <w:pageBreakBefore w:val="0"/>
        <w:widowControl w:val="0"/>
        <w:tabs>
          <w:tab w:val="left" w:pos="3990"/>
        </w:tabs>
        <w:kinsoku/>
        <w:wordWrap w:val="0"/>
        <w:overflowPunct/>
        <w:topLinePunct/>
        <w:autoSpaceDE/>
        <w:autoSpaceDN/>
        <w:bidi w:val="0"/>
        <w:adjustRightInd/>
        <w:snapToGrid/>
        <w:spacing w:line="540" w:lineRule="exact"/>
        <w:ind w:firstLine="640" w:firstLineChars="200"/>
        <w:jc w:val="left"/>
        <w:textAlignment w:val="auto"/>
        <w:rPr>
          <w:rFonts w:ascii="仿宋_GB2312" w:hAnsi="仿宋" w:eastAsia="仿宋_GB2312"/>
          <w:color w:val="auto"/>
          <w:sz w:val="32"/>
          <w:szCs w:val="32"/>
        </w:rPr>
      </w:pPr>
      <w:r>
        <w:rPr>
          <w:rFonts w:hint="eastAsia" w:ascii="仿宋_GB2312" w:hAnsi="仿宋_GB2312" w:eastAsia="仿宋_GB2312" w:cs="仿宋_GB2312"/>
          <w:color w:val="auto"/>
          <w:sz w:val="32"/>
          <w:szCs w:val="32"/>
          <w:lang w:val="en-US" w:eastAsia="zh-CN"/>
        </w:rPr>
        <w:t>五、请潘集生态环境保护综合行政执法大队做好工程施工期和运营期的事中事后生态环境监管工作。</w:t>
      </w:r>
    </w:p>
    <w:p>
      <w:pPr>
        <w:keepNext w:val="0"/>
        <w:keepLines w:val="0"/>
        <w:pageBreakBefore w:val="0"/>
        <w:widowControl w:val="0"/>
        <w:tabs>
          <w:tab w:val="left" w:pos="3990"/>
        </w:tabs>
        <w:kinsoku/>
        <w:wordWrap w:val="0"/>
        <w:overflowPunct/>
        <w:topLinePunct/>
        <w:autoSpaceDE/>
        <w:autoSpaceDN/>
        <w:bidi w:val="0"/>
        <w:adjustRightInd/>
        <w:snapToGrid/>
        <w:spacing w:line="540" w:lineRule="exact"/>
        <w:ind w:firstLine="640" w:firstLineChars="200"/>
        <w:jc w:val="center"/>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p>
    <w:p>
      <w:pPr>
        <w:keepNext w:val="0"/>
        <w:keepLines w:val="0"/>
        <w:pageBreakBefore w:val="0"/>
        <w:widowControl w:val="0"/>
        <w:tabs>
          <w:tab w:val="left" w:pos="3990"/>
        </w:tabs>
        <w:kinsoku/>
        <w:wordWrap w:val="0"/>
        <w:overflowPunct/>
        <w:topLinePunct/>
        <w:autoSpaceDE/>
        <w:autoSpaceDN/>
        <w:bidi w:val="0"/>
        <w:adjustRightInd/>
        <w:snapToGrid/>
        <w:spacing w:line="540" w:lineRule="exact"/>
        <w:ind w:firstLine="640" w:firstLineChars="200"/>
        <w:jc w:val="center"/>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p>
    <w:tbl>
      <w:tblPr>
        <w:tblStyle w:val="16"/>
        <w:tblpPr w:leftFromText="180" w:rightFromText="180" w:vertAnchor="text" w:horzAnchor="page" w:tblpX="1540" w:tblpY="83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val="0"/>
              <w:overflowPunct/>
              <w:topLinePunct/>
              <w:autoSpaceDE/>
              <w:autoSpaceDN/>
              <w:bidi w:val="0"/>
              <w:adjustRightInd/>
              <w:snapToGrid/>
              <w:spacing w:line="540"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抄送：</w:t>
            </w:r>
            <w:r>
              <w:rPr>
                <w:rFonts w:hint="eastAsia" w:ascii="仿宋_GB2312" w:hAnsi="宋?" w:eastAsia="仿宋_GB2312"/>
                <w:color w:val="auto"/>
                <w:sz w:val="32"/>
                <w:szCs w:val="32"/>
              </w:rPr>
              <w:t>潘集生态环境保护综合行政执法大队、</w:t>
            </w:r>
            <w:r>
              <w:rPr>
                <w:rFonts w:hint="eastAsia" w:ascii="仿宋_GB2312" w:hAnsi="仿宋_GB2312" w:eastAsia="仿宋_GB2312" w:cs="仿宋_GB2312"/>
                <w:snapToGrid/>
                <w:color w:val="auto"/>
                <w:kern w:val="2"/>
                <w:sz w:val="32"/>
                <w:szCs w:val="32"/>
                <w:lang w:eastAsia="zh-CN"/>
              </w:rPr>
              <w:t>安徽国燚环境科技有限公司</w:t>
            </w:r>
            <w:r>
              <w:rPr>
                <w:rFonts w:hint="eastAsia" w:ascii="仿宋_GB2312" w:hAnsi="宋?" w:eastAsia="仿宋_GB2312"/>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val="0"/>
              <w:overflowPunct/>
              <w:topLinePunct/>
              <w:autoSpaceDE/>
              <w:autoSpaceDN/>
              <w:bidi w:val="0"/>
              <w:adjustRightInd/>
              <w:snapToGrid/>
              <w:spacing w:line="540"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淮南市潘集区生态环境分局</w:t>
            </w:r>
            <w:r>
              <w:rPr>
                <w:rFonts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 xml:space="preserve">  </w:t>
            </w:r>
            <w:r>
              <w:rPr>
                <w:rFonts w:ascii="仿宋_GB2312" w:hAnsi="仿宋" w:eastAsia="仿宋_GB2312"/>
                <w:color w:val="auto"/>
                <w:sz w:val="32"/>
                <w:szCs w:val="32"/>
              </w:rPr>
              <w:t>20</w:t>
            </w:r>
            <w:r>
              <w:rPr>
                <w:rFonts w:ascii="仿宋_GB2312" w:hAnsi="仿宋" w:eastAsia="仿宋_GB2312" w:cs="宋?"/>
                <w:color w:val="auto"/>
                <w:sz w:val="32"/>
                <w:szCs w:val="32"/>
              </w:rPr>
              <w:t>2</w:t>
            </w:r>
            <w:r>
              <w:rPr>
                <w:rFonts w:hint="eastAsia" w:ascii="仿宋_GB2312" w:hAnsi="仿宋" w:eastAsia="仿宋_GB2312" w:cs="宋?"/>
                <w:color w:val="auto"/>
                <w:sz w:val="32"/>
                <w:szCs w:val="32"/>
                <w:lang w:val="en-US" w:eastAsia="zh-CN"/>
              </w:rPr>
              <w:t>4</w:t>
            </w:r>
            <w:r>
              <w:rPr>
                <w:rFonts w:hint="eastAsia" w:ascii="仿宋_GB2312" w:hAnsi="仿宋" w:eastAsia="仿宋_GB2312" w:cs="宋?"/>
                <w:color w:val="auto"/>
                <w:sz w:val="32"/>
                <w:szCs w:val="32"/>
              </w:rPr>
              <w:t>年</w:t>
            </w:r>
            <w:r>
              <w:rPr>
                <w:rFonts w:hint="eastAsia" w:ascii="仿宋_GB2312" w:hAnsi="仿宋" w:eastAsia="仿宋_GB2312" w:cs="宋?"/>
                <w:color w:val="auto"/>
                <w:sz w:val="32"/>
                <w:szCs w:val="32"/>
                <w:lang w:val="en-US" w:eastAsia="zh-CN"/>
              </w:rPr>
              <w:t>3</w:t>
            </w:r>
            <w:r>
              <w:rPr>
                <w:rFonts w:hint="eastAsia" w:ascii="仿宋_GB2312" w:hAnsi="仿宋" w:eastAsia="仿宋_GB2312" w:cs="宋?"/>
                <w:color w:val="auto"/>
                <w:sz w:val="32"/>
                <w:szCs w:val="32"/>
              </w:rPr>
              <w:t>月</w:t>
            </w:r>
            <w:r>
              <w:rPr>
                <w:rFonts w:hint="eastAsia" w:ascii="仿宋_GB2312" w:hAnsi="仿宋" w:eastAsia="仿宋_GB2312" w:cs="宋?"/>
                <w:color w:val="auto"/>
                <w:sz w:val="32"/>
                <w:szCs w:val="32"/>
                <w:lang w:val="en-US" w:eastAsia="zh-CN"/>
              </w:rPr>
              <w:t>6</w:t>
            </w:r>
            <w:r>
              <w:rPr>
                <w:rFonts w:hint="eastAsia" w:ascii="仿宋_GB2312" w:hAnsi="仿宋" w:eastAsia="仿宋_GB2312"/>
                <w:color w:val="auto"/>
                <w:sz w:val="32"/>
                <w:szCs w:val="32"/>
              </w:rPr>
              <w:t>日印发</w:t>
            </w:r>
          </w:p>
        </w:tc>
      </w:tr>
    </w:tbl>
    <w:p>
      <w:pPr>
        <w:keepNext w:val="0"/>
        <w:keepLines w:val="0"/>
        <w:pageBreakBefore w:val="0"/>
        <w:widowControl w:val="0"/>
        <w:tabs>
          <w:tab w:val="left" w:pos="3990"/>
        </w:tabs>
        <w:kinsoku/>
        <w:wordWrap/>
        <w:overflowPunct/>
        <w:topLinePunct/>
        <w:autoSpaceDE/>
        <w:autoSpaceDN/>
        <w:bidi w:val="0"/>
        <w:adjustRightInd/>
        <w:snapToGrid/>
        <w:spacing w:line="540" w:lineRule="exact"/>
        <w:ind w:firstLine="640" w:firstLineChars="200"/>
        <w:jc w:val="left"/>
        <w:textAlignment w:val="auto"/>
      </w:pPr>
      <w:r>
        <w:rPr>
          <w:rFonts w:hint="eastAsia" w:ascii="仿宋_GB2312" w:hAnsi="仿宋" w:eastAsia="仿宋_GB2312"/>
          <w:color w:val="auto"/>
          <w:sz w:val="32"/>
          <w:szCs w:val="32"/>
          <w:lang w:val="en-US" w:eastAsia="zh-CN"/>
        </w:rPr>
        <w:t xml:space="preserve">                                 </w:t>
      </w:r>
      <w:r>
        <w:rPr>
          <w:rFonts w:ascii="仿宋_GB2312" w:hAnsi="仿宋" w:eastAsia="仿宋_GB2312"/>
          <w:color w:val="auto"/>
          <w:sz w:val="32"/>
          <w:szCs w:val="32"/>
        </w:rPr>
        <w:t>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日</w:t>
      </w:r>
      <w:r>
        <w:rPr>
          <w:rFonts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543F7C-B5A3-4801-83BB-FA0ACA1DE0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宋体"/>
    <w:panose1 w:val="00000000000000000000"/>
    <w:charset w:val="81"/>
    <w:family w:val="auto"/>
    <w:pitch w:val="default"/>
    <w:sig w:usb0="00000000" w:usb1="00000000" w:usb2="00000010" w:usb3="00000000" w:csb0="00080000" w:csb1="00000000"/>
    <w:embedRegular r:id="rId2" w:fontKey="{92397AF2-B5F4-4D40-93D3-FE8E761F3666}"/>
  </w:font>
  <w:font w:name="monospac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crosoft Uighur">
    <w:altName w:val="Trebuchet MS"/>
    <w:panose1 w:val="02000000000000000000"/>
    <w:charset w:val="00"/>
    <w:family w:val="auto"/>
    <w:pitch w:val="default"/>
    <w:sig w:usb0="00000000" w:usb1="00000000" w:usb2="00000008" w:usb3="00000000" w:csb0="00000041" w:csb1="00000000"/>
  </w:font>
  <w:font w:name="仿宋_GB2312">
    <w:panose1 w:val="02010609030101010101"/>
    <w:charset w:val="86"/>
    <w:family w:val="modern"/>
    <w:pitch w:val="default"/>
    <w:sig w:usb0="00000001" w:usb1="080E0000" w:usb2="00000000" w:usb3="00000000" w:csb0="00040000" w:csb1="00000000"/>
    <w:embedRegular r:id="rId3" w:fontKey="{151BA360-6A01-41CB-93F5-EBB52809586C}"/>
  </w:font>
  <w:font w:name="方正小标宋简体">
    <w:panose1 w:val="02000000000000000000"/>
    <w:charset w:val="86"/>
    <w:family w:val="auto"/>
    <w:pitch w:val="default"/>
    <w:sig w:usb0="00000001" w:usb1="08000000" w:usb2="00000000" w:usb3="00000000" w:csb0="00040000" w:csb1="00000000"/>
    <w:embedRegular r:id="rId4" w:fontKey="{5CA25B68-D0CF-4E00-88B1-79BE8590EBD7}"/>
  </w:font>
  <w:font w:name="楷体">
    <w:panose1 w:val="02010609060101010101"/>
    <w:charset w:val="86"/>
    <w:family w:val="modern"/>
    <w:pitch w:val="default"/>
    <w:sig w:usb0="800002BF" w:usb1="38CF7CFA" w:usb2="00000016" w:usb3="00000000" w:csb0="00040001" w:csb1="00000000"/>
    <w:embedRegular r:id="rId5" w:fontKey="{D0AC188D-D95D-40A8-A9A5-ADD6837A21F3}"/>
  </w:font>
  <w:font w:name="仿宋">
    <w:panose1 w:val="02010609060101010101"/>
    <w:charset w:val="86"/>
    <w:family w:val="auto"/>
    <w:pitch w:val="default"/>
    <w:sig w:usb0="800002BF" w:usb1="38CF7CFA" w:usb2="00000016" w:usb3="00000000" w:csb0="00040001" w:csb1="00000000"/>
    <w:embedRegular r:id="rId6" w:fontKey="{5EA44882-2780-415C-9C8C-52FF9007D94D}"/>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62CA9"/>
    <w:multiLevelType w:val="multilevel"/>
    <w:tmpl w:val="41862CA9"/>
    <w:lvl w:ilvl="0" w:tentative="0">
      <w:start w:val="1"/>
      <w:numFmt w:val="decimal"/>
      <w:suff w:val="space"/>
      <w:lvlText w:val="%1"/>
      <w:lvlJc w:val="left"/>
      <w:rPr>
        <w:rFonts w:hint="eastAsia" w:cs="Times New Roman"/>
        <w:sz w:val="30"/>
        <w:szCs w:val="30"/>
      </w:rPr>
    </w:lvl>
    <w:lvl w:ilvl="1" w:tentative="0">
      <w:start w:val="1"/>
      <w:numFmt w:val="decimal"/>
      <w:pStyle w:val="44"/>
      <w:suff w:val="space"/>
      <w:lvlText w:val="%1.%2"/>
      <w:lvlJc w:val="left"/>
      <w:pPr>
        <w:ind w:left="1560"/>
      </w:pPr>
      <w:rPr>
        <w:rFonts w:hint="default" w:ascii="Arial" w:hAnsi="Arial" w:cs="Times New Roman"/>
      </w:rPr>
    </w:lvl>
    <w:lvl w:ilvl="2" w:tentative="0">
      <w:start w:val="1"/>
      <w:numFmt w:val="decimal"/>
      <w:suff w:val="space"/>
      <w:lvlText w:val="%1.%2.%3"/>
      <w:lvlJc w:val="left"/>
      <w:pPr>
        <w:ind w:left="994" w:hanging="426"/>
      </w:pPr>
      <w:rPr>
        <w:rFonts w:hint="default" w:ascii="Arial" w:hAnsi="Arial" w:cs="Times New Roman"/>
      </w:rPr>
    </w:lvl>
    <w:lvl w:ilvl="3" w:tentative="0">
      <w:start w:val="1"/>
      <w:numFmt w:val="decimal"/>
      <w:suff w:val="nothing"/>
      <w:lvlText w:val="%1.%2.%3.%4"/>
      <w:lvlJc w:val="left"/>
      <w:pPr>
        <w:ind w:left="851" w:hanging="851"/>
      </w:pPr>
      <w:rPr>
        <w:rFonts w:hint="eastAsia" w:ascii="Arial" w:hAnsi="Arial"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025626"/>
    <w:rsid w:val="0004289B"/>
    <w:rsid w:val="000446B8"/>
    <w:rsid w:val="001F0554"/>
    <w:rsid w:val="001F5F08"/>
    <w:rsid w:val="00302AC2"/>
    <w:rsid w:val="0040570B"/>
    <w:rsid w:val="00417C36"/>
    <w:rsid w:val="00494390"/>
    <w:rsid w:val="00497C0C"/>
    <w:rsid w:val="00516385"/>
    <w:rsid w:val="00552767"/>
    <w:rsid w:val="00593CFD"/>
    <w:rsid w:val="00635A69"/>
    <w:rsid w:val="006B086E"/>
    <w:rsid w:val="006C68E2"/>
    <w:rsid w:val="007A4E1A"/>
    <w:rsid w:val="007F65B8"/>
    <w:rsid w:val="00801FF4"/>
    <w:rsid w:val="008E7BD7"/>
    <w:rsid w:val="00903F5E"/>
    <w:rsid w:val="009553C5"/>
    <w:rsid w:val="00984F4E"/>
    <w:rsid w:val="00B40801"/>
    <w:rsid w:val="00B41592"/>
    <w:rsid w:val="00BF2253"/>
    <w:rsid w:val="00BF239A"/>
    <w:rsid w:val="00CE40C2"/>
    <w:rsid w:val="00CE5519"/>
    <w:rsid w:val="00D2131C"/>
    <w:rsid w:val="00D50F09"/>
    <w:rsid w:val="00D572AA"/>
    <w:rsid w:val="00DD67F4"/>
    <w:rsid w:val="00DE039B"/>
    <w:rsid w:val="00DF6DE1"/>
    <w:rsid w:val="00ED3938"/>
    <w:rsid w:val="010E6E1A"/>
    <w:rsid w:val="023D46EC"/>
    <w:rsid w:val="02AA7663"/>
    <w:rsid w:val="046E56D3"/>
    <w:rsid w:val="066426DE"/>
    <w:rsid w:val="07442CA3"/>
    <w:rsid w:val="08534C69"/>
    <w:rsid w:val="085B126A"/>
    <w:rsid w:val="0A285C81"/>
    <w:rsid w:val="0A4B6701"/>
    <w:rsid w:val="0AC534D0"/>
    <w:rsid w:val="0B215C77"/>
    <w:rsid w:val="0BB73761"/>
    <w:rsid w:val="0BD32D4F"/>
    <w:rsid w:val="0C2115B1"/>
    <w:rsid w:val="0C952E53"/>
    <w:rsid w:val="0DBF7D6C"/>
    <w:rsid w:val="0DD73781"/>
    <w:rsid w:val="0E64787D"/>
    <w:rsid w:val="0EE011F0"/>
    <w:rsid w:val="0F6464F2"/>
    <w:rsid w:val="0FE53F40"/>
    <w:rsid w:val="106A37BE"/>
    <w:rsid w:val="10A40EB5"/>
    <w:rsid w:val="119B7E01"/>
    <w:rsid w:val="12485CC1"/>
    <w:rsid w:val="129548B8"/>
    <w:rsid w:val="12C43900"/>
    <w:rsid w:val="13845DC6"/>
    <w:rsid w:val="141D0C6C"/>
    <w:rsid w:val="14C70D73"/>
    <w:rsid w:val="14E336E2"/>
    <w:rsid w:val="151A35D6"/>
    <w:rsid w:val="1574547C"/>
    <w:rsid w:val="15E27C1E"/>
    <w:rsid w:val="15F92BE9"/>
    <w:rsid w:val="188D2EE4"/>
    <w:rsid w:val="1932637F"/>
    <w:rsid w:val="19A82CFA"/>
    <w:rsid w:val="1B1A1616"/>
    <w:rsid w:val="1B957F6D"/>
    <w:rsid w:val="1C9F5D66"/>
    <w:rsid w:val="1DC82F38"/>
    <w:rsid w:val="1DE1641B"/>
    <w:rsid w:val="1E293845"/>
    <w:rsid w:val="1F75284B"/>
    <w:rsid w:val="1FF70D56"/>
    <w:rsid w:val="20333F92"/>
    <w:rsid w:val="20EF5398"/>
    <w:rsid w:val="217C5AED"/>
    <w:rsid w:val="21821CC3"/>
    <w:rsid w:val="21A659B2"/>
    <w:rsid w:val="23825FAA"/>
    <w:rsid w:val="23DC038B"/>
    <w:rsid w:val="240F69AC"/>
    <w:rsid w:val="24590BBF"/>
    <w:rsid w:val="246D3164"/>
    <w:rsid w:val="24954FC1"/>
    <w:rsid w:val="24CD530F"/>
    <w:rsid w:val="254C2D14"/>
    <w:rsid w:val="268D42D9"/>
    <w:rsid w:val="27383550"/>
    <w:rsid w:val="27933E4C"/>
    <w:rsid w:val="279F13ED"/>
    <w:rsid w:val="2867160F"/>
    <w:rsid w:val="28BA7749"/>
    <w:rsid w:val="2D040A3E"/>
    <w:rsid w:val="2D492608"/>
    <w:rsid w:val="2E9F292E"/>
    <w:rsid w:val="2F527179"/>
    <w:rsid w:val="3040463A"/>
    <w:rsid w:val="309657DE"/>
    <w:rsid w:val="30D14FE9"/>
    <w:rsid w:val="30D152B0"/>
    <w:rsid w:val="31AF476C"/>
    <w:rsid w:val="32292413"/>
    <w:rsid w:val="32762FE2"/>
    <w:rsid w:val="334B673C"/>
    <w:rsid w:val="353A0493"/>
    <w:rsid w:val="36B10C29"/>
    <w:rsid w:val="37502687"/>
    <w:rsid w:val="37CC58F9"/>
    <w:rsid w:val="37D4556B"/>
    <w:rsid w:val="38517D18"/>
    <w:rsid w:val="395076FE"/>
    <w:rsid w:val="39C76F9B"/>
    <w:rsid w:val="39D65A8A"/>
    <w:rsid w:val="3A786FE3"/>
    <w:rsid w:val="3B7364AD"/>
    <w:rsid w:val="3BB74AF9"/>
    <w:rsid w:val="3DB16390"/>
    <w:rsid w:val="3E372AC1"/>
    <w:rsid w:val="3E6B43BE"/>
    <w:rsid w:val="3EA14B41"/>
    <w:rsid w:val="3ED57651"/>
    <w:rsid w:val="3F263D3E"/>
    <w:rsid w:val="403A5899"/>
    <w:rsid w:val="40BE473B"/>
    <w:rsid w:val="41804C4E"/>
    <w:rsid w:val="41964AFC"/>
    <w:rsid w:val="419E3214"/>
    <w:rsid w:val="41A70D3C"/>
    <w:rsid w:val="42772D26"/>
    <w:rsid w:val="443133A9"/>
    <w:rsid w:val="47ED774E"/>
    <w:rsid w:val="481C4C8B"/>
    <w:rsid w:val="49B06B1E"/>
    <w:rsid w:val="4A04505A"/>
    <w:rsid w:val="4A9D69E7"/>
    <w:rsid w:val="4ACE3700"/>
    <w:rsid w:val="5035480A"/>
    <w:rsid w:val="50920718"/>
    <w:rsid w:val="50B83BD1"/>
    <w:rsid w:val="50C35389"/>
    <w:rsid w:val="515A3A04"/>
    <w:rsid w:val="52694A4C"/>
    <w:rsid w:val="526E6387"/>
    <w:rsid w:val="52CA350C"/>
    <w:rsid w:val="5312395E"/>
    <w:rsid w:val="535D3826"/>
    <w:rsid w:val="53DB785D"/>
    <w:rsid w:val="54FC2B69"/>
    <w:rsid w:val="5633436B"/>
    <w:rsid w:val="56866B29"/>
    <w:rsid w:val="56BB1667"/>
    <w:rsid w:val="56DD2D20"/>
    <w:rsid w:val="572124B9"/>
    <w:rsid w:val="592604A1"/>
    <w:rsid w:val="5A6F03E0"/>
    <w:rsid w:val="5B445736"/>
    <w:rsid w:val="5C40250C"/>
    <w:rsid w:val="5C581DAA"/>
    <w:rsid w:val="5CBE5B81"/>
    <w:rsid w:val="5D184E51"/>
    <w:rsid w:val="5D981ED0"/>
    <w:rsid w:val="5F335794"/>
    <w:rsid w:val="5F9428EC"/>
    <w:rsid w:val="601603D0"/>
    <w:rsid w:val="60411944"/>
    <w:rsid w:val="60940AF0"/>
    <w:rsid w:val="61B53002"/>
    <w:rsid w:val="630A47EB"/>
    <w:rsid w:val="635F2E57"/>
    <w:rsid w:val="63B81F97"/>
    <w:rsid w:val="64204507"/>
    <w:rsid w:val="65CE2C50"/>
    <w:rsid w:val="66C52699"/>
    <w:rsid w:val="676F3EFE"/>
    <w:rsid w:val="6AD024B2"/>
    <w:rsid w:val="6C7518DF"/>
    <w:rsid w:val="6DA1634A"/>
    <w:rsid w:val="6E0A3A7A"/>
    <w:rsid w:val="6E31797E"/>
    <w:rsid w:val="6F176B74"/>
    <w:rsid w:val="705F5D93"/>
    <w:rsid w:val="70A93382"/>
    <w:rsid w:val="71933DB2"/>
    <w:rsid w:val="730E294B"/>
    <w:rsid w:val="731358A4"/>
    <w:rsid w:val="739F43E1"/>
    <w:rsid w:val="74F9380D"/>
    <w:rsid w:val="75F70D28"/>
    <w:rsid w:val="760B5B9A"/>
    <w:rsid w:val="764457E3"/>
    <w:rsid w:val="77044A93"/>
    <w:rsid w:val="774775B5"/>
    <w:rsid w:val="77892AF1"/>
    <w:rsid w:val="77ED5961"/>
    <w:rsid w:val="78484242"/>
    <w:rsid w:val="784E6060"/>
    <w:rsid w:val="78EA2375"/>
    <w:rsid w:val="799B3C4D"/>
    <w:rsid w:val="79C403DE"/>
    <w:rsid w:val="79D833A4"/>
    <w:rsid w:val="7ACD0A2E"/>
    <w:rsid w:val="7B05641A"/>
    <w:rsid w:val="7B155A38"/>
    <w:rsid w:val="7DB55ED6"/>
    <w:rsid w:val="7DF511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 w:cs="Times New Roman"/>
      <w:kern w:val="2"/>
      <w:sz w:val="21"/>
      <w:szCs w:val="24"/>
      <w:lang w:val="en-US" w:eastAsia="zh-CN" w:bidi="ar-SA"/>
    </w:rPr>
  </w:style>
  <w:style w:type="paragraph" w:styleId="3">
    <w:name w:val="heading 1"/>
    <w:basedOn w:val="1"/>
    <w:next w:val="1"/>
    <w:link w:val="30"/>
    <w:qFormat/>
    <w:uiPriority w:val="99"/>
    <w:pPr>
      <w:spacing w:beforeAutospacing="1" w:afterAutospacing="1"/>
      <w:jc w:val="left"/>
      <w:outlineLvl w:val="0"/>
    </w:pPr>
    <w:rPr>
      <w:rFonts w:ascii="宋?" w:hAnsi="宋?"/>
      <w:b/>
      <w:bCs/>
      <w:kern w:val="44"/>
      <w:sz w:val="48"/>
      <w:szCs w:val="48"/>
    </w:rPr>
  </w:style>
  <w:style w:type="paragraph" w:styleId="4">
    <w:name w:val="heading 2"/>
    <w:basedOn w:val="1"/>
    <w:next w:val="1"/>
    <w:link w:val="31"/>
    <w:qFormat/>
    <w:uiPriority w:val="99"/>
    <w:pPr>
      <w:keepNext/>
      <w:keepLines/>
      <w:spacing w:before="260" w:after="260" w:line="416" w:lineRule="auto"/>
      <w:outlineLvl w:val="1"/>
    </w:pPr>
    <w:rPr>
      <w:rFonts w:ascii="Arial" w:hAnsi="Arial" w:eastAsia="黑体"/>
      <w:b/>
      <w:bCs/>
      <w:sz w:val="32"/>
      <w:szCs w:val="32"/>
    </w:rPr>
  </w:style>
  <w:style w:type="character" w:default="1" w:styleId="18">
    <w:name w:val="Default Paragraph Font"/>
    <w:autoRedefine/>
    <w:semiHidden/>
    <w:qFormat/>
    <w:uiPriority w:val="99"/>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37"/>
    <w:autoRedefine/>
    <w:qFormat/>
    <w:uiPriority w:val="99"/>
    <w:pPr>
      <w:spacing w:after="120" w:line="240" w:lineRule="auto"/>
      <w:ind w:left="420" w:leftChars="200" w:firstLine="420"/>
    </w:pPr>
    <w:rPr>
      <w:sz w:val="21"/>
    </w:rPr>
  </w:style>
  <w:style w:type="paragraph" w:styleId="5">
    <w:name w:val="annotation text"/>
    <w:basedOn w:val="1"/>
    <w:autoRedefine/>
    <w:semiHidden/>
    <w:qFormat/>
    <w:locked/>
    <w:uiPriority w:val="0"/>
    <w:pPr>
      <w:jc w:val="left"/>
    </w:pPr>
    <w:rPr>
      <w:szCs w:val="20"/>
    </w:rPr>
  </w:style>
  <w:style w:type="paragraph" w:styleId="6">
    <w:name w:val="Salutation"/>
    <w:basedOn w:val="1"/>
    <w:next w:val="1"/>
    <w:link w:val="32"/>
    <w:autoRedefine/>
    <w:qFormat/>
    <w:uiPriority w:val="99"/>
    <w:rPr>
      <w:sz w:val="24"/>
    </w:rPr>
  </w:style>
  <w:style w:type="paragraph" w:styleId="7">
    <w:name w:val="Body Text"/>
    <w:basedOn w:val="1"/>
    <w:next w:val="8"/>
    <w:link w:val="33"/>
    <w:autoRedefine/>
    <w:qFormat/>
    <w:uiPriority w:val="99"/>
    <w:pPr>
      <w:widowControl/>
      <w:snapToGrid w:val="0"/>
      <w:spacing w:before="60" w:after="160" w:line="259" w:lineRule="auto"/>
      <w:ind w:right="113"/>
    </w:pPr>
    <w:rPr>
      <w:kern w:val="0"/>
      <w:sz w:val="18"/>
      <w:szCs w:val="20"/>
    </w:rPr>
  </w:style>
  <w:style w:type="paragraph" w:customStyle="1" w:styleId="8">
    <w:name w:val="xl27"/>
    <w:basedOn w:val="1"/>
    <w:next w:val="1"/>
    <w:autoRedefine/>
    <w:qFormat/>
    <w:uiPriority w:val="99"/>
    <w:pPr>
      <w:widowControl/>
      <w:spacing w:before="100" w:beforeAutospacing="1" w:after="100" w:afterAutospacing="1"/>
      <w:jc w:val="left"/>
    </w:pPr>
    <w:rPr>
      <w:color w:val="FF0000"/>
      <w:kern w:val="0"/>
      <w:sz w:val="24"/>
    </w:rPr>
  </w:style>
  <w:style w:type="paragraph" w:styleId="9">
    <w:name w:val="Body Text Indent"/>
    <w:basedOn w:val="1"/>
    <w:next w:val="1"/>
    <w:link w:val="34"/>
    <w:autoRedefine/>
    <w:qFormat/>
    <w:uiPriority w:val="99"/>
    <w:pPr>
      <w:spacing w:line="560" w:lineRule="exact"/>
      <w:ind w:firstLine="567"/>
    </w:pPr>
    <w:rPr>
      <w:rFonts w:ascii="宋?" w:hAnsi="宋?"/>
      <w:sz w:val="28"/>
    </w:rPr>
  </w:style>
  <w:style w:type="paragraph" w:styleId="10">
    <w:name w:val="Plain Text"/>
    <w:basedOn w:val="1"/>
    <w:next w:val="6"/>
    <w:link w:val="35"/>
    <w:autoRedefine/>
    <w:qFormat/>
    <w:uiPriority w:val="99"/>
    <w:rPr>
      <w:rFonts w:ascii="宋?" w:hAnsi="Courier New"/>
      <w:sz w:val="24"/>
      <w:szCs w:val="20"/>
    </w:rPr>
  </w:style>
  <w:style w:type="paragraph" w:styleId="11">
    <w:name w:val="Body Text Indent 2"/>
    <w:basedOn w:val="1"/>
    <w:next w:val="1"/>
    <w:link w:val="36"/>
    <w:autoRedefine/>
    <w:qFormat/>
    <w:uiPriority w:val="99"/>
    <w:pPr>
      <w:spacing w:line="400" w:lineRule="exact"/>
      <w:ind w:firstLine="573"/>
    </w:pPr>
    <w:rPr>
      <w:rFonts w:ascii="宋?" w:hAnsi="宋?"/>
      <w:sz w:val="28"/>
    </w:rPr>
  </w:style>
  <w:style w:type="paragraph" w:styleId="12">
    <w:name w:val="footer"/>
    <w:basedOn w:val="1"/>
    <w:link w:val="38"/>
    <w:autoRedefine/>
    <w:qFormat/>
    <w:uiPriority w:val="99"/>
    <w:pPr>
      <w:tabs>
        <w:tab w:val="center" w:pos="4153"/>
        <w:tab w:val="right" w:pos="8306"/>
      </w:tabs>
      <w:snapToGrid w:val="0"/>
      <w:jc w:val="left"/>
    </w:pPr>
    <w:rPr>
      <w:sz w:val="18"/>
    </w:rPr>
  </w:style>
  <w:style w:type="paragraph" w:styleId="13">
    <w:name w:val="header"/>
    <w:basedOn w:val="1"/>
    <w:link w:val="3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2"/>
    <w:basedOn w:val="1"/>
    <w:next w:val="1"/>
    <w:link w:val="40"/>
    <w:autoRedefine/>
    <w:qFormat/>
    <w:uiPriority w:val="99"/>
  </w:style>
  <w:style w:type="paragraph" w:styleId="15">
    <w:name w:val="Normal (Web)"/>
    <w:basedOn w:val="1"/>
    <w:autoRedefine/>
    <w:qFormat/>
    <w:uiPriority w:val="99"/>
    <w:pPr>
      <w:spacing w:beforeAutospacing="1" w:afterAutospacing="1"/>
      <w:jc w:val="left"/>
    </w:pPr>
    <w:rPr>
      <w:kern w:val="0"/>
      <w:sz w:val="24"/>
    </w:rPr>
  </w:style>
  <w:style w:type="table" w:styleId="17">
    <w:name w:val="Table Grid"/>
    <w:basedOn w:val="16"/>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autoRedefine/>
    <w:qFormat/>
    <w:uiPriority w:val="99"/>
    <w:rPr>
      <w:rFonts w:cs="Times New Roman"/>
      <w:b/>
      <w:bCs/>
    </w:rPr>
  </w:style>
  <w:style w:type="character" w:styleId="20">
    <w:name w:val="FollowedHyperlink"/>
    <w:basedOn w:val="18"/>
    <w:autoRedefine/>
    <w:qFormat/>
    <w:uiPriority w:val="99"/>
    <w:rPr>
      <w:rFonts w:cs="Times New Roman"/>
      <w:color w:val="333333"/>
      <w:u w:val="none"/>
    </w:rPr>
  </w:style>
  <w:style w:type="character" w:styleId="21">
    <w:name w:val="Emphasis"/>
    <w:basedOn w:val="18"/>
    <w:autoRedefine/>
    <w:qFormat/>
    <w:uiPriority w:val="99"/>
    <w:rPr>
      <w:rFonts w:cs="Times New Roman"/>
      <w:i/>
    </w:rPr>
  </w:style>
  <w:style w:type="character" w:styleId="22">
    <w:name w:val="HTML Definition"/>
    <w:basedOn w:val="18"/>
    <w:autoRedefine/>
    <w:qFormat/>
    <w:uiPriority w:val="99"/>
    <w:rPr>
      <w:rFonts w:cs="Times New Roman"/>
      <w:i/>
      <w:iCs/>
    </w:rPr>
  </w:style>
  <w:style w:type="character" w:styleId="23">
    <w:name w:val="HTML Acronym"/>
    <w:basedOn w:val="18"/>
    <w:autoRedefine/>
    <w:qFormat/>
    <w:uiPriority w:val="99"/>
    <w:rPr>
      <w:rFonts w:cs="Times New Roman"/>
    </w:rPr>
  </w:style>
  <w:style w:type="character" w:styleId="24">
    <w:name w:val="Hyperlink"/>
    <w:basedOn w:val="18"/>
    <w:autoRedefine/>
    <w:qFormat/>
    <w:uiPriority w:val="99"/>
    <w:rPr>
      <w:rFonts w:cs="Times New Roman"/>
      <w:color w:val="333333"/>
      <w:u w:val="none"/>
    </w:rPr>
  </w:style>
  <w:style w:type="character" w:styleId="25">
    <w:name w:val="HTML Code"/>
    <w:basedOn w:val="18"/>
    <w:autoRedefine/>
    <w:qFormat/>
    <w:uiPriority w:val="99"/>
    <w:rPr>
      <w:rFonts w:ascii="monospace" w:hAnsi="monospace" w:cs="monospace"/>
      <w:sz w:val="21"/>
      <w:szCs w:val="21"/>
    </w:rPr>
  </w:style>
  <w:style w:type="character" w:styleId="26">
    <w:name w:val="annotation reference"/>
    <w:basedOn w:val="18"/>
    <w:autoRedefine/>
    <w:semiHidden/>
    <w:qFormat/>
    <w:uiPriority w:val="99"/>
    <w:rPr>
      <w:rFonts w:cs="Times New Roman"/>
      <w:sz w:val="21"/>
    </w:rPr>
  </w:style>
  <w:style w:type="character" w:styleId="27">
    <w:name w:val="HTML Keyboard"/>
    <w:basedOn w:val="18"/>
    <w:autoRedefine/>
    <w:qFormat/>
    <w:uiPriority w:val="99"/>
    <w:rPr>
      <w:rFonts w:ascii="monospace" w:hAnsi="monospace" w:cs="monospace"/>
      <w:sz w:val="21"/>
      <w:szCs w:val="21"/>
    </w:rPr>
  </w:style>
  <w:style w:type="character" w:styleId="28">
    <w:name w:val="HTML Sample"/>
    <w:basedOn w:val="18"/>
    <w:autoRedefine/>
    <w:qFormat/>
    <w:uiPriority w:val="99"/>
    <w:rPr>
      <w:rFonts w:ascii="monospace" w:hAnsi="monospace" w:cs="monospace"/>
      <w:sz w:val="21"/>
      <w:szCs w:val="21"/>
    </w:rPr>
  </w:style>
  <w:style w:type="paragraph" w:customStyle="1" w:styleId="29">
    <w:name w:val="正文 首行缩进:  2 字符"/>
    <w:basedOn w:val="1"/>
    <w:autoRedefine/>
    <w:qFormat/>
    <w:uiPriority w:val="99"/>
    <w:pPr>
      <w:ind w:firstLine="579" w:firstLineChars="200"/>
    </w:pPr>
    <w:rPr>
      <w:sz w:val="28"/>
      <w:szCs w:val="20"/>
    </w:rPr>
  </w:style>
  <w:style w:type="character" w:customStyle="1" w:styleId="30">
    <w:name w:val="Heading 1 Char"/>
    <w:basedOn w:val="18"/>
    <w:link w:val="3"/>
    <w:autoRedefine/>
    <w:qFormat/>
    <w:locked/>
    <w:uiPriority w:val="99"/>
    <w:rPr>
      <w:rFonts w:ascii="Calibri" w:hAnsi="Calibri" w:cs="Times New Roman"/>
      <w:b/>
      <w:bCs/>
      <w:kern w:val="44"/>
      <w:sz w:val="44"/>
      <w:szCs w:val="44"/>
    </w:rPr>
  </w:style>
  <w:style w:type="character" w:customStyle="1" w:styleId="31">
    <w:name w:val="Heading 2 Char"/>
    <w:basedOn w:val="18"/>
    <w:link w:val="4"/>
    <w:autoRedefine/>
    <w:semiHidden/>
    <w:qFormat/>
    <w:locked/>
    <w:uiPriority w:val="99"/>
    <w:rPr>
      <w:rFonts w:ascii="Cambria" w:hAnsi="Cambria" w:eastAsia="宋?" w:cs="Times New Roman"/>
      <w:b/>
      <w:bCs/>
      <w:sz w:val="32"/>
      <w:szCs w:val="32"/>
    </w:rPr>
  </w:style>
  <w:style w:type="character" w:customStyle="1" w:styleId="32">
    <w:name w:val="Salutation Char"/>
    <w:basedOn w:val="18"/>
    <w:link w:val="6"/>
    <w:autoRedefine/>
    <w:semiHidden/>
    <w:qFormat/>
    <w:locked/>
    <w:uiPriority w:val="99"/>
    <w:rPr>
      <w:rFonts w:ascii="Calibri" w:hAnsi="Calibri" w:cs="Times New Roman"/>
      <w:sz w:val="24"/>
      <w:szCs w:val="24"/>
    </w:rPr>
  </w:style>
  <w:style w:type="character" w:customStyle="1" w:styleId="33">
    <w:name w:val="Body Text Char"/>
    <w:basedOn w:val="18"/>
    <w:link w:val="7"/>
    <w:autoRedefine/>
    <w:semiHidden/>
    <w:qFormat/>
    <w:locked/>
    <w:uiPriority w:val="99"/>
    <w:rPr>
      <w:rFonts w:ascii="Calibri" w:hAnsi="Calibri" w:cs="Times New Roman"/>
      <w:sz w:val="24"/>
      <w:szCs w:val="24"/>
    </w:rPr>
  </w:style>
  <w:style w:type="character" w:customStyle="1" w:styleId="34">
    <w:name w:val="Body Text Indent Char"/>
    <w:basedOn w:val="18"/>
    <w:link w:val="9"/>
    <w:autoRedefine/>
    <w:semiHidden/>
    <w:qFormat/>
    <w:locked/>
    <w:uiPriority w:val="99"/>
    <w:rPr>
      <w:rFonts w:ascii="Calibri" w:hAnsi="Calibri" w:cs="Times New Roman"/>
      <w:sz w:val="24"/>
      <w:szCs w:val="24"/>
    </w:rPr>
  </w:style>
  <w:style w:type="character" w:customStyle="1" w:styleId="35">
    <w:name w:val="Plain Text Char"/>
    <w:basedOn w:val="18"/>
    <w:link w:val="10"/>
    <w:autoRedefine/>
    <w:semiHidden/>
    <w:qFormat/>
    <w:locked/>
    <w:uiPriority w:val="99"/>
    <w:rPr>
      <w:rFonts w:ascii="宋?" w:hAnsi="Courier New" w:cs="Courier New"/>
      <w:sz w:val="21"/>
      <w:szCs w:val="21"/>
    </w:rPr>
  </w:style>
  <w:style w:type="character" w:customStyle="1" w:styleId="36">
    <w:name w:val="Body Text Indent 2 Char"/>
    <w:basedOn w:val="18"/>
    <w:link w:val="11"/>
    <w:autoRedefine/>
    <w:semiHidden/>
    <w:qFormat/>
    <w:locked/>
    <w:uiPriority w:val="99"/>
    <w:rPr>
      <w:rFonts w:ascii="Calibri" w:hAnsi="Calibri" w:cs="Times New Roman"/>
      <w:sz w:val="24"/>
      <w:szCs w:val="24"/>
    </w:rPr>
  </w:style>
  <w:style w:type="character" w:customStyle="1" w:styleId="37">
    <w:name w:val="Body Text First Indent 2 Char"/>
    <w:basedOn w:val="34"/>
    <w:link w:val="2"/>
    <w:autoRedefine/>
    <w:semiHidden/>
    <w:qFormat/>
    <w:locked/>
    <w:uiPriority w:val="99"/>
  </w:style>
  <w:style w:type="character" w:customStyle="1" w:styleId="38">
    <w:name w:val="Footer Char"/>
    <w:basedOn w:val="18"/>
    <w:link w:val="12"/>
    <w:autoRedefine/>
    <w:semiHidden/>
    <w:qFormat/>
    <w:locked/>
    <w:uiPriority w:val="99"/>
    <w:rPr>
      <w:rFonts w:ascii="Calibri" w:hAnsi="Calibri" w:cs="Times New Roman"/>
      <w:sz w:val="18"/>
      <w:szCs w:val="18"/>
    </w:rPr>
  </w:style>
  <w:style w:type="character" w:customStyle="1" w:styleId="39">
    <w:name w:val="Header Char"/>
    <w:basedOn w:val="18"/>
    <w:link w:val="13"/>
    <w:autoRedefine/>
    <w:semiHidden/>
    <w:qFormat/>
    <w:locked/>
    <w:uiPriority w:val="99"/>
    <w:rPr>
      <w:rFonts w:ascii="Calibri" w:hAnsi="Calibri" w:cs="Times New Roman"/>
      <w:sz w:val="18"/>
      <w:szCs w:val="18"/>
    </w:rPr>
  </w:style>
  <w:style w:type="character" w:customStyle="1" w:styleId="40">
    <w:name w:val="Body Text 2 Char"/>
    <w:basedOn w:val="18"/>
    <w:link w:val="14"/>
    <w:autoRedefine/>
    <w:semiHidden/>
    <w:qFormat/>
    <w:locked/>
    <w:uiPriority w:val="99"/>
    <w:rPr>
      <w:rFonts w:ascii="Calibri" w:hAnsi="Calibri" w:cs="Times New Roman"/>
      <w:sz w:val="24"/>
      <w:szCs w:val="24"/>
    </w:rPr>
  </w:style>
  <w:style w:type="paragraph" w:customStyle="1" w:styleId="41">
    <w:name w:val="Default"/>
    <w:basedOn w:val="42"/>
    <w:next w:val="43"/>
    <w:autoRedefine/>
    <w:qFormat/>
    <w:uiPriority w:val="99"/>
    <w:pPr>
      <w:autoSpaceDE w:val="0"/>
      <w:autoSpaceDN w:val="0"/>
      <w:adjustRightInd w:val="0"/>
    </w:pPr>
    <w:rPr>
      <w:kern w:val="0"/>
      <w:sz w:val="24"/>
    </w:rPr>
  </w:style>
  <w:style w:type="paragraph" w:customStyle="1" w:styleId="42">
    <w:name w:val="批注文字1"/>
    <w:autoRedefine/>
    <w:qFormat/>
    <w:uiPriority w:val="99"/>
    <w:pPr>
      <w:widowControl w:val="0"/>
    </w:pPr>
    <w:rPr>
      <w:rFonts w:ascii="Times New Roman" w:hAnsi="Times New Roman" w:eastAsia="宋?" w:cs="Times New Roman"/>
      <w:color w:val="000000"/>
      <w:kern w:val="2"/>
      <w:sz w:val="21"/>
      <w:szCs w:val="24"/>
      <w:lang w:val="en-US" w:eastAsia="zh-CN" w:bidi="ar-SA"/>
    </w:rPr>
  </w:style>
  <w:style w:type="paragraph" w:customStyle="1" w:styleId="43">
    <w:name w:val="1正文段落"/>
    <w:basedOn w:val="1"/>
    <w:autoRedefine/>
    <w:qFormat/>
    <w:uiPriority w:val="99"/>
    <w:pPr>
      <w:widowControl/>
      <w:snapToGrid w:val="0"/>
      <w:ind w:firstLine="480"/>
      <w:jc w:val="left"/>
    </w:pPr>
    <w:rPr>
      <w:kern w:val="0"/>
      <w:szCs w:val="20"/>
    </w:rPr>
  </w:style>
  <w:style w:type="paragraph" w:customStyle="1" w:styleId="44">
    <w:name w:val="标题2"/>
    <w:basedOn w:val="4"/>
    <w:autoRedefine/>
    <w:qFormat/>
    <w:uiPriority w:val="99"/>
    <w:pPr>
      <w:numPr>
        <w:ilvl w:val="1"/>
        <w:numId w:val="1"/>
      </w:numPr>
      <w:spacing w:line="440" w:lineRule="exact"/>
    </w:pPr>
    <w:rPr>
      <w:kern w:val="0"/>
    </w:rPr>
  </w:style>
  <w:style w:type="paragraph" w:customStyle="1" w:styleId="45">
    <w:name w:val="样式 正文文本缩进 + 行距: 1.5 倍行距"/>
    <w:basedOn w:val="9"/>
    <w:autoRedefine/>
    <w:qFormat/>
    <w:uiPriority w:val="99"/>
    <w:pPr>
      <w:ind w:left="90" w:leftChars="32" w:firstLine="560"/>
    </w:pPr>
  </w:style>
  <w:style w:type="paragraph" w:customStyle="1" w:styleId="46">
    <w:name w:val="样式 小四 行距: 1.5 倍行距"/>
    <w:basedOn w:val="1"/>
    <w:autoRedefine/>
    <w:qFormat/>
    <w:uiPriority w:val="99"/>
    <w:pPr>
      <w:ind w:firstLine="480" w:firstLineChars="200"/>
    </w:pPr>
    <w:rPr>
      <w:rFonts w:cs="宋?"/>
    </w:rPr>
  </w:style>
  <w:style w:type="paragraph" w:customStyle="1" w:styleId="47">
    <w:name w:val="图、表内容"/>
    <w:basedOn w:val="1"/>
    <w:autoRedefine/>
    <w:qFormat/>
    <w:uiPriority w:val="99"/>
    <w:pPr>
      <w:jc w:val="center"/>
    </w:pPr>
  </w:style>
  <w:style w:type="paragraph" w:customStyle="1" w:styleId="48">
    <w:name w:val="4正文文本"/>
    <w:basedOn w:val="1"/>
    <w:autoRedefine/>
    <w:qFormat/>
    <w:uiPriority w:val="99"/>
    <w:pPr>
      <w:spacing w:line="360" w:lineRule="auto"/>
      <w:ind w:firstLine="840" w:firstLineChars="200"/>
      <w:jc w:val="left"/>
    </w:pPr>
    <w:rPr>
      <w:sz w:val="24"/>
    </w:rPr>
  </w:style>
  <w:style w:type="paragraph" w:customStyle="1" w:styleId="49">
    <w:name w:val="2工程内容及规模"/>
    <w:basedOn w:val="1"/>
    <w:autoRedefine/>
    <w:qFormat/>
    <w:uiPriority w:val="99"/>
    <w:pPr>
      <w:spacing w:line="360" w:lineRule="auto"/>
      <w:jc w:val="left"/>
      <w:outlineLvl w:val="1"/>
    </w:pPr>
    <w:rPr>
      <w:b/>
      <w:sz w:val="28"/>
      <w:szCs w:val="28"/>
    </w:rPr>
  </w:style>
  <w:style w:type="character" w:customStyle="1" w:styleId="50">
    <w:name w:val="msg-box"/>
    <w:basedOn w:val="18"/>
    <w:autoRedefine/>
    <w:qFormat/>
    <w:uiPriority w:val="99"/>
    <w:rPr>
      <w:rFonts w:cs="Times New Roman"/>
    </w:rPr>
  </w:style>
  <w:style w:type="character" w:customStyle="1" w:styleId="51">
    <w:name w:val="red2"/>
    <w:basedOn w:val="18"/>
    <w:autoRedefine/>
    <w:qFormat/>
    <w:uiPriority w:val="99"/>
    <w:rPr>
      <w:rFonts w:cs="Times New Roman"/>
      <w:color w:val="FF0000"/>
    </w:rPr>
  </w:style>
  <w:style w:type="character" w:customStyle="1" w:styleId="52">
    <w:name w:val="c2"/>
    <w:basedOn w:val="18"/>
    <w:autoRedefine/>
    <w:qFormat/>
    <w:uiPriority w:val="99"/>
    <w:rPr>
      <w:rFonts w:cs="Times New Roman"/>
    </w:rPr>
  </w:style>
  <w:style w:type="character" w:customStyle="1" w:styleId="53">
    <w:name w:val="c3"/>
    <w:basedOn w:val="18"/>
    <w:autoRedefine/>
    <w:qFormat/>
    <w:uiPriority w:val="99"/>
    <w:rPr>
      <w:rFonts w:cs="Times New Roman"/>
    </w:rPr>
  </w:style>
  <w:style w:type="character" w:customStyle="1" w:styleId="54">
    <w:name w:val="right2"/>
    <w:basedOn w:val="18"/>
    <w:autoRedefine/>
    <w:qFormat/>
    <w:uiPriority w:val="99"/>
    <w:rPr>
      <w:rFonts w:cs="Times New Roman"/>
      <w:color w:val="A1A1A1"/>
    </w:rPr>
  </w:style>
  <w:style w:type="character" w:customStyle="1" w:styleId="55">
    <w:name w:val="hit"/>
    <w:basedOn w:val="18"/>
    <w:autoRedefine/>
    <w:qFormat/>
    <w:uiPriority w:val="99"/>
    <w:rPr>
      <w:rFonts w:cs="Times New Roman"/>
    </w:rPr>
  </w:style>
  <w:style w:type="character" w:customStyle="1" w:styleId="56">
    <w:name w:val="c1"/>
    <w:basedOn w:val="18"/>
    <w:autoRedefine/>
    <w:qFormat/>
    <w:uiPriority w:val="99"/>
    <w:rPr>
      <w:rFonts w:cs="Times New Roman"/>
    </w:rPr>
  </w:style>
  <w:style w:type="character" w:customStyle="1" w:styleId="57">
    <w:name w:val="right"/>
    <w:basedOn w:val="18"/>
    <w:autoRedefine/>
    <w:qFormat/>
    <w:uiPriority w:val="99"/>
    <w:rPr>
      <w:rFonts w:cs="Times New Roman"/>
      <w:color w:val="A1A1A1"/>
    </w:rPr>
  </w:style>
  <w:style w:type="character" w:customStyle="1" w:styleId="58">
    <w:name w:val="red"/>
    <w:basedOn w:val="18"/>
    <w:autoRedefine/>
    <w:qFormat/>
    <w:uiPriority w:val="99"/>
    <w:rPr>
      <w:rFonts w:cs="Times New Roman"/>
      <w:color w:val="FF0000"/>
    </w:rPr>
  </w:style>
  <w:style w:type="character" w:customStyle="1" w:styleId="59">
    <w:name w:val="msg-box16"/>
    <w:basedOn w:val="18"/>
    <w:autoRedefine/>
    <w:qFormat/>
    <w:uiPriority w:val="99"/>
    <w:rPr>
      <w:rFonts w:cs="Times New Roman"/>
    </w:rPr>
  </w:style>
  <w:style w:type="paragraph" w:customStyle="1" w:styleId="60">
    <w:name w:val="表格"/>
    <w:basedOn w:val="10"/>
    <w:autoRedefine/>
    <w:qFormat/>
    <w:uiPriority w:val="99"/>
    <w:pPr>
      <w:suppressAutoHyphens/>
      <w:jc w:val="center"/>
    </w:pPr>
    <w:rPr>
      <w:rFonts w:ascii="Times New Roman" w:hAnsi="Times New Roman"/>
      <w:sz w:val="21"/>
      <w:szCs w:val="21"/>
    </w:rPr>
  </w:style>
  <w:style w:type="paragraph" w:customStyle="1" w:styleId="61">
    <w:name w:val="0正文"/>
    <w:autoRedefine/>
    <w:qFormat/>
    <w:uiPriority w:val="99"/>
    <w:pPr>
      <w:widowControl w:val="0"/>
      <w:spacing w:line="360" w:lineRule="auto"/>
      <w:ind w:firstLine="720" w:firstLineChars="200"/>
    </w:pPr>
    <w:rPr>
      <w:rFonts w:ascii="Times New Roman" w:hAnsi="Times New Roman" w:eastAsia="宋?" w:cs="Microsoft Uighur"/>
      <w:kern w:val="0"/>
      <w:sz w:val="24"/>
      <w:szCs w:val="22"/>
      <w:lang w:val="en-US" w:eastAsia="zh-CN" w:bidi="ar-SA"/>
    </w:rPr>
  </w:style>
  <w:style w:type="paragraph" w:customStyle="1" w:styleId="62">
    <w:name w:val="Body text|1"/>
    <w:basedOn w:val="1"/>
    <w:autoRedefine/>
    <w:qFormat/>
    <w:uiPriority w:val="0"/>
    <w:pPr>
      <w:spacing w:line="276" w:lineRule="auto"/>
      <w:ind w:firstLine="400"/>
    </w:pPr>
    <w:rPr>
      <w:rFonts w:ascii="宋体" w:hAnsi="宋体" w:eastAsia="宋体" w:cs="宋体"/>
      <w:sz w:val="30"/>
      <w:szCs w:val="30"/>
      <w:lang w:val="zh-TW" w:eastAsia="zh-TW" w:bidi="zh-TW"/>
    </w:rPr>
  </w:style>
  <w:style w:type="paragraph" w:customStyle="1" w:styleId="63">
    <w:name w:val="表格内容"/>
    <w:autoRedefine/>
    <w:qFormat/>
    <w:uiPriority w:val="99"/>
    <w:pPr>
      <w:widowControl w:val="0"/>
      <w:spacing w:before="20" w:beforeLines="20" w:after="20" w:afterLines="20"/>
      <w:jc w:val="center"/>
    </w:pPr>
    <w:rPr>
      <w:rFonts w:ascii="Times New Roman" w:hAnsi="Times New Roman" w:eastAsia="仿宋_GB2312"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418</Words>
  <Characters>2386</Characters>
  <Lines>0</Lines>
  <Paragraphs>0</Paragraphs>
  <TotalTime>1016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2024-02-23T06:27:00Z</cp:lastPrinted>
  <dcterms:modified xsi:type="dcterms:W3CDTF">2024-03-07T00:13:37Z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eyJoZGlkIjoiY2NiMWViOGJjZDNmMjBiMmJkNmI0OTVhMmFlMmE5ZjcifQ==</vt:lpwstr>
  </property>
  <property fmtid="{D5CDD505-2E9C-101B-9397-08002B2CF9AE}" pid="4" name="ICV">
    <vt:lpwstr>859090FD50574FF48D607C0D219436F0_13</vt:lpwstr>
  </property>
</Properties>
</file>